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F643A" w14:textId="2BDAE799" w:rsidR="00C972CB" w:rsidRDefault="002457F6" w:rsidP="002457F6">
      <w:pPr>
        <w:pStyle w:val="Pagedecouverture"/>
        <w:rPr>
          <w:noProof/>
        </w:rPr>
      </w:pPr>
      <w:bookmarkStart w:id="0" w:name="LW_BM_COVERPAGE"/>
      <w:r>
        <w:rPr>
          <w:noProof/>
        </w:rPr>
        <w:pict w14:anchorId="2D9E0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63CF5C03-805E-4935-8A1F-D6D6B05A2091" style="width:455.25pt;height:438.75pt">
            <v:imagedata r:id="rId11" o:title=""/>
          </v:shape>
        </w:pict>
      </w:r>
    </w:p>
    <w:bookmarkEnd w:id="0"/>
    <w:p w14:paraId="67CD86DA" w14:textId="77777777" w:rsidR="00C972CB" w:rsidRDefault="00C972CB">
      <w:pPr>
        <w:rPr>
          <w:noProof/>
        </w:rPr>
        <w:sectPr w:rsidR="00C972CB" w:rsidSect="002457F6">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C6D21E8" w14:textId="1EED3DB8" w:rsidR="00C972CB" w:rsidRDefault="002457F6">
      <w:pPr>
        <w:pStyle w:val="P68B1DB1-Heading11"/>
        <w:numPr>
          <w:ilvl w:val="0"/>
          <w:numId w:val="0"/>
        </w:numPr>
        <w:jc w:val="center"/>
        <w:rPr>
          <w:noProof/>
        </w:rPr>
      </w:pPr>
      <w:bookmarkStart w:id="1" w:name="_GoBack"/>
      <w:bookmarkEnd w:id="1"/>
      <w:r>
        <w:rPr>
          <w:noProof/>
        </w:rPr>
        <w:lastRenderedPageBreak/>
        <w:t>PIELIKUMĀ</w:t>
      </w:r>
    </w:p>
    <w:p w14:paraId="2E98B2C1" w14:textId="7CEA1D25" w:rsidR="00C972CB" w:rsidRDefault="002457F6">
      <w:pPr>
        <w:pStyle w:val="Heading1"/>
        <w:rPr>
          <w:noProof/>
        </w:rPr>
      </w:pPr>
      <w:r>
        <w:rPr>
          <w:noProof/>
        </w:rPr>
        <w:t xml:space="preserve">Reformu un investīciju apraksts </w:t>
      </w:r>
    </w:p>
    <w:p w14:paraId="6E146819" w14:textId="77777777" w:rsidR="00C972CB" w:rsidRDefault="002457F6">
      <w:pPr>
        <w:pStyle w:val="Heading2"/>
        <w:numPr>
          <w:ilvl w:val="0"/>
          <w:numId w:val="105"/>
        </w:numPr>
        <w:rPr>
          <w:noProof/>
        </w:rPr>
      </w:pPr>
      <w:r>
        <w:rPr>
          <w:noProof/>
        </w:rPr>
        <w:t>MISIJAS 1. KOMPONENTS:</w:t>
      </w:r>
    </w:p>
    <w:p w14:paraId="1FEA85CA" w14:textId="7F478567" w:rsidR="00C972CB" w:rsidRDefault="002457F6">
      <w:pPr>
        <w:pStyle w:val="Descriptiontitle"/>
        <w:ind w:left="0"/>
        <w:rPr>
          <w:rFonts w:eastAsiaTheme="minorHAnsi"/>
          <w:noProof/>
        </w:rPr>
      </w:pPr>
      <w:r>
        <w:rPr>
          <w:b/>
          <w:noProof/>
        </w:rPr>
        <w:t>Ass. Valsts pārvaldes digitalizācija</w:t>
      </w:r>
      <w:r>
        <w:rPr>
          <w:noProof/>
        </w:rPr>
        <w:t xml:space="preserve">: Itālijas atveseļošanas un </w:t>
      </w:r>
      <w:r>
        <w:rPr>
          <w:noProof/>
        </w:rPr>
        <w:t>noturības plāna M1C1 komponenta 1. ass ietver pasākumus, kuru mērķis ir veicināt Itālijas valsts pārvaldes digitalizāciju, un ietver septiņas investīcijas un trīs reformas. Ieguldījumu mērķis jo īpaši ir: valsts pārvaldes pašreizējās digitālās infrastruktū</w:t>
      </w:r>
      <w:r>
        <w:rPr>
          <w:noProof/>
        </w:rPr>
        <w:t>ras racionalizēšana un konsolidācija; veicināt mākoņdatošanas ieviešanu, iii) īpašu uzmanību pievēršot platformu un datu pakalpojumu saskaņošanai un sadarbspējai, vienreizējas iesniegšanas principa īstenošanai un datu pieejamībai, izmantojot lietojumprogra</w:t>
      </w:r>
      <w:r>
        <w:rPr>
          <w:noProof/>
        </w:rPr>
        <w:t>mmu saskarņu (API) katalogu; uzlabot visu digitālo publisko pakalpojumu pieejamību, efektivitāti un piekļūstamību, lai palielinātu to pieņemšanas līmeni un lietotāju apmierinātību, v) stiprināt Itālijas aizsardzību pret kibernoziedzības radītajiem riskiem,</w:t>
      </w:r>
      <w:r>
        <w:rPr>
          <w:noProof/>
        </w:rPr>
        <w:t xml:space="preserve"> vi) veicināt lielu centrālo pārvaldes iestāžu digitālo pārveidi; novērst digitālo plaisu, stiprinot iedzīvotāju digitālās prasmes. Reformas saskaņā ar šo virzienu jo īpaši ir vērstas uz to, lai i) racionalizētu un paātrinātu valsts pārvaldes īstenoto info</w:t>
      </w:r>
      <w:r>
        <w:rPr>
          <w:noProof/>
        </w:rPr>
        <w:t xml:space="preserve">rmācijas un komunikācijas tehnoloģiju (IKT) risinājumu iepirkuma procesu; atbalstīt publiskās pārvaldes digitālo pārveidi un iii) novērst šķēršļus mākoņdatošanai publiskās pārvaldes iestādēs un racionalizēt datu apmaiņas procesus starp publiskās pārvaldes </w:t>
      </w:r>
      <w:r>
        <w:rPr>
          <w:noProof/>
        </w:rPr>
        <w:t>iestādēm.</w:t>
      </w:r>
    </w:p>
    <w:p w14:paraId="031B4FDB" w14:textId="77777777" w:rsidR="00C972CB" w:rsidRDefault="002457F6">
      <w:pPr>
        <w:pStyle w:val="Descriptiontitle"/>
        <w:ind w:left="0"/>
        <w:rPr>
          <w:rFonts w:eastAsiaTheme="minorEastAsia"/>
          <w:noProof/>
        </w:rPr>
      </w:pPr>
      <w:r>
        <w:rPr>
          <w:noProof/>
        </w:rPr>
        <w:t>Investīcijas un reformas saskaņā ar šo komponentu palīdzēs īstenot Itālijai 2020. un 2019. gadā adresētos konkrētai valstij adresētos ieteikumus par nepieciešamību “uzlabot publiskās pārvaldes efektivitāti, tostarp investējot publiskā sektora dar</w:t>
      </w:r>
      <w:r>
        <w:rPr>
          <w:noProof/>
        </w:rPr>
        <w:t xml:space="preserve">binieku prasmēs, paātrinot digitalizāciju un palielinot vietējo sabiedrisko pakalpojumu efektivitāti un kvalitāti” (3. konkrētais ieteikums, 2019. gads) un “koncentrēt investīcijas uz zaļo un digitālo pārkārtošanos, jo īpaši uz [...] pastiprinātu digitālo </w:t>
      </w:r>
      <w:r>
        <w:rPr>
          <w:noProof/>
        </w:rPr>
        <w:t>infrastruktūru, lai nodrošinātu pamatpakalpojumu sniegšanu” (valsts īpašais ieteikums Nr. 3, 2020).</w:t>
      </w:r>
    </w:p>
    <w:p w14:paraId="49D3443F" w14:textId="77777777" w:rsidR="00C972CB" w:rsidRDefault="002457F6">
      <w:pPr>
        <w:pStyle w:val="Descriptiontitle"/>
        <w:ind w:left="0"/>
        <w:rPr>
          <w:rFonts w:eastAsiaTheme="minorEastAsia"/>
          <w:noProof/>
        </w:rPr>
      </w:pPr>
      <w:r>
        <w:rPr>
          <w:b/>
          <w:noProof/>
        </w:rPr>
        <w:t>Ass — Tiesiskums</w:t>
      </w:r>
      <w:r>
        <w:rPr>
          <w:noProof/>
        </w:rPr>
        <w:t>: Kā norādīts jaunākajā Eiropas Komisijas ziņojumā par tiesu sistēmas efektivitāti (CEPEJ), Itālijas tiesu sistēmas darbība tiesvedības ilgu</w:t>
      </w:r>
      <w:r>
        <w:rPr>
          <w:noProof/>
        </w:rPr>
        <w:t>ma ziņā joprojām ir tālu no citu dalībvalstu darbības rezultātiem. Atveseļošanas un noturības plāna komponenta M1C1 2. ass ietver pasākumus, kuru mērķis ir padarīt tiesu sistēmu efektīvāku, samazinot tiesvedības ilgumu un tuvinot Itāliju ES vidējai vērtība</w:t>
      </w:r>
      <w:r>
        <w:rPr>
          <w:noProof/>
        </w:rPr>
        <w:t>i. Šis komponents attiecas uz Itālijai 2020. un 2019. gadā adresētajiem ieteikumiem par civillietu izskatīšanas ilguma samazināšanu un par korupcijas apkarošanas efektivitātes uzlabošanu (4., 2019. un 4. ieteikums, 2020. gads). Turklāt tiesu sistēmas digit</w:t>
      </w:r>
      <w:r>
        <w:rPr>
          <w:noProof/>
        </w:rPr>
        <w:t>alizācija ir svarīga arī digitālajai pārejai.</w:t>
      </w:r>
    </w:p>
    <w:p w14:paraId="48EE0DDD" w14:textId="32EA48DC" w:rsidR="00C972CB" w:rsidRDefault="002457F6">
      <w:pPr>
        <w:pStyle w:val="Descriptiontitle"/>
        <w:ind w:left="0"/>
        <w:rPr>
          <w:rFonts w:eastAsiaTheme="minorEastAsia"/>
          <w:noProof/>
        </w:rPr>
      </w:pPr>
      <w:r>
        <w:rPr>
          <w:b/>
          <w:noProof/>
        </w:rPr>
        <w:t>Ass. Valsts pārvalde</w:t>
      </w:r>
      <w:r>
        <w:rPr>
          <w:noProof/>
        </w:rPr>
        <w:t xml:space="preserve">: Atveseļošanas un noturības plāna komponenta M1C1 3. ass ietver pasākumus, kuru mērķis ir reformēt Itālijas valsts pārvaldi un uzlabot administratīvo spēju. Itālijas rādītāji ir zemāki par </w:t>
      </w:r>
      <w:r>
        <w:rPr>
          <w:noProof/>
        </w:rPr>
        <w:t>ES-27 vidējo rādītāju gan attiecībā uz valdības efektivitāti, gan uzticēšanos valdībai. Itālijas valsts pārvaldes reformas ietekmēja būtiskas lejupējo reformu īstenošanas nepilnības un vērtīgo augšupējo inovāciju nepietiekama atzīšana un izplatīšana. Admin</w:t>
      </w:r>
      <w:r>
        <w:rPr>
          <w:noProof/>
        </w:rPr>
        <w:t>istratīvās spējas ir ļoti zemas. Būtu jāturpina centieni stiprināt stratēģiskās plānošanas spējas, uzraudzības un izvērtēšanas mehānismus un uz pierādījumiem balstītus politikas veidošanas instrumentus. Šā komponenta galvenais mērķis ir uzlabot Itālijas va</w:t>
      </w:r>
      <w:r>
        <w:rPr>
          <w:noProof/>
        </w:rPr>
        <w:t>lsts pārvaldes iestāžu administratīvās spējas centrālā un vietējā līmenī gan attiecībā uz cilvēkkapitālu (atlase, kompetence un karjera), gan attiecībā uz administratīvo procedūru vienkāršošanu. Šajā iedaļā ir izklāstīta visaptveroša strukturālā cilvēkresu</w:t>
      </w:r>
      <w:r>
        <w:rPr>
          <w:noProof/>
        </w:rPr>
        <w:t>rsu stratēģija, sākot no atlases procesiem līdz karjeras virzībai. Reforma ietver arī procedūras vienkāršošanas pasākumus. Ieguldījumi jaunos digitālajos rīkkopās un pastiprinātas darbības mūžizglītības jomā ir iekļautas 1. misijas 1. komponentā. Šis kompo</w:t>
      </w:r>
      <w:r>
        <w:rPr>
          <w:noProof/>
        </w:rPr>
        <w:t>nents attiecas uz Itālijai 2020. un 2019. gadā adresētajiem ieteikumiem par valsts pārvaldes efektivitātes uzlabošanu (valsts īpašais ieteikums Nr. 3, 2019 un konkrētai valstij adresētais ieteikums Nr. 4, 2020).</w:t>
      </w:r>
    </w:p>
    <w:p w14:paraId="6F96B41E" w14:textId="77777777" w:rsidR="00C972CB" w:rsidRDefault="002457F6">
      <w:pPr>
        <w:pStyle w:val="Descriptiontitle"/>
        <w:ind w:left="0"/>
        <w:rPr>
          <w:rFonts w:eastAsiaTheme="minorHAnsi"/>
          <w:noProof/>
        </w:rPr>
      </w:pPr>
      <w:r>
        <w:rPr>
          <w:b/>
          <w:noProof/>
        </w:rPr>
        <w:t>Ass. Publiskais iepirkums un administrācijas</w:t>
      </w:r>
      <w:r>
        <w:rPr>
          <w:b/>
          <w:noProof/>
        </w:rPr>
        <w:t xml:space="preserve"> maksājumi</w:t>
      </w:r>
      <w:r>
        <w:rPr>
          <w:noProof/>
        </w:rPr>
        <w:t>: Atveseļošanas un noturības plāna komponenta M1C1 4. ass ietver pasākumus, kuru mērķis ir reformēt dažus Itālijas publiskā iepirkuma tiesiskā regulējuma galvenos aspektus un samazināt valsts pārvaldes iestāžu kavētos maksājumus centrālajā, reģio</w:t>
      </w:r>
      <w:r>
        <w:rPr>
          <w:noProof/>
        </w:rPr>
        <w:t>nālajā un vietējā līmenī, kā arī reģionālajās veselības aprūpes iestādēs. Reformas galvenais mērķis ir vienkāršot publiskā iepirkuma noteikumus, palielināt juridisko noteiktību uzņēmumiem un paātrināt publiskā iepirkuma līgumu slēgšanas tiesību piešķiršanu</w:t>
      </w:r>
      <w:r>
        <w:rPr>
          <w:noProof/>
        </w:rPr>
        <w:t>, vienlaikus saglabājot procesuālās garantijas attiecībā uz pārredzamību un vienlīdzīgu attieksmi. Tādējādi šīs reformas atbalsta plāna finansēto infrastruktūru un projektu savlaicīgu īstenošanu.</w:t>
      </w:r>
    </w:p>
    <w:p w14:paraId="0388E521" w14:textId="77777777" w:rsidR="00C972CB" w:rsidRDefault="002457F6">
      <w:pPr>
        <w:pStyle w:val="Descriptiontitle"/>
        <w:ind w:left="0"/>
        <w:rPr>
          <w:rFonts w:eastAsiaTheme="minorHAnsi"/>
          <w:noProof/>
        </w:rPr>
      </w:pPr>
      <w:r>
        <w:rPr>
          <w:b/>
          <w:noProof/>
        </w:rPr>
        <w:t>Ass. Fiskālās strukturālās reformas (Nodokļi un publiskie iz</w:t>
      </w:r>
      <w:r>
        <w:rPr>
          <w:b/>
          <w:noProof/>
        </w:rPr>
        <w:t>devumi)</w:t>
      </w:r>
      <w:r>
        <w:rPr>
          <w:noProof/>
        </w:rPr>
        <w:t>: Atveseļošanas un noturības komponenta M1C1 5. ass ietver vairākas reformas, kuru mērķis ir atbalstīt Itālijas publisko finanšu ilgtspēju (1. konkrētai valstij adresētais ieteikums, 2019. gads). Attiecībā uz ieņēmumiem reformu mērķis ir uzlabot nod</w:t>
      </w:r>
      <w:r>
        <w:rPr>
          <w:noProof/>
        </w:rPr>
        <w:t>okļu iekasēšanas procesu, veicināt nodokļu saistību izpildi un apkarot izvairīšanos no nodokļu maksāšanas, lai samazinātu atbilstības nodrošināšanas izmaksas nodokļu maksātājiem un palielinātu vispārējās valdības ieņēmumus, palīdzot uzlabot publisko finanš</w:t>
      </w:r>
      <w:r>
        <w:rPr>
          <w:noProof/>
        </w:rPr>
        <w:t>u ilgtspēju. Attiecībā uz izdevumiem reformu mērķis ir uzlabot publisko izdevumu efektivitāti gan centrālā līmenī, stiprinot pašreizējo sistēmu izdevumu ikgadējai pārskatīšanai, gan vietējā un reģionālajā līmenī, pabeidzot fiskālo attiecību reformu dažādos</w:t>
      </w:r>
      <w:r>
        <w:rPr>
          <w:noProof/>
        </w:rPr>
        <w:t xml:space="preserve"> valdības līmeņos.</w:t>
      </w:r>
    </w:p>
    <w:p w14:paraId="35CACAC7" w14:textId="77777777" w:rsidR="00C972CB" w:rsidRDefault="002457F6">
      <w:pPr>
        <w:pStyle w:val="Heading3"/>
        <w:numPr>
          <w:ilvl w:val="0"/>
          <w:numId w:val="0"/>
        </w:numPr>
        <w:ind w:left="850" w:hanging="850"/>
        <w:rPr>
          <w:b/>
          <w:i w:val="0"/>
          <w:noProof/>
          <w:u w:val="single"/>
        </w:rPr>
      </w:pPr>
      <w:r>
        <w:rPr>
          <w:b/>
          <w:i w:val="0"/>
          <w:noProof/>
          <w:u w:val="single"/>
        </w:rPr>
        <w:t xml:space="preserve">A.1. </w:t>
      </w:r>
      <w:r>
        <w:rPr>
          <w:noProof/>
        </w:rPr>
        <w:tab/>
      </w:r>
      <w:r>
        <w:rPr>
          <w:b/>
          <w:i w:val="0"/>
          <w:noProof/>
          <w:u w:val="single"/>
        </w:rPr>
        <w:t>Neatmaksājamam finansiālajam atbalstam pieteikto reformu un investīciju apraksts</w:t>
      </w:r>
    </w:p>
    <w:p w14:paraId="3FD1F914" w14:textId="77777777" w:rsidR="00C972CB" w:rsidRDefault="002457F6">
      <w:pPr>
        <w:pStyle w:val="Axistitle"/>
        <w:ind w:left="0"/>
        <w:rPr>
          <w:noProof/>
        </w:rPr>
      </w:pPr>
      <w:r>
        <w:rPr>
          <w:noProof/>
        </w:rPr>
        <w:t>Ass — Valsts pārvaldes digitalizācija</w:t>
      </w:r>
    </w:p>
    <w:p w14:paraId="754D445C" w14:textId="322A06E0" w:rsidR="00C972CB" w:rsidRDefault="002457F6">
      <w:pPr>
        <w:pStyle w:val="P68B1DB1-Normal2"/>
        <w:spacing w:before="240" w:after="120"/>
        <w:jc w:val="both"/>
        <w:rPr>
          <w:rFonts w:eastAsiaTheme="minorHAnsi"/>
          <w:noProof/>
        </w:rPr>
      </w:pPr>
      <w:r>
        <w:rPr>
          <w:noProof/>
        </w:rPr>
        <w:t>Ieguldījums 1.1. Digitālā infrastruktūra</w:t>
      </w:r>
    </w:p>
    <w:p w14:paraId="3044844B" w14:textId="77777777" w:rsidR="00C972CB" w:rsidRDefault="002457F6">
      <w:pPr>
        <w:pStyle w:val="Descriptiontitle"/>
        <w:ind w:left="0"/>
        <w:rPr>
          <w:noProof/>
        </w:rPr>
      </w:pPr>
      <w:r>
        <w:rPr>
          <w:noProof/>
        </w:rPr>
        <w:t>Šo investīciju mērķis ir nodrošināt, ka valsts pārvaldes sistēmas, datu</w:t>
      </w:r>
      <w:r>
        <w:rPr>
          <w:noProof/>
        </w:rPr>
        <w:t xml:space="preserve"> kopas un lietotnes tiek mitinātas ļoti uzticamos datu centros ar augstiem kvalitātes standartiem attiecībā uz drošību, veiktspēju, mērogojamību, Eiropas sadarbspēju un energoefektivitāti. Šajā nolūkā ieguldījums paredz izveidot mūsdienīgu, pilnībā pārspīl</w:t>
      </w:r>
      <w:r>
        <w:rPr>
          <w:noProof/>
        </w:rPr>
        <w:t>ētu valsts mākoņdatošanas hibrīdinfrastruktūru (Polo Strategico Nazionale, PSN), drošu un mērogojamu publisko mākoņdatošanas alternatīvu sertifikāciju un valsts pārvaldes datu kopu un lietojumprogrammu migrāciju uz mākoņvidi.</w:t>
      </w:r>
    </w:p>
    <w:p w14:paraId="4F940949" w14:textId="77777777" w:rsidR="00C972CB" w:rsidRDefault="002457F6">
      <w:pPr>
        <w:pStyle w:val="Descriptiontitle"/>
        <w:ind w:left="0"/>
        <w:rPr>
          <w:noProof/>
        </w:rPr>
      </w:pPr>
      <w:r>
        <w:rPr>
          <w:noProof/>
        </w:rPr>
        <w:t>Paredzams, ka PSN infrastruktū</w:t>
      </w:r>
      <w:r>
        <w:rPr>
          <w:noProof/>
        </w:rPr>
        <w:t xml:space="preserve">ru ekspluatēs tehnoloģiskais pakalpojumu sniedzējs, kas izraudzīts Eiropas konkursā, un tā tiks izstrādāta, ievērojot datu sadarbspējas standartus, kas noteikti Eiropas līmenī atbilstīgi Gaia-X iniciatīvai, lai nodrošinātu nepersondatu brīvu apmaiņu starp </w:t>
      </w:r>
      <w:r>
        <w:rPr>
          <w:noProof/>
        </w:rPr>
        <w:t>dažādām dalībvalstīm, savstarpēji savienojot valstu mākoņdatošanas modeļus. Paredzams, ka līdzīgas prasības tiks pieņemtas attiecībā uz publisko mākoņdatošanas pakalpojumu sniedzēju pirmskvalificēšanu.</w:t>
      </w:r>
    </w:p>
    <w:p w14:paraId="7D351FC4" w14:textId="77777777" w:rsidR="00C972CB" w:rsidRDefault="002457F6">
      <w:pPr>
        <w:pStyle w:val="Descriptiontitle"/>
        <w:ind w:left="0"/>
        <w:rPr>
          <w:noProof/>
        </w:rPr>
      </w:pPr>
      <w:r>
        <w:rPr>
          <w:noProof/>
        </w:rPr>
        <w:t>Paredzams, ka valsts pārvaldes datu kopu un lietojumpr</w:t>
      </w:r>
      <w:r>
        <w:rPr>
          <w:noProof/>
        </w:rPr>
        <w:t>ogrammu migrācija uz PSN vai uz drošiem sertificētiem publiskiem mākoņdatošanas pakalpojumu sniedzējiem būs atkarīga no prasībām attiecībā uz datu veiktspēju, mērogojamību un sensitivitāti, ko noteikušas dažādas pārvaldes iestādes, no kurām paredzams, ka k</w:t>
      </w:r>
      <w:r>
        <w:rPr>
          <w:noProof/>
        </w:rPr>
        <w:t>atra no tām saglabās neatkarību lietojumprogrammu izstrādē un datu pārvaldībā.</w:t>
      </w:r>
    </w:p>
    <w:p w14:paraId="7A1091C5" w14:textId="049DC2CA" w:rsidR="00C972CB" w:rsidRDefault="002457F6">
      <w:pPr>
        <w:pStyle w:val="P68B1DB1-Normal2"/>
        <w:spacing w:before="240" w:after="120"/>
        <w:jc w:val="both"/>
        <w:rPr>
          <w:rFonts w:eastAsiaTheme="minorHAnsi"/>
          <w:noProof/>
        </w:rPr>
      </w:pPr>
      <w:r>
        <w:rPr>
          <w:noProof/>
        </w:rPr>
        <w:t>Ieguldījums 1.3. Dati un sadarbspēja</w:t>
      </w:r>
    </w:p>
    <w:p w14:paraId="68B51E3C" w14:textId="77777777" w:rsidR="00C972CB" w:rsidRDefault="002457F6">
      <w:pPr>
        <w:pStyle w:val="Descriptiontitle"/>
        <w:ind w:left="0"/>
        <w:rPr>
          <w:noProof/>
        </w:rPr>
      </w:pPr>
      <w:r>
        <w:rPr>
          <w:noProof/>
        </w:rPr>
        <w:t>Šā ieguldījuma mērķis ir nodrošināt galveno datu kopu un pakalpojumu pilnīgu sadarbspēju starp centrālajām un vietējām publiskās pārvaldes i</w:t>
      </w:r>
      <w:r>
        <w:rPr>
          <w:noProof/>
        </w:rPr>
        <w:t>estādēm.</w:t>
      </w:r>
    </w:p>
    <w:p w14:paraId="0755E4C1" w14:textId="299E9664" w:rsidR="00C972CB" w:rsidRDefault="002457F6">
      <w:pPr>
        <w:pStyle w:val="Descriptiontitle"/>
        <w:ind w:left="0"/>
        <w:rPr>
          <w:noProof/>
        </w:rPr>
      </w:pPr>
      <w:r>
        <w:rPr>
          <w:noProof/>
        </w:rPr>
        <w:t>Pasākums paredz izstrādāt valsts digitālo datu platformu (“Piattaforma Digitale Nazionale Dati”), kas garantēs datu kopu sadarbspēju, izmantojot centrālo un vietējo pārvaldes iestāžu kopīgoto lietojumprogrammu saskarņu (API) katalogu (1.3.1. iegul</w:t>
      </w:r>
      <w:r>
        <w:rPr>
          <w:noProof/>
        </w:rPr>
        <w:t>dījums). Pēc izveides šī platforma garantē datu kopu sadarbspēju, izmantojot centrālo un vietējo pārvaldes iestāžu kopīgoto lietojumprogrammu saskarņu (API) katalogu. Platforma pilnībā atbilst ES tiesību aktiem.</w:t>
      </w:r>
    </w:p>
    <w:p w14:paraId="05356462" w14:textId="77777777" w:rsidR="00C972CB" w:rsidRDefault="002457F6">
      <w:pPr>
        <w:pStyle w:val="Descriptiontitle"/>
        <w:ind w:left="0"/>
        <w:rPr>
          <w:noProof/>
        </w:rPr>
      </w:pPr>
      <w:r>
        <w:rPr>
          <w:noProof/>
        </w:rPr>
        <w:t>Turklāt ar pasākumu izveido “vienotu digitāl</w:t>
      </w:r>
      <w:r>
        <w:rPr>
          <w:noProof/>
        </w:rPr>
        <w:t>o vārteju” saskaņā ar ES Regulu 2018/1724, ko īsteno, lai palīdzētu centrālajām un valsts pārvaldes iestādēm pārstrukturēt prioritārās procedūras un nodrošinātu vienreizējas iesniegšanas principa izpildi (ieguldījums 1.3.2.).</w:t>
      </w:r>
    </w:p>
    <w:p w14:paraId="6C58B3C7" w14:textId="2D20E9FA" w:rsidR="00C972CB" w:rsidRDefault="002457F6">
      <w:pPr>
        <w:pStyle w:val="P68B1DB1-Normal2"/>
        <w:spacing w:before="240" w:after="120"/>
        <w:jc w:val="both"/>
        <w:rPr>
          <w:rFonts w:eastAsiaTheme="minorHAnsi"/>
          <w:noProof/>
        </w:rPr>
      </w:pPr>
      <w:r>
        <w:rPr>
          <w:noProof/>
        </w:rPr>
        <w:t>Investīcijas 1.5. Kiberdrošība</w:t>
      </w:r>
    </w:p>
    <w:p w14:paraId="21F5D1A1" w14:textId="77777777" w:rsidR="00C972CB" w:rsidRDefault="002457F6">
      <w:pPr>
        <w:pStyle w:val="Descriptiontitle"/>
        <w:ind w:left="0"/>
        <w:rPr>
          <w:noProof/>
        </w:rPr>
      </w:pPr>
      <w:r>
        <w:rPr>
          <w:noProof/>
        </w:rPr>
        <w:t>Šā ieguldījuma mērķis ir stiprināt Itālijas aizsardzību pret kibernoziedzības radītajiem riskiem, jo īpaši īstenojot valsts kiberdrošības perimetru (PSNC) saskaņā ar Direktīvā (ES) 2016/1148 par tīklu un informācijas sistēmu drošību (TID direktīva) noteik</w:t>
      </w:r>
      <w:r>
        <w:rPr>
          <w:noProof/>
        </w:rPr>
        <w:t>tajām drošības prasībām un stiprinot valstu kiberaizsardzības spējas tehniskās apskates un riska uzraudzības jomā.</w:t>
      </w:r>
    </w:p>
    <w:p w14:paraId="6E77DC89" w14:textId="43FC343F" w:rsidR="00C972CB" w:rsidRDefault="002457F6">
      <w:pPr>
        <w:pStyle w:val="Descriptiontitle"/>
        <w:ind w:left="0"/>
        <w:rPr>
          <w:noProof/>
        </w:rPr>
      </w:pPr>
      <w:r>
        <w:rPr>
          <w:noProof/>
        </w:rPr>
        <w:t>Pasākums paredz attīstīt mūsdienīgu, integrētu sistēmu, kas cieši savienotu dažādas struktūras visā valstī un starptautiski savienotu ar part</w:t>
      </w:r>
      <w:r>
        <w:rPr>
          <w:noProof/>
        </w:rPr>
        <w:t xml:space="preserve">neriem un uzticamiem tehnoloģiju piegādātājiem. Tas ir formulēts četros pīlāros: stiprināt pirmās līnijas spējas attiecībā uz sabiedrību un uzņēmumiem/subjektiem, lai pārvaldītu brīdinājumus un faktiskus publiski atzītus notikumus; veidot/stiprināt valsts </w:t>
      </w:r>
      <w:r>
        <w:rPr>
          <w:noProof/>
        </w:rPr>
        <w:t>pārbaudes un revīzijas spējas attiecībā uz aparatūru un programmatūru, ko izmanto subjekti ar būtiskām funkcijām, lai sertificētu uzticamību/apdraudējumus; policijas spēku tiesībaizsardzības vienības un kibervienības, kas ir atbildīgas par noziedzīgu darbī</w:t>
      </w:r>
      <w:r>
        <w:rPr>
          <w:noProof/>
        </w:rPr>
        <w:t>bu izmeklēšanu; būtiski stiprināt kiberlīdzekļus un cilvēkresursus, kas atbild par valsts drošību un reaģēšanu uz kiberdraudiem.</w:t>
      </w:r>
    </w:p>
    <w:p w14:paraId="075465D0" w14:textId="01216002" w:rsidR="00C972CB" w:rsidRDefault="002457F6">
      <w:pPr>
        <w:pStyle w:val="P68B1DB1-Normal2"/>
        <w:spacing w:before="240" w:after="120"/>
        <w:jc w:val="both"/>
        <w:rPr>
          <w:rFonts w:eastAsiaTheme="minorHAnsi"/>
          <w:noProof/>
        </w:rPr>
      </w:pPr>
      <w:r>
        <w:rPr>
          <w:noProof/>
        </w:rPr>
        <w:t>Ieguldījums 1.7. Digitālo pamatprasmju jomā</w:t>
      </w:r>
    </w:p>
    <w:p w14:paraId="4BD2A1B9" w14:textId="2F35C0EF" w:rsidR="00C972CB" w:rsidRDefault="002457F6">
      <w:pPr>
        <w:spacing w:before="120" w:after="120"/>
        <w:jc w:val="both"/>
        <w:rPr>
          <w:noProof/>
        </w:rPr>
      </w:pPr>
      <w:r>
        <w:rPr>
          <w:noProof/>
        </w:rPr>
        <w:t xml:space="preserve">Šā ieguldījuma mērķis ir samazināt to pašreizējo iedzīvotāju īpatsvaru, kuriem </w:t>
      </w:r>
      <w:r>
        <w:rPr>
          <w:noProof/>
        </w:rPr>
        <w:t>draud digitālā atstumtība, uzsākot iniciatīvu “Digitālais civildienests”, kas ir dažādas izcelsmes brīvprātīgo jauniešu tīkls visā Itālijā, lai digitālās atstumtības riskam pakļautajām personām sniegtu atvieglojumus un izglītības pakalpojumus digitālo pras</w:t>
      </w:r>
      <w:r>
        <w:rPr>
          <w:noProof/>
        </w:rPr>
        <w:t>mju attīstīšanai un uzlabošanai (ieguldījums 1.7.1.) un stiprinot pašreizējo digitālās veicināšanas centru tīklu (ieguldījums 1.7.2.).</w:t>
      </w:r>
    </w:p>
    <w:p w14:paraId="6A9302C8" w14:textId="77777777" w:rsidR="00C972CB" w:rsidRDefault="002457F6">
      <w:pPr>
        <w:spacing w:before="120" w:after="120"/>
        <w:jc w:val="both"/>
        <w:rPr>
          <w:noProof/>
        </w:rPr>
      </w:pPr>
      <w:r>
        <w:rPr>
          <w:noProof/>
        </w:rPr>
        <w:t>Digitālās veicināšanas centri ir fiziski piekļuves punkti, kas parasti atrodas bibliotēkās, skolās un sociālajos centros,</w:t>
      </w:r>
      <w:r>
        <w:rPr>
          <w:noProof/>
        </w:rPr>
        <w:t xml:space="preserve"> kas iedzīvotājiem nodrošina gan klātienes, gan tiešsaistes apmācību par digitālajām prasmēm, lai efektīvi atbalstītu viņu digitālo iekļaušanu. Iniciatīva balstās uz līdzšinējo veiksmīgo pieredzi, un tās mērķis ir nodrošināt šādu centru plašu attīstību val</w:t>
      </w:r>
      <w:r>
        <w:rPr>
          <w:noProof/>
        </w:rPr>
        <w:t>sts līmenī. Lai gan 600 centri jau ir aktīvi, viņu klātbūtne tiks vēl vairāk nostiprināta, izmantojot īpašus apmācības pasākumus un jaunu aprīkojumu, lai visā Itālijā izveidotu 2400 jaunus piekļuves punktus un apmācītu vairāk nekā 2000000 iedzīvotāju, kuri</w:t>
      </w:r>
      <w:r>
        <w:rPr>
          <w:noProof/>
        </w:rPr>
        <w:t>em draud digitālā atstumtība. No 3000 centiem aptuveni 1200 jākoncentrē Itālijas dienvidos.</w:t>
      </w:r>
      <w:r>
        <w:rPr>
          <w:noProof/>
          <w:color w:val="2B579A"/>
          <w:shd w:val="clear" w:color="auto" w:fill="E6E6E6"/>
        </w:rPr>
        <w:t xml:space="preserve"> </w:t>
      </w:r>
    </w:p>
    <w:p w14:paraId="24DEA4ED" w14:textId="30AB5F7B" w:rsidR="00C972CB" w:rsidRDefault="002457F6">
      <w:pPr>
        <w:spacing w:before="120" w:after="120"/>
        <w:jc w:val="both"/>
        <w:rPr>
          <w:noProof/>
        </w:rPr>
      </w:pPr>
      <w:r>
        <w:rPr>
          <w:noProof/>
        </w:rPr>
        <w:t>Iniciatīva “Digitālais civildienests” ir sadalīta trīs gados un pakāpeniski, un tās mērķis ir sasniegt šādus rezultātus: īstenot trīs ikgadējus uzaicinājumus iesni</w:t>
      </w:r>
      <w:r>
        <w:rPr>
          <w:noProof/>
        </w:rPr>
        <w:t>egt digitālos civildienesta projektus, kas paredzēti bezpeļņas organizācijām, kuras reģistrētas vispārējo civildienesta organizāciju valsts reģistrā; to bezpeļņas organizāciju spēju veidošana, kuras piedalās ikgadējā uzaicinājumā uz digitālo civildienestu,</w:t>
      </w:r>
      <w:r>
        <w:rPr>
          <w:noProof/>
        </w:rPr>
        <w:t xml:space="preserve"> un digitālās veicināšanas un digitālās izglītības projektu uzsākšana; aptuveni 8300 brīvprātīgo apmācība un praktiskā pieredze digitālo civildienesta projektu īstenošanā; nodrošināt 700000 digitālās veicināšanas un/vai digitālās izglītības iniciatīvas, ku</w:t>
      </w:r>
      <w:r>
        <w:rPr>
          <w:noProof/>
        </w:rPr>
        <w:t>rās iesaistīti iedzīvotāji un kuras izstrādātas digitālo civildienesta projektu ietvaros, kuros strādā 8300 brīvprātīgie.</w:t>
      </w:r>
    </w:p>
    <w:p w14:paraId="0C69CBA7" w14:textId="17EC030B" w:rsidR="00C972CB" w:rsidRDefault="002457F6">
      <w:pPr>
        <w:pStyle w:val="P68B1DB1-Normal2"/>
        <w:spacing w:before="240" w:after="120"/>
        <w:jc w:val="both"/>
        <w:rPr>
          <w:rFonts w:eastAsiaTheme="minorHAnsi"/>
          <w:noProof/>
        </w:rPr>
      </w:pPr>
      <w:r>
        <w:rPr>
          <w:noProof/>
        </w:rPr>
        <w:t>Reforma — IKT iepirkums</w:t>
      </w:r>
    </w:p>
    <w:p w14:paraId="51B677F2" w14:textId="77777777" w:rsidR="00C972CB" w:rsidRDefault="002457F6">
      <w:pPr>
        <w:spacing w:before="120" w:after="120"/>
        <w:jc w:val="both"/>
        <w:rPr>
          <w:noProof/>
        </w:rPr>
      </w:pPr>
      <w:r>
        <w:rPr>
          <w:noProof/>
        </w:rPr>
        <w:t>Šīs reformas mērķis ir nodrošināt, ka valsts pārvalde var ātrāk un efektīvāk iepirkt informācijas un komunikāc</w:t>
      </w:r>
      <w:r>
        <w:rPr>
          <w:noProof/>
        </w:rPr>
        <w:t>ijas tehnoloģiju (IKT) risinājumus, racionalizējot un paātrinot IKT pakalpojumu un aktīvu iepirkuma procesu.</w:t>
      </w:r>
    </w:p>
    <w:p w14:paraId="6024542E" w14:textId="77777777" w:rsidR="00C972CB" w:rsidRDefault="002457F6">
      <w:pPr>
        <w:spacing w:before="120" w:after="120"/>
        <w:jc w:val="both"/>
        <w:rPr>
          <w:noProof/>
        </w:rPr>
      </w:pPr>
      <w:r>
        <w:rPr>
          <w:noProof/>
        </w:rPr>
        <w:t>Reformas īstenošana sastāv no trim darbības virzieniem. Pirmkārt, izveido vienotu datubāzi, kas ietver to ekonomikas dalībnieku balto sarakstu, kur</w:t>
      </w:r>
      <w:r>
        <w:rPr>
          <w:noProof/>
        </w:rPr>
        <w:t>iem ir atļauts nodrošināt preces un pakalpojumus valsts pārvaldes iestādēm, un ievieš īpašu tehnoloģisko infrastruktūru, lai varētu sertificēt piegādātājus. Otrkārt, tiek pieņemta vienkāršota pieeja (“ātrga pieeja”), lai racionalizētu IKT iepirkumus PDRR p</w:t>
      </w:r>
      <w:r>
        <w:rPr>
          <w:noProof/>
        </w:rPr>
        <w:t xml:space="preserve">rojektiem. Treškārt, tiek izveidots digitālā iepirkuma pakalpojums ar mērķi i) ietvert tikai sertificētus piegādātājus (ekonomikas dalībnieki jebkurā laikā var pieprasīt, lai tos sertificē saskaņā ar Direktīvas 2014/24/ES 64. pantu); ļauj ātri identificēt </w:t>
      </w:r>
      <w:r>
        <w:rPr>
          <w:noProof/>
        </w:rPr>
        <w:t>piegādātājus, kas atbilst konkrētai vajadzībai (piemēram, izmantojot konfiguratoru); sniegt pārvaldes iestādēm intuitīvu lietotāja pieredzi (piemēram, skaidru piedāvāto pakalpojumu aprakstu, piegādātāju salīdzinošu novērtējumu). Šī vispārējā struktūra bals</w:t>
      </w:r>
      <w:r>
        <w:rPr>
          <w:noProof/>
        </w:rPr>
        <w:t>tās uz Itālijas valsts iepirkuma iestādes CONSIP pašreizējām spējām.</w:t>
      </w:r>
    </w:p>
    <w:p w14:paraId="6CBE5DAC" w14:textId="3FFE0534" w:rsidR="00C972CB" w:rsidRDefault="002457F6">
      <w:pPr>
        <w:pStyle w:val="P68B1DB1-Normal2"/>
        <w:spacing w:before="240" w:after="120"/>
        <w:jc w:val="both"/>
        <w:rPr>
          <w:rFonts w:eastAsiaTheme="minorHAnsi"/>
          <w:noProof/>
        </w:rPr>
      </w:pPr>
      <w:r>
        <w:rPr>
          <w:noProof/>
        </w:rPr>
        <w:t>Reforma — Pārveidošanas atbalsts</w:t>
      </w:r>
    </w:p>
    <w:p w14:paraId="5E1C7E14" w14:textId="77777777" w:rsidR="00C972CB" w:rsidRDefault="002457F6">
      <w:pPr>
        <w:spacing w:before="120" w:after="120"/>
        <w:jc w:val="both"/>
        <w:rPr>
          <w:noProof/>
        </w:rPr>
      </w:pPr>
      <w:r>
        <w:rPr>
          <w:noProof/>
        </w:rPr>
        <w:t>Šīs reformas mērķis ir atbalstīt visu centrālo un vietējo publiskās pārvaldes iestāžu digitālo pārveidi, izveidojot īpašu “Digitālās partnerības pārveides</w:t>
      </w:r>
      <w:r>
        <w:rPr>
          <w:noProof/>
        </w:rPr>
        <w:t xml:space="preserve"> biroju”. Pārveides birojs sastāv no tehnoloģiju jomā kompetenta pagaidu resursu kopfonda, kas virza un atbalsta migrācijas centienus un centralizētas sarunas par sertificēta ārējā atbalsta “pakojumiem”. Turklāt pasākums paredz izveidot uzņēmumu, kas konce</w:t>
      </w:r>
      <w:r>
        <w:rPr>
          <w:noProof/>
        </w:rPr>
        <w:t>ntrējas uz programmatūras izstrādi un darbību pārvaldību, lai atbalstītu centrālo administrāciju digitālo pastiprināšanu. Pārveides birojs jo īpaši atbalsta valsts pārvaldi šajā komponentā iekļauto 1.1.–1.7. investīciju īstenošanā un atbalsta arī 6. misijā</w:t>
      </w:r>
      <w:r>
        <w:rPr>
          <w:noProof/>
        </w:rPr>
        <w:t xml:space="preserve"> iekļauto ieguldījumu un reformu īstenošanu veselības aprūpes digitalizācijā.</w:t>
      </w:r>
    </w:p>
    <w:p w14:paraId="061DA301" w14:textId="502788C8" w:rsidR="00C972CB" w:rsidRDefault="002457F6">
      <w:pPr>
        <w:pStyle w:val="P68B1DB1-Normal2"/>
        <w:spacing w:before="240" w:after="120"/>
        <w:jc w:val="both"/>
        <w:rPr>
          <w:rFonts w:eastAsiaTheme="minorHAnsi"/>
          <w:noProof/>
        </w:rPr>
      </w:pPr>
      <w:r>
        <w:rPr>
          <w:noProof/>
        </w:rPr>
        <w:t>Reforma. Mākonis vispirms un sadarbspēja</w:t>
      </w:r>
    </w:p>
    <w:p w14:paraId="3A0319C2" w14:textId="77777777" w:rsidR="00C972CB" w:rsidRDefault="002457F6">
      <w:pPr>
        <w:spacing w:before="120" w:after="120"/>
        <w:jc w:val="both"/>
        <w:rPr>
          <w:noProof/>
        </w:rPr>
      </w:pPr>
      <w:r>
        <w:rPr>
          <w:noProof/>
        </w:rPr>
        <w:t>Šīs reformas mērķis ir novērst šķēršļus mākoņdatošanai un racionalizēt birokrātiju, kas palēnina datu apmaiņas procesus starp publiskās p</w:t>
      </w:r>
      <w:r>
        <w:rPr>
          <w:noProof/>
        </w:rPr>
        <w:t>ārvaldes iestādēm, ieviešot stimulu un pienākumu kopumu, kuru mērķis ir atvieglot pāreju uz mākoņdatošanu un likvidēt procesuālos ierobežojumus digitālo pakalpojumu plašai ieviešanai.</w:t>
      </w:r>
    </w:p>
    <w:p w14:paraId="23FFEA64" w14:textId="77777777" w:rsidR="00C972CB" w:rsidRDefault="002457F6">
      <w:pPr>
        <w:spacing w:before="120" w:after="120"/>
        <w:jc w:val="both"/>
        <w:rPr>
          <w:noProof/>
        </w:rPr>
      </w:pPr>
      <w:r>
        <w:rPr>
          <w:noProof/>
        </w:rPr>
        <w:t xml:space="preserve">Reforma ietver trīs darbības virzienus. Pirmkārt, tā kā mākoņdatošanas risinājumi veicina izmaksu efektivitāti attiecībā uz izdevumiem informācijas un komunikācijas tehnoloģiju (IKT) jomā, pēc iepriekš noteikta labvēlības perioda (piemēram, trīs gadus pēc </w:t>
      </w:r>
      <w:r>
        <w:rPr>
          <w:noProof/>
        </w:rPr>
        <w:t xml:space="preserve">pārveides sākšanas), pārvaldes iestādes, kas nepiekrita mākoņdatošanas pārveidei, paredz ierobežojumus IKT izdevumu budžetā. </w:t>
      </w:r>
    </w:p>
    <w:p w14:paraId="2BCFB9AC" w14:textId="77777777" w:rsidR="00C972CB" w:rsidRDefault="002457F6">
      <w:pPr>
        <w:spacing w:before="120" w:after="120"/>
        <w:jc w:val="both"/>
        <w:rPr>
          <w:noProof/>
        </w:rPr>
      </w:pPr>
      <w:r>
        <w:rPr>
          <w:noProof/>
        </w:rPr>
        <w:t xml:space="preserve">Otrkārt, mākoņdatošanas migrācijas stimulu ietvaros jāpārskata pašreizējie publiskās uzskaites noteikumi attiecībā uz izdevumiem, </w:t>
      </w:r>
      <w:r>
        <w:rPr>
          <w:noProof/>
        </w:rPr>
        <w:t>kas saistīti ar mākoņpakalpojumiem. Ņemot vērā to, ka pāreja uz mākoņdatošanu pašlaik ietver budžeta pārvietošanu no kapitālizdevumiem uz darbības izdevumiem, ir jāpārskata publiskās uzskaites noteikumi attiecībā uz izdevumiem, kas saistīti ar mākoņpakalpo</w:t>
      </w:r>
      <w:r>
        <w:rPr>
          <w:noProof/>
        </w:rPr>
        <w:t>jumiem, lai nekavētu mākoņdatošanas migrāciju valsts pārvaldes iestādēm.</w:t>
      </w:r>
    </w:p>
    <w:p w14:paraId="5B12CFED" w14:textId="77777777" w:rsidR="00C972CB" w:rsidRDefault="002457F6">
      <w:pPr>
        <w:spacing w:before="120" w:after="120"/>
        <w:jc w:val="both"/>
        <w:rPr>
          <w:noProof/>
        </w:rPr>
      </w:pPr>
      <w:r>
        <w:rPr>
          <w:noProof/>
        </w:rPr>
        <w:t>Treškārt, pārskata normas, kas saistītas ar datu sadarbspējas noteikumiem, ievērojot noteikumus par atvērtajiem datiem un personas datu apstrādi, un pašreizējās procedūras datu apmaiņ</w:t>
      </w:r>
      <w:r>
        <w:rPr>
          <w:noProof/>
        </w:rPr>
        <w:t>ai starp publiskās pārvaldes iestādēm vienkāršo, lai racionalizētu procesuālos aspektus un paātrinātu publiskās pārvaldes datubāzu sadarbspējas īstenošanu. Turklāt digitālo domicilu pārskata un integrē valsts rezidentu reģistrā (ANPR), lai nodrošinātu note</w:t>
      </w:r>
      <w:r>
        <w:rPr>
          <w:noProof/>
        </w:rPr>
        <w:t>iktu un drošu digitālo korespondenci starp iedzīvotājiem un valsts pārvaldes iestādēm.</w:t>
      </w:r>
    </w:p>
    <w:p w14:paraId="7BBFAC22" w14:textId="77777777" w:rsidR="00C972CB" w:rsidRDefault="002457F6">
      <w:pPr>
        <w:pStyle w:val="Axistitle"/>
        <w:ind w:left="0"/>
        <w:rPr>
          <w:noProof/>
        </w:rPr>
      </w:pPr>
      <w:r>
        <w:rPr>
          <w:noProof/>
        </w:rPr>
        <w:t>Ass — Tiesiskums</w:t>
      </w:r>
    </w:p>
    <w:p w14:paraId="033B89EB" w14:textId="77777777" w:rsidR="00C972CB" w:rsidRDefault="002457F6">
      <w:pPr>
        <w:pStyle w:val="P68B1DB1-Normal2"/>
        <w:spacing w:before="240" w:after="120"/>
        <w:jc w:val="both"/>
        <w:rPr>
          <w:rFonts w:eastAsiaTheme="minorHAnsi"/>
          <w:noProof/>
        </w:rPr>
      </w:pPr>
      <w:r>
        <w:rPr>
          <w:noProof/>
        </w:rPr>
        <w:t>Reforma — Civiltiesības</w:t>
      </w:r>
    </w:p>
    <w:p w14:paraId="1E26AFB3" w14:textId="069D9F92" w:rsidR="00C972CB" w:rsidRDefault="002457F6">
      <w:pPr>
        <w:spacing w:before="120" w:after="120"/>
        <w:jc w:val="both"/>
        <w:rPr>
          <w:noProof/>
        </w:rPr>
      </w:pPr>
      <w:r>
        <w:rPr>
          <w:noProof/>
        </w:rPr>
        <w:t>Reformas mērķis galvenokārt ir samazināt civilprocesu ilgumu, nosakot plašu darbību klāstu, lai samazinātu ienākošo lietu skaitu</w:t>
      </w:r>
      <w:r>
        <w:rPr>
          <w:noProof/>
        </w:rPr>
        <w:t xml:space="preserve"> tiesās, vienkāršojot esošās procedūras, samazinot neizskatīto lietu skaitu un palielinot tiesu produktivitāti. Ienākošo lietu skaitu tiesās samazina, stiprinot mediāciju, alternatīvu strīdu izšķiršanu un šķīrējtiesu un pārskatot pašreizējo sistēmu, saskaņ</w:t>
      </w:r>
      <w:r>
        <w:rPr>
          <w:noProof/>
        </w:rPr>
        <w:t>ā ar kuru tiek aprēķināta un atgūta maksa par juridiskiem pakalpojumiem. Vienkāršošanu cenšas panākt, stiprinot “filtrēšanas procedūras” pārsūdzības līmenī, paplašinot lietas, kurās tiesnesis vienpersoniski ir kompetents izskatīt lietu, un nodrošinot saist</w:t>
      </w:r>
      <w:r>
        <w:rPr>
          <w:noProof/>
        </w:rPr>
        <w:t>ošu procedūru termiņu faktisku īstenošanu. Augstāku tiesu produktivitāti panāk, izmantojot uzraudzības sistēmu un stimulus, lai panāktu standarta sniegumu visās tiesās. Reformas mērķis ir arī samazināt neizskatīto lietu uzkrāšanos civiltiesās, izmantojot p</w:t>
      </w:r>
      <w:r>
        <w:rPr>
          <w:noProof/>
        </w:rPr>
        <w:t>agaidu darbā pieņemšanas un mērķtiecīgas darbības, tostarp stimulu shēmas, lai samazinātu neizskatīto lietu skaitu.</w:t>
      </w:r>
    </w:p>
    <w:p w14:paraId="4D2F29C4" w14:textId="77777777" w:rsidR="00C972CB" w:rsidRDefault="002457F6">
      <w:pPr>
        <w:pStyle w:val="P68B1DB1-Normal2"/>
        <w:spacing w:before="240" w:after="120"/>
        <w:jc w:val="both"/>
        <w:rPr>
          <w:rFonts w:eastAsiaTheme="minorHAnsi"/>
          <w:noProof/>
        </w:rPr>
      </w:pPr>
      <w:r>
        <w:rPr>
          <w:noProof/>
        </w:rPr>
        <w:t>Reforma — Krimināltiesības</w:t>
      </w:r>
    </w:p>
    <w:p w14:paraId="2562167A" w14:textId="77777777" w:rsidR="00C972CB" w:rsidRDefault="002457F6">
      <w:pPr>
        <w:spacing w:before="120" w:after="120"/>
        <w:jc w:val="both"/>
        <w:rPr>
          <w:noProof/>
        </w:rPr>
      </w:pPr>
      <w:r>
        <w:rPr>
          <w:noProof/>
        </w:rPr>
        <w:t xml:space="preserve">Reformas galvenais mērķis ir samazināt kriminālprocesu ilgumu, nosakot plašu darbību klāstu, vienkāršojot esošās </w:t>
      </w:r>
      <w:r>
        <w:rPr>
          <w:noProof/>
        </w:rPr>
        <w:t>procedūras un palielinot tiesu produktivitāti. Vienkāršošana tiek turpināta, paplašinot vienkāršoto procedūru piemērošanu, paplašinot digitālo tehnoloģiju izmantošanu, nosakot termiņus sākotnējās izmeklēšanas ilgumam, pārskatot paziņošanas sistēmu, lai pad</w:t>
      </w:r>
      <w:r>
        <w:rPr>
          <w:noProof/>
        </w:rPr>
        <w:t xml:space="preserve">arītu to efektīvāku. Augstāka tiesu produktivitāte tiek panākta, izmantojot uzraudzības sistēmu un stimulus standarta darbības veikšanai tiesās. </w:t>
      </w:r>
    </w:p>
    <w:p w14:paraId="3F050ABB" w14:textId="1125F82D" w:rsidR="00C972CB" w:rsidRDefault="002457F6">
      <w:pPr>
        <w:pStyle w:val="P68B1DB1-Normal2"/>
        <w:spacing w:before="240" w:after="120"/>
        <w:jc w:val="both"/>
        <w:rPr>
          <w:rFonts w:eastAsiaTheme="minorHAnsi"/>
          <w:noProof/>
        </w:rPr>
      </w:pPr>
      <w:r>
        <w:rPr>
          <w:noProof/>
        </w:rPr>
        <w:t>Reforma — Maksātnespēja</w:t>
      </w:r>
    </w:p>
    <w:p w14:paraId="3F797B8E" w14:textId="77777777" w:rsidR="00C972CB" w:rsidRDefault="002457F6">
      <w:pPr>
        <w:spacing w:before="120" w:after="120"/>
        <w:jc w:val="both"/>
        <w:rPr>
          <w:noProof/>
        </w:rPr>
      </w:pPr>
      <w:r>
        <w:rPr>
          <w:noProof/>
        </w:rPr>
        <w:t xml:space="preserve">Reformas mērķis ir digitalizēt un uzlabot maksātnespējas procedūras, ieviešot agrīnās </w:t>
      </w:r>
      <w:r>
        <w:rPr>
          <w:noProof/>
        </w:rPr>
        <w:t xml:space="preserve">brīdināšanas mehānismus pirms maksātnespējas, tiesu un pirmstiesas iestāžu specializāciju, lai efektīvāk pārvaldītu visus maksātnespējas procesa posmus, tostarp nodrošinot tiesu un administratīvo iestāžu locekļu apmācību un specializāciju. </w:t>
      </w:r>
    </w:p>
    <w:p w14:paraId="3285C556" w14:textId="77777777" w:rsidR="00C972CB" w:rsidRDefault="002457F6">
      <w:pPr>
        <w:pStyle w:val="P68B1DB1-Normal2"/>
        <w:spacing w:before="240" w:after="120"/>
        <w:jc w:val="both"/>
        <w:rPr>
          <w:rFonts w:eastAsiaTheme="minorHAnsi"/>
          <w:noProof/>
        </w:rPr>
      </w:pPr>
      <w:r>
        <w:rPr>
          <w:noProof/>
        </w:rPr>
        <w:t>Reforma. Nodokļ</w:t>
      </w:r>
      <w:r>
        <w:rPr>
          <w:noProof/>
        </w:rPr>
        <w:t>u tiesas</w:t>
      </w:r>
    </w:p>
    <w:p w14:paraId="50F04A69" w14:textId="77777777" w:rsidR="00C972CB" w:rsidRDefault="002457F6">
      <w:pPr>
        <w:spacing w:before="120" w:after="120"/>
        <w:jc w:val="both"/>
        <w:rPr>
          <w:noProof/>
        </w:rPr>
      </w:pPr>
      <w:r>
        <w:rPr>
          <w:noProof/>
        </w:rPr>
        <w:t xml:space="preserve">Reformas mērķis ir padarīt efektīvāku nodokļu tiesību aktu izpildi un samazināt kasācijas sūdzību lielo skaitu Kasācijas tiesā. </w:t>
      </w:r>
    </w:p>
    <w:p w14:paraId="2D6373A4" w14:textId="77777777" w:rsidR="00C972CB" w:rsidRDefault="002457F6">
      <w:pPr>
        <w:pStyle w:val="P68B1DB1-Normal2"/>
        <w:spacing w:before="240" w:after="120"/>
        <w:jc w:val="both"/>
        <w:rPr>
          <w:rFonts w:eastAsiaTheme="minorHAnsi"/>
          <w:noProof/>
        </w:rPr>
      </w:pPr>
      <w:r>
        <w:rPr>
          <w:noProof/>
        </w:rPr>
        <w:t>Reforma — Tiesu sistēmas digitalizācija</w:t>
      </w:r>
    </w:p>
    <w:p w14:paraId="5B5817B8" w14:textId="77777777" w:rsidR="00C972CB" w:rsidRDefault="002457F6">
      <w:pPr>
        <w:spacing w:before="120" w:after="120"/>
        <w:jc w:val="both"/>
        <w:rPr>
          <w:noProof/>
        </w:rPr>
      </w:pPr>
      <w:r>
        <w:rPr>
          <w:noProof/>
        </w:rPr>
        <w:t>Reforma paredz visu dokumentu obligātu elektronisku iesniegšanu un pilnīgu ele</w:t>
      </w:r>
      <w:r>
        <w:rPr>
          <w:noProof/>
        </w:rPr>
        <w:t>ktronisko darbplūsmu civilprocesos. Tas ir vērsts arī uz pirmās instances kriminālprocesa digitalizāciju, izņemot pirmstiesas lietas izskatīšanu. Visbeidzot, tās mērķis ir saskaņā ar tiesību aktiem ieviest bezmaksas, pilnībā pieejamu un meklējamu civilties</w:t>
      </w:r>
      <w:r>
        <w:rPr>
          <w:noProof/>
        </w:rPr>
        <w:t xml:space="preserve">ību lēmumu datubāzi. </w:t>
      </w:r>
    </w:p>
    <w:p w14:paraId="5D92D013" w14:textId="77777777" w:rsidR="00C972CB" w:rsidRDefault="002457F6">
      <w:pPr>
        <w:pStyle w:val="P68B1DB1-Normal2"/>
        <w:spacing w:before="240" w:after="120"/>
        <w:jc w:val="both"/>
        <w:rPr>
          <w:rFonts w:eastAsiaTheme="minorHAnsi"/>
          <w:noProof/>
        </w:rPr>
      </w:pPr>
      <w:r>
        <w:rPr>
          <w:noProof/>
        </w:rPr>
        <w:t>Ieguldījums 1.8 — Civillietu, krimināllietu un administratīvo tiesu darbā pieņemšanas procedūras</w:t>
      </w:r>
    </w:p>
    <w:p w14:paraId="644547C2" w14:textId="77777777" w:rsidR="00C972CB" w:rsidRDefault="002457F6">
      <w:pPr>
        <w:spacing w:before="120" w:after="120"/>
        <w:jc w:val="both"/>
        <w:rPr>
          <w:noProof/>
        </w:rPr>
      </w:pPr>
      <w:r>
        <w:rPr>
          <w:noProof/>
        </w:rPr>
        <w:t>Investīciju mērķis ir tuvākajā laikā reaģēt uz organizatoriskiem faktoriem, lai izstrādes procesā esošās reformas varētu ātrāk radīt rezu</w:t>
      </w:r>
      <w:r>
        <w:rPr>
          <w:noProof/>
        </w:rPr>
        <w:t xml:space="preserve">ltātus, maksimāli palielinot sinerģiju, vienlaikus panākot pārveidojošas pārmaiņas, izmantojot ārkārtas resursus, kas piešķirti saskaņā ar plānu. </w:t>
      </w:r>
    </w:p>
    <w:p w14:paraId="50DEDC08" w14:textId="5DB75BCC" w:rsidR="00C972CB" w:rsidRDefault="002457F6">
      <w:pPr>
        <w:spacing w:before="120" w:after="120"/>
        <w:jc w:val="both"/>
        <w:rPr>
          <w:noProof/>
        </w:rPr>
      </w:pPr>
      <w:r>
        <w:rPr>
          <w:noProof/>
        </w:rPr>
        <w:t>Organizatoriskais rīks, ko sauc</w:t>
      </w:r>
      <w:r>
        <w:rPr>
          <w:i/>
          <w:noProof/>
        </w:rPr>
        <w:t>par “lietas izskatīšanas biroju</w:t>
      </w:r>
      <w:r>
        <w:rPr>
          <w:noProof/>
        </w:rPr>
        <w:t>”, sastāv no miertiesnešu atbalsta grupu izveid</w:t>
      </w:r>
      <w:r>
        <w:rPr>
          <w:noProof/>
        </w:rPr>
        <w:t xml:space="preserve">ošanas (vai, kur jau ir nostiprinātas) (ar pagaidu pieņemšanu darbā), lai samazinātu neizskatīto lietu uzkrāšanos un nolēmuma pieņemšanas laiku Itālijā. </w:t>
      </w:r>
    </w:p>
    <w:p w14:paraId="13FF3220" w14:textId="665D8149" w:rsidR="00C972CB" w:rsidRDefault="002457F6">
      <w:pPr>
        <w:spacing w:before="120" w:after="120"/>
        <w:jc w:val="both"/>
        <w:rPr>
          <w:noProof/>
        </w:rPr>
      </w:pPr>
      <w:r>
        <w:rPr>
          <w:noProof/>
        </w:rPr>
        <w:t>Šā pasākuma mērķis ir uzlabot tiesiskuma kvalitāti, atbalstot miertiesnešus parastajās studiju, juridi</w:t>
      </w:r>
      <w:r>
        <w:rPr>
          <w:noProof/>
        </w:rPr>
        <w:t xml:space="preserve">skās izpētes, tiesību aktu izstrādes, dokumentu organizācijas darbībās un tādējādi ļaujot tiesnešiem koncentrēties uz sarežģītākiem uzdevumiem. </w:t>
      </w:r>
    </w:p>
    <w:p w14:paraId="7FF02BA9" w14:textId="77777777" w:rsidR="00C972CB" w:rsidRDefault="002457F6">
      <w:pPr>
        <w:spacing w:before="120" w:after="120"/>
        <w:jc w:val="both"/>
        <w:rPr>
          <w:noProof/>
        </w:rPr>
      </w:pPr>
      <w:r>
        <w:rPr>
          <w:noProof/>
        </w:rPr>
        <w:t>Organizatoriskais rīks, ko sauc</w:t>
      </w:r>
      <w:r>
        <w:rPr>
          <w:i/>
          <w:noProof/>
        </w:rPr>
        <w:t>par “lietas izskatīšanas biroju</w:t>
      </w:r>
      <w:r>
        <w:rPr>
          <w:noProof/>
        </w:rPr>
        <w:t>”, sastāv no miertiesnešu atbalsta grupu izveidoš</w:t>
      </w:r>
      <w:r>
        <w:rPr>
          <w:noProof/>
        </w:rPr>
        <w:t xml:space="preserve">anas (vai, kur jau ir nostiprinātas) (ar pagaidu pieņemšanu darbā), lai samazinātu neizskatīto lietu uzkrāšanos un nolēmuma pieņemšanas laiku Itālijā. </w:t>
      </w:r>
    </w:p>
    <w:p w14:paraId="10ABF0BB" w14:textId="5CF52343" w:rsidR="00C972CB" w:rsidRDefault="002457F6">
      <w:pPr>
        <w:spacing w:before="120" w:after="120"/>
        <w:jc w:val="both"/>
        <w:rPr>
          <w:noProof/>
        </w:rPr>
      </w:pPr>
      <w:r>
        <w:rPr>
          <w:noProof/>
        </w:rPr>
        <w:t>Investīcijas ietver arī tāda tehniskā un administratīvā personāla pieņemšanu darbā, kas atbalsta ANP mēr</w:t>
      </w:r>
      <w:r>
        <w:rPr>
          <w:noProof/>
        </w:rPr>
        <w:t>ķu īstenošanu. Tiesas biroja personāls un tehniskais administratīvais personāls atbalsta par ANP īstenošanu atbildīgos Tieslietu ministrijas administratīvos, civiltiesu, krimināltiesu un teritoriālos un centrālos dienestus. Personāla vienības līgumu termiņ</w:t>
      </w:r>
      <w:r>
        <w:rPr>
          <w:noProof/>
        </w:rPr>
        <w:t>š ir 3 gadi, ko var pagarināt līdz 2026. gada 30. jūnijam.</w:t>
      </w:r>
    </w:p>
    <w:p w14:paraId="2F3EF6E6" w14:textId="77777777" w:rsidR="00C972CB" w:rsidRDefault="002457F6">
      <w:pPr>
        <w:spacing w:before="120" w:after="120"/>
        <w:jc w:val="both"/>
        <w:rPr>
          <w:noProof/>
        </w:rPr>
      </w:pPr>
      <w:r>
        <w:rPr>
          <w:noProof/>
        </w:rPr>
        <w:t xml:space="preserve">Investīcijas ietver arī apmācību, lai atbalstītu digitālo pārkārtošanos tiesu sistēmā. </w:t>
      </w:r>
    </w:p>
    <w:p w14:paraId="1D929B8A" w14:textId="77777777" w:rsidR="00C972CB" w:rsidRDefault="002457F6">
      <w:pPr>
        <w:pStyle w:val="Axistitle"/>
        <w:ind w:left="0"/>
        <w:rPr>
          <w:noProof/>
        </w:rPr>
      </w:pPr>
      <w:r>
        <w:rPr>
          <w:noProof/>
        </w:rPr>
        <w:t>Ass — Valsts pārvalde</w:t>
      </w:r>
    </w:p>
    <w:p w14:paraId="1C65C9A3" w14:textId="310A130D" w:rsidR="00C972CB" w:rsidRDefault="002457F6">
      <w:pPr>
        <w:pStyle w:val="P68B1DB1-Normal2"/>
        <w:spacing w:before="240" w:after="120"/>
        <w:jc w:val="both"/>
        <w:rPr>
          <w:rFonts w:eastAsiaTheme="minorHAnsi"/>
          <w:noProof/>
        </w:rPr>
      </w:pPr>
      <w:r>
        <w:rPr>
          <w:noProof/>
        </w:rPr>
        <w:t>Reforma — Valsts nodarbinātības reforma un vienkāršošanas reforma</w:t>
      </w:r>
    </w:p>
    <w:p w14:paraId="07F53727" w14:textId="77777777" w:rsidR="00C972CB" w:rsidRDefault="002457F6">
      <w:pPr>
        <w:keepNext/>
        <w:spacing w:before="120" w:after="120"/>
        <w:jc w:val="both"/>
        <w:rPr>
          <w:rFonts w:eastAsiaTheme="minorHAnsi"/>
          <w:noProof/>
        </w:rPr>
      </w:pPr>
      <w:r>
        <w:rPr>
          <w:noProof/>
        </w:rPr>
        <w:t>Valsts nodarbinātības</w:t>
      </w:r>
      <w:r>
        <w:rPr>
          <w:noProof/>
        </w:rPr>
        <w:t xml:space="preserve"> reformas notiek saskaņā ar divkāršu pieeju. Īstermiņā tiek pieņemti steidzami pasākumi, lai pēc iespējas labāk izmantotu ANM finansējumu attiecībā uz plāna pārvaldību un tūlītēju palīdzību valsts pārvaldes iestādēm, kam trūkst administratīvo spēju. Šī str</w:t>
      </w:r>
      <w:r>
        <w:rPr>
          <w:noProof/>
        </w:rPr>
        <w:t>atēģija ir papildināta ar organizācijas reformām un cilvēkresursu stratēģiju, kuras mērķis ir pārveidojošas pārmaiņas valsts pārvaldē kopumā. Cilvēkresursu stratēģisko plānu definīcijā ir noteikts visaptverošs pasākumu kopums, lai: darba profilu atjaunināš</w:t>
      </w:r>
      <w:r>
        <w:rPr>
          <w:noProof/>
        </w:rPr>
        <w:t xml:space="preserve">ana (arī ņemot vērā divējādo pārkārtošanos); reformēt darbā pieņemšanas procedūras, lai tās būtu mērķtiecīgākas un efektīvākas; reformēt vecāko civildienestu, lai saskaņotu iecelšanas procedūras visā valsts pārvaldē; stiprināt saikni starp mūžizglītību un </w:t>
      </w:r>
      <w:r>
        <w:rPr>
          <w:noProof/>
        </w:rPr>
        <w:t>atalgošanas mehānismiem vai konkrētām karjeras iespējām; noteikt vai atjaunināt valsts pārvaldes ētikas principus; stiprināt apņemšanos nodrošināt dzimumu līdzsvaru; un personāla horizontālās un vertikālās mobilitātes reforma. Reforma ietver steidzamus pas</w:t>
      </w:r>
      <w:r>
        <w:rPr>
          <w:noProof/>
        </w:rPr>
        <w:t>ākumus administratīvo procedūru vienkāršošanai uzņēmumu un iedzīvotāju labā, vienlaikus nodrošinot arī ANP raitu īstenošanu.</w:t>
      </w:r>
    </w:p>
    <w:p w14:paraId="65518AD6" w14:textId="77777777" w:rsidR="00C972CB" w:rsidRDefault="002457F6">
      <w:pPr>
        <w:keepNext/>
        <w:spacing w:before="120" w:after="120"/>
        <w:jc w:val="both"/>
        <w:rPr>
          <w:noProof/>
        </w:rPr>
      </w:pPr>
      <w:r>
        <w:rPr>
          <w:noProof/>
        </w:rPr>
        <w:t>Vienkāršošanas reforma atceļ atļaujas, kas nav pamatotas ar sevišķi svarīgām vispārējām interesēm, kā arī atceļ nevajadzīgus pienāk</w:t>
      </w:r>
      <w:r>
        <w:rPr>
          <w:noProof/>
        </w:rPr>
        <w:t xml:space="preserve">umus vai tos, kas neizmanto jaunas tehnoloģijas. Turklāt tā īsteno klusēšanas mehānisma pieņemšanu, vienkāršas saziņas ieviešanu un vienotu režīmu pieņemšanu, kas kopīgi ar reģioniem un pašvaldībām. </w:t>
      </w:r>
    </w:p>
    <w:p w14:paraId="64B01EC5" w14:textId="77777777" w:rsidR="00C972CB" w:rsidRDefault="002457F6">
      <w:pPr>
        <w:spacing w:before="120" w:after="120"/>
        <w:jc w:val="both"/>
        <w:rPr>
          <w:noProof/>
        </w:rPr>
      </w:pPr>
      <w:r>
        <w:rPr>
          <w:noProof/>
        </w:rPr>
        <w:t xml:space="preserve">Vienkāršošanas reforma ietver šādus elementus: </w:t>
      </w:r>
      <w:r>
        <w:rPr>
          <w:noProof/>
        </w:rPr>
        <w:t xml:space="preserve">uzņēmējdarbības un būvniecības procedūru sadarbspēja (SUAP &amp; SUE); uz rezultātiem orientētu snieguma rādītāju kopīga kopuma īstenošanu; un galveno darbības rādītāju (GDR) kopuma noteikšana, lai virzītu organizatoriskas pārmaiņas administrācijās. Pēc pirmā </w:t>
      </w:r>
      <w:r>
        <w:rPr>
          <w:noProof/>
        </w:rPr>
        <w:t>ziņojuma par GDR publicēšanas reizi sešos mēnešos publicē turpmākos ziņojumus.</w:t>
      </w:r>
    </w:p>
    <w:p w14:paraId="60C13F4D" w14:textId="32CC5A47" w:rsidR="00C972CB" w:rsidRDefault="002457F6">
      <w:pPr>
        <w:spacing w:before="120" w:after="120"/>
        <w:jc w:val="both"/>
        <w:rPr>
          <w:noProof/>
        </w:rPr>
      </w:pPr>
      <w:r>
        <w:rPr>
          <w:noProof/>
        </w:rPr>
        <w:t xml:space="preserve">Līdz pirmā maksājuma pieprasījuma iesniegšanas brīdim ir ieviesta un darbojas repozitorija sistēma ANM īstenošanas uzraudzībai. </w:t>
      </w:r>
    </w:p>
    <w:p w14:paraId="6F2A2E33" w14:textId="6EED7E6E" w:rsidR="00C972CB" w:rsidRDefault="002457F6">
      <w:pPr>
        <w:pStyle w:val="P68B1DB1-Normal2"/>
        <w:spacing w:before="120" w:after="120"/>
        <w:jc w:val="both"/>
        <w:rPr>
          <w:noProof/>
        </w:rPr>
      </w:pPr>
      <w:r>
        <w:rPr>
          <w:noProof/>
        </w:rPr>
        <w:t>Reforma — Reforma kohēzijas politikas īstenošana</w:t>
      </w:r>
      <w:r>
        <w:rPr>
          <w:noProof/>
        </w:rPr>
        <w:t>s paātrināšanai</w:t>
      </w:r>
    </w:p>
    <w:p w14:paraId="403B5616" w14:textId="77777777" w:rsidR="00C972CB" w:rsidRDefault="002457F6">
      <w:pPr>
        <w:spacing w:before="120" w:after="120"/>
        <w:jc w:val="both"/>
        <w:rPr>
          <w:noProof/>
        </w:rPr>
      </w:pPr>
      <w:r>
        <w:rPr>
          <w:noProof/>
        </w:rPr>
        <w:t>Reformas mērķis ir paātrināt kohēzijas politikas īstenošanu un efektivitāti, papildinot nacionālo atveseļošanas un noturības plānu. Tajā ņem vērā vienotās speciālās ekonomiskās zonas stratēģisko plānu.</w:t>
      </w:r>
    </w:p>
    <w:p w14:paraId="3F6251B3" w14:textId="77777777" w:rsidR="00C972CB" w:rsidRDefault="002457F6">
      <w:pPr>
        <w:spacing w:before="120" w:after="120"/>
        <w:jc w:val="both"/>
        <w:rPr>
          <w:noProof/>
        </w:rPr>
      </w:pPr>
      <w:r>
        <w:rPr>
          <w:rStyle w:val="s10"/>
          <w:noProof/>
          <w:color w:val="000000" w:themeColor="text1"/>
        </w:rPr>
        <w:t xml:space="preserve">Valsts </w:t>
      </w:r>
      <w:r>
        <w:rPr>
          <w:noProof/>
        </w:rPr>
        <w:t xml:space="preserve"> </w:t>
      </w:r>
      <w:r>
        <w:rPr>
          <w:rStyle w:val="s10"/>
          <w:noProof/>
          <w:color w:val="000000" w:themeColor="text1"/>
        </w:rPr>
        <w:t>tiesību aktos ir prasīts Vieno</w:t>
      </w:r>
      <w:r>
        <w:rPr>
          <w:rStyle w:val="s10"/>
          <w:noProof/>
          <w:color w:val="000000" w:themeColor="text1"/>
        </w:rPr>
        <w:t xml:space="preserve">tās konferences atzinums pirms tās pārveidošanas par likumu, kā paredzēts Likumdošanas dekrētā Nr. 281/1997. </w:t>
      </w:r>
    </w:p>
    <w:p w14:paraId="39E51359" w14:textId="77777777" w:rsidR="00C972CB" w:rsidRDefault="002457F6">
      <w:pPr>
        <w:spacing w:before="120" w:after="120"/>
        <w:jc w:val="both"/>
        <w:rPr>
          <w:noProof/>
        </w:rPr>
      </w:pPr>
      <w:r>
        <w:rPr>
          <w:noProof/>
        </w:rPr>
        <w:t xml:space="preserve">Kā paredzēts Regulas (ES) 2021/241 9. pantā, reformai var piešķirt atbalstu no citām Savienības programmām un instrumentiem ar noteikumu, ka šāds </w:t>
      </w:r>
      <w:r>
        <w:rPr>
          <w:noProof/>
        </w:rPr>
        <w:t>atbalsts nesedz tās pašas izmaksas. ANM nesedz nekādas reformas izmaksas.</w:t>
      </w:r>
    </w:p>
    <w:p w14:paraId="70A6502D" w14:textId="77777777" w:rsidR="00C972CB" w:rsidRDefault="002457F6">
      <w:pPr>
        <w:pStyle w:val="P68B1DB1-Normal2"/>
        <w:spacing w:before="240" w:after="120"/>
        <w:jc w:val="both"/>
        <w:rPr>
          <w:rFonts w:eastAsiaTheme="minorHAnsi"/>
          <w:noProof/>
        </w:rPr>
      </w:pPr>
      <w:r>
        <w:rPr>
          <w:noProof/>
        </w:rPr>
        <w:t>Investīcijas 1.9 — sniegt tehnisko palīdzību un stiprināt spēju veidošanu Itālijas atveseļošanas un noturības plāna īstenošanai</w:t>
      </w:r>
    </w:p>
    <w:p w14:paraId="375EBB12" w14:textId="77777777" w:rsidR="00C972CB" w:rsidRDefault="002457F6">
      <w:pPr>
        <w:spacing w:before="120" w:after="120"/>
        <w:jc w:val="both"/>
        <w:rPr>
          <w:noProof/>
        </w:rPr>
      </w:pPr>
      <w:r>
        <w:rPr>
          <w:noProof/>
        </w:rPr>
        <w:t>Investīcijas ietver ekspertu rezerves pagaidu pieņemša</w:t>
      </w:r>
      <w:r>
        <w:rPr>
          <w:noProof/>
        </w:rPr>
        <w:t>nu darbā, lai sniegtu tehnisko palīdzību administrācijām un stiprinātu administratīvās spējas, jo īpaši vietējā līmenī, konkrētu ANP projektu īstenošanai, kurus paredzēts izvērst pēc vajadzības. Šis ieguldījums ietver arī publiskā sektora darbinieku apmācī</w:t>
      </w:r>
      <w:r>
        <w:rPr>
          <w:noProof/>
        </w:rPr>
        <w:t xml:space="preserve">bas programmas spēju veidošanas stiprināšanas jomā. </w:t>
      </w:r>
    </w:p>
    <w:p w14:paraId="483B6A98" w14:textId="77777777" w:rsidR="00C972CB" w:rsidRDefault="002457F6">
      <w:pPr>
        <w:pStyle w:val="Axistitle"/>
        <w:ind w:left="0"/>
        <w:rPr>
          <w:noProof/>
        </w:rPr>
      </w:pPr>
      <w:r>
        <w:rPr>
          <w:noProof/>
        </w:rPr>
        <w:t>Ass. Publiskais iepirkums un valsts pārvaldes iestāžu maksājumi</w:t>
      </w:r>
    </w:p>
    <w:p w14:paraId="2A7526E1" w14:textId="3404BC80" w:rsidR="00C972CB" w:rsidRDefault="002457F6">
      <w:pPr>
        <w:pStyle w:val="P68B1DB1-Normal2"/>
        <w:spacing w:before="240" w:after="120"/>
        <w:jc w:val="both"/>
        <w:rPr>
          <w:rFonts w:eastAsiaTheme="minorHAnsi"/>
          <w:noProof/>
        </w:rPr>
      </w:pPr>
      <w:r>
        <w:rPr>
          <w:noProof/>
        </w:rPr>
        <w:t>Reforma — Publiskā iepirkuma tiesiskā regulējuma reforma</w:t>
      </w:r>
    </w:p>
    <w:p w14:paraId="6B616186" w14:textId="77777777" w:rsidR="00C972CB" w:rsidRDefault="002457F6">
      <w:pPr>
        <w:spacing w:before="120" w:after="120"/>
        <w:jc w:val="both"/>
        <w:rPr>
          <w:noProof/>
        </w:rPr>
      </w:pPr>
      <w:r>
        <w:rPr>
          <w:noProof/>
        </w:rPr>
        <w:t>Šīs reformas pirmais solis ir līdz 2021. gada maijam pieņemt pirmo steidzamu vienk</w:t>
      </w:r>
      <w:r>
        <w:rPr>
          <w:noProof/>
        </w:rPr>
        <w:t>āršošanas pasākumu kopumu ar likumu-dekrētu, lai: vienkāršot un digitalizēt centralizēto iepirkumu struktūru procedūras; reģistrēt līgumus valsts korupcijas apkarošanas iestādes (ANAC) korupcijas apkarošanas datubāzē; izveidot īpašus birojus, kas atbild pa</w:t>
      </w:r>
      <w:r>
        <w:rPr>
          <w:noProof/>
        </w:rPr>
        <w:t xml:space="preserve">r publiskā iepirkuma procedūrām ministrijās, reģionos un lielpilsētu pilsētās; nosakot mērķi samazināt laiku starp publicēšanu un līguma slēgšanas tiesību piešķiršanu un starp līguma slēgšanas tiesību piešķiršanu un infrastruktūras pabeigšanu; un stimulēt </w:t>
      </w:r>
      <w:r>
        <w:rPr>
          <w:noProof/>
        </w:rPr>
        <w:t>alternatīvus strīdu izšķiršanas mehānismus līgumu izpildes posmā. Līdz 2021. gada beigām publiskā iepirkuma politikas vienotajai koordinācijas struktūrai ir pietiekams darbinieku skaits un tā pieņem profesionalizācijas stratēģiju, kas nodrošina apmācību da</w:t>
      </w:r>
      <w:r>
        <w:rPr>
          <w:noProof/>
        </w:rPr>
        <w:t>žādos līmeņos; dinamiskās iepirkumu sistēmas dara pieejamas saskaņā ar publiskā iepirkuma direktīvām; un ANAC pabeidz līgumslēdzēju iestāžu kvalifikācijas izpildi.</w:t>
      </w:r>
    </w:p>
    <w:p w14:paraId="11E73F14" w14:textId="77777777" w:rsidR="00C972CB" w:rsidRDefault="002457F6">
      <w:pPr>
        <w:spacing w:before="120" w:after="120"/>
        <w:jc w:val="both"/>
        <w:rPr>
          <w:noProof/>
        </w:rPr>
      </w:pPr>
      <w:r>
        <w:rPr>
          <w:noProof/>
        </w:rPr>
        <w:t>Šīs reformas otrais posms ir vairāki grozījumi Publiskā iepirkuma kodeksā, kas jāīsteno līdz</w:t>
      </w:r>
      <w:r>
        <w:rPr>
          <w:noProof/>
        </w:rPr>
        <w:t xml:space="preserve"> 2023. gada otrajam ceturksnim un kuru mērķis ir: līgumslēdzēju iestāžu sadrumstalotības mazināšana; prasība noteikt e-platformu kā pamatprasību, lai piedalītos valsts mēroga iepirkuma spēju novērtēšanā; un pilnvarot valsts korupcijas apkarošanas iestādi p</w:t>
      </w:r>
      <w:r>
        <w:rPr>
          <w:noProof/>
        </w:rPr>
        <w:t>ārskatīt līgumslēdzēju iestāžu kvalifikāciju. Reformas darbības joma ir arī turpināt vienkāršot un digitalizēt centralizēto iepirkumu struktūru procedūras un noteikt sadarbspējas un savienojamības prasības. Reforma arī samazina ierobežojumus attiecībā uz i</w:t>
      </w:r>
      <w:r>
        <w:rPr>
          <w:noProof/>
        </w:rPr>
        <w:t>espēju slēgt apakšuzņēmuma līgumus, kas pašlaik ir ietverti Publisko iepirkumu kodeksā.</w:t>
      </w:r>
    </w:p>
    <w:p w14:paraId="6F6B9D3B" w14:textId="3607E315" w:rsidR="00C972CB" w:rsidRDefault="002457F6">
      <w:pPr>
        <w:spacing w:before="120" w:after="120"/>
        <w:jc w:val="both"/>
        <w:rPr>
          <w:noProof/>
        </w:rPr>
      </w:pPr>
      <w:r>
        <w:rPr>
          <w:noProof/>
        </w:rPr>
        <w:t>Šī reforma ietver arī valsts e-iepirkuma sistēmas darbības nodrošināšanu līdz 2023. gada beigām un mērķtiecīgu darbību ieviešanu, tostarp pieņemot primāros un/vai sekun</w:t>
      </w:r>
      <w:r>
        <w:rPr>
          <w:noProof/>
        </w:rPr>
        <w:t>dāros tiesību aktus, lai vēl vairāk uzlabotu līgumslēdzēju iestāžu kvalifikāciju un profesionalizāciju un palielinātu konkurenci (piemēram, grozot piemērojamos noteikumus par projektu finansēšanu).</w:t>
      </w:r>
    </w:p>
    <w:p w14:paraId="0E7BDEC4" w14:textId="659F5EF7" w:rsidR="00C972CB" w:rsidRDefault="002457F6">
      <w:pPr>
        <w:pStyle w:val="P68B1DB1-Normal2"/>
        <w:spacing w:before="240" w:after="120"/>
        <w:jc w:val="both"/>
        <w:rPr>
          <w:rFonts w:eastAsiaTheme="minorEastAsia"/>
          <w:noProof/>
        </w:rPr>
      </w:pPr>
      <w:r>
        <w:rPr>
          <w:noProof/>
        </w:rPr>
        <w:t>Reforma — Valsts pārvaldes iestāžu un veselības aizsardzīb</w:t>
      </w:r>
      <w:r>
        <w:rPr>
          <w:noProof/>
        </w:rPr>
        <w:t>as iestāžu kavēto maksājumu samazināšana</w:t>
      </w:r>
    </w:p>
    <w:p w14:paraId="2BD7ADC0" w14:textId="3AC24DEE" w:rsidR="00C972CB" w:rsidRDefault="002457F6">
      <w:pPr>
        <w:spacing w:before="240" w:after="120"/>
        <w:jc w:val="both"/>
        <w:rPr>
          <w:rFonts w:eastAsiaTheme="minorEastAsia"/>
          <w:b/>
          <w:noProof/>
        </w:rPr>
      </w:pPr>
      <w:r>
        <w:rPr>
          <w:noProof/>
        </w:rPr>
        <w:t>Reformas mērķis ir samazināt maksājumu kavējumus un nepieļaut maksājumu kavējumus no valsts pārvaldes līdz uzņēmumiem. Reforma no 2024. gada ietver strukturālas paketes pieņemšanu ar darbībām gan centrālā, gan vietē</w:t>
      </w:r>
      <w:r>
        <w:rPr>
          <w:noProof/>
        </w:rPr>
        <w:t>jā līmenī, tostarp tiesību aktu stāšanos spēkā.</w:t>
      </w:r>
    </w:p>
    <w:p w14:paraId="411DC245" w14:textId="2CD75636" w:rsidR="00C972CB" w:rsidRDefault="002457F6">
      <w:pPr>
        <w:ind w:firstLine="11"/>
        <w:jc w:val="both"/>
        <w:rPr>
          <w:noProof/>
        </w:rPr>
      </w:pPr>
      <w:r>
        <w:rPr>
          <w:noProof/>
        </w:rPr>
        <w:t>Šīs reformas mērķis ir nodrošināt, ka līdz 2025. gadam i) publiskās pārvaldes iestādes centrālā, reģionālā un vietējā līmenī maksā 30 dienu laikā un ii) reģionālās veselības iestādes maksā 60 dienu laikā. Lai</w:t>
      </w:r>
      <w:r>
        <w:rPr>
          <w:noProof/>
        </w:rPr>
        <w:t xml:space="preserve"> nodrošinātu, ka maksājumu kavējumu problēma tiek strukturāli atrisināta, šīs reformas mērķis ir arī nodrošināt, ka 2026. gadā i) valsts pārvaldes iestādes centrālā, reģionālā un vietējā līmenī turpina maksāt 30 dienu laikā un ii) reģionālās veselības iest</w:t>
      </w:r>
      <w:r>
        <w:rPr>
          <w:noProof/>
        </w:rPr>
        <w:t>ādes turpina maksāt 60 dienu laikā.</w:t>
      </w:r>
    </w:p>
    <w:p w14:paraId="2DB2AC55" w14:textId="77777777" w:rsidR="00C972CB" w:rsidRDefault="002457F6">
      <w:pPr>
        <w:pStyle w:val="Axistitle"/>
        <w:ind w:left="0"/>
        <w:rPr>
          <w:noProof/>
        </w:rPr>
      </w:pPr>
      <w:r>
        <w:rPr>
          <w:noProof/>
        </w:rPr>
        <w:t>Ass. Fiskālās strukturālās reformas (Nodokļi un publiskie izdevumi)</w:t>
      </w:r>
    </w:p>
    <w:p w14:paraId="3A89F57F" w14:textId="77777777" w:rsidR="00C972CB" w:rsidRDefault="002457F6">
      <w:pPr>
        <w:pStyle w:val="P68B1DB1-Normal2"/>
        <w:spacing w:before="240" w:after="120"/>
        <w:jc w:val="both"/>
        <w:rPr>
          <w:rFonts w:eastAsiaTheme="minorHAnsi"/>
          <w:noProof/>
        </w:rPr>
      </w:pPr>
      <w:r>
        <w:rPr>
          <w:noProof/>
        </w:rPr>
        <w:t>Reforma — Nodokļu administrācijas reforma</w:t>
      </w:r>
    </w:p>
    <w:p w14:paraId="599BE0F4" w14:textId="0247CC81" w:rsidR="00C972CB" w:rsidRDefault="002457F6">
      <w:pPr>
        <w:jc w:val="both"/>
        <w:rPr>
          <w:noProof/>
        </w:rPr>
      </w:pPr>
      <w:r>
        <w:rPr>
          <w:noProof/>
        </w:rPr>
        <w:t>Lai veicinātu nodokļu saistību izpildi un uzlabotu revīziju un kontroles mērķtiecību efektivitāti, pieņem vair</w:t>
      </w:r>
      <w:r>
        <w:rPr>
          <w:noProof/>
        </w:rPr>
        <w:t>ākus pasākumus, tostarp: datubāzes un īpašas IT infrastruktūras izveide, lai iesniegtu iepriekš aizpildītu PVN nodokļa deklarāciju; uzlabot “atbilstības vēstulēm” izmantotās datubāzes kvalitāti, tostarp, lai samazinātu viltus pozitīvu gadījumu skaitu, pakā</w:t>
      </w:r>
      <w:r>
        <w:rPr>
          <w:noProof/>
        </w:rPr>
        <w:t>peniski palielinot nodokļu maksātājiem nosūtīto paziņojumu skaitu; spēkā esošo tiesību aktu reforma, lai nodrošinātu efektīvas administratīvās sankcijas gadījumos, kad privātie pakalpojumu sniedzēji atsakās pieņemt elektroniskos maksājumus; datu pseidonimi</w:t>
      </w:r>
      <w:r>
        <w:rPr>
          <w:noProof/>
        </w:rPr>
        <w:t>zācijas un lielo datu analīzes procesa pabeigšana, lai palielinātu revīzijas atlases procesa pamatā esošās riska analīzes efektivitāti. Lai īstenotu šīs reformas un stiprinātu Ieņēmumu aģentūras darbības spējas, tās personālu palielina par 4113 vienībām sa</w:t>
      </w:r>
      <w:r>
        <w:rPr>
          <w:noProof/>
        </w:rPr>
        <w:t>skaņā ar Aģentūras darbības uzlabošanas plānu 2021.–2023. gadam. Turklāt valdība pārskata iespējamos pasākumus, lai samazinātu izvairīšanos no nodokļu maksāšanas saistībā ar rēķinu izrakstīšanu visvairāk skartajās nozarēs, tostarp izmantojot mērķtiecīgus s</w:t>
      </w:r>
      <w:r>
        <w:rPr>
          <w:noProof/>
        </w:rPr>
        <w:t>timulus patērētājiem, un veiks efektīvus pasākumus, pamatojoties uz pārskatīšanas konstatējumiem, ar vērienīgu apņemšanos samazināt vēlmi izvairīties no nodokļu maksāšanas.</w:t>
      </w:r>
    </w:p>
    <w:p w14:paraId="4C11C5FC" w14:textId="77777777" w:rsidR="00C972CB" w:rsidRDefault="002457F6">
      <w:pPr>
        <w:pStyle w:val="P68B1DB1-Normal2"/>
        <w:spacing w:before="240" w:after="120"/>
        <w:jc w:val="both"/>
        <w:rPr>
          <w:rFonts w:eastAsiaTheme="minorHAnsi"/>
          <w:noProof/>
        </w:rPr>
      </w:pPr>
      <w:r>
        <w:rPr>
          <w:noProof/>
        </w:rPr>
        <w:t>Reforma. Izdevumu pārskatīšanas sistēmas reforma</w:t>
      </w:r>
    </w:p>
    <w:p w14:paraId="60E52A1D" w14:textId="74FA0FAB" w:rsidR="00C972CB" w:rsidRDefault="002457F6">
      <w:pPr>
        <w:jc w:val="both"/>
        <w:rPr>
          <w:noProof/>
        </w:rPr>
      </w:pPr>
      <w:r>
        <w:rPr>
          <w:noProof/>
        </w:rPr>
        <w:t>Plānā ir iekļauta izdevumu pārskat</w:t>
      </w:r>
      <w:r>
        <w:rPr>
          <w:noProof/>
        </w:rPr>
        <w:t>īšanas satvara reforma, kuras mērķis ir uzlabot tās efektivitāti, tostarp stiprinot Finanšu ministrijas lomu un ex post novērtēšanas procesu un uzlabojot praksi attiecībā uz zaļo un dzimumu līdztiesības principa ievērošanu budžeta plānošanā. Plānā ir iekļa</w:t>
      </w:r>
      <w:r>
        <w:rPr>
          <w:noProof/>
        </w:rPr>
        <w:t>uta arī apņemšanās, pamatojoties uz spēkā esošo tiesisko regulējumu, 2023.–2025. gada periodā veikt ikgadēju izdevumu pārskatīšanu, lai panāktu fiskālos ietaupījumus nolūkā atbalstīt ilgtspējīgas publiskās finanses un/vai finansēt izaugsmi veicinošas nodok</w:t>
      </w:r>
      <w:r>
        <w:rPr>
          <w:noProof/>
        </w:rPr>
        <w:t>ļu vai publisko izdevumu reformas.</w:t>
      </w:r>
    </w:p>
    <w:p w14:paraId="528D8502" w14:textId="77777777" w:rsidR="00C972CB" w:rsidRDefault="002457F6">
      <w:pPr>
        <w:pStyle w:val="P68B1DB1-Normal2"/>
        <w:spacing w:before="240" w:after="120"/>
        <w:jc w:val="both"/>
        <w:rPr>
          <w:rFonts w:eastAsiaTheme="minorEastAsia"/>
          <w:noProof/>
        </w:rPr>
      </w:pPr>
      <w:r>
        <w:rPr>
          <w:noProof/>
        </w:rPr>
        <w:t>Reforma — vietējā un reģionālā līmeņa fiskālās sistēmas reforma</w:t>
      </w:r>
    </w:p>
    <w:p w14:paraId="1A347BD7" w14:textId="77777777" w:rsidR="00C972CB" w:rsidRDefault="002457F6">
      <w:pPr>
        <w:jc w:val="both"/>
        <w:rPr>
          <w:noProof/>
        </w:rPr>
      </w:pPr>
      <w:r>
        <w:rPr>
          <w:noProof/>
        </w:rPr>
        <w:t>Reforma ietver fiskālā federālisma pabeigšanu, kā paredzēts Delegācijas likumā Nr. 42/2009, lai uzlabotu fiskālo attiecību pārredzamību dažādos pārvaldes līm</w:t>
      </w:r>
      <w:r>
        <w:rPr>
          <w:noProof/>
        </w:rPr>
        <w:t xml:space="preserve">eņos, piešķirtu resursus vietējām un reģionālajām pašvaldībām, pamatojoties uz objektīviem kritērijiem, un veicinātu izdevumu efektivitāti vietējā un reģionālajā līmenī. Reforma jo īpaši nosaka attiecīgos parametrus un īsteno fiskālo federālismu reģioniem </w:t>
      </w:r>
      <w:r>
        <w:rPr>
          <w:noProof/>
        </w:rPr>
        <w:t>ar parasto statusu, provincēm un lielpilsētām.</w:t>
      </w:r>
    </w:p>
    <w:p w14:paraId="6A7F9FF9" w14:textId="77777777" w:rsidR="00C972CB" w:rsidRDefault="002457F6">
      <w:pPr>
        <w:pStyle w:val="P68B1DB1-Normal2"/>
        <w:spacing w:before="240" w:after="120"/>
        <w:jc w:val="both"/>
        <w:rPr>
          <w:rFonts w:eastAsiaTheme="minorHAnsi"/>
          <w:noProof/>
        </w:rPr>
      </w:pPr>
      <w:r>
        <w:rPr>
          <w:noProof/>
        </w:rPr>
        <w:t>Reforma — Publiskās uzskaites noteikumu reforma</w:t>
      </w:r>
    </w:p>
    <w:p w14:paraId="3D290E7D" w14:textId="77777777" w:rsidR="00C972CB" w:rsidRDefault="002457F6">
      <w:pPr>
        <w:jc w:val="both"/>
        <w:rPr>
          <w:rFonts w:eastAsiaTheme="minorHAnsi"/>
          <w:noProof/>
        </w:rPr>
      </w:pPr>
      <w:r>
        <w:rPr>
          <w:noProof/>
        </w:rPr>
        <w:t xml:space="preserve">Reformas mērķis ir novērst neatbilstību Eiropas grāmatvedības standartiem, ieviešot vienotu uzkrājumu grāmatvedības sistēmu publiskajam sektoram. Reformas </w:t>
      </w:r>
      <w:r>
        <w:rPr>
          <w:noProof/>
        </w:rPr>
        <w:t>rezultātā tiks pabeigts konceptuālais satvars kā atsauce uzkrājumu grāmatvedības sistēmai saskaņā ar Eurostat definētajām kvalitatīvajām iezīmēm, uzkrājumu grāmatvedības standartu kopumu un daudzdimensionālo kontu plānu. Reformu papildina pirmā mācību kārt</w:t>
      </w:r>
      <w:r>
        <w:rPr>
          <w:noProof/>
        </w:rPr>
        <w:t>a pārejai uz jauno uzkrājumu grāmatvedības sistēmu 18,000 valsts iestāžu pārstāvjiem.</w:t>
      </w:r>
    </w:p>
    <w:p w14:paraId="6B1DB4FD" w14:textId="1DA37C5D" w:rsidR="00C972CB" w:rsidRDefault="002457F6">
      <w:pPr>
        <w:pStyle w:val="P68B1DB1-Normal2"/>
        <w:spacing w:before="120" w:after="120"/>
        <w:jc w:val="both"/>
        <w:rPr>
          <w:rFonts w:eastAsiaTheme="minorEastAsia"/>
          <w:noProof/>
        </w:rPr>
      </w:pPr>
      <w:r>
        <w:rPr>
          <w:noProof/>
        </w:rPr>
        <w:t xml:space="preserve">Ieguldījums 1.10 — Atbalsts kvalifikācijai un e-iepirkums </w:t>
      </w:r>
    </w:p>
    <w:p w14:paraId="6DB5371B" w14:textId="77777777" w:rsidR="00C972CB" w:rsidRDefault="002457F6">
      <w:pPr>
        <w:spacing w:before="120" w:after="120"/>
        <w:jc w:val="both"/>
        <w:rPr>
          <w:noProof/>
        </w:rPr>
      </w:pPr>
      <w:r>
        <w:rPr>
          <w:noProof/>
        </w:rPr>
        <w:t>Ar šo ieguldījumu Publisko pircēju profesionalizācijas stratēģijas ietvaros izveido iepirkuma atbalsta funkciju</w:t>
      </w:r>
      <w:r>
        <w:rPr>
          <w:noProof/>
        </w:rPr>
        <w:t>, kas paredzēta līgumslēdzējām iestādēm, lai izpildītu Publiskā iepirkuma kodeksa II.4. pielikuma prasības un atbalstītu tās e-iepirkuma procesā, atbalstot digitālo prasmju apguvi un sniedzot tehnisko atbalstu publiskā iepirkuma digitalizācijas pieņemšanā,</w:t>
      </w:r>
      <w:r>
        <w:rPr>
          <w:noProof/>
        </w:rPr>
        <w:t xml:space="preserve"> tostarp dinamisko iepirkumu sistēmu izmantošanā.</w:t>
      </w:r>
    </w:p>
    <w:p w14:paraId="5C1007E9" w14:textId="77777777" w:rsidR="00C972CB" w:rsidRDefault="00C972CB">
      <w:pPr>
        <w:spacing w:before="120" w:after="120"/>
        <w:jc w:val="both"/>
        <w:rPr>
          <w:rFonts w:eastAsiaTheme="minorHAnsi"/>
          <w:noProof/>
        </w:rPr>
        <w:sectPr w:rsidR="00C972CB" w:rsidSect="00347549">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6E0C4E48" w14:textId="77777777" w:rsidR="00C972CB" w:rsidRDefault="002457F6">
      <w:pPr>
        <w:pStyle w:val="Heading3"/>
        <w:numPr>
          <w:ilvl w:val="0"/>
          <w:numId w:val="0"/>
        </w:numPr>
        <w:ind w:left="850" w:hanging="850"/>
        <w:rPr>
          <w:b/>
          <w:i w:val="0"/>
          <w:noProof/>
          <w:u w:val="single"/>
        </w:rPr>
      </w:pPr>
      <w:r>
        <w:rPr>
          <w:b/>
          <w:i w:val="0"/>
          <w:noProof/>
          <w:u w:val="single"/>
        </w:rPr>
        <w:t xml:space="preserve">A.2. </w:t>
      </w:r>
      <w:r>
        <w:rPr>
          <w:noProof/>
        </w:rPr>
        <w:tab/>
      </w:r>
      <w:r>
        <w:rPr>
          <w:b/>
          <w:i w:val="0"/>
          <w:noProof/>
          <w:u w:val="single"/>
        </w:rPr>
        <w:t>Atskaites punkti, mērķrādītāji, citi rādītāji un neatmaksājamā finansiālā atbalsta uzraudzības un īstenošanas grafiks</w:t>
      </w:r>
    </w:p>
    <w:tbl>
      <w:tblPr>
        <w:tblW w:w="15361"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701"/>
        <w:gridCol w:w="1134"/>
        <w:gridCol w:w="1417"/>
        <w:gridCol w:w="1276"/>
        <w:gridCol w:w="850"/>
        <w:gridCol w:w="709"/>
        <w:gridCol w:w="2835"/>
      </w:tblGrid>
      <w:tr w:rsidR="00C972CB" w14:paraId="4246D432" w14:textId="77777777">
        <w:trPr>
          <w:trHeight w:val="765"/>
          <w:tblHeader/>
        </w:trPr>
        <w:tc>
          <w:tcPr>
            <w:tcW w:w="1253" w:type="dxa"/>
            <w:vMerge w:val="restart"/>
            <w:shd w:val="clear" w:color="auto" w:fill="BDD7EE"/>
            <w:vAlign w:val="center"/>
            <w:hideMark/>
          </w:tcPr>
          <w:p w14:paraId="69241BC9" w14:textId="77777777" w:rsidR="00C972CB" w:rsidRDefault="002457F6">
            <w:pPr>
              <w:pStyle w:val="P68B1DB1-Normal3"/>
              <w:jc w:val="center"/>
              <w:rPr>
                <w:noProof/>
              </w:rPr>
            </w:pPr>
            <w:r>
              <w:rPr>
                <w:noProof/>
              </w:rPr>
              <w:t>Kārtas numurs</w:t>
            </w:r>
          </w:p>
        </w:tc>
        <w:tc>
          <w:tcPr>
            <w:tcW w:w="1568" w:type="dxa"/>
            <w:vMerge w:val="restart"/>
            <w:shd w:val="clear" w:color="auto" w:fill="BDD7EE"/>
            <w:vAlign w:val="center"/>
            <w:hideMark/>
          </w:tcPr>
          <w:p w14:paraId="294AE322" w14:textId="77777777" w:rsidR="00C972CB" w:rsidRDefault="002457F6">
            <w:pPr>
              <w:pStyle w:val="P68B1DB1-Normal3"/>
              <w:jc w:val="center"/>
              <w:rPr>
                <w:noProof/>
              </w:rPr>
            </w:pPr>
            <w:r>
              <w:rPr>
                <w:noProof/>
              </w:rPr>
              <w:t>Pasākums (reforma</w:t>
            </w:r>
            <w:r>
              <w:rPr>
                <w:noProof/>
              </w:rPr>
              <w:t xml:space="preserve"> vai investīcija)</w:t>
            </w:r>
          </w:p>
        </w:tc>
        <w:tc>
          <w:tcPr>
            <w:tcW w:w="1148" w:type="dxa"/>
            <w:vMerge w:val="restart"/>
            <w:shd w:val="clear" w:color="auto" w:fill="BDD7EE"/>
            <w:vAlign w:val="center"/>
            <w:hideMark/>
          </w:tcPr>
          <w:p w14:paraId="38F86585" w14:textId="77777777" w:rsidR="00C972CB" w:rsidRDefault="002457F6">
            <w:pPr>
              <w:pStyle w:val="P68B1DB1-Normal3"/>
              <w:jc w:val="center"/>
              <w:rPr>
                <w:noProof/>
              </w:rPr>
            </w:pPr>
            <w:r>
              <w:rPr>
                <w:noProof/>
              </w:rPr>
              <w:t>Starpposma mērķis</w:t>
            </w:r>
          </w:p>
          <w:p w14:paraId="2C5B74D0" w14:textId="77777777" w:rsidR="00C972CB" w:rsidRDefault="002457F6">
            <w:pPr>
              <w:pStyle w:val="P68B1DB1-Normal3"/>
              <w:jc w:val="center"/>
              <w:rPr>
                <w:noProof/>
              </w:rPr>
            </w:pPr>
            <w:r>
              <w:rPr>
                <w:noProof/>
              </w:rPr>
              <w:t>/Mērķis</w:t>
            </w:r>
          </w:p>
        </w:tc>
        <w:tc>
          <w:tcPr>
            <w:tcW w:w="1470" w:type="dxa"/>
            <w:vMerge w:val="restart"/>
            <w:shd w:val="clear" w:color="auto" w:fill="BDD7EE"/>
            <w:vAlign w:val="center"/>
            <w:hideMark/>
          </w:tcPr>
          <w:p w14:paraId="4B9D0CB4" w14:textId="77777777" w:rsidR="00C972CB" w:rsidRDefault="002457F6">
            <w:pPr>
              <w:pStyle w:val="P68B1DB1-Normal3"/>
              <w:jc w:val="center"/>
              <w:rPr>
                <w:noProof/>
              </w:rPr>
            </w:pPr>
            <w:r>
              <w:rPr>
                <w:noProof/>
              </w:rPr>
              <w:t>Uzvārds</w:t>
            </w:r>
          </w:p>
        </w:tc>
        <w:tc>
          <w:tcPr>
            <w:tcW w:w="1701" w:type="dxa"/>
            <w:vMerge w:val="restart"/>
            <w:shd w:val="clear" w:color="auto" w:fill="BDD7EE"/>
            <w:vAlign w:val="center"/>
            <w:hideMark/>
          </w:tcPr>
          <w:p w14:paraId="62FD379F" w14:textId="0B0A057D" w:rsidR="00C972CB" w:rsidRDefault="002457F6">
            <w:pPr>
              <w:pStyle w:val="P68B1DB1-Normal4"/>
              <w:jc w:val="center"/>
              <w:rPr>
                <w:b/>
                <w:noProof/>
              </w:rPr>
            </w:pPr>
            <w:r>
              <w:rPr>
                <w:b/>
                <w:noProof/>
              </w:rPr>
              <w:t>Kvalitātes rādītāji</w:t>
            </w:r>
            <w:r>
              <w:rPr>
                <w:noProof/>
              </w:rPr>
              <w:t xml:space="preserve"> </w:t>
            </w:r>
            <w:r>
              <w:rPr>
                <w:noProof/>
              </w:rPr>
              <w:br/>
            </w:r>
            <w:r>
              <w:rPr>
                <w:b/>
                <w:noProof/>
              </w:rPr>
              <w:t>(attiecībā uz starpposma mērķiem)</w:t>
            </w:r>
          </w:p>
        </w:tc>
        <w:tc>
          <w:tcPr>
            <w:tcW w:w="3827" w:type="dxa"/>
            <w:gridSpan w:val="3"/>
            <w:shd w:val="clear" w:color="auto" w:fill="BDD7EE"/>
            <w:vAlign w:val="center"/>
            <w:hideMark/>
          </w:tcPr>
          <w:p w14:paraId="274BAD9F" w14:textId="1A814F53" w:rsidR="00C972CB" w:rsidRDefault="002457F6">
            <w:pPr>
              <w:pStyle w:val="P68B1DB1-Normal4"/>
              <w:jc w:val="center"/>
              <w:rPr>
                <w:b/>
                <w:noProof/>
              </w:rPr>
            </w:pPr>
            <w:r>
              <w:rPr>
                <w:b/>
                <w:noProof/>
              </w:rPr>
              <w:t>Kvantitatīvie rādītāji</w:t>
            </w:r>
            <w:r>
              <w:rPr>
                <w:noProof/>
              </w:rPr>
              <w:t xml:space="preserve"> </w:t>
            </w:r>
            <w:r>
              <w:rPr>
                <w:noProof/>
              </w:rPr>
              <w:br/>
            </w:r>
            <w:r>
              <w:rPr>
                <w:b/>
                <w:noProof/>
              </w:rPr>
              <w:t>(mērķiem)</w:t>
            </w:r>
          </w:p>
        </w:tc>
        <w:tc>
          <w:tcPr>
            <w:tcW w:w="1559" w:type="dxa"/>
            <w:gridSpan w:val="2"/>
            <w:shd w:val="clear" w:color="auto" w:fill="BDD7EE"/>
            <w:vAlign w:val="center"/>
            <w:hideMark/>
          </w:tcPr>
          <w:p w14:paraId="1D5084F4" w14:textId="77777777" w:rsidR="00C972CB" w:rsidRDefault="002457F6">
            <w:pPr>
              <w:pStyle w:val="P68B1DB1-Normal3"/>
              <w:jc w:val="center"/>
              <w:rPr>
                <w:noProof/>
              </w:rPr>
            </w:pPr>
            <w:r>
              <w:rPr>
                <w:noProof/>
              </w:rPr>
              <w:t>Orientējošs pabeigšanas termiņš</w:t>
            </w:r>
          </w:p>
        </w:tc>
        <w:tc>
          <w:tcPr>
            <w:tcW w:w="2835" w:type="dxa"/>
            <w:vMerge w:val="restart"/>
            <w:shd w:val="clear" w:color="auto" w:fill="BDD7EE"/>
            <w:vAlign w:val="center"/>
            <w:hideMark/>
          </w:tcPr>
          <w:p w14:paraId="35095677" w14:textId="77777777" w:rsidR="00C972CB" w:rsidRDefault="002457F6">
            <w:pPr>
              <w:pStyle w:val="P68B1DB1-Normal3"/>
              <w:jc w:val="center"/>
              <w:rPr>
                <w:noProof/>
              </w:rPr>
            </w:pPr>
            <w:r>
              <w:rPr>
                <w:noProof/>
              </w:rPr>
              <w:t>Apraksts par katru atskaites punktu un mērķrādītāju</w:t>
            </w:r>
          </w:p>
        </w:tc>
      </w:tr>
      <w:tr w:rsidR="00C972CB" w14:paraId="07B44A1C" w14:textId="77777777">
        <w:trPr>
          <w:trHeight w:val="691"/>
          <w:tblHeader/>
        </w:trPr>
        <w:tc>
          <w:tcPr>
            <w:tcW w:w="1253" w:type="dxa"/>
            <w:vMerge/>
            <w:vAlign w:val="center"/>
            <w:hideMark/>
          </w:tcPr>
          <w:p w14:paraId="32474826" w14:textId="77777777" w:rsidR="00C972CB" w:rsidRDefault="00C972CB">
            <w:pPr>
              <w:jc w:val="center"/>
              <w:rPr>
                <w:rFonts w:ascii="Arial Narrow" w:hAnsi="Arial Narrow" w:cs="Arial"/>
                <w:b/>
                <w:noProof/>
                <w:sz w:val="20"/>
              </w:rPr>
            </w:pPr>
          </w:p>
        </w:tc>
        <w:tc>
          <w:tcPr>
            <w:tcW w:w="1568" w:type="dxa"/>
            <w:vMerge/>
            <w:vAlign w:val="center"/>
            <w:hideMark/>
          </w:tcPr>
          <w:p w14:paraId="73A7A64E" w14:textId="77777777" w:rsidR="00C972CB" w:rsidRDefault="00C972CB">
            <w:pPr>
              <w:jc w:val="center"/>
              <w:rPr>
                <w:rFonts w:ascii="Arial Narrow" w:hAnsi="Arial Narrow" w:cs="Arial"/>
                <w:b/>
                <w:noProof/>
                <w:sz w:val="20"/>
              </w:rPr>
            </w:pPr>
          </w:p>
        </w:tc>
        <w:tc>
          <w:tcPr>
            <w:tcW w:w="1148" w:type="dxa"/>
            <w:vMerge/>
            <w:vAlign w:val="center"/>
            <w:hideMark/>
          </w:tcPr>
          <w:p w14:paraId="01A3E9A3" w14:textId="77777777" w:rsidR="00C972CB" w:rsidRDefault="00C972CB">
            <w:pPr>
              <w:jc w:val="center"/>
              <w:rPr>
                <w:rFonts w:ascii="Arial Narrow" w:hAnsi="Arial Narrow" w:cs="Arial"/>
                <w:b/>
                <w:noProof/>
                <w:sz w:val="20"/>
              </w:rPr>
            </w:pPr>
          </w:p>
        </w:tc>
        <w:tc>
          <w:tcPr>
            <w:tcW w:w="1470" w:type="dxa"/>
            <w:vMerge/>
            <w:vAlign w:val="center"/>
            <w:hideMark/>
          </w:tcPr>
          <w:p w14:paraId="0846C9E4" w14:textId="77777777" w:rsidR="00C972CB" w:rsidRDefault="00C972CB">
            <w:pPr>
              <w:jc w:val="center"/>
              <w:rPr>
                <w:rFonts w:ascii="Arial Narrow" w:hAnsi="Arial Narrow" w:cs="Arial"/>
                <w:b/>
                <w:noProof/>
                <w:sz w:val="20"/>
              </w:rPr>
            </w:pPr>
          </w:p>
        </w:tc>
        <w:tc>
          <w:tcPr>
            <w:tcW w:w="1701" w:type="dxa"/>
            <w:vMerge/>
            <w:vAlign w:val="center"/>
            <w:hideMark/>
          </w:tcPr>
          <w:p w14:paraId="1EBBE1BC" w14:textId="77777777" w:rsidR="00C972CB" w:rsidRDefault="00C972CB">
            <w:pPr>
              <w:jc w:val="center"/>
              <w:rPr>
                <w:rFonts w:ascii="Arial Narrow" w:hAnsi="Arial Narrow" w:cs="Arial"/>
                <w:b/>
                <w:noProof/>
                <w:sz w:val="20"/>
              </w:rPr>
            </w:pPr>
          </w:p>
        </w:tc>
        <w:tc>
          <w:tcPr>
            <w:tcW w:w="1134" w:type="dxa"/>
            <w:shd w:val="clear" w:color="auto" w:fill="BDD7EE"/>
            <w:vAlign w:val="center"/>
            <w:hideMark/>
          </w:tcPr>
          <w:p w14:paraId="28CFA73A" w14:textId="77777777" w:rsidR="00C972CB" w:rsidRDefault="002457F6">
            <w:pPr>
              <w:pStyle w:val="P68B1DB1-Normal3"/>
              <w:jc w:val="center"/>
              <w:rPr>
                <w:noProof/>
              </w:rPr>
            </w:pPr>
            <w:r>
              <w:rPr>
                <w:noProof/>
              </w:rPr>
              <w:t>Vienības</w:t>
            </w:r>
          </w:p>
          <w:p w14:paraId="414F2790" w14:textId="77777777" w:rsidR="00C972CB" w:rsidRDefault="002457F6">
            <w:pPr>
              <w:pStyle w:val="P68B1DB1-Normal3"/>
              <w:jc w:val="center"/>
              <w:rPr>
                <w:noProof/>
              </w:rPr>
            </w:pPr>
            <w:r>
              <w:rPr>
                <w:noProof/>
              </w:rPr>
              <w:t>pasākums</w:t>
            </w:r>
          </w:p>
        </w:tc>
        <w:tc>
          <w:tcPr>
            <w:tcW w:w="1417" w:type="dxa"/>
            <w:shd w:val="clear" w:color="auto" w:fill="BDD7EE"/>
            <w:vAlign w:val="center"/>
            <w:hideMark/>
          </w:tcPr>
          <w:p w14:paraId="14AD8616" w14:textId="77777777" w:rsidR="00C972CB" w:rsidRDefault="002457F6">
            <w:pPr>
              <w:pStyle w:val="P68B1DB1-Normal3"/>
              <w:jc w:val="center"/>
              <w:rPr>
                <w:noProof/>
              </w:rPr>
            </w:pPr>
            <w:r>
              <w:rPr>
                <w:noProof/>
              </w:rPr>
              <w:t>Pamatscenārijs</w:t>
            </w:r>
          </w:p>
        </w:tc>
        <w:tc>
          <w:tcPr>
            <w:tcW w:w="1276" w:type="dxa"/>
            <w:shd w:val="clear" w:color="auto" w:fill="BDD7EE"/>
            <w:vAlign w:val="center"/>
            <w:hideMark/>
          </w:tcPr>
          <w:p w14:paraId="5FFDAFCA" w14:textId="77777777" w:rsidR="00C972CB" w:rsidRDefault="002457F6">
            <w:pPr>
              <w:pStyle w:val="P68B1DB1-Normal3"/>
              <w:jc w:val="center"/>
              <w:rPr>
                <w:noProof/>
              </w:rPr>
            </w:pPr>
            <w:r>
              <w:rPr>
                <w:noProof/>
              </w:rPr>
              <w:t>Mērķis</w:t>
            </w:r>
          </w:p>
        </w:tc>
        <w:tc>
          <w:tcPr>
            <w:tcW w:w="850" w:type="dxa"/>
            <w:shd w:val="clear" w:color="auto" w:fill="BDD7EE"/>
            <w:vAlign w:val="center"/>
            <w:hideMark/>
          </w:tcPr>
          <w:p w14:paraId="224DC242" w14:textId="77777777" w:rsidR="00C972CB" w:rsidRDefault="002457F6">
            <w:pPr>
              <w:pStyle w:val="P68B1DB1-Normal3"/>
              <w:jc w:val="center"/>
              <w:rPr>
                <w:noProof/>
              </w:rPr>
            </w:pPr>
            <w:r>
              <w:rPr>
                <w:noProof/>
              </w:rPr>
              <w:t>Ceturtdaļa</w:t>
            </w:r>
          </w:p>
        </w:tc>
        <w:tc>
          <w:tcPr>
            <w:tcW w:w="709" w:type="dxa"/>
            <w:shd w:val="clear" w:color="auto" w:fill="BDD7EE"/>
            <w:vAlign w:val="center"/>
            <w:hideMark/>
          </w:tcPr>
          <w:p w14:paraId="1C222AB5" w14:textId="77777777" w:rsidR="00C972CB" w:rsidRDefault="002457F6">
            <w:pPr>
              <w:pStyle w:val="P68B1DB1-Normal3"/>
              <w:jc w:val="center"/>
              <w:rPr>
                <w:noProof/>
              </w:rPr>
            </w:pPr>
            <w:r>
              <w:rPr>
                <w:noProof/>
              </w:rPr>
              <w:t>Gadā</w:t>
            </w:r>
          </w:p>
        </w:tc>
        <w:tc>
          <w:tcPr>
            <w:tcW w:w="2835" w:type="dxa"/>
            <w:vMerge/>
            <w:vAlign w:val="center"/>
            <w:hideMark/>
          </w:tcPr>
          <w:p w14:paraId="65CD153A" w14:textId="77777777" w:rsidR="00C972CB" w:rsidRDefault="00C972CB">
            <w:pPr>
              <w:jc w:val="center"/>
              <w:rPr>
                <w:rFonts w:ascii="Arial Narrow" w:hAnsi="Arial Narrow" w:cs="Arial"/>
                <w:b/>
                <w:noProof/>
                <w:sz w:val="20"/>
              </w:rPr>
            </w:pPr>
          </w:p>
        </w:tc>
      </w:tr>
      <w:tr w:rsidR="00C972CB" w14:paraId="24140EB9" w14:textId="77777777">
        <w:trPr>
          <w:trHeight w:val="309"/>
        </w:trPr>
        <w:tc>
          <w:tcPr>
            <w:tcW w:w="1253" w:type="dxa"/>
            <w:shd w:val="clear" w:color="auto" w:fill="C6EFCE"/>
            <w:noWrap/>
            <w:vAlign w:val="center"/>
          </w:tcPr>
          <w:p w14:paraId="2A8BC733" w14:textId="77777777" w:rsidR="00C972CB" w:rsidRDefault="002457F6">
            <w:pPr>
              <w:pStyle w:val="P68B1DB1-Normal5"/>
              <w:jc w:val="center"/>
              <w:rPr>
                <w:noProof/>
              </w:rPr>
            </w:pPr>
            <w:r>
              <w:rPr>
                <w:noProof/>
              </w:rPr>
              <w:t>M1C1–1</w:t>
            </w:r>
          </w:p>
        </w:tc>
        <w:tc>
          <w:tcPr>
            <w:tcW w:w="1568" w:type="dxa"/>
            <w:shd w:val="clear" w:color="auto" w:fill="C6EFCE"/>
            <w:noWrap/>
            <w:vAlign w:val="center"/>
          </w:tcPr>
          <w:p w14:paraId="4F65BDC0" w14:textId="77777777" w:rsidR="00C972CB" w:rsidRDefault="002457F6">
            <w:pPr>
              <w:pStyle w:val="P68B1DB1-Normal5"/>
              <w:jc w:val="center"/>
              <w:rPr>
                <w:noProof/>
              </w:rPr>
            </w:pPr>
            <w:r>
              <w:rPr>
                <w:noProof/>
              </w:rPr>
              <w:t>Reforma. IKT iepirkums</w:t>
            </w:r>
          </w:p>
        </w:tc>
        <w:tc>
          <w:tcPr>
            <w:tcW w:w="1148" w:type="dxa"/>
            <w:shd w:val="clear" w:color="auto" w:fill="C6EFCE"/>
            <w:noWrap/>
            <w:vAlign w:val="center"/>
          </w:tcPr>
          <w:p w14:paraId="0D2D60DF"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20E9F0A1" w14:textId="77777777" w:rsidR="00C972CB" w:rsidRDefault="002457F6">
            <w:pPr>
              <w:pStyle w:val="P68B1DB1-Normal5"/>
              <w:jc w:val="center"/>
              <w:rPr>
                <w:noProof/>
              </w:rPr>
            </w:pPr>
            <w:r>
              <w:rPr>
                <w:noProof/>
              </w:rPr>
              <w:t>Stājas spēkā dekrēti par reformu 1.1 “IKT iepirkums”</w:t>
            </w:r>
          </w:p>
        </w:tc>
        <w:tc>
          <w:tcPr>
            <w:tcW w:w="1701" w:type="dxa"/>
            <w:shd w:val="clear" w:color="auto" w:fill="C6EFCE"/>
            <w:noWrap/>
            <w:vAlign w:val="center"/>
          </w:tcPr>
          <w:p w14:paraId="49C10B02" w14:textId="77777777" w:rsidR="00C972CB" w:rsidRDefault="002457F6">
            <w:pPr>
              <w:pStyle w:val="P68B1DB1-Normal5"/>
              <w:jc w:val="center"/>
              <w:rPr>
                <w:noProof/>
              </w:rPr>
            </w:pPr>
            <w:r>
              <w:rPr>
                <w:noProof/>
              </w:rPr>
              <w:t>Likuma noteikums, kas norāda, ka stājas spēkā dekrēts par IKT iepirkuma reformu</w:t>
            </w:r>
          </w:p>
        </w:tc>
        <w:tc>
          <w:tcPr>
            <w:tcW w:w="1134" w:type="dxa"/>
            <w:shd w:val="clear" w:color="auto" w:fill="C6EFCE"/>
            <w:noWrap/>
            <w:vAlign w:val="center"/>
          </w:tcPr>
          <w:p w14:paraId="0DD02040"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0471E689"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20A5BA7D"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10F0010A" w14:textId="77777777" w:rsidR="00C972CB" w:rsidRDefault="002457F6">
            <w:pPr>
              <w:pStyle w:val="P68B1DB1-Normal5"/>
              <w:jc w:val="center"/>
              <w:rPr>
                <w:noProof/>
              </w:rPr>
            </w:pPr>
            <w:r>
              <w:rPr>
                <w:noProof/>
              </w:rPr>
              <w:t xml:space="preserve">4. </w:t>
            </w:r>
            <w:r>
              <w:rPr>
                <w:noProof/>
              </w:rPr>
              <w:t>CET.</w:t>
            </w:r>
          </w:p>
        </w:tc>
        <w:tc>
          <w:tcPr>
            <w:tcW w:w="709" w:type="dxa"/>
            <w:shd w:val="clear" w:color="auto" w:fill="C6EFCE"/>
            <w:noWrap/>
            <w:vAlign w:val="center"/>
          </w:tcPr>
          <w:p w14:paraId="626495E0" w14:textId="77777777" w:rsidR="00C972CB" w:rsidRDefault="002457F6">
            <w:pPr>
              <w:pStyle w:val="P68B1DB1-Normal5"/>
              <w:jc w:val="center"/>
              <w:rPr>
                <w:noProof/>
              </w:rPr>
            </w:pPr>
            <w:r>
              <w:rPr>
                <w:noProof/>
              </w:rPr>
              <w:t>2021</w:t>
            </w:r>
          </w:p>
        </w:tc>
        <w:tc>
          <w:tcPr>
            <w:tcW w:w="2835" w:type="dxa"/>
            <w:shd w:val="clear" w:color="auto" w:fill="C6EFCE"/>
            <w:noWrap/>
            <w:vAlign w:val="center"/>
          </w:tcPr>
          <w:p w14:paraId="47D6A9E3" w14:textId="77777777" w:rsidR="00C972CB" w:rsidRDefault="002457F6">
            <w:pPr>
              <w:pStyle w:val="P68B1DB1-Normal5"/>
              <w:spacing w:after="120"/>
              <w:rPr>
                <w:noProof/>
              </w:rPr>
            </w:pPr>
            <w:r>
              <w:rPr>
                <w:noProof/>
              </w:rPr>
              <w:t>Nepieciešamie tiesību akti ietver likumdošanas iejaukšanos Likumdošanas dekrētā par vienkāršošanu (“Decreto Legge Semplificazioni”). Tajos nosaka:</w:t>
            </w:r>
          </w:p>
          <w:p w14:paraId="11403871" w14:textId="77777777" w:rsidR="00C972CB" w:rsidRDefault="002457F6">
            <w:pPr>
              <w:pStyle w:val="P68B1DB1-ListParagraph6"/>
              <w:spacing w:before="0"/>
              <w:ind w:left="0"/>
              <w:contextualSpacing w:val="0"/>
              <w:jc w:val="left"/>
              <w:rPr>
                <w:noProof/>
              </w:rPr>
            </w:pPr>
            <w:r>
              <w:rPr>
                <w:noProof/>
              </w:rPr>
              <w:t>I) Iespēju izmantot Publisko iepirkumu kodeksa 48. panta 3. punktā minēto procedūru arī attiecībā u</w:t>
            </w:r>
            <w:r>
              <w:rPr>
                <w:noProof/>
              </w:rPr>
              <w:t>z līgumiem, kas pārsniedz Publisko iepirkumu kodeksa 35. pantā minētās robežvērtības, pirkumiem, kas saistīti ar datorpreču un pakalpojumu iegādi, jo īpaši, pamatojoties uz mākoņtehnoloģijām, kā arī savienojamības pakalpojumiem, kas pilnībā vai daļēji fina</w:t>
            </w:r>
            <w:r>
              <w:rPr>
                <w:noProof/>
              </w:rPr>
              <w:t>nsēti no PDRR projektu īstenošanai paredzētajiem līdzekļiem;</w:t>
            </w:r>
          </w:p>
          <w:p w14:paraId="67C20BC2" w14:textId="77777777" w:rsidR="00C972CB" w:rsidRDefault="002457F6">
            <w:pPr>
              <w:pStyle w:val="P68B1DB1-ListParagraph6"/>
              <w:spacing w:before="0"/>
              <w:ind w:left="0"/>
              <w:contextualSpacing w:val="0"/>
              <w:jc w:val="left"/>
              <w:rPr>
                <w:noProof/>
              </w:rPr>
            </w:pPr>
            <w:r>
              <w:rPr>
                <w:noProof/>
              </w:rPr>
              <w:t>II) Sadarbspēja starp dažādām datubāzēm, ko pārvalda sertifikācijas iestādes, kuras iesaistītas Publisko līgumu kodeksa 80. pantā minēto prasību pārbaudes procesā;</w:t>
            </w:r>
          </w:p>
          <w:p w14:paraId="1A4A00F9" w14:textId="77777777" w:rsidR="00C972CB" w:rsidRDefault="002457F6">
            <w:pPr>
              <w:pStyle w:val="P68B1DB1-ListParagraph6"/>
              <w:spacing w:before="0"/>
              <w:ind w:left="0"/>
              <w:jc w:val="left"/>
              <w:rPr>
                <w:noProof/>
              </w:rPr>
            </w:pPr>
            <w:r>
              <w:rPr>
                <w:noProof/>
              </w:rPr>
              <w:t>III) Tādas ekonomikas dalībniek</w:t>
            </w:r>
            <w:r>
              <w:rPr>
                <w:noProof/>
              </w:rPr>
              <w:t>u virtuālas datnes izveide, kurā ir dati, lai pārbaudītu, vai nav iemeslu izslēgšanai, kā minēts 80. pantā, kas ļauj definēt to ekonomikas dalībnieku balto sarakstu, attiecībā uz kuriem verifikācija jau ir veikta.</w:t>
            </w:r>
          </w:p>
        </w:tc>
      </w:tr>
      <w:tr w:rsidR="00C972CB" w14:paraId="3C18F06E" w14:textId="77777777">
        <w:trPr>
          <w:trHeight w:val="789"/>
        </w:trPr>
        <w:tc>
          <w:tcPr>
            <w:tcW w:w="1253" w:type="dxa"/>
            <w:shd w:val="clear" w:color="auto" w:fill="C6EFCE"/>
            <w:noWrap/>
            <w:vAlign w:val="center"/>
          </w:tcPr>
          <w:p w14:paraId="3085A6E0" w14:textId="77777777" w:rsidR="00C972CB" w:rsidRDefault="002457F6">
            <w:pPr>
              <w:pStyle w:val="P68B1DB1-Normal5"/>
              <w:jc w:val="center"/>
              <w:rPr>
                <w:noProof/>
              </w:rPr>
            </w:pPr>
            <w:r>
              <w:rPr>
                <w:noProof/>
              </w:rPr>
              <w:t>M1C1–2</w:t>
            </w:r>
          </w:p>
        </w:tc>
        <w:tc>
          <w:tcPr>
            <w:tcW w:w="1568" w:type="dxa"/>
            <w:shd w:val="clear" w:color="auto" w:fill="C6EFCE"/>
            <w:noWrap/>
            <w:vAlign w:val="center"/>
          </w:tcPr>
          <w:p w14:paraId="125FA6C9" w14:textId="77777777" w:rsidR="00C972CB" w:rsidRDefault="002457F6">
            <w:pPr>
              <w:pStyle w:val="P68B1DB1-Normal5"/>
              <w:jc w:val="center"/>
              <w:rPr>
                <w:noProof/>
              </w:rPr>
            </w:pPr>
            <w:r>
              <w:rPr>
                <w:noProof/>
              </w:rPr>
              <w:t>Reforma: Mākoņdatošana vispirms un</w:t>
            </w:r>
            <w:r>
              <w:rPr>
                <w:noProof/>
              </w:rPr>
              <w:t xml:space="preserve"> sadarbspēja</w:t>
            </w:r>
          </w:p>
        </w:tc>
        <w:tc>
          <w:tcPr>
            <w:tcW w:w="1148" w:type="dxa"/>
            <w:shd w:val="clear" w:color="auto" w:fill="C6EFCE"/>
            <w:noWrap/>
            <w:vAlign w:val="center"/>
          </w:tcPr>
          <w:p w14:paraId="7A8E2477"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3A19D2F4" w14:textId="77777777" w:rsidR="00C972CB" w:rsidRDefault="002457F6">
            <w:pPr>
              <w:pStyle w:val="P68B1DB1-Normal5"/>
              <w:jc w:val="center"/>
              <w:rPr>
                <w:noProof/>
              </w:rPr>
            </w:pPr>
            <w:r>
              <w:rPr>
                <w:noProof/>
              </w:rPr>
              <w:t>Stājas spēkā dekrēti par 1.3. reformu “Mākonis vispirms un sadarbspēja”</w:t>
            </w:r>
          </w:p>
        </w:tc>
        <w:tc>
          <w:tcPr>
            <w:tcW w:w="1701" w:type="dxa"/>
            <w:shd w:val="clear" w:color="auto" w:fill="C6EFCE"/>
            <w:noWrap/>
            <w:vAlign w:val="center"/>
          </w:tcPr>
          <w:p w14:paraId="0BBEBFDF" w14:textId="77777777" w:rsidR="00C972CB" w:rsidRDefault="002457F6">
            <w:pPr>
              <w:pStyle w:val="P68B1DB1-Normal5"/>
              <w:jc w:val="center"/>
              <w:rPr>
                <w:noProof/>
              </w:rPr>
            </w:pPr>
            <w:r>
              <w:rPr>
                <w:noProof/>
              </w:rPr>
              <w:t>Likuma noteikums, kas norāda, ka stājas spēkā dekrēts par mākoņdatošanu un sadarbspējas reformu</w:t>
            </w:r>
          </w:p>
        </w:tc>
        <w:tc>
          <w:tcPr>
            <w:tcW w:w="1134" w:type="dxa"/>
            <w:shd w:val="clear" w:color="auto" w:fill="C6EFCE"/>
            <w:noWrap/>
            <w:vAlign w:val="center"/>
          </w:tcPr>
          <w:p w14:paraId="2FD390B3"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6262EFD4"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089778D4"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36030434"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2CC518A8" w14:textId="77777777" w:rsidR="00C972CB" w:rsidRDefault="002457F6">
            <w:pPr>
              <w:pStyle w:val="P68B1DB1-Normal5"/>
              <w:jc w:val="center"/>
              <w:rPr>
                <w:noProof/>
              </w:rPr>
            </w:pPr>
            <w:r>
              <w:rPr>
                <w:noProof/>
              </w:rPr>
              <w:t>2021</w:t>
            </w:r>
          </w:p>
        </w:tc>
        <w:tc>
          <w:tcPr>
            <w:tcW w:w="2835" w:type="dxa"/>
            <w:shd w:val="clear" w:color="auto" w:fill="C6EFCE"/>
            <w:noWrap/>
            <w:vAlign w:val="center"/>
          </w:tcPr>
          <w:p w14:paraId="204FAFBD" w14:textId="77777777" w:rsidR="00C972CB" w:rsidRDefault="002457F6">
            <w:pPr>
              <w:pStyle w:val="P68B1DB1-Normal5"/>
              <w:spacing w:after="120"/>
              <w:rPr>
                <w:noProof/>
              </w:rPr>
            </w:pPr>
            <w:r>
              <w:rPr>
                <w:noProof/>
              </w:rPr>
              <w:t xml:space="preserve">Nepieciešamie </w:t>
            </w:r>
            <w:r>
              <w:rPr>
                <w:noProof/>
              </w:rPr>
              <w:t>tiesību akti ietver:</w:t>
            </w:r>
          </w:p>
          <w:p w14:paraId="2C159CCF" w14:textId="77777777" w:rsidR="00C972CB" w:rsidRDefault="002457F6">
            <w:pPr>
              <w:pStyle w:val="P68B1DB1-Normal5"/>
              <w:spacing w:after="120"/>
              <w:rPr>
                <w:noProof/>
              </w:rPr>
            </w:pPr>
            <w:r>
              <w:rPr>
                <w:noProof/>
              </w:rPr>
              <w:t xml:space="preserve">Īstenošanas normatīvie akti, kas jo īpaši attiecas uz i) Agenzia per l’Italia digitale (AgID) regulu par Polo Strategico Nazionale (PSN) (paredzēta Dekrētlikuma 179/212) 33. pantā un ii) AgID pamatnostādnēm par sadarbspēju (paredzētas </w:t>
            </w:r>
            <w:r>
              <w:rPr>
                <w:noProof/>
              </w:rPr>
              <w:t>Codice dell’Amministrazione Digitale (CAD) 50. un 50.ter pantā).</w:t>
            </w:r>
          </w:p>
          <w:p w14:paraId="542D7F0C" w14:textId="77777777" w:rsidR="00C972CB" w:rsidRDefault="002457F6">
            <w:pPr>
              <w:pStyle w:val="P68B1DB1-Normal5"/>
              <w:spacing w:after="120"/>
              <w:rPr>
                <w:noProof/>
              </w:rPr>
            </w:pPr>
            <w:r>
              <w:rPr>
                <w:noProof/>
              </w:rPr>
              <w:t>Grozījumi CAD 50. pantā:</w:t>
            </w:r>
          </w:p>
          <w:p w14:paraId="706FE4FF" w14:textId="77777777" w:rsidR="00C972CB" w:rsidRDefault="002457F6">
            <w:pPr>
              <w:pStyle w:val="P68B1DB1-Normal5"/>
              <w:spacing w:after="120"/>
              <w:rPr>
                <w:noProof/>
              </w:rPr>
            </w:pPr>
            <w:r>
              <w:rPr>
                <w:noProof/>
              </w:rPr>
              <w:t>pienākuma slēgt pamatnolīgumus atcelšana pārvaldes iestādēm, kas piekļūst valsts digitālo datu platformai;</w:t>
            </w:r>
          </w:p>
          <w:p w14:paraId="0FB0EB39" w14:textId="77777777" w:rsidR="00C972CB" w:rsidRDefault="002457F6">
            <w:pPr>
              <w:pStyle w:val="P68B1DB1-Normal5"/>
              <w:spacing w:after="120"/>
              <w:rPr>
                <w:noProof/>
              </w:rPr>
            </w:pPr>
            <w:r>
              <w:rPr>
                <w:noProof/>
              </w:rPr>
              <w:t>precizējumi privātuma jomā: datu nosūtīšana no vienas infor</w:t>
            </w:r>
            <w:r>
              <w:rPr>
                <w:noProof/>
              </w:rPr>
              <w:t>mācijas sistēmas uz citu nemaina īpašumtiesības uz datiem un apstrādi, neskarot to valsts pārvaldes iestāžu pienākumus, kuras saņem un apstrādā datus kā autonomi datu pārziņi.</w:t>
            </w:r>
          </w:p>
          <w:p w14:paraId="113CA26E" w14:textId="77777777" w:rsidR="00C972CB" w:rsidRDefault="002457F6">
            <w:pPr>
              <w:pStyle w:val="P68B1DB1-Normal5"/>
              <w:spacing w:after="120"/>
              <w:rPr>
                <w:noProof/>
              </w:rPr>
            </w:pPr>
            <w:r>
              <w:rPr>
                <w:noProof/>
              </w:rPr>
              <w:t>Grozījumi Decreto del Presidente della Repubblica (DPR) 445/2000 attiecībā uz pi</w:t>
            </w:r>
            <w:r>
              <w:rPr>
                <w:noProof/>
              </w:rPr>
              <w:t>ekļuvi datiem:</w:t>
            </w:r>
          </w:p>
          <w:p w14:paraId="5E301CB1" w14:textId="77777777" w:rsidR="00C972CB" w:rsidRDefault="002457F6">
            <w:pPr>
              <w:pStyle w:val="P68B1DB1-Normal5"/>
              <w:spacing w:after="120"/>
              <w:rPr>
                <w:noProof/>
              </w:rPr>
            </w:pPr>
            <w:r>
              <w:rPr>
                <w:noProof/>
              </w:rPr>
              <w:t>atļaujas, kas vajadzīga tiešai piekļuvei datiem, atcelšana;</w:t>
            </w:r>
          </w:p>
          <w:p w14:paraId="76C99E1F" w14:textId="77777777" w:rsidR="00C972CB" w:rsidRDefault="002457F6">
            <w:pPr>
              <w:pStyle w:val="P68B1DB1-Normal5"/>
              <w:spacing w:after="120"/>
              <w:rPr>
                <w:noProof/>
              </w:rPr>
            </w:pPr>
            <w:r>
              <w:rPr>
                <w:noProof/>
              </w:rPr>
              <w:t>atsauces uz pamatnolīgumiem svītrošana 72. pantā.</w:t>
            </w:r>
          </w:p>
          <w:p w14:paraId="2FC3F3B7" w14:textId="77777777" w:rsidR="00C972CB" w:rsidRDefault="002457F6">
            <w:pPr>
              <w:pStyle w:val="P68B1DB1-Normal5"/>
              <w:spacing w:after="120"/>
              <w:rPr>
                <w:noProof/>
              </w:rPr>
            </w:pPr>
            <w:r>
              <w:rPr>
                <w:noProof/>
              </w:rPr>
              <w:t>Grozījumi Likumdošanas dekrēta Nr. 179/2012 33. pantā:</w:t>
            </w:r>
          </w:p>
          <w:p w14:paraId="0B696F0D" w14:textId="77777777" w:rsidR="00C972CB" w:rsidRDefault="002457F6">
            <w:pPr>
              <w:pStyle w:val="P68B1DB1-Normal5"/>
              <w:spacing w:after="120"/>
              <w:rPr>
                <w:noProof/>
              </w:rPr>
            </w:pPr>
            <w:r>
              <w:rPr>
                <w:noProof/>
              </w:rPr>
              <w:t>ieviest iespēju AgID ar Centri Elaborazione Dati (CED) un Mākoņdatošanas not</w:t>
            </w:r>
            <w:r>
              <w:rPr>
                <w:noProof/>
              </w:rPr>
              <w:t>eikumiem reglamentēt noteikumus un metodes, ar kurām valsts pārvaldes iestādēm jāveic KID migrācija;</w:t>
            </w:r>
          </w:p>
          <w:p w14:paraId="66D608B5" w14:textId="77777777" w:rsidR="00C972CB" w:rsidRDefault="002457F6">
            <w:pPr>
              <w:pStyle w:val="P68B1DB1-Normal5"/>
              <w:spacing w:after="120"/>
              <w:rPr>
                <w:noProof/>
              </w:rPr>
            </w:pPr>
            <w:r>
              <w:rPr>
                <w:noProof/>
              </w:rPr>
              <w:t>ieviest sankcijas par to, ka nav izpildīts pienākums migrēt uz mākoni.</w:t>
            </w:r>
          </w:p>
        </w:tc>
      </w:tr>
      <w:tr w:rsidR="00C972CB" w14:paraId="43811911" w14:textId="77777777">
        <w:trPr>
          <w:trHeight w:val="309"/>
        </w:trPr>
        <w:tc>
          <w:tcPr>
            <w:tcW w:w="1253" w:type="dxa"/>
            <w:shd w:val="clear" w:color="auto" w:fill="C6EFCE"/>
            <w:noWrap/>
            <w:vAlign w:val="center"/>
            <w:hideMark/>
          </w:tcPr>
          <w:p w14:paraId="23CC7C49" w14:textId="77777777" w:rsidR="00C972CB" w:rsidRDefault="002457F6">
            <w:pPr>
              <w:pStyle w:val="P68B1DB1-Normal5"/>
              <w:jc w:val="center"/>
              <w:rPr>
                <w:noProof/>
              </w:rPr>
            </w:pPr>
            <w:r>
              <w:rPr>
                <w:noProof/>
              </w:rPr>
              <w:t>M1C1–3</w:t>
            </w:r>
          </w:p>
        </w:tc>
        <w:tc>
          <w:tcPr>
            <w:tcW w:w="1568" w:type="dxa"/>
            <w:shd w:val="clear" w:color="auto" w:fill="C6EFCE"/>
            <w:noWrap/>
            <w:vAlign w:val="center"/>
            <w:hideMark/>
          </w:tcPr>
          <w:p w14:paraId="76C8CB91" w14:textId="77777777" w:rsidR="00C972CB" w:rsidRDefault="002457F6">
            <w:pPr>
              <w:pStyle w:val="P68B1DB1-Normal5"/>
              <w:jc w:val="center"/>
              <w:rPr>
                <w:noProof/>
              </w:rPr>
            </w:pPr>
            <w:r>
              <w:rPr>
                <w:noProof/>
              </w:rPr>
              <w:t>Ieguldījums 1.1: Digitālā infrastruktūra</w:t>
            </w:r>
          </w:p>
        </w:tc>
        <w:tc>
          <w:tcPr>
            <w:tcW w:w="1148" w:type="dxa"/>
            <w:shd w:val="clear" w:color="auto" w:fill="C6EFCE"/>
            <w:noWrap/>
            <w:vAlign w:val="center"/>
            <w:hideMark/>
          </w:tcPr>
          <w:p w14:paraId="10366BB8"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hideMark/>
          </w:tcPr>
          <w:p w14:paraId="12CF3701" w14:textId="77777777" w:rsidR="00C972CB" w:rsidRDefault="002457F6">
            <w:pPr>
              <w:pStyle w:val="P68B1DB1-Normal5"/>
              <w:jc w:val="center"/>
              <w:rPr>
                <w:noProof/>
              </w:rPr>
            </w:pPr>
            <w:r>
              <w:rPr>
                <w:noProof/>
              </w:rPr>
              <w:t xml:space="preserve">Polo Strategico </w:t>
            </w:r>
            <w:r>
              <w:rPr>
                <w:noProof/>
              </w:rPr>
              <w:t>Nazionale (PSN) pabeigšana</w:t>
            </w:r>
          </w:p>
        </w:tc>
        <w:tc>
          <w:tcPr>
            <w:tcW w:w="1701" w:type="dxa"/>
            <w:shd w:val="clear" w:color="auto" w:fill="C6EFCE"/>
            <w:noWrap/>
            <w:vAlign w:val="center"/>
            <w:hideMark/>
          </w:tcPr>
          <w:p w14:paraId="327DEDF1" w14:textId="77777777" w:rsidR="00C972CB" w:rsidRDefault="002457F6">
            <w:pPr>
              <w:pStyle w:val="P68B1DB1-Normal5"/>
              <w:jc w:val="center"/>
              <w:rPr>
                <w:noProof/>
              </w:rPr>
            </w:pPr>
            <w:r>
              <w:rPr>
                <w:noProof/>
              </w:rPr>
              <w:t>Tehnoloģiskās inovācijas un digitālās pārkārtošanās ministrijas (MITD) ziņojums par mākoņdatošanas izvēršanu</w:t>
            </w:r>
          </w:p>
        </w:tc>
        <w:tc>
          <w:tcPr>
            <w:tcW w:w="1134" w:type="dxa"/>
            <w:shd w:val="clear" w:color="auto" w:fill="C6EFCE"/>
            <w:noWrap/>
            <w:vAlign w:val="center"/>
          </w:tcPr>
          <w:p w14:paraId="241E0275"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2E50F60E"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72FC4FB9" w14:textId="77777777" w:rsidR="00C972CB" w:rsidRDefault="002457F6">
            <w:pPr>
              <w:pStyle w:val="P68B1DB1-Normal5"/>
              <w:jc w:val="center"/>
              <w:rPr>
                <w:noProof/>
              </w:rPr>
            </w:pPr>
            <w:r>
              <w:rPr>
                <w:noProof/>
              </w:rPr>
              <w:t>NEPIEMĒRO</w:t>
            </w:r>
          </w:p>
        </w:tc>
        <w:tc>
          <w:tcPr>
            <w:tcW w:w="850" w:type="dxa"/>
            <w:shd w:val="clear" w:color="auto" w:fill="C6EFCE"/>
            <w:noWrap/>
            <w:vAlign w:val="center"/>
            <w:hideMark/>
          </w:tcPr>
          <w:p w14:paraId="548B67D6" w14:textId="77777777" w:rsidR="00C972CB" w:rsidRDefault="002457F6">
            <w:pPr>
              <w:pStyle w:val="P68B1DB1-Normal5"/>
              <w:jc w:val="center"/>
              <w:rPr>
                <w:noProof/>
              </w:rPr>
            </w:pPr>
            <w:r>
              <w:rPr>
                <w:noProof/>
              </w:rPr>
              <w:t>4. CET.</w:t>
            </w:r>
          </w:p>
        </w:tc>
        <w:tc>
          <w:tcPr>
            <w:tcW w:w="709" w:type="dxa"/>
            <w:shd w:val="clear" w:color="auto" w:fill="C6EFCE"/>
            <w:noWrap/>
            <w:vAlign w:val="center"/>
            <w:hideMark/>
          </w:tcPr>
          <w:p w14:paraId="031B71DC" w14:textId="77777777" w:rsidR="00C972CB" w:rsidRDefault="002457F6">
            <w:pPr>
              <w:pStyle w:val="P68B1DB1-Normal5"/>
              <w:jc w:val="center"/>
              <w:rPr>
                <w:noProof/>
              </w:rPr>
            </w:pPr>
            <w:r>
              <w:rPr>
                <w:noProof/>
              </w:rPr>
              <w:t>2022</w:t>
            </w:r>
          </w:p>
        </w:tc>
        <w:tc>
          <w:tcPr>
            <w:tcW w:w="2835" w:type="dxa"/>
            <w:shd w:val="clear" w:color="auto" w:fill="C6EFCE"/>
            <w:noWrap/>
            <w:vAlign w:val="center"/>
            <w:hideMark/>
          </w:tcPr>
          <w:p w14:paraId="4EEBB4BA" w14:textId="0C21C4D6" w:rsidR="00C972CB" w:rsidRDefault="002457F6">
            <w:pPr>
              <w:pStyle w:val="P68B1DB1-Normal5"/>
              <w:spacing w:after="120"/>
              <w:rPr>
                <w:noProof/>
              </w:rPr>
            </w:pPr>
            <w:r>
              <w:rPr>
                <w:noProof/>
              </w:rPr>
              <w:t xml:space="preserve">Visa projekta pilnīgu pabeigšanu panāk, kad visas mērķa valsts pārvaldes </w:t>
            </w:r>
            <w:r>
              <w:rPr>
                <w:noProof/>
              </w:rPr>
              <w:t>iestādes ir pabeigušas identificēto posmu pārvietošanu uz Polo Strategico Nazionale (PSN) un ir sekmīgi pabeigta četru datu centru testēšana, kas ļauj sākt datu kopu un mērķtiecīgo valsts pārvaldes iestāžu lietotņu migrācijas procesu uz PSN.</w:t>
            </w:r>
          </w:p>
        </w:tc>
      </w:tr>
      <w:tr w:rsidR="00C972CB" w14:paraId="4944586E" w14:textId="77777777">
        <w:trPr>
          <w:trHeight w:val="309"/>
        </w:trPr>
        <w:tc>
          <w:tcPr>
            <w:tcW w:w="1253" w:type="dxa"/>
            <w:shd w:val="clear" w:color="auto" w:fill="C6EFCE"/>
            <w:noWrap/>
            <w:vAlign w:val="center"/>
          </w:tcPr>
          <w:p w14:paraId="4AAB7552" w14:textId="77777777" w:rsidR="00C972CB" w:rsidRDefault="002457F6">
            <w:pPr>
              <w:pStyle w:val="P68B1DB1-Normal5"/>
              <w:jc w:val="center"/>
              <w:rPr>
                <w:noProof/>
              </w:rPr>
            </w:pPr>
            <w:r>
              <w:rPr>
                <w:noProof/>
              </w:rPr>
              <w:t>M1C1–4</w:t>
            </w:r>
          </w:p>
        </w:tc>
        <w:tc>
          <w:tcPr>
            <w:tcW w:w="1568" w:type="dxa"/>
            <w:shd w:val="clear" w:color="auto" w:fill="C6EFCE"/>
            <w:noWrap/>
            <w:vAlign w:val="center"/>
          </w:tcPr>
          <w:p w14:paraId="2EC0A3F5" w14:textId="77777777" w:rsidR="00C972CB" w:rsidRDefault="002457F6">
            <w:pPr>
              <w:pStyle w:val="P68B1DB1-Normal5"/>
              <w:jc w:val="center"/>
              <w:rPr>
                <w:noProof/>
              </w:rPr>
            </w:pPr>
            <w:r>
              <w:rPr>
                <w:noProof/>
              </w:rPr>
              <w:t>Ieguldījums 1.3.1.: Valsts digitālo datu platforma</w:t>
            </w:r>
          </w:p>
        </w:tc>
        <w:tc>
          <w:tcPr>
            <w:tcW w:w="1148" w:type="dxa"/>
            <w:shd w:val="clear" w:color="auto" w:fill="C6EFCE"/>
            <w:noWrap/>
            <w:vAlign w:val="center"/>
          </w:tcPr>
          <w:p w14:paraId="2F5EA753"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5D45F344" w14:textId="77777777" w:rsidR="00C972CB" w:rsidRDefault="002457F6">
            <w:pPr>
              <w:pStyle w:val="P68B1DB1-Normal5"/>
              <w:jc w:val="center"/>
              <w:rPr>
                <w:noProof/>
              </w:rPr>
            </w:pPr>
            <w:r>
              <w:rPr>
                <w:noProof/>
              </w:rPr>
              <w:t>Darbojas valsts digitālo datu platforma</w:t>
            </w:r>
          </w:p>
        </w:tc>
        <w:tc>
          <w:tcPr>
            <w:tcW w:w="1701" w:type="dxa"/>
            <w:shd w:val="clear" w:color="auto" w:fill="C6EFCE"/>
            <w:noWrap/>
            <w:vAlign w:val="center"/>
          </w:tcPr>
          <w:p w14:paraId="5F9268EB" w14:textId="77777777" w:rsidR="00C972CB" w:rsidRDefault="002457F6">
            <w:pPr>
              <w:pStyle w:val="P68B1DB1-Normal5"/>
              <w:jc w:val="center"/>
              <w:rPr>
                <w:noProof/>
              </w:rPr>
            </w:pPr>
            <w:r>
              <w:rPr>
                <w:noProof/>
              </w:rPr>
              <w:t>Tehnoloģiskās inovācijas un digitālās pārkārtošanās ministrijas (MITD) ziņojums, kurā apliecināta Valsts digitālo datu platformas izveide</w:t>
            </w:r>
          </w:p>
        </w:tc>
        <w:tc>
          <w:tcPr>
            <w:tcW w:w="1134" w:type="dxa"/>
            <w:shd w:val="clear" w:color="auto" w:fill="C6EFCE"/>
            <w:noWrap/>
            <w:vAlign w:val="center"/>
          </w:tcPr>
          <w:p w14:paraId="0ECFEAD2"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59703FE5"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42502A94"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187E494F"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3FCF1180" w14:textId="77777777" w:rsidR="00C972CB" w:rsidRDefault="002457F6">
            <w:pPr>
              <w:pStyle w:val="P68B1DB1-Normal5"/>
              <w:jc w:val="center"/>
              <w:rPr>
                <w:noProof/>
              </w:rPr>
            </w:pPr>
            <w:r>
              <w:rPr>
                <w:noProof/>
              </w:rPr>
              <w:t>2022</w:t>
            </w:r>
          </w:p>
        </w:tc>
        <w:tc>
          <w:tcPr>
            <w:tcW w:w="2835" w:type="dxa"/>
            <w:shd w:val="clear" w:color="auto" w:fill="C6EFCE"/>
            <w:noWrap/>
            <w:vAlign w:val="center"/>
          </w:tcPr>
          <w:p w14:paraId="05DF1F04" w14:textId="77777777" w:rsidR="00C972CB" w:rsidRDefault="002457F6">
            <w:pPr>
              <w:pStyle w:val="P68B1DB1-Normal5"/>
              <w:spacing w:after="120"/>
              <w:rPr>
                <w:noProof/>
              </w:rPr>
            </w:pPr>
            <w:r>
              <w:rPr>
                <w:noProof/>
              </w:rPr>
              <w:t>Platforma ļauj aģentūrām:</w:t>
            </w:r>
          </w:p>
          <w:p w14:paraId="5BB582D1" w14:textId="77777777" w:rsidR="00C972CB" w:rsidRDefault="002457F6">
            <w:pPr>
              <w:pStyle w:val="P68B1DB1-Normal5"/>
              <w:spacing w:after="120"/>
              <w:rPr>
                <w:noProof/>
              </w:rPr>
            </w:pPr>
            <w:r>
              <w:rPr>
                <w:noProof/>
              </w:rPr>
              <w:t>publicē savas lietojumprogrammu saskarnes (API) platformas API katalogā;</w:t>
            </w:r>
          </w:p>
          <w:p w14:paraId="5D6865C3" w14:textId="77777777" w:rsidR="00C972CB" w:rsidRDefault="002457F6">
            <w:pPr>
              <w:pStyle w:val="P68B1DB1-Normal5"/>
              <w:spacing w:after="120"/>
              <w:rPr>
                <w:noProof/>
              </w:rPr>
            </w:pPr>
            <w:r>
              <w:rPr>
                <w:noProof/>
              </w:rPr>
              <w:t>ar platformas starpniecību izveido un paraksta digitālās sadarbspējas nolīgumus;</w:t>
            </w:r>
          </w:p>
          <w:p w14:paraId="0914E1E1" w14:textId="77777777" w:rsidR="00C972CB" w:rsidRDefault="002457F6">
            <w:pPr>
              <w:pStyle w:val="P68B1DB1-Normal5"/>
              <w:spacing w:after="120"/>
              <w:rPr>
                <w:noProof/>
              </w:rPr>
            </w:pPr>
            <w:r>
              <w:rPr>
                <w:noProof/>
              </w:rPr>
              <w:t>autentificēt un atļaut API piekļuvi, izman</w:t>
            </w:r>
            <w:r>
              <w:rPr>
                <w:noProof/>
              </w:rPr>
              <w:t>tojot platformas funkcijas;</w:t>
            </w:r>
          </w:p>
          <w:p w14:paraId="012A27C5" w14:textId="77777777" w:rsidR="00C972CB" w:rsidRDefault="002457F6">
            <w:pPr>
              <w:pStyle w:val="P68B1DB1-Normal5"/>
              <w:spacing w:after="120"/>
              <w:rPr>
                <w:noProof/>
              </w:rPr>
            </w:pPr>
            <w:r>
              <w:rPr>
                <w:noProof/>
              </w:rPr>
              <w:t>validēt un novērtēt atbilstību valsts sadarbspējas satvaram.</w:t>
            </w:r>
          </w:p>
        </w:tc>
      </w:tr>
      <w:tr w:rsidR="00C972CB" w14:paraId="4BD1BEDE" w14:textId="77777777">
        <w:trPr>
          <w:trHeight w:val="309"/>
        </w:trPr>
        <w:tc>
          <w:tcPr>
            <w:tcW w:w="1253" w:type="dxa"/>
            <w:shd w:val="clear" w:color="auto" w:fill="C6EFCE"/>
            <w:noWrap/>
            <w:vAlign w:val="center"/>
          </w:tcPr>
          <w:p w14:paraId="5E013FB7" w14:textId="77777777" w:rsidR="00C972CB" w:rsidRDefault="002457F6">
            <w:pPr>
              <w:pStyle w:val="P68B1DB1-Normal5"/>
              <w:jc w:val="center"/>
              <w:rPr>
                <w:noProof/>
              </w:rPr>
            </w:pPr>
            <w:r>
              <w:rPr>
                <w:noProof/>
              </w:rPr>
              <w:t>M1C1–5</w:t>
            </w:r>
          </w:p>
        </w:tc>
        <w:tc>
          <w:tcPr>
            <w:tcW w:w="1568" w:type="dxa"/>
            <w:shd w:val="clear" w:color="auto" w:fill="C6EFCE"/>
            <w:noWrap/>
            <w:vAlign w:val="center"/>
          </w:tcPr>
          <w:p w14:paraId="70F626EB" w14:textId="77777777" w:rsidR="00C972CB" w:rsidRDefault="002457F6">
            <w:pPr>
              <w:pStyle w:val="P68B1DB1-Normal5"/>
              <w:jc w:val="center"/>
              <w:rPr>
                <w:noProof/>
              </w:rPr>
            </w:pPr>
            <w:r>
              <w:rPr>
                <w:noProof/>
              </w:rPr>
              <w:t>Ieguldījums 1,5: Kiberdrošība</w:t>
            </w:r>
          </w:p>
        </w:tc>
        <w:tc>
          <w:tcPr>
            <w:tcW w:w="1148" w:type="dxa"/>
            <w:shd w:val="clear" w:color="auto" w:fill="C6EFCE"/>
            <w:noWrap/>
            <w:vAlign w:val="center"/>
          </w:tcPr>
          <w:p w14:paraId="2E40049A"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68FD4BE7" w14:textId="77777777" w:rsidR="00C972CB" w:rsidRDefault="002457F6">
            <w:pPr>
              <w:pStyle w:val="P68B1DB1-Normal5"/>
              <w:jc w:val="center"/>
              <w:rPr>
                <w:noProof/>
              </w:rPr>
            </w:pPr>
            <w:r>
              <w:rPr>
                <w:noProof/>
              </w:rPr>
              <w:t>Jaunas Valsts kiberdrošības aģentūras izveide</w:t>
            </w:r>
          </w:p>
        </w:tc>
        <w:tc>
          <w:tcPr>
            <w:tcW w:w="1701" w:type="dxa"/>
            <w:shd w:val="clear" w:color="auto" w:fill="C6EFCE"/>
            <w:noWrap/>
            <w:vAlign w:val="center"/>
          </w:tcPr>
          <w:p w14:paraId="5855D374" w14:textId="77777777" w:rsidR="00C972CB" w:rsidRDefault="002457F6">
            <w:pPr>
              <w:pStyle w:val="P68B1DB1-Normal5"/>
              <w:jc w:val="center"/>
              <w:rPr>
                <w:noProof/>
              </w:rPr>
            </w:pPr>
            <w:r>
              <w:rPr>
                <w:noProof/>
              </w:rPr>
              <w:t>Administratīvās konstitūcijas akts</w:t>
            </w:r>
          </w:p>
        </w:tc>
        <w:tc>
          <w:tcPr>
            <w:tcW w:w="1134" w:type="dxa"/>
            <w:shd w:val="clear" w:color="auto" w:fill="C6EFCE"/>
            <w:noWrap/>
            <w:vAlign w:val="center"/>
          </w:tcPr>
          <w:p w14:paraId="6F9DF09D"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1924B152"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2FB35B0D"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0EB8C769"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61C6B7C5" w14:textId="77777777" w:rsidR="00C972CB" w:rsidRDefault="002457F6">
            <w:pPr>
              <w:pStyle w:val="P68B1DB1-Normal5"/>
              <w:jc w:val="center"/>
              <w:rPr>
                <w:noProof/>
              </w:rPr>
            </w:pPr>
            <w:r>
              <w:rPr>
                <w:noProof/>
              </w:rPr>
              <w:t>2022</w:t>
            </w:r>
          </w:p>
        </w:tc>
        <w:tc>
          <w:tcPr>
            <w:tcW w:w="2835" w:type="dxa"/>
            <w:shd w:val="clear" w:color="auto" w:fill="C6EFCE"/>
            <w:noWrap/>
            <w:vAlign w:val="center"/>
          </w:tcPr>
          <w:p w14:paraId="1F84FC5A" w14:textId="77777777" w:rsidR="00C972CB" w:rsidRDefault="002457F6">
            <w:pPr>
              <w:pStyle w:val="P68B1DB1-Normal5"/>
              <w:spacing w:after="120"/>
              <w:rPr>
                <w:noProof/>
              </w:rPr>
            </w:pPr>
            <w:r>
              <w:rPr>
                <w:noProof/>
              </w:rPr>
              <w:t>Atskaites punktu sasniedz, 1) dekrētlikumu, kas veido Valsts kiberdrošības aģentūru, pārveidojot par likumu, kas pašlaik tiek pabeigts; Ministru prezidenta dekrēta (Decreto del Presidente del Consiglio dei Ministri, DPCM) publicēšana Oficiālaj</w:t>
            </w:r>
            <w:r>
              <w:rPr>
                <w:noProof/>
              </w:rPr>
              <w:t>ā Vēstnesī, kurā ietverti Valsts kiberdrošības aģentūras iekšējie noteikumi.</w:t>
            </w:r>
          </w:p>
        </w:tc>
      </w:tr>
      <w:tr w:rsidR="00C972CB" w14:paraId="07177E78" w14:textId="77777777">
        <w:trPr>
          <w:trHeight w:val="309"/>
        </w:trPr>
        <w:tc>
          <w:tcPr>
            <w:tcW w:w="1253" w:type="dxa"/>
            <w:shd w:val="clear" w:color="auto" w:fill="C6EFCE"/>
            <w:noWrap/>
            <w:vAlign w:val="center"/>
          </w:tcPr>
          <w:p w14:paraId="48943100" w14:textId="77777777" w:rsidR="00C972CB" w:rsidRDefault="002457F6">
            <w:pPr>
              <w:pStyle w:val="P68B1DB1-Normal5"/>
              <w:jc w:val="center"/>
              <w:rPr>
                <w:noProof/>
              </w:rPr>
            </w:pPr>
            <w:r>
              <w:rPr>
                <w:noProof/>
              </w:rPr>
              <w:t>M1C1–6</w:t>
            </w:r>
          </w:p>
        </w:tc>
        <w:tc>
          <w:tcPr>
            <w:tcW w:w="1568" w:type="dxa"/>
            <w:shd w:val="clear" w:color="auto" w:fill="C6EFCE"/>
            <w:noWrap/>
            <w:vAlign w:val="center"/>
          </w:tcPr>
          <w:p w14:paraId="7828AB7B" w14:textId="77777777" w:rsidR="00C972CB" w:rsidRDefault="002457F6">
            <w:pPr>
              <w:pStyle w:val="P68B1DB1-Normal5"/>
              <w:jc w:val="center"/>
              <w:rPr>
                <w:noProof/>
              </w:rPr>
            </w:pPr>
            <w:r>
              <w:rPr>
                <w:noProof/>
              </w:rPr>
              <w:t>Ieguldījums 1,5: Kiberdrošība</w:t>
            </w:r>
          </w:p>
        </w:tc>
        <w:tc>
          <w:tcPr>
            <w:tcW w:w="1148" w:type="dxa"/>
            <w:shd w:val="clear" w:color="auto" w:fill="C6EFCE"/>
            <w:noWrap/>
            <w:vAlign w:val="center"/>
          </w:tcPr>
          <w:p w14:paraId="4B478FC2"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1362EBE8" w14:textId="77777777" w:rsidR="00C972CB" w:rsidRDefault="002457F6">
            <w:pPr>
              <w:pStyle w:val="P68B1DB1-Normal5"/>
              <w:jc w:val="center"/>
              <w:rPr>
                <w:noProof/>
              </w:rPr>
            </w:pPr>
            <w:r>
              <w:rPr>
                <w:noProof/>
              </w:rPr>
              <w:t>Valsts kiberdrošības pakalpojumu sākotnējā ieviešana</w:t>
            </w:r>
          </w:p>
        </w:tc>
        <w:tc>
          <w:tcPr>
            <w:tcW w:w="1701" w:type="dxa"/>
            <w:shd w:val="clear" w:color="auto" w:fill="C6EFCE"/>
            <w:noWrap/>
            <w:vAlign w:val="center"/>
          </w:tcPr>
          <w:p w14:paraId="5500E25F" w14:textId="77777777" w:rsidR="00C972CB" w:rsidRDefault="002457F6">
            <w:pPr>
              <w:pStyle w:val="P68B1DB1-Normal5"/>
              <w:jc w:val="center"/>
              <w:rPr>
                <w:noProof/>
              </w:rPr>
            </w:pPr>
            <w:r>
              <w:rPr>
                <w:noProof/>
              </w:rPr>
              <w:t xml:space="preserve">Ziņojums, kurā demonstrēta valsts kiberdrošības pakalpojumu pilna </w:t>
            </w:r>
            <w:r>
              <w:rPr>
                <w:noProof/>
              </w:rPr>
              <w:t>arhitektūra</w:t>
            </w:r>
          </w:p>
        </w:tc>
        <w:tc>
          <w:tcPr>
            <w:tcW w:w="1134" w:type="dxa"/>
            <w:shd w:val="clear" w:color="auto" w:fill="C6EFCE"/>
            <w:noWrap/>
            <w:vAlign w:val="center"/>
          </w:tcPr>
          <w:p w14:paraId="1DF92E1B"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7B6A823E"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40138CD1"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490E175A"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3CA2A0FA" w14:textId="77777777" w:rsidR="00C972CB" w:rsidRDefault="002457F6">
            <w:pPr>
              <w:pStyle w:val="P68B1DB1-Normal5"/>
              <w:jc w:val="center"/>
              <w:rPr>
                <w:noProof/>
              </w:rPr>
            </w:pPr>
            <w:r>
              <w:rPr>
                <w:noProof/>
              </w:rPr>
              <w:t>2022</w:t>
            </w:r>
          </w:p>
        </w:tc>
        <w:tc>
          <w:tcPr>
            <w:tcW w:w="2835" w:type="dxa"/>
            <w:shd w:val="clear" w:color="auto" w:fill="C6EFCE"/>
            <w:noWrap/>
            <w:vAlign w:val="center"/>
          </w:tcPr>
          <w:p w14:paraId="7E11AC9A" w14:textId="49D5CBA5" w:rsidR="00C972CB" w:rsidRDefault="002457F6">
            <w:pPr>
              <w:pStyle w:val="P68B1DB1-Normal5"/>
              <w:spacing w:after="120"/>
              <w:rPr>
                <w:noProof/>
              </w:rPr>
            </w:pPr>
            <w:r>
              <w:rPr>
                <w:noProof/>
              </w:rPr>
              <w:t>Atskaites punktu sasniedz, definējot valsts kiberdrošības arhitektūras visas ekosistēmas detalizētu arhitektūru (t. i., valsts informācijas apmaiņas un analīzes centru (ISAC), datorapdraudējumu reaģēša</w:t>
            </w:r>
            <w:r>
              <w:rPr>
                <w:noProof/>
              </w:rPr>
              <w:t>nas vienību (CERT) tīklu, valsts HyperSOC, augstas veiktspējas datošanu, kas integrēta ar mākslīgā intelekta/mašīnmācīšanās (MI/ML) rīkiem, lai analizētu kiberdrošības incidentus valsts līmenī).</w:t>
            </w:r>
          </w:p>
        </w:tc>
      </w:tr>
      <w:tr w:rsidR="00C972CB" w14:paraId="70B34137" w14:textId="77777777">
        <w:trPr>
          <w:trHeight w:val="309"/>
        </w:trPr>
        <w:tc>
          <w:tcPr>
            <w:tcW w:w="1253" w:type="dxa"/>
            <w:shd w:val="clear" w:color="auto" w:fill="C6EFCE"/>
            <w:noWrap/>
            <w:vAlign w:val="center"/>
          </w:tcPr>
          <w:p w14:paraId="2B5B7213" w14:textId="77777777" w:rsidR="00C972CB" w:rsidRDefault="002457F6">
            <w:pPr>
              <w:pStyle w:val="P68B1DB1-Normal5"/>
              <w:jc w:val="center"/>
              <w:rPr>
                <w:noProof/>
              </w:rPr>
            </w:pPr>
            <w:r>
              <w:rPr>
                <w:noProof/>
              </w:rPr>
              <w:t>M1C1–7</w:t>
            </w:r>
          </w:p>
        </w:tc>
        <w:tc>
          <w:tcPr>
            <w:tcW w:w="1568" w:type="dxa"/>
            <w:shd w:val="clear" w:color="auto" w:fill="C6EFCE"/>
            <w:noWrap/>
            <w:vAlign w:val="center"/>
          </w:tcPr>
          <w:p w14:paraId="6E340A62" w14:textId="77777777" w:rsidR="00C972CB" w:rsidRDefault="002457F6">
            <w:pPr>
              <w:pStyle w:val="P68B1DB1-Normal5"/>
              <w:jc w:val="center"/>
              <w:rPr>
                <w:noProof/>
              </w:rPr>
            </w:pPr>
            <w:r>
              <w:rPr>
                <w:noProof/>
              </w:rPr>
              <w:t>Ieguldījums 1,5: Kiberdrošība</w:t>
            </w:r>
          </w:p>
        </w:tc>
        <w:tc>
          <w:tcPr>
            <w:tcW w:w="1148" w:type="dxa"/>
            <w:shd w:val="clear" w:color="auto" w:fill="C6EFCE"/>
            <w:noWrap/>
            <w:vAlign w:val="center"/>
          </w:tcPr>
          <w:p w14:paraId="5D7F3661"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74560CEA" w14:textId="77777777" w:rsidR="00C972CB" w:rsidRDefault="002457F6">
            <w:pPr>
              <w:pStyle w:val="P68B1DB1-Normal5"/>
              <w:jc w:val="center"/>
              <w:rPr>
                <w:noProof/>
              </w:rPr>
            </w:pPr>
            <w:r>
              <w:rPr>
                <w:noProof/>
              </w:rPr>
              <w:t>Kiberdrošības skrīninga un sertifikācijas laboratoriju tīkla izveide</w:t>
            </w:r>
          </w:p>
        </w:tc>
        <w:tc>
          <w:tcPr>
            <w:tcW w:w="1701" w:type="dxa"/>
            <w:shd w:val="clear" w:color="auto" w:fill="C6EFCE"/>
            <w:noWrap/>
            <w:vAlign w:val="center"/>
          </w:tcPr>
          <w:p w14:paraId="243A5982" w14:textId="0094057E" w:rsidR="00C972CB" w:rsidRDefault="002457F6">
            <w:pPr>
              <w:pStyle w:val="P68B1DB1-Normal5"/>
              <w:jc w:val="center"/>
              <w:rPr>
                <w:noProof/>
              </w:rPr>
            </w:pPr>
            <w:r>
              <w:rPr>
                <w:noProof/>
              </w:rPr>
              <w:t>Iesniegtie dokumenti, kas apliecina identificētos procesus un procedūras, ar kurām jāapmainās laboratorijām, un sniegti ziņojumi, kas apliecina vismaz vienas laboratorijas aktivizēšanu</w:t>
            </w:r>
          </w:p>
        </w:tc>
        <w:tc>
          <w:tcPr>
            <w:tcW w:w="1134" w:type="dxa"/>
            <w:shd w:val="clear" w:color="auto" w:fill="C6EFCE"/>
            <w:noWrap/>
            <w:vAlign w:val="center"/>
          </w:tcPr>
          <w:p w14:paraId="6D88844D"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29486108"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58BF287A"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3880AF7B"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3BD8CF63" w14:textId="77777777" w:rsidR="00C972CB" w:rsidRDefault="002457F6">
            <w:pPr>
              <w:pStyle w:val="P68B1DB1-Normal5"/>
              <w:jc w:val="center"/>
              <w:rPr>
                <w:noProof/>
              </w:rPr>
            </w:pPr>
            <w:r>
              <w:rPr>
                <w:noProof/>
              </w:rPr>
              <w:t>2022</w:t>
            </w:r>
          </w:p>
        </w:tc>
        <w:tc>
          <w:tcPr>
            <w:tcW w:w="2835" w:type="dxa"/>
            <w:shd w:val="clear" w:color="auto" w:fill="C6EFCE"/>
            <w:noWrap/>
            <w:vAlign w:val="center"/>
          </w:tcPr>
          <w:p w14:paraId="0798CA4E" w14:textId="77777777" w:rsidR="00C972CB" w:rsidRDefault="002457F6">
            <w:pPr>
              <w:pStyle w:val="P68B1DB1-Normal5"/>
              <w:spacing w:after="120"/>
              <w:rPr>
                <w:noProof/>
              </w:rPr>
            </w:pPr>
            <w:r>
              <w:rPr>
                <w:noProof/>
              </w:rPr>
              <w:t>Starpposma mērķi sasniedz ar:</w:t>
            </w:r>
          </w:p>
          <w:p w14:paraId="0B95D4CD" w14:textId="4F875202" w:rsidR="00C972CB" w:rsidRDefault="002457F6">
            <w:pPr>
              <w:pStyle w:val="P68B1DB1-Normal5"/>
              <w:rPr>
                <w:noProof/>
              </w:rPr>
            </w:pPr>
            <w:r>
              <w:rPr>
                <w:noProof/>
              </w:rPr>
              <w:t>I) Valsts kiberdrošības aģentūra nosaka, kur tiks izveidotas skrīninga un sertifikācijas laboratorijas un centri, pieņemamos ekspertu profilus, pilnībā definējot procesus un procedūra</w:t>
            </w:r>
            <w:r>
              <w:rPr>
                <w:noProof/>
              </w:rPr>
              <w:t>s, kas kopīgi jāizmanto laboratorijām.</w:t>
            </w:r>
          </w:p>
          <w:p w14:paraId="0E11745F" w14:textId="77777777" w:rsidR="00C972CB" w:rsidRDefault="002457F6">
            <w:pPr>
              <w:pStyle w:val="P68B1DB1-Normal5"/>
              <w:spacing w:before="120" w:after="120"/>
              <w:rPr>
                <w:noProof/>
              </w:rPr>
            </w:pPr>
            <w:r>
              <w:rPr>
                <w:noProof/>
              </w:rPr>
              <w:t>II) Vienas laboratorijas aktivizēšana.</w:t>
            </w:r>
          </w:p>
          <w:p w14:paraId="4EAA2752" w14:textId="77777777" w:rsidR="00C972CB" w:rsidRDefault="002457F6">
            <w:pPr>
              <w:pStyle w:val="P68B1DB1-Normal5"/>
              <w:spacing w:after="120"/>
              <w:rPr>
                <w:noProof/>
                <w:color w:val="FF0000"/>
              </w:rPr>
            </w:pPr>
            <w:r>
              <w:rPr>
                <w:noProof/>
              </w:rPr>
              <w:t>Kontroles laboratoriju izveidošanai un aktivizēšanai izveidotās darbības uzrauga Ministero dello Sviluppo Economico (MISE) kopā ar CVCN (Valsts kiberdrošības pārbaudes un sertifi</w:t>
            </w:r>
            <w:r>
              <w:rPr>
                <w:noProof/>
              </w:rPr>
              <w:t>kācijas laboratorija), un Iekšlietu ministrija un Aizsardzības ministrija integrē novērtēšanas centrā (CV).</w:t>
            </w:r>
          </w:p>
        </w:tc>
      </w:tr>
      <w:tr w:rsidR="00C972CB" w14:paraId="4B50FB60" w14:textId="77777777">
        <w:trPr>
          <w:trHeight w:val="309"/>
        </w:trPr>
        <w:tc>
          <w:tcPr>
            <w:tcW w:w="1253" w:type="dxa"/>
            <w:shd w:val="clear" w:color="auto" w:fill="C6EFCE"/>
            <w:noWrap/>
            <w:vAlign w:val="center"/>
          </w:tcPr>
          <w:p w14:paraId="27D9BF50" w14:textId="77777777" w:rsidR="00C972CB" w:rsidRDefault="002457F6">
            <w:pPr>
              <w:pStyle w:val="P68B1DB1-Normal5"/>
              <w:jc w:val="center"/>
              <w:rPr>
                <w:noProof/>
              </w:rPr>
            </w:pPr>
            <w:r>
              <w:rPr>
                <w:noProof/>
              </w:rPr>
              <w:t>M1C1–8</w:t>
            </w:r>
          </w:p>
        </w:tc>
        <w:tc>
          <w:tcPr>
            <w:tcW w:w="1568" w:type="dxa"/>
            <w:shd w:val="clear" w:color="auto" w:fill="C6EFCE"/>
            <w:noWrap/>
            <w:vAlign w:val="center"/>
          </w:tcPr>
          <w:p w14:paraId="678D1BEE" w14:textId="77777777" w:rsidR="00C972CB" w:rsidRDefault="002457F6">
            <w:pPr>
              <w:pStyle w:val="P68B1DB1-Normal5"/>
              <w:jc w:val="center"/>
              <w:rPr>
                <w:noProof/>
              </w:rPr>
            </w:pPr>
            <w:r>
              <w:rPr>
                <w:noProof/>
              </w:rPr>
              <w:t>Ieguldījums 1,5: Kiberdrošība</w:t>
            </w:r>
          </w:p>
        </w:tc>
        <w:tc>
          <w:tcPr>
            <w:tcW w:w="1148" w:type="dxa"/>
            <w:shd w:val="clear" w:color="auto" w:fill="C6EFCE"/>
            <w:noWrap/>
            <w:vAlign w:val="center"/>
          </w:tcPr>
          <w:p w14:paraId="2B755852"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4FCA19FB" w14:textId="77777777" w:rsidR="00C972CB" w:rsidRDefault="002457F6">
            <w:pPr>
              <w:pStyle w:val="P68B1DB1-Normal5"/>
              <w:jc w:val="center"/>
              <w:rPr>
                <w:noProof/>
              </w:rPr>
            </w:pPr>
            <w:r>
              <w:rPr>
                <w:noProof/>
              </w:rPr>
              <w:t>Centrālās revīzijas nodaļas aktivizēšana PSNC un TID drošības pasākumiem</w:t>
            </w:r>
          </w:p>
        </w:tc>
        <w:tc>
          <w:tcPr>
            <w:tcW w:w="1701" w:type="dxa"/>
            <w:shd w:val="clear" w:color="auto" w:fill="C6EFCE"/>
            <w:noWrap/>
            <w:vAlign w:val="center"/>
          </w:tcPr>
          <w:p w14:paraId="17538402" w14:textId="77777777" w:rsidR="00C972CB" w:rsidRDefault="002457F6">
            <w:pPr>
              <w:pStyle w:val="P68B1DB1-Normal5"/>
              <w:jc w:val="center"/>
              <w:rPr>
                <w:noProof/>
              </w:rPr>
            </w:pPr>
            <w:r>
              <w:rPr>
                <w:noProof/>
              </w:rPr>
              <w:t xml:space="preserve">Sniegtie ziņojumi, </w:t>
            </w:r>
            <w:r>
              <w:rPr>
                <w:noProof/>
              </w:rPr>
              <w:t>kas apliecina centrālās revīzijas nodaļas darbības uzsākšanu</w:t>
            </w:r>
          </w:p>
        </w:tc>
        <w:tc>
          <w:tcPr>
            <w:tcW w:w="1134" w:type="dxa"/>
            <w:shd w:val="clear" w:color="auto" w:fill="C6EFCE"/>
            <w:noWrap/>
            <w:vAlign w:val="center"/>
          </w:tcPr>
          <w:p w14:paraId="79FC01B0"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53D9A948"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6040222B"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176BC4DC"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1C6BDB5B" w14:textId="77777777" w:rsidR="00C972CB" w:rsidRDefault="002457F6">
            <w:pPr>
              <w:pStyle w:val="P68B1DB1-Normal5"/>
              <w:jc w:val="center"/>
              <w:rPr>
                <w:noProof/>
              </w:rPr>
            </w:pPr>
            <w:r>
              <w:rPr>
                <w:noProof/>
              </w:rPr>
              <w:t>2022</w:t>
            </w:r>
          </w:p>
        </w:tc>
        <w:tc>
          <w:tcPr>
            <w:tcW w:w="2835" w:type="dxa"/>
            <w:shd w:val="clear" w:color="auto" w:fill="C6EFCE"/>
            <w:noWrap/>
            <w:vAlign w:val="center"/>
          </w:tcPr>
          <w:p w14:paraId="70CAE4B5" w14:textId="77777777" w:rsidR="00C972CB" w:rsidRDefault="002457F6">
            <w:pPr>
              <w:pStyle w:val="P68B1DB1-Normal5"/>
              <w:spacing w:after="120"/>
              <w:rPr>
                <w:noProof/>
              </w:rPr>
            </w:pPr>
            <w:r>
              <w:rPr>
                <w:noProof/>
              </w:rPr>
              <w:t>Valsts kiberdrošības aģentūrā ieceļ iekšēju vienību, kurai ir pilnvaras veikt centrālās revīzijas vienības darbības, kas atskaitīsies par PSNC un TID dr</w:t>
            </w:r>
            <w:r>
              <w:rPr>
                <w:noProof/>
              </w:rPr>
              <w:t>ošības pasākumiem.</w:t>
            </w:r>
          </w:p>
          <w:p w14:paraId="32B4EBDD" w14:textId="77777777" w:rsidR="00C972CB" w:rsidRDefault="002457F6">
            <w:pPr>
              <w:pStyle w:val="P68B1DB1-Normal5"/>
              <w:spacing w:after="120"/>
              <w:rPr>
                <w:noProof/>
              </w:rPr>
            </w:pPr>
            <w:r>
              <w:rPr>
                <w:noProof/>
              </w:rPr>
              <w:t>Procesus, loģistiku un darbības kārtību formalizē atbilstīgā dokumentācijā, īpašu uzmanību pievēršot darbības procesiem, t. i., iesaistīšanas noteikumiem, revīzijas un ziņošanas procedūrām.</w:t>
            </w:r>
          </w:p>
          <w:p w14:paraId="61C95DB7" w14:textId="77777777" w:rsidR="00C972CB" w:rsidRDefault="002457F6">
            <w:pPr>
              <w:pStyle w:val="P68B1DB1-Normal5"/>
              <w:spacing w:after="120"/>
              <w:rPr>
                <w:noProof/>
              </w:rPr>
            </w:pPr>
            <w:r>
              <w:rPr>
                <w:noProof/>
              </w:rPr>
              <w:t>It rīki vāc, pārvalda un analizē revīzijas datu</w:t>
            </w:r>
            <w:r>
              <w:rPr>
                <w:noProof/>
              </w:rPr>
              <w:t>s, un tos izstrādā un izmanto Audita nodaļa.</w:t>
            </w:r>
          </w:p>
          <w:p w14:paraId="051D2CEC" w14:textId="77777777" w:rsidR="00C972CB" w:rsidRDefault="002457F6">
            <w:pPr>
              <w:pStyle w:val="P68B1DB1-Normal5"/>
              <w:spacing w:after="120"/>
              <w:rPr>
                <w:noProof/>
              </w:rPr>
            </w:pPr>
            <w:r>
              <w:rPr>
                <w:noProof/>
              </w:rPr>
              <w:t>Iesniedz dokumentāciju, kas ziņo par rīku izstrādes pabeigšanu.</w:t>
            </w:r>
          </w:p>
        </w:tc>
      </w:tr>
      <w:tr w:rsidR="00C972CB" w14:paraId="0D01BA26" w14:textId="77777777">
        <w:trPr>
          <w:trHeight w:val="309"/>
        </w:trPr>
        <w:tc>
          <w:tcPr>
            <w:tcW w:w="1253" w:type="dxa"/>
            <w:shd w:val="clear" w:color="auto" w:fill="C6EFCE"/>
            <w:noWrap/>
            <w:vAlign w:val="center"/>
          </w:tcPr>
          <w:p w14:paraId="7CC88111" w14:textId="77777777" w:rsidR="00C972CB" w:rsidRDefault="002457F6">
            <w:pPr>
              <w:pStyle w:val="P68B1DB1-Normal5"/>
              <w:jc w:val="center"/>
              <w:rPr>
                <w:noProof/>
              </w:rPr>
            </w:pPr>
            <w:r>
              <w:rPr>
                <w:noProof/>
              </w:rPr>
              <w:t>M1C1–9</w:t>
            </w:r>
          </w:p>
        </w:tc>
        <w:tc>
          <w:tcPr>
            <w:tcW w:w="1568" w:type="dxa"/>
            <w:shd w:val="clear" w:color="auto" w:fill="C6EFCE"/>
            <w:noWrap/>
            <w:vAlign w:val="center"/>
          </w:tcPr>
          <w:p w14:paraId="330C584C" w14:textId="77777777" w:rsidR="00C972CB" w:rsidRDefault="002457F6">
            <w:pPr>
              <w:pStyle w:val="P68B1DB1-Normal5"/>
              <w:jc w:val="center"/>
              <w:rPr>
                <w:noProof/>
              </w:rPr>
            </w:pPr>
            <w:r>
              <w:rPr>
                <w:noProof/>
              </w:rPr>
              <w:t>Ieguldījums 1,5: Kiberdrošība</w:t>
            </w:r>
          </w:p>
        </w:tc>
        <w:tc>
          <w:tcPr>
            <w:tcW w:w="1148" w:type="dxa"/>
            <w:shd w:val="clear" w:color="auto" w:fill="C6EFCE"/>
            <w:noWrap/>
            <w:vAlign w:val="center"/>
          </w:tcPr>
          <w:p w14:paraId="7BA41D78" w14:textId="77777777" w:rsidR="00C972CB" w:rsidRDefault="002457F6">
            <w:pPr>
              <w:pStyle w:val="P68B1DB1-Normal5"/>
              <w:jc w:val="center"/>
              <w:rPr>
                <w:noProof/>
              </w:rPr>
            </w:pPr>
            <w:r>
              <w:rPr>
                <w:noProof/>
              </w:rPr>
              <w:t>Mērķa</w:t>
            </w:r>
          </w:p>
        </w:tc>
        <w:tc>
          <w:tcPr>
            <w:tcW w:w="1470" w:type="dxa"/>
            <w:shd w:val="clear" w:color="auto" w:fill="C6EFCE"/>
            <w:noWrap/>
            <w:vAlign w:val="center"/>
          </w:tcPr>
          <w:p w14:paraId="620B77D5" w14:textId="77777777" w:rsidR="00C972CB" w:rsidRDefault="002457F6">
            <w:pPr>
              <w:pStyle w:val="P68B1DB1-Normal5"/>
              <w:jc w:val="center"/>
              <w:rPr>
                <w:noProof/>
              </w:rPr>
            </w:pPr>
            <w:r>
              <w:rPr>
                <w:noProof/>
              </w:rPr>
              <w:t>Atbalsts drošības struktūru uzlabošanai T1</w:t>
            </w:r>
          </w:p>
        </w:tc>
        <w:tc>
          <w:tcPr>
            <w:tcW w:w="1701" w:type="dxa"/>
            <w:shd w:val="clear" w:color="auto" w:fill="C6EFCE"/>
            <w:noWrap/>
            <w:vAlign w:val="center"/>
          </w:tcPr>
          <w:p w14:paraId="6D010E4D" w14:textId="77777777" w:rsidR="00C972CB" w:rsidRDefault="002457F6">
            <w:pPr>
              <w:pStyle w:val="P68B1DB1-Normal5"/>
              <w:jc w:val="center"/>
              <w:rPr>
                <w:noProof/>
              </w:rPr>
            </w:pPr>
            <w:r>
              <w:rPr>
                <w:noProof/>
              </w:rPr>
              <w:t>NEPIEMĒRO</w:t>
            </w:r>
          </w:p>
        </w:tc>
        <w:tc>
          <w:tcPr>
            <w:tcW w:w="1134" w:type="dxa"/>
            <w:shd w:val="clear" w:color="auto" w:fill="C6EFCE"/>
            <w:noWrap/>
            <w:vAlign w:val="center"/>
          </w:tcPr>
          <w:p w14:paraId="5C8E9DB3" w14:textId="77777777" w:rsidR="00C972CB" w:rsidRDefault="002457F6">
            <w:pPr>
              <w:pStyle w:val="P68B1DB1-Normal5"/>
              <w:jc w:val="center"/>
              <w:rPr>
                <w:noProof/>
              </w:rPr>
            </w:pPr>
            <w:r>
              <w:rPr>
                <w:noProof/>
              </w:rPr>
              <w:t>Skaits</w:t>
            </w:r>
          </w:p>
        </w:tc>
        <w:tc>
          <w:tcPr>
            <w:tcW w:w="1417" w:type="dxa"/>
            <w:shd w:val="clear" w:color="auto" w:fill="C6EFCE"/>
            <w:noWrap/>
            <w:vAlign w:val="center"/>
          </w:tcPr>
          <w:p w14:paraId="6644D46F" w14:textId="77777777" w:rsidR="00C972CB" w:rsidRDefault="002457F6">
            <w:pPr>
              <w:pStyle w:val="P68B1DB1-Normal5"/>
              <w:jc w:val="center"/>
              <w:rPr>
                <w:noProof/>
              </w:rPr>
            </w:pPr>
            <w:r>
              <w:rPr>
                <w:noProof/>
              </w:rPr>
              <w:t>0</w:t>
            </w:r>
          </w:p>
        </w:tc>
        <w:tc>
          <w:tcPr>
            <w:tcW w:w="1276" w:type="dxa"/>
            <w:shd w:val="clear" w:color="auto" w:fill="C6EFCE"/>
            <w:noWrap/>
            <w:vAlign w:val="center"/>
          </w:tcPr>
          <w:p w14:paraId="7996A28D" w14:textId="77777777" w:rsidR="00C972CB" w:rsidRDefault="002457F6">
            <w:pPr>
              <w:pStyle w:val="P68B1DB1-Normal5"/>
              <w:jc w:val="center"/>
              <w:rPr>
                <w:noProof/>
              </w:rPr>
            </w:pPr>
            <w:r>
              <w:rPr>
                <w:noProof/>
              </w:rPr>
              <w:t>5</w:t>
            </w:r>
          </w:p>
        </w:tc>
        <w:tc>
          <w:tcPr>
            <w:tcW w:w="850" w:type="dxa"/>
            <w:shd w:val="clear" w:color="auto" w:fill="C6EFCE"/>
            <w:noWrap/>
            <w:vAlign w:val="center"/>
          </w:tcPr>
          <w:p w14:paraId="22E70192"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13340BBE" w14:textId="77777777" w:rsidR="00C972CB" w:rsidRDefault="002457F6">
            <w:pPr>
              <w:pStyle w:val="P68B1DB1-Normal5"/>
              <w:jc w:val="center"/>
              <w:rPr>
                <w:noProof/>
              </w:rPr>
            </w:pPr>
            <w:r>
              <w:rPr>
                <w:noProof/>
              </w:rPr>
              <w:t>2022</w:t>
            </w:r>
          </w:p>
        </w:tc>
        <w:tc>
          <w:tcPr>
            <w:tcW w:w="2835" w:type="dxa"/>
            <w:shd w:val="clear" w:color="auto" w:fill="C6EFCE"/>
            <w:noWrap/>
            <w:vAlign w:val="center"/>
          </w:tcPr>
          <w:p w14:paraId="4EB3395C" w14:textId="77777777" w:rsidR="00C972CB" w:rsidRDefault="002457F6">
            <w:pPr>
              <w:pStyle w:val="P68B1DB1-Normal5"/>
              <w:spacing w:after="120"/>
              <w:rPr>
                <w:noProof/>
              </w:rPr>
            </w:pPr>
            <w:r>
              <w:rPr>
                <w:noProof/>
              </w:rPr>
              <w:t xml:space="preserve">Vismaz piecas </w:t>
            </w:r>
            <w:r>
              <w:rPr>
                <w:noProof/>
              </w:rPr>
              <w:t>pastiprinātas intervences, lai uzlabotu drošības struktūras, kas pabeigtas valsts kiberdrošības perimetra (PSNC) un tīklu un informācijas sistēmu (TID) nozarēs.</w:t>
            </w:r>
          </w:p>
          <w:p w14:paraId="4CAC673F" w14:textId="77777777" w:rsidR="00C972CB" w:rsidRDefault="002457F6">
            <w:pPr>
              <w:pStyle w:val="P68B1DB1-Normal5"/>
              <w:spacing w:after="120"/>
              <w:rPr>
                <w:noProof/>
              </w:rPr>
            </w:pPr>
            <w:r>
              <w:rPr>
                <w:noProof/>
              </w:rPr>
              <w:t>Intervences veidi ietver drošības operatīvo centru (SOC) modernizāciju, kiberrobežu aizsardzība</w:t>
            </w:r>
            <w:r>
              <w:rPr>
                <w:noProof/>
              </w:rPr>
              <w:t>s uzlabojumus un iekšējās uzraudzības un kontroles spējas. Intervences pasākumi ir vērsti uz veselības aprūpes, enerģētikas un vides (dzeramā ūdensapgādes) nozarēm.</w:t>
            </w:r>
          </w:p>
        </w:tc>
      </w:tr>
      <w:tr w:rsidR="00C972CB" w14:paraId="36A10D0E" w14:textId="77777777">
        <w:trPr>
          <w:trHeight w:val="309"/>
        </w:trPr>
        <w:tc>
          <w:tcPr>
            <w:tcW w:w="1253" w:type="dxa"/>
            <w:shd w:val="clear" w:color="auto" w:fill="C6EFCE"/>
            <w:noWrap/>
            <w:vAlign w:val="center"/>
          </w:tcPr>
          <w:p w14:paraId="164F0A9D" w14:textId="77777777" w:rsidR="00C972CB" w:rsidRDefault="002457F6">
            <w:pPr>
              <w:pStyle w:val="P68B1DB1-Normal5"/>
              <w:jc w:val="center"/>
              <w:rPr>
                <w:noProof/>
              </w:rPr>
            </w:pPr>
            <w:r>
              <w:rPr>
                <w:noProof/>
              </w:rPr>
              <w:t>M1C1–10</w:t>
            </w:r>
          </w:p>
        </w:tc>
        <w:tc>
          <w:tcPr>
            <w:tcW w:w="1568" w:type="dxa"/>
            <w:shd w:val="clear" w:color="auto" w:fill="C6EFCE"/>
            <w:noWrap/>
            <w:vAlign w:val="center"/>
          </w:tcPr>
          <w:p w14:paraId="7156F576" w14:textId="77777777" w:rsidR="00C972CB" w:rsidRDefault="002457F6">
            <w:pPr>
              <w:pStyle w:val="P68B1DB1-Normal5"/>
              <w:jc w:val="center"/>
              <w:rPr>
                <w:noProof/>
              </w:rPr>
            </w:pPr>
            <w:r>
              <w:rPr>
                <w:noProof/>
              </w:rPr>
              <w:t>Reforma: Pārveides atbalsts</w:t>
            </w:r>
          </w:p>
        </w:tc>
        <w:tc>
          <w:tcPr>
            <w:tcW w:w="1148" w:type="dxa"/>
            <w:shd w:val="clear" w:color="auto" w:fill="C6EFCE"/>
            <w:noWrap/>
            <w:vAlign w:val="center"/>
          </w:tcPr>
          <w:p w14:paraId="30139433"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7A292464" w14:textId="77777777" w:rsidR="00C972CB" w:rsidRDefault="002457F6">
            <w:pPr>
              <w:pStyle w:val="P68B1DB1-Normal5"/>
              <w:jc w:val="center"/>
              <w:rPr>
                <w:noProof/>
              </w:rPr>
            </w:pPr>
            <w:r>
              <w:rPr>
                <w:noProof/>
              </w:rPr>
              <w:t xml:space="preserve">Pārveides grupas un NewCo izveides </w:t>
            </w:r>
            <w:r>
              <w:rPr>
                <w:noProof/>
              </w:rPr>
              <w:t>stāšanās spēkā</w:t>
            </w:r>
          </w:p>
        </w:tc>
        <w:tc>
          <w:tcPr>
            <w:tcW w:w="1701" w:type="dxa"/>
            <w:shd w:val="clear" w:color="auto" w:fill="C6EFCE"/>
            <w:noWrap/>
            <w:vAlign w:val="center"/>
          </w:tcPr>
          <w:p w14:paraId="1766158E" w14:textId="77777777" w:rsidR="00C972CB" w:rsidRDefault="002457F6">
            <w:pPr>
              <w:pStyle w:val="P68B1DB1-Normal5"/>
              <w:jc w:val="center"/>
              <w:rPr>
                <w:noProof/>
              </w:rPr>
            </w:pPr>
            <w:r>
              <w:rPr>
                <w:noProof/>
              </w:rPr>
              <w:t>Tiesību akta noteikums, kas norāda, ka stājas spēkā tiesību akts, ar ko izveido Pārveidošanas biroju, un stājas spēkā tiesību akts par Jaunā kodeksa izveidi</w:t>
            </w:r>
          </w:p>
        </w:tc>
        <w:tc>
          <w:tcPr>
            <w:tcW w:w="1134" w:type="dxa"/>
            <w:shd w:val="clear" w:color="auto" w:fill="C6EFCE"/>
            <w:noWrap/>
            <w:vAlign w:val="center"/>
          </w:tcPr>
          <w:p w14:paraId="42559A90"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69176612"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41B39FA0"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22FF83DC"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3F725461" w14:textId="77777777" w:rsidR="00C972CB" w:rsidRDefault="002457F6">
            <w:pPr>
              <w:pStyle w:val="P68B1DB1-Normal5"/>
              <w:jc w:val="center"/>
              <w:rPr>
                <w:noProof/>
              </w:rPr>
            </w:pPr>
            <w:r>
              <w:rPr>
                <w:noProof/>
              </w:rPr>
              <w:t>2022</w:t>
            </w:r>
          </w:p>
        </w:tc>
        <w:tc>
          <w:tcPr>
            <w:tcW w:w="2835" w:type="dxa"/>
            <w:shd w:val="clear" w:color="auto" w:fill="C6EFCE"/>
            <w:noWrap/>
            <w:vAlign w:val="center"/>
          </w:tcPr>
          <w:p w14:paraId="201BF5B1" w14:textId="77777777" w:rsidR="00C972CB" w:rsidRDefault="002457F6">
            <w:pPr>
              <w:pStyle w:val="P68B1DB1-Normal4"/>
              <w:spacing w:after="120"/>
              <w:rPr>
                <w:noProof/>
                <w:color w:val="006100"/>
              </w:rPr>
            </w:pPr>
            <w:r>
              <w:rPr>
                <w:noProof/>
                <w:color w:val="006100"/>
              </w:rPr>
              <w:t xml:space="preserve">Pārveides biroja izveidei nepieciešamie </w:t>
            </w:r>
            <w:r>
              <w:rPr>
                <w:noProof/>
                <w:color w:val="006100"/>
              </w:rPr>
              <w:t>tiesībuakti ietver:</w:t>
            </w:r>
          </w:p>
          <w:p w14:paraId="6BAD42B7" w14:textId="77777777" w:rsidR="00C972CB" w:rsidRDefault="002457F6">
            <w:pPr>
              <w:pStyle w:val="P68B1DB1-ListParagraph6"/>
              <w:numPr>
                <w:ilvl w:val="0"/>
                <w:numId w:val="85"/>
              </w:numPr>
              <w:ind w:left="314" w:hanging="232"/>
              <w:jc w:val="left"/>
              <w:rPr>
                <w:noProof/>
              </w:rPr>
            </w:pPr>
            <w:r>
              <w:rPr>
                <w:noProof/>
              </w:rPr>
              <w:t>Likumdošanas dekrēta “reclutamento” publicēšana (ko jau apstiprinājusi Ministru padome Nr. 22 2021. gada 4. jūnijā</w:t>
            </w:r>
            <w:r>
              <w:rPr>
                <w:noProof/>
                <w:vertAlign w:val="superscript"/>
              </w:rPr>
              <w:t>un</w:t>
            </w:r>
            <w:r>
              <w:rPr>
                <w:noProof/>
              </w:rPr>
              <w:t xml:space="preserve"> publicēta Oficiālajā Vēstnesī (“Gazzetta Ufficiale”) 2021. gada 10.</w:t>
            </w:r>
            <w:r>
              <w:rPr>
                <w:noProof/>
                <w:vertAlign w:val="superscript"/>
              </w:rPr>
              <w:t>jūnijā</w:t>
            </w:r>
            <w:r>
              <w:rPr>
                <w:noProof/>
              </w:rPr>
              <w:t>);</w:t>
            </w:r>
          </w:p>
          <w:p w14:paraId="70E56841" w14:textId="77777777" w:rsidR="00C972CB" w:rsidRDefault="002457F6">
            <w:pPr>
              <w:pStyle w:val="P68B1DB1-ListParagraph6"/>
              <w:numPr>
                <w:ilvl w:val="0"/>
                <w:numId w:val="85"/>
              </w:numPr>
              <w:ind w:left="314" w:hanging="232"/>
              <w:jc w:val="left"/>
              <w:rPr>
                <w:noProof/>
              </w:rPr>
            </w:pPr>
            <w:r>
              <w:rPr>
                <w:noProof/>
              </w:rPr>
              <w:t xml:space="preserve">Uzaicinājuma izteikt ieinteresētību </w:t>
            </w:r>
            <w:r>
              <w:rPr>
                <w:noProof/>
              </w:rPr>
              <w:t>publicēšana;</w:t>
            </w:r>
          </w:p>
          <w:p w14:paraId="2BDD7688" w14:textId="77777777" w:rsidR="00C972CB" w:rsidRDefault="002457F6">
            <w:pPr>
              <w:pStyle w:val="P68B1DB1-ListParagraph6"/>
              <w:numPr>
                <w:ilvl w:val="0"/>
                <w:numId w:val="85"/>
              </w:numPr>
              <w:ind w:left="314" w:hanging="232"/>
              <w:jc w:val="left"/>
              <w:rPr>
                <w:noProof/>
              </w:rPr>
            </w:pPr>
            <w:r>
              <w:rPr>
                <w:noProof/>
              </w:rPr>
              <w:t>Norīkošanas atlase un piešķiršana ekspertiem (uz laiku uz ANM darbības laiku).</w:t>
            </w:r>
          </w:p>
          <w:p w14:paraId="6A190F0E" w14:textId="77777777" w:rsidR="00C972CB" w:rsidRDefault="002457F6">
            <w:pPr>
              <w:pStyle w:val="P68B1DB1-Normal5"/>
              <w:spacing w:after="120"/>
              <w:rPr>
                <w:noProof/>
              </w:rPr>
            </w:pPr>
            <w:r>
              <w:rPr>
                <w:noProof/>
              </w:rPr>
              <w:t>Attiecībā uz NewCo galvenie nepieciešamie pasākumi ietver:</w:t>
            </w:r>
          </w:p>
          <w:p w14:paraId="5E636925" w14:textId="77777777" w:rsidR="00C972CB" w:rsidRDefault="002457F6">
            <w:pPr>
              <w:pStyle w:val="P68B1DB1-ListParagraph6"/>
              <w:numPr>
                <w:ilvl w:val="0"/>
                <w:numId w:val="85"/>
              </w:numPr>
              <w:ind w:left="314" w:hanging="232"/>
              <w:jc w:val="left"/>
              <w:rPr>
                <w:noProof/>
              </w:rPr>
            </w:pPr>
            <w:r>
              <w:rPr>
                <w:noProof/>
              </w:rPr>
              <w:t>Likumdošanas atļauja;</w:t>
            </w:r>
          </w:p>
          <w:p w14:paraId="26C5A136" w14:textId="77777777" w:rsidR="00C972CB" w:rsidRDefault="002457F6">
            <w:pPr>
              <w:pStyle w:val="P68B1DB1-ListParagraph6"/>
              <w:numPr>
                <w:ilvl w:val="0"/>
                <w:numId w:val="85"/>
              </w:numPr>
              <w:ind w:left="314" w:hanging="232"/>
              <w:jc w:val="left"/>
              <w:rPr>
                <w:noProof/>
              </w:rPr>
            </w:pPr>
            <w:r>
              <w:rPr>
                <w:noProof/>
              </w:rPr>
              <w:t>Decreto del Presidente del Consiglio dei Ministri (DPCM), kas atļauj sabiedrības di</w:t>
            </w:r>
            <w:r>
              <w:rPr>
                <w:noProof/>
              </w:rPr>
              <w:t>bināšanu un nosaka uzņēmuma mērķus, pamatkapitālu, darbības ilgumu un direktorus;</w:t>
            </w:r>
          </w:p>
          <w:p w14:paraId="06C65642" w14:textId="77777777" w:rsidR="00C972CB" w:rsidRDefault="002457F6">
            <w:pPr>
              <w:pStyle w:val="P68B1DB1-ListParagraph6"/>
              <w:numPr>
                <w:ilvl w:val="0"/>
                <w:numId w:val="85"/>
              </w:numPr>
              <w:ind w:left="314" w:hanging="232"/>
              <w:jc w:val="left"/>
              <w:rPr>
                <w:noProof/>
              </w:rPr>
            </w:pPr>
            <w:r>
              <w:rPr>
                <w:noProof/>
              </w:rPr>
              <w:t>Uzņēmuma institūcija ar notariālu aktu;</w:t>
            </w:r>
          </w:p>
          <w:p w14:paraId="01E7D9F4" w14:textId="77777777" w:rsidR="00C972CB" w:rsidRDefault="002457F6">
            <w:pPr>
              <w:pStyle w:val="P68B1DB1-ListParagraph6"/>
              <w:numPr>
                <w:ilvl w:val="0"/>
                <w:numId w:val="85"/>
              </w:numPr>
              <w:ind w:left="314" w:hanging="232"/>
              <w:jc w:val="left"/>
              <w:rPr>
                <w:noProof/>
              </w:rPr>
            </w:pPr>
            <w:r>
              <w:rPr>
                <w:noProof/>
              </w:rPr>
              <w:t>Darbības, kas nepieciešamas, lai sabiedrība varētu darboties — statūti un dažādi noteikumi.</w:t>
            </w:r>
          </w:p>
        </w:tc>
      </w:tr>
      <w:tr w:rsidR="00C972CB" w14:paraId="4DA45C40" w14:textId="77777777">
        <w:trPr>
          <w:trHeight w:val="309"/>
        </w:trPr>
        <w:tc>
          <w:tcPr>
            <w:tcW w:w="1253" w:type="dxa"/>
            <w:shd w:val="clear" w:color="auto" w:fill="C6EFCE"/>
            <w:noWrap/>
            <w:vAlign w:val="center"/>
          </w:tcPr>
          <w:p w14:paraId="5B7E9A65" w14:textId="77777777" w:rsidR="00C972CB" w:rsidRDefault="002457F6">
            <w:pPr>
              <w:pStyle w:val="P68B1DB1-Normal5"/>
              <w:jc w:val="center"/>
              <w:rPr>
                <w:noProof/>
              </w:rPr>
            </w:pPr>
            <w:r>
              <w:rPr>
                <w:noProof/>
              </w:rPr>
              <w:t>M1C1–11</w:t>
            </w:r>
          </w:p>
        </w:tc>
        <w:tc>
          <w:tcPr>
            <w:tcW w:w="1568" w:type="dxa"/>
            <w:shd w:val="clear" w:color="auto" w:fill="C6EFCE"/>
            <w:noWrap/>
            <w:vAlign w:val="center"/>
          </w:tcPr>
          <w:p w14:paraId="22F5EA09" w14:textId="58211B0B" w:rsidR="00C972CB" w:rsidRDefault="002457F6">
            <w:pPr>
              <w:pStyle w:val="P68B1DB1-Normal5"/>
              <w:jc w:val="center"/>
              <w:rPr>
                <w:noProof/>
              </w:rPr>
            </w:pPr>
            <w:r>
              <w:rPr>
                <w:noProof/>
              </w:rPr>
              <w:t xml:space="preserve">Ieguldījums 1.6.6.: Finanšu </w:t>
            </w:r>
            <w:r>
              <w:rPr>
                <w:noProof/>
              </w:rPr>
              <w:t>policijas digitalizācija</w:t>
            </w:r>
          </w:p>
        </w:tc>
        <w:tc>
          <w:tcPr>
            <w:tcW w:w="1148" w:type="dxa"/>
            <w:shd w:val="clear" w:color="auto" w:fill="C6EFCE"/>
            <w:noWrap/>
            <w:vAlign w:val="center"/>
          </w:tcPr>
          <w:p w14:paraId="4F2030D6" w14:textId="77777777" w:rsidR="00C972CB" w:rsidRDefault="002457F6">
            <w:pPr>
              <w:pStyle w:val="P68B1DB1-Normal5"/>
              <w:jc w:val="center"/>
              <w:rPr>
                <w:noProof/>
              </w:rPr>
            </w:pPr>
            <w:r>
              <w:rPr>
                <w:noProof/>
              </w:rPr>
              <w:t>Mērķa</w:t>
            </w:r>
          </w:p>
        </w:tc>
        <w:tc>
          <w:tcPr>
            <w:tcW w:w="1470" w:type="dxa"/>
            <w:shd w:val="clear" w:color="auto" w:fill="C6EFCE"/>
            <w:noWrap/>
            <w:vAlign w:val="center"/>
          </w:tcPr>
          <w:p w14:paraId="20FE6C38" w14:textId="77777777" w:rsidR="00C972CB" w:rsidRDefault="002457F6">
            <w:pPr>
              <w:pStyle w:val="P68B1DB1-Normal5"/>
              <w:jc w:val="center"/>
              <w:rPr>
                <w:noProof/>
              </w:rPr>
            </w:pPr>
            <w:r>
              <w:rPr>
                <w:noProof/>
              </w:rPr>
              <w:t>Finanšu policija — profesionālo datu zinātnes pakalpojumu iegāde T1</w:t>
            </w:r>
          </w:p>
        </w:tc>
        <w:tc>
          <w:tcPr>
            <w:tcW w:w="1701" w:type="dxa"/>
            <w:shd w:val="clear" w:color="auto" w:fill="C6EFCE"/>
            <w:noWrap/>
            <w:vAlign w:val="center"/>
          </w:tcPr>
          <w:p w14:paraId="5B8A5817" w14:textId="77777777" w:rsidR="00C972CB" w:rsidRDefault="002457F6">
            <w:pPr>
              <w:pStyle w:val="P68B1DB1-Normal5"/>
              <w:jc w:val="center"/>
              <w:rPr>
                <w:noProof/>
              </w:rPr>
            </w:pPr>
            <w:r>
              <w:rPr>
                <w:noProof/>
              </w:rPr>
              <w:t>NEPIEMĒRO</w:t>
            </w:r>
          </w:p>
        </w:tc>
        <w:tc>
          <w:tcPr>
            <w:tcW w:w="1134" w:type="dxa"/>
            <w:shd w:val="clear" w:color="auto" w:fill="C6EFCE"/>
            <w:noWrap/>
            <w:vAlign w:val="center"/>
          </w:tcPr>
          <w:p w14:paraId="65624996" w14:textId="77777777" w:rsidR="00C972CB" w:rsidRDefault="002457F6">
            <w:pPr>
              <w:pStyle w:val="P68B1DB1-Normal5"/>
              <w:jc w:val="center"/>
              <w:rPr>
                <w:noProof/>
              </w:rPr>
            </w:pPr>
            <w:r>
              <w:rPr>
                <w:noProof/>
              </w:rPr>
              <w:t>Skaits</w:t>
            </w:r>
          </w:p>
        </w:tc>
        <w:tc>
          <w:tcPr>
            <w:tcW w:w="1417" w:type="dxa"/>
            <w:shd w:val="clear" w:color="auto" w:fill="C6EFCE"/>
            <w:noWrap/>
            <w:vAlign w:val="center"/>
          </w:tcPr>
          <w:p w14:paraId="06ADFA87" w14:textId="77777777" w:rsidR="00C972CB" w:rsidRDefault="002457F6">
            <w:pPr>
              <w:pStyle w:val="P68B1DB1-Normal5"/>
              <w:jc w:val="center"/>
              <w:rPr>
                <w:noProof/>
              </w:rPr>
            </w:pPr>
            <w:r>
              <w:rPr>
                <w:noProof/>
              </w:rPr>
              <w:t>0</w:t>
            </w:r>
          </w:p>
        </w:tc>
        <w:tc>
          <w:tcPr>
            <w:tcW w:w="1276" w:type="dxa"/>
            <w:shd w:val="clear" w:color="auto" w:fill="C6EFCE"/>
            <w:noWrap/>
            <w:vAlign w:val="center"/>
          </w:tcPr>
          <w:p w14:paraId="5B70CA42" w14:textId="77777777" w:rsidR="00C972CB" w:rsidRDefault="002457F6">
            <w:pPr>
              <w:pStyle w:val="P68B1DB1-Normal5"/>
              <w:jc w:val="center"/>
              <w:rPr>
                <w:noProof/>
              </w:rPr>
            </w:pPr>
            <w:r>
              <w:rPr>
                <w:noProof/>
              </w:rPr>
              <w:t>5</w:t>
            </w:r>
          </w:p>
        </w:tc>
        <w:tc>
          <w:tcPr>
            <w:tcW w:w="850" w:type="dxa"/>
            <w:shd w:val="clear" w:color="auto" w:fill="C6EFCE"/>
            <w:noWrap/>
            <w:vAlign w:val="center"/>
          </w:tcPr>
          <w:p w14:paraId="110C2F2E" w14:textId="77777777" w:rsidR="00C972CB" w:rsidRDefault="002457F6">
            <w:pPr>
              <w:pStyle w:val="P68B1DB1-Normal5"/>
              <w:jc w:val="center"/>
              <w:rPr>
                <w:noProof/>
              </w:rPr>
            </w:pPr>
            <w:r>
              <w:rPr>
                <w:noProof/>
              </w:rPr>
              <w:t>1. CET.</w:t>
            </w:r>
          </w:p>
        </w:tc>
        <w:tc>
          <w:tcPr>
            <w:tcW w:w="709" w:type="dxa"/>
            <w:shd w:val="clear" w:color="auto" w:fill="C6EFCE"/>
            <w:noWrap/>
            <w:vAlign w:val="center"/>
          </w:tcPr>
          <w:p w14:paraId="1B7AAC17" w14:textId="77777777" w:rsidR="00C972CB" w:rsidRDefault="002457F6">
            <w:pPr>
              <w:pStyle w:val="P68B1DB1-Normal5"/>
              <w:jc w:val="center"/>
              <w:rPr>
                <w:noProof/>
              </w:rPr>
            </w:pPr>
            <w:r>
              <w:rPr>
                <w:noProof/>
              </w:rPr>
              <w:t>2023</w:t>
            </w:r>
          </w:p>
        </w:tc>
        <w:tc>
          <w:tcPr>
            <w:tcW w:w="2835" w:type="dxa"/>
            <w:shd w:val="clear" w:color="auto" w:fill="C6EFCE"/>
            <w:noWrap/>
            <w:vAlign w:val="center"/>
          </w:tcPr>
          <w:p w14:paraId="4C28A08F" w14:textId="77777777" w:rsidR="00C972CB" w:rsidRDefault="002457F6">
            <w:pPr>
              <w:pStyle w:val="P68B1DB1-Normal5"/>
              <w:spacing w:after="120"/>
              <w:rPr>
                <w:noProof/>
              </w:rPr>
            </w:pPr>
            <w:r>
              <w:rPr>
                <w:noProof/>
              </w:rPr>
              <w:t>Profesionālu datu zinātnes pakalpojumu iegāde, slēdzot līgumu ar konsultāciju pakalpojumu sniedzēju, kurā iesaistīti pieci cilvēkresursi, kas ir atbildīgi gan par datu arhitektūras izstrādi, gan par lielo datu analīzes nodaļas algoritmu rakstīšanu. Datu zi</w:t>
            </w:r>
            <w:r>
              <w:rPr>
                <w:noProof/>
              </w:rPr>
              <w:t>nātnes pakalpojumu iegādes līguma publicēšana saskaņā ar Tehniskajiem norādījumiem “Nenodarīt būtisku kaitējumu” (2021/C58/01), izmantojot izslēgšanas sarakstu un prasību par atbilstību attiecīgajiem ES un valstu tiesību aktiem vides jomā, un valsts mērogā</w:t>
            </w:r>
            <w:r>
              <w:rPr>
                <w:noProof/>
              </w:rPr>
              <w:t xml:space="preserve"> publiskojot jaunus rīkus pirmajā analīzes modulī (IT mugurkaulā).</w:t>
            </w:r>
          </w:p>
        </w:tc>
      </w:tr>
      <w:tr w:rsidR="00C972CB" w14:paraId="54449D44" w14:textId="77777777">
        <w:trPr>
          <w:trHeight w:val="309"/>
        </w:trPr>
        <w:tc>
          <w:tcPr>
            <w:tcW w:w="1253" w:type="dxa"/>
            <w:shd w:val="clear" w:color="auto" w:fill="C6EFCE"/>
            <w:noWrap/>
            <w:vAlign w:val="center"/>
          </w:tcPr>
          <w:p w14:paraId="3573D5F9" w14:textId="77777777" w:rsidR="00C972CB" w:rsidRDefault="002457F6">
            <w:pPr>
              <w:pStyle w:val="P68B1DB1-Normal5"/>
              <w:jc w:val="center"/>
              <w:rPr>
                <w:noProof/>
              </w:rPr>
            </w:pPr>
            <w:r>
              <w:rPr>
                <w:noProof/>
              </w:rPr>
              <w:t>M1C1–12</w:t>
            </w:r>
          </w:p>
        </w:tc>
        <w:tc>
          <w:tcPr>
            <w:tcW w:w="1568" w:type="dxa"/>
            <w:shd w:val="clear" w:color="auto" w:fill="C6EFCE"/>
            <w:noWrap/>
            <w:vAlign w:val="center"/>
          </w:tcPr>
          <w:p w14:paraId="530ED352" w14:textId="7EFF5E3B" w:rsidR="00C972CB" w:rsidRDefault="002457F6">
            <w:pPr>
              <w:pStyle w:val="P68B1DB1-Normal5"/>
              <w:jc w:val="center"/>
              <w:rPr>
                <w:noProof/>
              </w:rPr>
            </w:pPr>
            <w:r>
              <w:rPr>
                <w:noProof/>
              </w:rPr>
              <w:t>Investīcijas 1.3.2.: Vienotā digitālā vārteja</w:t>
            </w:r>
          </w:p>
        </w:tc>
        <w:tc>
          <w:tcPr>
            <w:tcW w:w="1148" w:type="dxa"/>
            <w:shd w:val="clear" w:color="auto" w:fill="C6EFCE"/>
            <w:noWrap/>
            <w:vAlign w:val="center"/>
          </w:tcPr>
          <w:p w14:paraId="7ACDC1C9" w14:textId="77777777" w:rsidR="00C972CB" w:rsidRDefault="002457F6">
            <w:pPr>
              <w:pStyle w:val="P68B1DB1-Normal5"/>
              <w:jc w:val="center"/>
              <w:rPr>
                <w:noProof/>
              </w:rPr>
            </w:pPr>
            <w:r>
              <w:rPr>
                <w:noProof/>
              </w:rPr>
              <w:t>Mērķa</w:t>
            </w:r>
          </w:p>
        </w:tc>
        <w:tc>
          <w:tcPr>
            <w:tcW w:w="1470" w:type="dxa"/>
            <w:shd w:val="clear" w:color="auto" w:fill="C6EFCE"/>
            <w:noWrap/>
            <w:vAlign w:val="center"/>
          </w:tcPr>
          <w:p w14:paraId="4290236C" w14:textId="77777777" w:rsidR="00C972CB" w:rsidRDefault="002457F6">
            <w:pPr>
              <w:pStyle w:val="P68B1DB1-Normal5"/>
              <w:jc w:val="center"/>
              <w:rPr>
                <w:noProof/>
              </w:rPr>
            </w:pPr>
            <w:r>
              <w:rPr>
                <w:noProof/>
              </w:rPr>
              <w:t>Vienotā digitālā vārteja</w:t>
            </w:r>
          </w:p>
        </w:tc>
        <w:tc>
          <w:tcPr>
            <w:tcW w:w="1701" w:type="dxa"/>
            <w:shd w:val="clear" w:color="auto" w:fill="C6EFCE"/>
            <w:noWrap/>
            <w:vAlign w:val="center"/>
          </w:tcPr>
          <w:p w14:paraId="2EABB330" w14:textId="77777777" w:rsidR="00C972CB" w:rsidRDefault="002457F6">
            <w:pPr>
              <w:pStyle w:val="P68B1DB1-Normal5"/>
              <w:jc w:val="center"/>
              <w:rPr>
                <w:noProof/>
              </w:rPr>
            </w:pPr>
            <w:r>
              <w:rPr>
                <w:noProof/>
              </w:rPr>
              <w:t>NEPIEMĒRO</w:t>
            </w:r>
          </w:p>
        </w:tc>
        <w:tc>
          <w:tcPr>
            <w:tcW w:w="1134" w:type="dxa"/>
            <w:shd w:val="clear" w:color="auto" w:fill="C6EFCE"/>
            <w:noWrap/>
            <w:vAlign w:val="center"/>
          </w:tcPr>
          <w:p w14:paraId="0C0600D2" w14:textId="77777777" w:rsidR="00C972CB" w:rsidRDefault="002457F6">
            <w:pPr>
              <w:pStyle w:val="P68B1DB1-Normal5"/>
              <w:jc w:val="center"/>
              <w:rPr>
                <w:noProof/>
              </w:rPr>
            </w:pPr>
            <w:r>
              <w:rPr>
                <w:noProof/>
              </w:rPr>
              <w:t>Skaits</w:t>
            </w:r>
          </w:p>
        </w:tc>
        <w:tc>
          <w:tcPr>
            <w:tcW w:w="1417" w:type="dxa"/>
            <w:shd w:val="clear" w:color="auto" w:fill="C6EFCE"/>
            <w:noWrap/>
            <w:vAlign w:val="center"/>
          </w:tcPr>
          <w:p w14:paraId="5D5A3D99" w14:textId="77777777" w:rsidR="00C972CB" w:rsidRDefault="002457F6">
            <w:pPr>
              <w:pStyle w:val="P68B1DB1-Normal5"/>
              <w:jc w:val="center"/>
              <w:rPr>
                <w:noProof/>
              </w:rPr>
            </w:pPr>
            <w:r>
              <w:rPr>
                <w:noProof/>
              </w:rPr>
              <w:t>0</w:t>
            </w:r>
          </w:p>
        </w:tc>
        <w:tc>
          <w:tcPr>
            <w:tcW w:w="1276" w:type="dxa"/>
            <w:shd w:val="clear" w:color="auto" w:fill="C6EFCE"/>
            <w:noWrap/>
            <w:vAlign w:val="center"/>
          </w:tcPr>
          <w:p w14:paraId="69F9F118" w14:textId="77777777" w:rsidR="00C972CB" w:rsidRDefault="002457F6">
            <w:pPr>
              <w:pStyle w:val="P68B1DB1-Normal5"/>
              <w:jc w:val="center"/>
              <w:rPr>
                <w:noProof/>
              </w:rPr>
            </w:pPr>
            <w:r>
              <w:rPr>
                <w:noProof/>
              </w:rPr>
              <w:t>19</w:t>
            </w:r>
          </w:p>
        </w:tc>
        <w:tc>
          <w:tcPr>
            <w:tcW w:w="850" w:type="dxa"/>
            <w:shd w:val="clear" w:color="auto" w:fill="C6EFCE"/>
            <w:noWrap/>
            <w:vAlign w:val="center"/>
          </w:tcPr>
          <w:p w14:paraId="34A30FBE"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6E9FC6AF" w14:textId="77777777" w:rsidR="00C972CB" w:rsidRDefault="002457F6">
            <w:pPr>
              <w:pStyle w:val="P68B1DB1-Normal5"/>
              <w:jc w:val="center"/>
              <w:rPr>
                <w:noProof/>
              </w:rPr>
            </w:pPr>
            <w:r>
              <w:rPr>
                <w:noProof/>
              </w:rPr>
              <w:t>2023</w:t>
            </w:r>
          </w:p>
        </w:tc>
        <w:tc>
          <w:tcPr>
            <w:tcW w:w="2835" w:type="dxa"/>
            <w:shd w:val="clear" w:color="auto" w:fill="C6EFCE"/>
            <w:noWrap/>
            <w:vAlign w:val="center"/>
          </w:tcPr>
          <w:p w14:paraId="02961F8A" w14:textId="53CB5BBF" w:rsidR="00C972CB" w:rsidRDefault="002457F6">
            <w:pPr>
              <w:pStyle w:val="P68B1DB1-Normal5"/>
              <w:spacing w:after="120"/>
              <w:rPr>
                <w:noProof/>
              </w:rPr>
            </w:pPr>
            <w:r>
              <w:rPr>
                <w:noProof/>
              </w:rPr>
              <w:t xml:space="preserve">19 prioritārās administratīvās procedūras, kas piemērojamas Itālijā </w:t>
            </w:r>
            <w:r>
              <w:rPr>
                <w:noProof/>
              </w:rPr>
              <w:t>no 21 procedūras, kura noteikta ES Regulā 2018/1724, pilnībā atbilst ES Regulas 2018/1724 6. pantā noteiktajām prasībām. Konkrētāk: lietotāju identifikāciju, informācijas un apstiprinošu pierādījumu sniegšanu, parakstu un galīgo iesniegšanu veic elektronis</w:t>
            </w:r>
            <w:r>
              <w:rPr>
                <w:noProof/>
              </w:rPr>
              <w:t>ki no attāluma, izmantojot pakalpojumu kanālu, kas ļauj lietotājiem lietotājam ērtā un strukturētā veidā izpildīt ar procedūru saistītās prasības; lietotājiem izsniedz automātisku saņemšanas apstiprinājumu, ja vien procedūras rezultāti netiek sniegti nekav</w:t>
            </w:r>
            <w:r>
              <w:rPr>
                <w:noProof/>
              </w:rPr>
              <w:t>ējoties; procedūras rezultātus piegādā elektroniski vai, ja tas nepieciešams, lai nodrošinātu atbilstību piemērojamajiem Savienības vai valsts tiesību aktiem, nodrošina ar fiziskiem līdzekļiem; lietotājiem nodrošina elektronisku paziņojumu par procedūras p</w:t>
            </w:r>
            <w:r>
              <w:rPr>
                <w:noProof/>
              </w:rPr>
              <w:t>abeigšanu.</w:t>
            </w:r>
          </w:p>
        </w:tc>
      </w:tr>
      <w:tr w:rsidR="00C972CB" w14:paraId="7E6299EB" w14:textId="77777777">
        <w:trPr>
          <w:trHeight w:val="309"/>
        </w:trPr>
        <w:tc>
          <w:tcPr>
            <w:tcW w:w="1253" w:type="dxa"/>
            <w:shd w:val="clear" w:color="auto" w:fill="C6EFCE"/>
            <w:noWrap/>
            <w:vAlign w:val="center"/>
          </w:tcPr>
          <w:p w14:paraId="67521305" w14:textId="77777777" w:rsidR="00C972CB" w:rsidRDefault="002457F6">
            <w:pPr>
              <w:pStyle w:val="P68B1DB1-Normal5"/>
              <w:jc w:val="center"/>
              <w:rPr>
                <w:noProof/>
              </w:rPr>
            </w:pPr>
            <w:r>
              <w:rPr>
                <w:noProof/>
              </w:rPr>
              <w:t>M1C1–13</w:t>
            </w:r>
          </w:p>
        </w:tc>
        <w:tc>
          <w:tcPr>
            <w:tcW w:w="1568" w:type="dxa"/>
            <w:shd w:val="clear" w:color="auto" w:fill="C6EFCE"/>
            <w:noWrap/>
            <w:vAlign w:val="center"/>
          </w:tcPr>
          <w:p w14:paraId="52B08513" w14:textId="77777777" w:rsidR="00C972CB" w:rsidRDefault="002457F6">
            <w:pPr>
              <w:pStyle w:val="P68B1DB1-Normal5"/>
              <w:jc w:val="center"/>
              <w:rPr>
                <w:noProof/>
              </w:rPr>
            </w:pPr>
            <w:r>
              <w:rPr>
                <w:noProof/>
              </w:rPr>
              <w:t>Ieguldījums 1.4.6.:</w:t>
            </w:r>
          </w:p>
          <w:p w14:paraId="58EE1712" w14:textId="77777777" w:rsidR="00C972CB" w:rsidRDefault="002457F6">
            <w:pPr>
              <w:pStyle w:val="P68B1DB1-Normal5"/>
              <w:jc w:val="center"/>
              <w:rPr>
                <w:noProof/>
              </w:rPr>
            </w:pPr>
            <w:r>
              <w:rPr>
                <w:noProof/>
              </w:rPr>
              <w:t>Mobilitāte kā pakalpojums Itālijai</w:t>
            </w:r>
          </w:p>
        </w:tc>
        <w:tc>
          <w:tcPr>
            <w:tcW w:w="1148" w:type="dxa"/>
            <w:shd w:val="clear" w:color="auto" w:fill="C6EFCE"/>
            <w:noWrap/>
            <w:vAlign w:val="center"/>
          </w:tcPr>
          <w:p w14:paraId="40F80054"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05317AD9" w14:textId="77777777" w:rsidR="00C972CB" w:rsidRDefault="002457F6">
            <w:pPr>
              <w:pStyle w:val="P68B1DB1-Normal5"/>
              <w:jc w:val="center"/>
              <w:rPr>
                <w:noProof/>
              </w:rPr>
            </w:pPr>
            <w:r>
              <w:rPr>
                <w:noProof/>
              </w:rPr>
              <w:t>Mobilitāte kā pakalpojumu risinājumi M1</w:t>
            </w:r>
          </w:p>
        </w:tc>
        <w:tc>
          <w:tcPr>
            <w:tcW w:w="1701" w:type="dxa"/>
            <w:shd w:val="clear" w:color="auto" w:fill="C6EFCE"/>
            <w:noWrap/>
            <w:vAlign w:val="center"/>
          </w:tcPr>
          <w:p w14:paraId="564292A0" w14:textId="2EFEB7C6" w:rsidR="00C972CB" w:rsidRDefault="002457F6">
            <w:pPr>
              <w:pStyle w:val="P68B1DB1-Normal5"/>
              <w:jc w:val="center"/>
              <w:rPr>
                <w:noProof/>
              </w:rPr>
            </w:pPr>
            <w:r>
              <w:rPr>
                <w:noProof/>
              </w:rPr>
              <w:t xml:space="preserve">Ministero delle Infrastrutture e della Mobilità Sostenibili (MIMS) sadarbībā ar universitātēm sagatavots ziņojums, kurā </w:t>
            </w:r>
            <w:r>
              <w:rPr>
                <w:noProof/>
              </w:rPr>
              <w:t>aprakstīta trīs izmēģinājuma projektu īstenošana un novērtējums</w:t>
            </w:r>
          </w:p>
        </w:tc>
        <w:tc>
          <w:tcPr>
            <w:tcW w:w="1134" w:type="dxa"/>
            <w:shd w:val="clear" w:color="auto" w:fill="C6EFCE"/>
            <w:noWrap/>
            <w:vAlign w:val="center"/>
          </w:tcPr>
          <w:p w14:paraId="52FFDC04"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3CA861C4"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22BB6DA7"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0B6A6428"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0B9106C3" w14:textId="77777777" w:rsidR="00C972CB" w:rsidRDefault="002457F6">
            <w:pPr>
              <w:pStyle w:val="P68B1DB1-Normal5"/>
              <w:jc w:val="center"/>
              <w:rPr>
                <w:noProof/>
              </w:rPr>
            </w:pPr>
            <w:r>
              <w:rPr>
                <w:noProof/>
              </w:rPr>
              <w:t>2023</w:t>
            </w:r>
          </w:p>
        </w:tc>
        <w:tc>
          <w:tcPr>
            <w:tcW w:w="2835" w:type="dxa"/>
            <w:shd w:val="clear" w:color="auto" w:fill="C6EFCE"/>
            <w:noWrap/>
            <w:vAlign w:val="center"/>
          </w:tcPr>
          <w:p w14:paraId="55BD0B1B" w14:textId="77777777" w:rsidR="00C972CB" w:rsidRDefault="002457F6">
            <w:pPr>
              <w:pStyle w:val="P68B1DB1-Normal5"/>
              <w:spacing w:after="120"/>
              <w:rPr>
                <w:noProof/>
              </w:rPr>
            </w:pPr>
            <w:r>
              <w:rPr>
                <w:noProof/>
              </w:rPr>
              <w:t>Ir īstenoti trīs izmēģinājuma projekti, kuru mērķis ir testēt mobilitāti kā pakalpojumu risinājumus tehnoloģiski progresīvās lielpilsētās.</w:t>
            </w:r>
          </w:p>
          <w:p w14:paraId="505FE15A" w14:textId="77777777" w:rsidR="00C972CB" w:rsidRDefault="002457F6">
            <w:pPr>
              <w:pStyle w:val="P68B1DB1-Normal5"/>
              <w:spacing w:after="120"/>
              <w:rPr>
                <w:noProof/>
              </w:rPr>
            </w:pPr>
            <w:r>
              <w:rPr>
                <w:noProof/>
              </w:rPr>
              <w:t>Izmēģināju</w:t>
            </w:r>
            <w:r>
              <w:rPr>
                <w:noProof/>
              </w:rPr>
              <w:t>ma periodā katru risinājumu ir izmantojuši vismaz 1000 lietotāji.</w:t>
            </w:r>
          </w:p>
          <w:p w14:paraId="09550BAC" w14:textId="77777777" w:rsidR="00C972CB" w:rsidRDefault="002457F6">
            <w:pPr>
              <w:pStyle w:val="P68B1DB1-Normal5"/>
              <w:spacing w:after="120"/>
              <w:rPr>
                <w:noProof/>
              </w:rPr>
            </w:pPr>
            <w:r>
              <w:rPr>
                <w:noProof/>
              </w:rPr>
              <w:t>Katrā izmēģinājuma projektā var piedalīties vismaz 1000 lietotāji, kuriem ir iespēja brīvprātīgi un par saviem līdzekļiem piekļūt šim projektam un sniegt individuālu novērtējumu ar iespēju i</w:t>
            </w:r>
            <w:r>
              <w:rPr>
                <w:noProof/>
              </w:rPr>
              <w:t>zvēlēties un iegādāties mobilitātes pakalpojumus no platformā pieejamajiem pakalpojumiem.</w:t>
            </w:r>
          </w:p>
          <w:p w14:paraId="1EAD6E06" w14:textId="77777777" w:rsidR="00C972CB" w:rsidRDefault="002457F6">
            <w:pPr>
              <w:pStyle w:val="P68B1DB1-Normal5"/>
              <w:spacing w:after="120"/>
              <w:rPr>
                <w:noProof/>
              </w:rPr>
            </w:pPr>
            <w:r>
              <w:rPr>
                <w:noProof/>
              </w:rPr>
              <w:t>MaaS pakalpojums, izmantojot vienotu tehnoloģisko platformu, piedāvā iedzīvotājiem un lietotājam labāko ceļošanas risinājumu, pamatojoties uz viņa vajadzībām, izmanto</w:t>
            </w:r>
            <w:r>
              <w:rPr>
                <w:noProof/>
              </w:rPr>
              <w:t xml:space="preserve">jot integrāciju starp dažādām pieejamām mobilitātes iespējām (vietējais sabiedriskais transports, koplietošana, kabīne, automobiļu noma), lai optimizētu ceļošanas pieredzi gan plānošanas (intermodālo maršrutu plānotājs un reāllaika informācija par laikiem </w:t>
            </w:r>
            <w:r>
              <w:rPr>
                <w:noProof/>
              </w:rPr>
              <w:t>un attālumiem), gan izmantošanas ziņā (pakalpojumu rezervēšana un samaksa).</w:t>
            </w:r>
          </w:p>
        </w:tc>
      </w:tr>
      <w:tr w:rsidR="00C972CB" w14:paraId="3B0462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1DAA6A" w14:textId="1FC22312" w:rsidR="00C972CB" w:rsidRDefault="002457F6">
            <w:pPr>
              <w:pStyle w:val="P68B1DB1-Normal5"/>
              <w:jc w:val="center"/>
              <w:rPr>
                <w:noProof/>
              </w:rPr>
            </w:pPr>
            <w:r>
              <w:rPr>
                <w:noProof/>
              </w:rPr>
              <w:t>M1C1–14bis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F46F9" w14:textId="2D54A1CE" w:rsidR="00C972CB" w:rsidRDefault="002457F6">
            <w:pPr>
              <w:pStyle w:val="P68B1DB1-Normal5"/>
              <w:jc w:val="center"/>
              <w:rPr>
                <w:noProof/>
              </w:rPr>
            </w:pPr>
            <w:r>
              <w:rPr>
                <w:noProof/>
              </w:rPr>
              <w:t>Reforma 1.9.1.: Reforma kohēzijas politikas īstenošanas paātrināšanai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F2AD93" w14:textId="77777777" w:rsidR="00C972CB" w:rsidRDefault="002457F6">
            <w:pPr>
              <w:pStyle w:val="P68B1DB1-Normal5"/>
              <w:jc w:val="center"/>
              <w:rPr>
                <w:noProof/>
              </w:rPr>
            </w:pPr>
            <w:r>
              <w:rPr>
                <w:noProof/>
              </w:rPr>
              <w:t xml:space="preserve">Starpposma mērķis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9C8A1" w14:textId="33266AA7" w:rsidR="00C972CB" w:rsidRDefault="002457F6">
            <w:pPr>
              <w:pStyle w:val="P68B1DB1-Normal5"/>
              <w:jc w:val="center"/>
              <w:rPr>
                <w:noProof/>
              </w:rPr>
            </w:pPr>
            <w:r>
              <w:rPr>
                <w:noProof/>
              </w:rPr>
              <w:t xml:space="preserve">Valsts tiesību aktu stāšanās spēkā kohēzijas politikas īstenošanas </w:t>
            </w:r>
            <w:r>
              <w:rPr>
                <w:noProof/>
              </w:rPr>
              <w:t>paātrināšanai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2955E" w14:textId="1561F2AD" w:rsidR="00C972CB" w:rsidRDefault="002457F6">
            <w:pPr>
              <w:pStyle w:val="P68B1DB1-Normal5"/>
              <w:jc w:val="center"/>
              <w:rPr>
                <w:noProof/>
              </w:rPr>
            </w:pPr>
            <w:r>
              <w:rPr>
                <w:noProof/>
              </w:rPr>
              <w:t xml:space="preserve">Likuma noteikums, kas norāda uz valsts tiesību aktu stāšanos spēkā, lai paātrinātu kohēzijas politikas īstenošanu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78F891" w14:textId="38AB563E"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475BD" w14:textId="20185FF8"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5D429" w14:textId="62265F98"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91671" w14:textId="48F301EE"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4EB61C" w14:textId="0EBEF448"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1A2B" w14:textId="77777777" w:rsidR="00C972CB" w:rsidRDefault="002457F6">
            <w:pPr>
              <w:pStyle w:val="P68B1DB1-Normal5"/>
              <w:spacing w:after="120"/>
              <w:rPr>
                <w:noProof/>
              </w:rPr>
            </w:pPr>
            <w:r>
              <w:rPr>
                <w:noProof/>
              </w:rPr>
              <w:t xml:space="preserve">Stājas spēkā valsts tiesību akti, kuros saskaņā ar partnerības nolīgumu un visām pašreizējām programmām ir noteikti pasākumi, kas vajadzīgi, lai paātrinātu un uzlabotu kohēzijas politikas īstenošanu. </w:t>
            </w:r>
          </w:p>
          <w:p w14:paraId="7B8C6599" w14:textId="77777777" w:rsidR="00C972CB" w:rsidRDefault="002457F6">
            <w:pPr>
              <w:pStyle w:val="P68B1DB1-Normal5"/>
              <w:spacing w:after="120"/>
              <w:rPr>
                <w:noProof/>
              </w:rPr>
            </w:pPr>
            <w:r>
              <w:rPr>
                <w:noProof/>
              </w:rPr>
              <w:t>Lai nodrošinātu institucionālo dialogu un sadarbību, kā</w:t>
            </w:r>
            <w:r>
              <w:rPr>
                <w:noProof/>
              </w:rPr>
              <w:t xml:space="preserve"> arī kopīgu izpratni par nepieciešamajām darbībām, valdība līdz 2023. gada 31. decembrim izveido tehnisku darba grupu ar visu Cabina di regia PNRR reģionālo un valsts programmu vadošajām iestādēm, neskarot valstu tiesību aktus par Vienoto konferenci.</w:t>
            </w:r>
          </w:p>
          <w:p w14:paraId="50EA39FB" w14:textId="77777777" w:rsidR="00C972CB" w:rsidRDefault="002457F6">
            <w:pPr>
              <w:pStyle w:val="P68B1DB1-Normal5"/>
              <w:spacing w:after="120"/>
              <w:rPr>
                <w:noProof/>
              </w:rPr>
            </w:pPr>
            <w:r>
              <w:rPr>
                <w:noProof/>
              </w:rPr>
              <w:t>Tiesī</w:t>
            </w:r>
            <w:r>
              <w:rPr>
                <w:noProof/>
              </w:rPr>
              <w:t>bu aktos nosaka kārtību, kas vajadzīga, lai piešķirtu prioritāti intervencei šādās stratēģiskās nozarēs, stingri saskaņā ar plānošanas dokumentiem, kas noteikti attiecīgajiem veicinošajiem nosacījumiem, un lai tos konkrēti īstenotu, tostarp īpaši lai stipr</w:t>
            </w:r>
            <w:r>
              <w:rPr>
                <w:noProof/>
              </w:rPr>
              <w:t>inātu administratīvās spējas šajās nozarēs:</w:t>
            </w:r>
          </w:p>
          <w:p w14:paraId="44BF3F21" w14:textId="77777777" w:rsidR="00C972CB" w:rsidRDefault="002457F6">
            <w:pPr>
              <w:pStyle w:val="P68B1DB1-Normal5"/>
              <w:spacing w:after="120"/>
              <w:rPr>
                <w:noProof/>
              </w:rPr>
            </w:pPr>
            <w:r>
              <w:rPr>
                <w:noProof/>
              </w:rPr>
              <w:t>—</w:t>
            </w:r>
            <w:r>
              <w:rPr>
                <w:noProof/>
              </w:rPr>
              <w:tab/>
              <w:t>Ūdens;</w:t>
            </w:r>
          </w:p>
          <w:p w14:paraId="77E5B2DF" w14:textId="77777777" w:rsidR="00C972CB" w:rsidRDefault="002457F6">
            <w:pPr>
              <w:pStyle w:val="P68B1DB1-Normal5"/>
              <w:spacing w:after="120"/>
              <w:rPr>
                <w:noProof/>
              </w:rPr>
            </w:pPr>
            <w:r>
              <w:rPr>
                <w:noProof/>
              </w:rPr>
              <w:t>—</w:t>
            </w:r>
            <w:r>
              <w:rPr>
                <w:noProof/>
              </w:rPr>
              <w:tab/>
              <w:t>hidroģeoloģiskā riska un vides aizsardzības infrastruktūras;</w:t>
            </w:r>
          </w:p>
          <w:p w14:paraId="420C05B4" w14:textId="77777777" w:rsidR="00C972CB" w:rsidRDefault="002457F6">
            <w:pPr>
              <w:pStyle w:val="P68B1DB1-Normal5"/>
              <w:spacing w:after="120"/>
              <w:rPr>
                <w:noProof/>
              </w:rPr>
            </w:pPr>
            <w:r>
              <w:rPr>
                <w:noProof/>
              </w:rPr>
              <w:t>—</w:t>
            </w:r>
            <w:r>
              <w:rPr>
                <w:noProof/>
              </w:rPr>
              <w:tab/>
              <w:t>Atkritumiem,</w:t>
            </w:r>
          </w:p>
          <w:p w14:paraId="6243AB6C" w14:textId="77777777" w:rsidR="00C972CB" w:rsidRDefault="002457F6">
            <w:pPr>
              <w:pStyle w:val="P68B1DB1-Normal5"/>
              <w:spacing w:after="120"/>
              <w:rPr>
                <w:noProof/>
              </w:rPr>
            </w:pPr>
            <w:r>
              <w:rPr>
                <w:noProof/>
              </w:rPr>
              <w:t>—</w:t>
            </w:r>
            <w:r>
              <w:rPr>
                <w:noProof/>
              </w:rPr>
              <w:tab/>
              <w:t>Transports un ilgtspējīga mobilitāte;</w:t>
            </w:r>
          </w:p>
          <w:p w14:paraId="591430B0" w14:textId="77777777" w:rsidR="00C972CB" w:rsidRDefault="002457F6">
            <w:pPr>
              <w:pStyle w:val="P68B1DB1-Normal5"/>
              <w:spacing w:after="120"/>
              <w:rPr>
                <w:noProof/>
              </w:rPr>
            </w:pPr>
            <w:r>
              <w:rPr>
                <w:noProof/>
              </w:rPr>
              <w:t>—</w:t>
            </w:r>
            <w:r>
              <w:rPr>
                <w:noProof/>
              </w:rPr>
              <w:tab/>
              <w:t>Enerģiju;</w:t>
            </w:r>
          </w:p>
          <w:p w14:paraId="5AAD0778" w14:textId="40038E60" w:rsidR="00C972CB" w:rsidRDefault="002457F6">
            <w:pPr>
              <w:pStyle w:val="P68B1DB1-Normal5"/>
              <w:spacing w:after="120"/>
              <w:rPr>
                <w:noProof/>
              </w:rPr>
            </w:pPr>
            <w:r>
              <w:rPr>
                <w:noProof/>
              </w:rPr>
              <w:t>—</w:t>
            </w:r>
            <w:r>
              <w:rPr>
                <w:noProof/>
              </w:rPr>
              <w:tab/>
              <w:t xml:space="preserve">Atbalsts uzņēmējdarbības attīstībai un pievilcībai, arī digitālajai un </w:t>
            </w:r>
            <w:r>
              <w:rPr>
                <w:noProof/>
              </w:rPr>
              <w:t>zaļajai pārejai.</w:t>
            </w:r>
          </w:p>
        </w:tc>
      </w:tr>
      <w:tr w:rsidR="00C972CB" w14:paraId="290A25BD" w14:textId="77777777">
        <w:trPr>
          <w:trHeight w:val="309"/>
        </w:trPr>
        <w:tc>
          <w:tcPr>
            <w:tcW w:w="1253" w:type="dxa"/>
            <w:shd w:val="clear" w:color="auto" w:fill="C6EFCE"/>
            <w:noWrap/>
            <w:vAlign w:val="center"/>
          </w:tcPr>
          <w:p w14:paraId="6D6B08E3" w14:textId="77777777" w:rsidR="00C972CB" w:rsidRDefault="002457F6">
            <w:pPr>
              <w:pStyle w:val="P68B1DB1-Normal5"/>
              <w:jc w:val="center"/>
              <w:rPr>
                <w:noProof/>
              </w:rPr>
            </w:pPr>
            <w:r>
              <w:rPr>
                <w:noProof/>
              </w:rPr>
              <w:t>M1C1–15</w:t>
            </w:r>
          </w:p>
        </w:tc>
        <w:tc>
          <w:tcPr>
            <w:tcW w:w="1568" w:type="dxa"/>
            <w:shd w:val="clear" w:color="auto" w:fill="C6EFCE"/>
            <w:noWrap/>
            <w:vAlign w:val="center"/>
          </w:tcPr>
          <w:p w14:paraId="3E40E3FA" w14:textId="610C98D2" w:rsidR="00C972CB" w:rsidRDefault="002457F6">
            <w:pPr>
              <w:pStyle w:val="P68B1DB1-Normal5"/>
              <w:jc w:val="center"/>
              <w:rPr>
                <w:noProof/>
              </w:rPr>
            </w:pPr>
            <w:r>
              <w:rPr>
                <w:noProof/>
              </w:rPr>
              <w:t>Ieguldījums 1.6.6.: Finanšu policijas digitalizācija</w:t>
            </w:r>
          </w:p>
        </w:tc>
        <w:tc>
          <w:tcPr>
            <w:tcW w:w="1148" w:type="dxa"/>
            <w:shd w:val="clear" w:color="auto" w:fill="C6EFCE"/>
            <w:noWrap/>
            <w:vAlign w:val="center"/>
          </w:tcPr>
          <w:p w14:paraId="5A76BCDE" w14:textId="77777777" w:rsidR="00C972CB" w:rsidRDefault="002457F6">
            <w:pPr>
              <w:pStyle w:val="P68B1DB1-Normal5"/>
              <w:jc w:val="center"/>
              <w:rPr>
                <w:noProof/>
              </w:rPr>
            </w:pPr>
            <w:r>
              <w:rPr>
                <w:noProof/>
              </w:rPr>
              <w:t>Mērķa</w:t>
            </w:r>
          </w:p>
        </w:tc>
        <w:tc>
          <w:tcPr>
            <w:tcW w:w="1470" w:type="dxa"/>
            <w:shd w:val="clear" w:color="auto" w:fill="C6EFCE"/>
            <w:noWrap/>
            <w:vAlign w:val="center"/>
          </w:tcPr>
          <w:p w14:paraId="183882B1" w14:textId="77777777" w:rsidR="00C972CB" w:rsidRDefault="002457F6">
            <w:pPr>
              <w:pStyle w:val="P68B1DB1-Normal5"/>
              <w:jc w:val="center"/>
              <w:rPr>
                <w:noProof/>
              </w:rPr>
            </w:pPr>
            <w:r>
              <w:rPr>
                <w:noProof/>
              </w:rPr>
              <w:t>Finanšu policija — profesionālo datu zinātnes pakalpojumu iegāde T2</w:t>
            </w:r>
          </w:p>
        </w:tc>
        <w:tc>
          <w:tcPr>
            <w:tcW w:w="1701" w:type="dxa"/>
            <w:shd w:val="clear" w:color="auto" w:fill="C6EFCE"/>
            <w:noWrap/>
            <w:vAlign w:val="center"/>
          </w:tcPr>
          <w:p w14:paraId="4AFA854F" w14:textId="77777777" w:rsidR="00C972CB" w:rsidRDefault="002457F6">
            <w:pPr>
              <w:pStyle w:val="P68B1DB1-Normal5"/>
              <w:jc w:val="center"/>
              <w:rPr>
                <w:noProof/>
              </w:rPr>
            </w:pPr>
            <w:r>
              <w:rPr>
                <w:noProof/>
              </w:rPr>
              <w:t>NEPIEMĒRO</w:t>
            </w:r>
          </w:p>
        </w:tc>
        <w:tc>
          <w:tcPr>
            <w:tcW w:w="1134" w:type="dxa"/>
            <w:shd w:val="clear" w:color="auto" w:fill="C6EFCE"/>
            <w:noWrap/>
            <w:vAlign w:val="center"/>
          </w:tcPr>
          <w:p w14:paraId="07D90CB5" w14:textId="77777777" w:rsidR="00C972CB" w:rsidRDefault="002457F6">
            <w:pPr>
              <w:pStyle w:val="P68B1DB1-Normal5"/>
              <w:jc w:val="center"/>
              <w:rPr>
                <w:noProof/>
              </w:rPr>
            </w:pPr>
            <w:r>
              <w:rPr>
                <w:noProof/>
              </w:rPr>
              <w:t>Skaits</w:t>
            </w:r>
          </w:p>
        </w:tc>
        <w:tc>
          <w:tcPr>
            <w:tcW w:w="1417" w:type="dxa"/>
            <w:shd w:val="clear" w:color="auto" w:fill="C6EFCE"/>
            <w:noWrap/>
            <w:vAlign w:val="center"/>
          </w:tcPr>
          <w:p w14:paraId="2CC92989" w14:textId="77777777" w:rsidR="00C972CB" w:rsidRDefault="002457F6">
            <w:pPr>
              <w:pStyle w:val="P68B1DB1-Normal5"/>
              <w:jc w:val="center"/>
              <w:rPr>
                <w:noProof/>
              </w:rPr>
            </w:pPr>
            <w:r>
              <w:rPr>
                <w:noProof/>
              </w:rPr>
              <w:t>5</w:t>
            </w:r>
          </w:p>
        </w:tc>
        <w:tc>
          <w:tcPr>
            <w:tcW w:w="1276" w:type="dxa"/>
            <w:shd w:val="clear" w:color="auto" w:fill="C6EFCE"/>
            <w:noWrap/>
            <w:vAlign w:val="center"/>
          </w:tcPr>
          <w:p w14:paraId="3C4B45EF" w14:textId="77777777" w:rsidR="00C972CB" w:rsidRDefault="002457F6">
            <w:pPr>
              <w:pStyle w:val="P68B1DB1-Normal5"/>
              <w:jc w:val="center"/>
              <w:rPr>
                <w:noProof/>
              </w:rPr>
            </w:pPr>
            <w:r>
              <w:rPr>
                <w:noProof/>
              </w:rPr>
              <w:t>10</w:t>
            </w:r>
          </w:p>
        </w:tc>
        <w:tc>
          <w:tcPr>
            <w:tcW w:w="850" w:type="dxa"/>
            <w:shd w:val="clear" w:color="auto" w:fill="C6EFCE"/>
            <w:noWrap/>
            <w:vAlign w:val="center"/>
          </w:tcPr>
          <w:p w14:paraId="2EC6C182" w14:textId="77777777" w:rsidR="00C972CB" w:rsidRDefault="002457F6">
            <w:pPr>
              <w:pStyle w:val="P68B1DB1-Normal5"/>
              <w:jc w:val="center"/>
              <w:rPr>
                <w:noProof/>
              </w:rPr>
            </w:pPr>
            <w:r>
              <w:rPr>
                <w:noProof/>
              </w:rPr>
              <w:t>1. CET.</w:t>
            </w:r>
          </w:p>
        </w:tc>
        <w:tc>
          <w:tcPr>
            <w:tcW w:w="709" w:type="dxa"/>
            <w:shd w:val="clear" w:color="auto" w:fill="C6EFCE"/>
            <w:noWrap/>
            <w:vAlign w:val="center"/>
          </w:tcPr>
          <w:p w14:paraId="19FA7058" w14:textId="77777777" w:rsidR="00C972CB" w:rsidRDefault="002457F6">
            <w:pPr>
              <w:pStyle w:val="P68B1DB1-Normal5"/>
              <w:jc w:val="center"/>
              <w:rPr>
                <w:noProof/>
              </w:rPr>
            </w:pPr>
            <w:r>
              <w:rPr>
                <w:noProof/>
              </w:rPr>
              <w:t>2024</w:t>
            </w:r>
          </w:p>
        </w:tc>
        <w:tc>
          <w:tcPr>
            <w:tcW w:w="2835" w:type="dxa"/>
            <w:shd w:val="clear" w:color="auto" w:fill="C6EFCE"/>
            <w:noWrap/>
            <w:vAlign w:val="center"/>
          </w:tcPr>
          <w:p w14:paraId="37B4AAD3" w14:textId="77777777" w:rsidR="00C972CB" w:rsidRDefault="002457F6">
            <w:pPr>
              <w:pStyle w:val="P68B1DB1-Normal5"/>
              <w:spacing w:after="120"/>
              <w:rPr>
                <w:noProof/>
              </w:rPr>
            </w:pPr>
            <w:r>
              <w:rPr>
                <w:noProof/>
              </w:rPr>
              <w:t xml:space="preserve">Profesionālu datu zinātnes pakalpojumu iegāde saskaņā ar </w:t>
            </w:r>
            <w:r>
              <w:rPr>
                <w:noProof/>
              </w:rPr>
              <w:t>Tehniskajiem norādījumiem “Nenodarīt būtisku kaitējumu” (2021/C58/01), izmantojot izslēgšanas sarakstu un prasību par atbilstību attiecīgajiem ES un valsts tiesību aktiem vides jomā, slēdzot līgumus ar konsultāciju pakalpojumu sniedzēju, iesaistot piecus p</w:t>
            </w:r>
            <w:r>
              <w:rPr>
                <w:noProof/>
              </w:rPr>
              <w:t>apildu cilvēkresursus (kopā desmit), kas ir atbildīgi gan par datu arhitektūras izstrādi, gan par lielo datu analīzes vienības algoritmu rakstīšanu. Datu zinātnes pakalpojumu iegādes līguma publicēšana saskaņā ar Tehniskajiem norādījumiem “Nenodarīt būtisk</w:t>
            </w:r>
            <w:r>
              <w:rPr>
                <w:noProof/>
              </w:rPr>
              <w:t>u kaitējumu” (2021/C58/01), izmantojot izslēgšanas sarakstu un prasību par atbilstību attiecīgajiem ES un valstu tiesību aktiem vides jomā, un valsts mērogā publiskojot jaunus rīkus pirmajā analīzes modulī (IT mugurkaulā).</w:t>
            </w:r>
          </w:p>
        </w:tc>
      </w:tr>
      <w:tr w:rsidR="00C972CB" w14:paraId="5A20E9ED" w14:textId="77777777">
        <w:trPr>
          <w:trHeight w:val="309"/>
        </w:trPr>
        <w:tc>
          <w:tcPr>
            <w:tcW w:w="1253" w:type="dxa"/>
            <w:shd w:val="clear" w:color="auto" w:fill="C6EFCE"/>
            <w:noWrap/>
            <w:vAlign w:val="center"/>
            <w:hideMark/>
          </w:tcPr>
          <w:p w14:paraId="2490D023" w14:textId="77777777" w:rsidR="00C972CB" w:rsidRDefault="002457F6">
            <w:pPr>
              <w:pStyle w:val="P68B1DB1-Normal5"/>
              <w:jc w:val="center"/>
              <w:rPr>
                <w:noProof/>
              </w:rPr>
            </w:pPr>
            <w:r>
              <w:rPr>
                <w:noProof/>
              </w:rPr>
              <w:t>M1C1–17</w:t>
            </w:r>
          </w:p>
        </w:tc>
        <w:tc>
          <w:tcPr>
            <w:tcW w:w="1568" w:type="dxa"/>
            <w:shd w:val="clear" w:color="auto" w:fill="C6EFCE"/>
            <w:noWrap/>
            <w:vAlign w:val="center"/>
            <w:hideMark/>
          </w:tcPr>
          <w:p w14:paraId="628D894F" w14:textId="77777777" w:rsidR="00C972CB" w:rsidRDefault="002457F6">
            <w:pPr>
              <w:pStyle w:val="P68B1DB1-Normal5"/>
              <w:jc w:val="center"/>
              <w:rPr>
                <w:noProof/>
              </w:rPr>
            </w:pPr>
            <w:r>
              <w:rPr>
                <w:noProof/>
              </w:rPr>
              <w:t xml:space="preserve">Ieguldījums 1.1: </w:t>
            </w:r>
            <w:r>
              <w:rPr>
                <w:noProof/>
              </w:rPr>
              <w:t>Digitālā infrastruktūra</w:t>
            </w:r>
          </w:p>
        </w:tc>
        <w:tc>
          <w:tcPr>
            <w:tcW w:w="1148" w:type="dxa"/>
            <w:shd w:val="clear" w:color="auto" w:fill="C6EFCE"/>
            <w:noWrap/>
            <w:vAlign w:val="center"/>
            <w:hideMark/>
          </w:tcPr>
          <w:p w14:paraId="6AD9772F" w14:textId="77777777" w:rsidR="00C972CB" w:rsidRDefault="002457F6">
            <w:pPr>
              <w:pStyle w:val="P68B1DB1-Normal5"/>
              <w:jc w:val="center"/>
              <w:rPr>
                <w:noProof/>
              </w:rPr>
            </w:pPr>
            <w:r>
              <w:rPr>
                <w:noProof/>
              </w:rPr>
              <w:t>Mērķa</w:t>
            </w:r>
          </w:p>
        </w:tc>
        <w:tc>
          <w:tcPr>
            <w:tcW w:w="1470" w:type="dxa"/>
            <w:shd w:val="clear" w:color="auto" w:fill="C6EFCE"/>
            <w:noWrap/>
            <w:vAlign w:val="center"/>
            <w:hideMark/>
          </w:tcPr>
          <w:p w14:paraId="33BE3DF6" w14:textId="77777777" w:rsidR="00C972CB" w:rsidRDefault="002457F6">
            <w:pPr>
              <w:pStyle w:val="P68B1DB1-Normal5"/>
              <w:jc w:val="center"/>
              <w:rPr>
                <w:noProof/>
              </w:rPr>
            </w:pPr>
            <w:r>
              <w:rPr>
                <w:noProof/>
              </w:rPr>
              <w:t>Migrācija uz Polo Strategico Nazionale T1</w:t>
            </w:r>
          </w:p>
        </w:tc>
        <w:tc>
          <w:tcPr>
            <w:tcW w:w="1701" w:type="dxa"/>
            <w:shd w:val="clear" w:color="auto" w:fill="C6EFCE"/>
            <w:noWrap/>
            <w:vAlign w:val="center"/>
          </w:tcPr>
          <w:p w14:paraId="245BD1D2" w14:textId="77777777" w:rsidR="00C972CB" w:rsidRDefault="002457F6">
            <w:pPr>
              <w:pStyle w:val="P68B1DB1-Normal5"/>
              <w:jc w:val="center"/>
              <w:rPr>
                <w:noProof/>
              </w:rPr>
            </w:pPr>
            <w:r>
              <w:rPr>
                <w:noProof/>
              </w:rPr>
              <w:t>NEPIEMĒRO</w:t>
            </w:r>
          </w:p>
        </w:tc>
        <w:tc>
          <w:tcPr>
            <w:tcW w:w="1134" w:type="dxa"/>
            <w:shd w:val="clear" w:color="auto" w:fill="C6EFCE"/>
            <w:noWrap/>
            <w:vAlign w:val="center"/>
            <w:hideMark/>
          </w:tcPr>
          <w:p w14:paraId="718D3BC1" w14:textId="77777777" w:rsidR="00C972CB" w:rsidRDefault="002457F6">
            <w:pPr>
              <w:pStyle w:val="P68B1DB1-Normal5"/>
              <w:jc w:val="center"/>
              <w:rPr>
                <w:noProof/>
              </w:rPr>
            </w:pPr>
            <w:r>
              <w:rPr>
                <w:noProof/>
              </w:rPr>
              <w:t>Skaits</w:t>
            </w:r>
          </w:p>
        </w:tc>
        <w:tc>
          <w:tcPr>
            <w:tcW w:w="1417" w:type="dxa"/>
            <w:shd w:val="clear" w:color="auto" w:fill="C6EFCE"/>
            <w:noWrap/>
            <w:vAlign w:val="center"/>
            <w:hideMark/>
          </w:tcPr>
          <w:p w14:paraId="523A4C7B" w14:textId="77777777" w:rsidR="00C972CB" w:rsidRDefault="002457F6">
            <w:pPr>
              <w:pStyle w:val="P68B1DB1-Normal5"/>
              <w:jc w:val="center"/>
              <w:rPr>
                <w:noProof/>
              </w:rPr>
            </w:pPr>
            <w:r>
              <w:rPr>
                <w:noProof/>
              </w:rPr>
              <w:t>0</w:t>
            </w:r>
          </w:p>
        </w:tc>
        <w:tc>
          <w:tcPr>
            <w:tcW w:w="1276" w:type="dxa"/>
            <w:shd w:val="clear" w:color="auto" w:fill="C6EFCE"/>
            <w:noWrap/>
            <w:vAlign w:val="center"/>
            <w:hideMark/>
          </w:tcPr>
          <w:p w14:paraId="2194DDC8" w14:textId="77777777" w:rsidR="00C972CB" w:rsidRDefault="002457F6">
            <w:pPr>
              <w:pStyle w:val="P68B1DB1-Normal5"/>
              <w:jc w:val="center"/>
              <w:rPr>
                <w:noProof/>
              </w:rPr>
            </w:pPr>
            <w:r>
              <w:rPr>
                <w:noProof/>
              </w:rPr>
              <w:t>100</w:t>
            </w:r>
          </w:p>
        </w:tc>
        <w:tc>
          <w:tcPr>
            <w:tcW w:w="850" w:type="dxa"/>
            <w:shd w:val="clear" w:color="auto" w:fill="C6EFCE"/>
            <w:noWrap/>
            <w:vAlign w:val="center"/>
            <w:hideMark/>
          </w:tcPr>
          <w:p w14:paraId="670D05FD" w14:textId="77777777" w:rsidR="00C972CB" w:rsidRDefault="002457F6">
            <w:pPr>
              <w:pStyle w:val="P68B1DB1-Normal5"/>
              <w:jc w:val="center"/>
              <w:rPr>
                <w:noProof/>
              </w:rPr>
            </w:pPr>
            <w:r>
              <w:rPr>
                <w:noProof/>
              </w:rPr>
              <w:t>3. CET.</w:t>
            </w:r>
          </w:p>
        </w:tc>
        <w:tc>
          <w:tcPr>
            <w:tcW w:w="709" w:type="dxa"/>
            <w:shd w:val="clear" w:color="auto" w:fill="C6EFCE"/>
            <w:noWrap/>
            <w:vAlign w:val="center"/>
            <w:hideMark/>
          </w:tcPr>
          <w:p w14:paraId="79ABADEC" w14:textId="77777777" w:rsidR="00C972CB" w:rsidRDefault="002457F6">
            <w:pPr>
              <w:pStyle w:val="P68B1DB1-Normal5"/>
              <w:jc w:val="center"/>
              <w:rPr>
                <w:noProof/>
              </w:rPr>
            </w:pPr>
            <w:r>
              <w:rPr>
                <w:noProof/>
              </w:rPr>
              <w:t>2024</w:t>
            </w:r>
          </w:p>
        </w:tc>
        <w:tc>
          <w:tcPr>
            <w:tcW w:w="2835" w:type="dxa"/>
            <w:shd w:val="clear" w:color="auto" w:fill="C6EFCE"/>
            <w:noWrap/>
            <w:vAlign w:val="center"/>
            <w:hideMark/>
          </w:tcPr>
          <w:p w14:paraId="4A3C2FF8" w14:textId="77777777" w:rsidR="00C972CB" w:rsidRDefault="002457F6">
            <w:pPr>
              <w:pStyle w:val="P68B1DB1-Normal5"/>
              <w:spacing w:after="120"/>
              <w:rPr>
                <w:noProof/>
              </w:rPr>
            </w:pPr>
            <w:r>
              <w:rPr>
                <w:noProof/>
              </w:rPr>
              <w:t>Vismaz 100 centrālās publiskās pārvaldes iestādes un vietējās veselības aprūpes iestādes (Aziende Sanitarie Locali) pilnībā migrē uz infrastruktūru (Polo Strategico Nazionale) vismaz vienu administrācijas dienestu (ieskaitot sistēmas, datu kopu un lietotne</w:t>
            </w:r>
            <w:r>
              <w:rPr>
                <w:noProof/>
              </w:rPr>
              <w:t>s). Pilnībā migrēta var nozīmēt, ka katrai iestādei ir šāds apvienojums: nav gatavi mākonī tikai mitināšanai, migrācijai pacelšanai un maiņai, modernizācija līdz infrastruktūrai kā pakalpojumam (IaaS), platforma kā pakalpojums (Paas) vai programmatūra kā p</w:t>
            </w:r>
            <w:r>
              <w:rPr>
                <w:noProof/>
              </w:rPr>
              <w:t xml:space="preserve">akalpojums (SaaS). Migrāciju uz Polo Strategico Nazionale var veikt dažādos veidos saskaņā ar jaunākajiem sasniegumiem uz vietas esošās programmatūras IT arhitektūrā, kas pieder katrai migrējošai valsts pārvaldei. Šīs stratēģijas var būt dažādas, sākot ar </w:t>
            </w:r>
            <w:r>
              <w:rPr>
                <w:noProof/>
              </w:rPr>
              <w:t>tīri mitināšanu un pacelšanu un pāreju uz nemākonī gatavu programmatūru līdz migrācijai uz IaaS, PaaS vai SaaS programmatūrai, kas ir gatava mākoņdatošanai. PSN katrai migrējošai valsts pārvaldei piedāvā visas migrācijas stratēģijas, kas ir atbilstīgas, la</w:t>
            </w:r>
            <w:r>
              <w:rPr>
                <w:noProof/>
              </w:rPr>
              <w:t>i apsvērtu izvirzīto mērķi “migrācija uz Polo Strategico Nazionale”.</w:t>
            </w:r>
          </w:p>
          <w:p w14:paraId="0209130A" w14:textId="77777777" w:rsidR="00C972CB" w:rsidRDefault="002457F6">
            <w:pPr>
              <w:pStyle w:val="P68B1DB1-Normal5"/>
              <w:rPr>
                <w:noProof/>
              </w:rPr>
            </w:pPr>
            <w:r>
              <w:rPr>
                <w:noProof/>
              </w:rPr>
              <w:t>Kopā valsts pārvaldes iestādes, kas ir “darbības jomā”, ietver:</w:t>
            </w:r>
          </w:p>
          <w:p w14:paraId="312C2739" w14:textId="77777777" w:rsidR="00C972CB" w:rsidRDefault="002457F6">
            <w:pPr>
              <w:pStyle w:val="P68B1DB1-Normal5"/>
              <w:rPr>
                <w:noProof/>
              </w:rPr>
            </w:pPr>
            <w:r>
              <w:rPr>
                <w:noProof/>
              </w:rPr>
              <w:t>• Centrālās valsts pārvaldes iestādes, kas veido lielāko daļu no informācijas un komunikācijas tehnoloģiju (IKT) izdevumiem</w:t>
            </w:r>
            <w:r>
              <w:rPr>
                <w:noProof/>
              </w:rPr>
              <w:t xml:space="preserve"> (piemēram, Valsts sociālā nodrošinājuma institūts un Tieslietu ministrija);</w:t>
            </w:r>
          </w:p>
          <w:p w14:paraId="05E97F38" w14:textId="77777777" w:rsidR="00C972CB" w:rsidRDefault="002457F6">
            <w:pPr>
              <w:pStyle w:val="P68B1DB1-Normal5"/>
              <w:rPr>
                <w:noProof/>
              </w:rPr>
            </w:pPr>
            <w:r>
              <w:rPr>
                <w:noProof/>
              </w:rPr>
              <w:t>• Centrālās publiskās pārvaldes iestādes, kas glabā datus novecojušajos datu centros, kā liecina nesen veiktā aptauja par “mākoņgatavību”;</w:t>
            </w:r>
          </w:p>
          <w:p w14:paraId="69C232BA" w14:textId="77777777" w:rsidR="00C972CB" w:rsidRDefault="002457F6">
            <w:pPr>
              <w:pStyle w:val="P68B1DB1-Normal5"/>
              <w:rPr>
                <w:noProof/>
              </w:rPr>
            </w:pPr>
            <w:r>
              <w:rPr>
                <w:noProof/>
              </w:rPr>
              <w:t>• Vietējās veselības aprūpes iestādes (A</w:t>
            </w:r>
            <w:r>
              <w:rPr>
                <w:noProof/>
              </w:rPr>
              <w:t>ziende Sanitarie Locali), kas galvenokārt atrodas Itālijas centrālajā un dienvidu daļā un kam trūkst atbilstošas infrastruktūras datu drošības nodrošināšanai.</w:t>
            </w:r>
          </w:p>
        </w:tc>
      </w:tr>
      <w:tr w:rsidR="00C972CB" w14:paraId="23674724" w14:textId="77777777">
        <w:trPr>
          <w:trHeight w:val="309"/>
        </w:trPr>
        <w:tc>
          <w:tcPr>
            <w:tcW w:w="1253" w:type="dxa"/>
            <w:shd w:val="clear" w:color="auto" w:fill="C6EFCE"/>
            <w:noWrap/>
            <w:vAlign w:val="center"/>
          </w:tcPr>
          <w:p w14:paraId="3BBB1991" w14:textId="77777777" w:rsidR="00C972CB" w:rsidRDefault="002457F6">
            <w:pPr>
              <w:pStyle w:val="P68B1DB1-Normal5"/>
              <w:jc w:val="center"/>
              <w:rPr>
                <w:noProof/>
              </w:rPr>
            </w:pPr>
            <w:r>
              <w:rPr>
                <w:noProof/>
              </w:rPr>
              <w:t>M1C1–18</w:t>
            </w:r>
          </w:p>
        </w:tc>
        <w:tc>
          <w:tcPr>
            <w:tcW w:w="1568" w:type="dxa"/>
            <w:shd w:val="clear" w:color="auto" w:fill="C6EFCE"/>
            <w:noWrap/>
            <w:vAlign w:val="center"/>
          </w:tcPr>
          <w:p w14:paraId="44F5F64B" w14:textId="7D40CDBF" w:rsidR="00C972CB" w:rsidRDefault="002457F6">
            <w:pPr>
              <w:pStyle w:val="P68B1DB1-Normal5"/>
              <w:jc w:val="center"/>
              <w:rPr>
                <w:noProof/>
              </w:rPr>
            </w:pPr>
            <w:r>
              <w:rPr>
                <w:noProof/>
              </w:rPr>
              <w:t>Ieguldījums 1.3.1.: Valsts digitālo datu platforma</w:t>
            </w:r>
          </w:p>
        </w:tc>
        <w:tc>
          <w:tcPr>
            <w:tcW w:w="1148" w:type="dxa"/>
            <w:shd w:val="clear" w:color="auto" w:fill="C6EFCE"/>
            <w:noWrap/>
            <w:vAlign w:val="center"/>
          </w:tcPr>
          <w:p w14:paraId="2AF66786" w14:textId="77777777" w:rsidR="00C972CB" w:rsidRDefault="002457F6">
            <w:pPr>
              <w:pStyle w:val="P68B1DB1-Normal5"/>
              <w:jc w:val="center"/>
              <w:rPr>
                <w:noProof/>
              </w:rPr>
            </w:pPr>
            <w:r>
              <w:rPr>
                <w:noProof/>
              </w:rPr>
              <w:t>Mērķa</w:t>
            </w:r>
          </w:p>
        </w:tc>
        <w:tc>
          <w:tcPr>
            <w:tcW w:w="1470" w:type="dxa"/>
            <w:shd w:val="clear" w:color="auto" w:fill="C6EFCE"/>
            <w:noWrap/>
            <w:vAlign w:val="center"/>
          </w:tcPr>
          <w:p w14:paraId="49EE5612" w14:textId="77777777" w:rsidR="00C972CB" w:rsidRDefault="002457F6">
            <w:pPr>
              <w:pStyle w:val="P68B1DB1-Normal5"/>
              <w:jc w:val="center"/>
              <w:rPr>
                <w:noProof/>
              </w:rPr>
            </w:pPr>
            <w:r>
              <w:rPr>
                <w:noProof/>
              </w:rPr>
              <w:t xml:space="preserve">API valsts digitālo datu </w:t>
            </w:r>
            <w:r>
              <w:rPr>
                <w:noProof/>
              </w:rPr>
              <w:t>platformā T1</w:t>
            </w:r>
          </w:p>
        </w:tc>
        <w:tc>
          <w:tcPr>
            <w:tcW w:w="1701" w:type="dxa"/>
            <w:shd w:val="clear" w:color="auto" w:fill="C6EFCE"/>
            <w:noWrap/>
            <w:vAlign w:val="center"/>
          </w:tcPr>
          <w:p w14:paraId="5768DAF0" w14:textId="77777777" w:rsidR="00C972CB" w:rsidRDefault="002457F6">
            <w:pPr>
              <w:pStyle w:val="P68B1DB1-Normal5"/>
              <w:jc w:val="center"/>
              <w:rPr>
                <w:noProof/>
              </w:rPr>
            </w:pPr>
            <w:r>
              <w:rPr>
                <w:noProof/>
              </w:rPr>
              <w:t>NEPIEMĒRO</w:t>
            </w:r>
          </w:p>
        </w:tc>
        <w:tc>
          <w:tcPr>
            <w:tcW w:w="1134" w:type="dxa"/>
            <w:shd w:val="clear" w:color="auto" w:fill="C6EFCE"/>
            <w:noWrap/>
            <w:vAlign w:val="center"/>
          </w:tcPr>
          <w:p w14:paraId="6CA40054" w14:textId="77777777" w:rsidR="00C972CB" w:rsidRDefault="002457F6">
            <w:pPr>
              <w:pStyle w:val="P68B1DB1-Normal5"/>
              <w:jc w:val="center"/>
              <w:rPr>
                <w:noProof/>
              </w:rPr>
            </w:pPr>
            <w:r>
              <w:rPr>
                <w:noProof/>
              </w:rPr>
              <w:t>Skaits</w:t>
            </w:r>
          </w:p>
        </w:tc>
        <w:tc>
          <w:tcPr>
            <w:tcW w:w="1417" w:type="dxa"/>
            <w:shd w:val="clear" w:color="auto" w:fill="C6EFCE"/>
            <w:noWrap/>
            <w:vAlign w:val="center"/>
          </w:tcPr>
          <w:p w14:paraId="6AAD79DE" w14:textId="77777777" w:rsidR="00C972CB" w:rsidRDefault="002457F6">
            <w:pPr>
              <w:pStyle w:val="P68B1DB1-Normal5"/>
              <w:jc w:val="center"/>
              <w:rPr>
                <w:noProof/>
              </w:rPr>
            </w:pPr>
            <w:r>
              <w:rPr>
                <w:noProof/>
              </w:rPr>
              <w:t>0</w:t>
            </w:r>
          </w:p>
        </w:tc>
        <w:tc>
          <w:tcPr>
            <w:tcW w:w="1276" w:type="dxa"/>
            <w:shd w:val="clear" w:color="auto" w:fill="C6EFCE"/>
            <w:noWrap/>
            <w:vAlign w:val="center"/>
          </w:tcPr>
          <w:p w14:paraId="1C293475" w14:textId="77777777" w:rsidR="00C972CB" w:rsidRDefault="002457F6">
            <w:pPr>
              <w:pStyle w:val="P68B1DB1-Normal5"/>
              <w:jc w:val="center"/>
              <w:rPr>
                <w:noProof/>
              </w:rPr>
            </w:pPr>
            <w:r>
              <w:rPr>
                <w:noProof/>
              </w:rPr>
              <w:t>400</w:t>
            </w:r>
          </w:p>
        </w:tc>
        <w:tc>
          <w:tcPr>
            <w:tcW w:w="850" w:type="dxa"/>
            <w:shd w:val="clear" w:color="auto" w:fill="C6EFCE"/>
            <w:noWrap/>
            <w:vAlign w:val="center"/>
          </w:tcPr>
          <w:p w14:paraId="73CE3B2D"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49C122E9" w14:textId="77777777" w:rsidR="00C972CB" w:rsidRDefault="002457F6">
            <w:pPr>
              <w:pStyle w:val="P68B1DB1-Normal5"/>
              <w:jc w:val="center"/>
              <w:rPr>
                <w:noProof/>
              </w:rPr>
            </w:pPr>
            <w:r>
              <w:rPr>
                <w:noProof/>
              </w:rPr>
              <w:t>2024</w:t>
            </w:r>
          </w:p>
        </w:tc>
        <w:tc>
          <w:tcPr>
            <w:tcW w:w="2835" w:type="dxa"/>
            <w:shd w:val="clear" w:color="auto" w:fill="C6EFCE"/>
            <w:noWrap/>
            <w:vAlign w:val="center"/>
          </w:tcPr>
          <w:p w14:paraId="11651E56" w14:textId="55A2F1EF" w:rsidR="00C972CB" w:rsidRDefault="002457F6">
            <w:pPr>
              <w:pStyle w:val="P68B1DB1-Normal5"/>
              <w:spacing w:after="120"/>
              <w:rPr>
                <w:noProof/>
              </w:rPr>
            </w:pPr>
            <w:r>
              <w:rPr>
                <w:noProof/>
              </w:rPr>
              <w:t xml:space="preserve">Šis mērķis ir sasniegt vismaz 400 lietojumprogrammu saskarnes (API), ko īsteno aģentūras, kas publicētas API katalogā un integrētas valsts digitālo datu platformā. Darbības jomā ietilpstošās API jau ir </w:t>
            </w:r>
            <w:r>
              <w:rPr>
                <w:noProof/>
              </w:rPr>
              <w:t>kartētas. Publicētās API ietekmē šādas jomas:</w:t>
            </w:r>
          </w:p>
          <w:p w14:paraId="6F498CFA" w14:textId="77777777" w:rsidR="00C972CB" w:rsidRDefault="002457F6">
            <w:pPr>
              <w:pStyle w:val="P68B1DB1-Normal5"/>
              <w:spacing w:after="120"/>
              <w:rPr>
                <w:noProof/>
              </w:rPr>
            </w:pPr>
            <w:r>
              <w:rPr>
                <w:noProof/>
              </w:rPr>
              <w:t>I) 2023. gada 31. decembra beigās: prioritārie sociālā nodrošinājuma pakalpojumi un fiskālā atbilstība, tostarp galvenie valstu reģistri (piemēram, iedzīvotāju reģistrs un valsts pārvaldes reģistrs);</w:t>
            </w:r>
          </w:p>
          <w:p w14:paraId="73B23473" w14:textId="77777777" w:rsidR="00C972CB" w:rsidRDefault="002457F6">
            <w:pPr>
              <w:pStyle w:val="P68B1DB1-Normal5"/>
              <w:spacing w:after="120"/>
              <w:rPr>
                <w:noProof/>
              </w:rPr>
            </w:pPr>
            <w:r>
              <w:rPr>
                <w:noProof/>
              </w:rPr>
              <w:t xml:space="preserve">II) 2024. </w:t>
            </w:r>
            <w:r>
              <w:rPr>
                <w:noProof/>
              </w:rPr>
              <w:t>gada 31. decembra beigās: atlikušie sociālā nodrošinājuma pakalpojumi un fiskālā atbilstība.</w:t>
            </w:r>
          </w:p>
          <w:p w14:paraId="169313B2" w14:textId="77777777" w:rsidR="00C972CB" w:rsidRDefault="002457F6">
            <w:pPr>
              <w:pStyle w:val="P68B1DB1-Normal5"/>
              <w:spacing w:after="120"/>
              <w:rPr>
                <w:noProof/>
              </w:rPr>
            </w:pPr>
            <w:r>
              <w:rPr>
                <w:noProof/>
              </w:rPr>
              <w:t>Katra API īstenošana un dokumentācija atbilst valsts sadarbspējas standartiem un atbalsta valsts digitālo datu platformas satvaru; iepriekš minētā platforma nodroš</w:t>
            </w:r>
            <w:r>
              <w:rPr>
                <w:noProof/>
              </w:rPr>
              <w:t>ina funkcijas minētās atbilstības novērtēšanai.</w:t>
            </w:r>
          </w:p>
        </w:tc>
      </w:tr>
      <w:tr w:rsidR="00C972CB" w14:paraId="1AD65AE2" w14:textId="77777777">
        <w:trPr>
          <w:trHeight w:val="309"/>
        </w:trPr>
        <w:tc>
          <w:tcPr>
            <w:tcW w:w="1253" w:type="dxa"/>
            <w:shd w:val="clear" w:color="auto" w:fill="C6EFCE"/>
            <w:noWrap/>
            <w:vAlign w:val="center"/>
          </w:tcPr>
          <w:p w14:paraId="4C2101C0" w14:textId="77777777" w:rsidR="00C972CB" w:rsidRDefault="002457F6">
            <w:pPr>
              <w:pStyle w:val="P68B1DB1-Normal5"/>
              <w:jc w:val="center"/>
              <w:rPr>
                <w:noProof/>
              </w:rPr>
            </w:pPr>
            <w:r>
              <w:rPr>
                <w:noProof/>
              </w:rPr>
              <w:t>M1C1–19</w:t>
            </w:r>
          </w:p>
        </w:tc>
        <w:tc>
          <w:tcPr>
            <w:tcW w:w="1568" w:type="dxa"/>
            <w:shd w:val="clear" w:color="auto" w:fill="C6EFCE"/>
            <w:noWrap/>
            <w:vAlign w:val="center"/>
          </w:tcPr>
          <w:p w14:paraId="294CFC24" w14:textId="77777777" w:rsidR="00C972CB" w:rsidRDefault="002457F6">
            <w:pPr>
              <w:pStyle w:val="P68B1DB1-Normal5"/>
              <w:jc w:val="center"/>
              <w:rPr>
                <w:noProof/>
              </w:rPr>
            </w:pPr>
            <w:r>
              <w:rPr>
                <w:noProof/>
              </w:rPr>
              <w:t>Ieguldījums 1,5: Kiberdrošība</w:t>
            </w:r>
          </w:p>
        </w:tc>
        <w:tc>
          <w:tcPr>
            <w:tcW w:w="1148" w:type="dxa"/>
            <w:shd w:val="clear" w:color="auto" w:fill="C6EFCE"/>
            <w:noWrap/>
            <w:vAlign w:val="center"/>
          </w:tcPr>
          <w:p w14:paraId="0971BF4F" w14:textId="77777777" w:rsidR="00C972CB" w:rsidRDefault="002457F6">
            <w:pPr>
              <w:pStyle w:val="P68B1DB1-Normal5"/>
              <w:jc w:val="center"/>
              <w:rPr>
                <w:noProof/>
              </w:rPr>
            </w:pPr>
            <w:r>
              <w:rPr>
                <w:noProof/>
              </w:rPr>
              <w:t>Mērķa</w:t>
            </w:r>
          </w:p>
        </w:tc>
        <w:tc>
          <w:tcPr>
            <w:tcW w:w="1470" w:type="dxa"/>
            <w:shd w:val="clear" w:color="auto" w:fill="C6EFCE"/>
            <w:noWrap/>
            <w:vAlign w:val="center"/>
          </w:tcPr>
          <w:p w14:paraId="6BC4DF16" w14:textId="77777777" w:rsidR="00C972CB" w:rsidRDefault="002457F6">
            <w:pPr>
              <w:pStyle w:val="P68B1DB1-Normal5"/>
              <w:jc w:val="center"/>
              <w:rPr>
                <w:noProof/>
              </w:rPr>
            </w:pPr>
            <w:r>
              <w:rPr>
                <w:noProof/>
              </w:rPr>
              <w:t>Atbalsts drošības struktūru modernizācijai T2</w:t>
            </w:r>
          </w:p>
        </w:tc>
        <w:tc>
          <w:tcPr>
            <w:tcW w:w="1701" w:type="dxa"/>
            <w:shd w:val="clear" w:color="auto" w:fill="C6EFCE"/>
            <w:noWrap/>
            <w:vAlign w:val="center"/>
          </w:tcPr>
          <w:p w14:paraId="7AAF4154" w14:textId="77777777" w:rsidR="00C972CB" w:rsidRDefault="002457F6">
            <w:pPr>
              <w:pStyle w:val="P68B1DB1-Normal5"/>
              <w:jc w:val="center"/>
              <w:rPr>
                <w:noProof/>
              </w:rPr>
            </w:pPr>
            <w:r>
              <w:rPr>
                <w:noProof/>
              </w:rPr>
              <w:t>NEPIEMĒRO</w:t>
            </w:r>
          </w:p>
        </w:tc>
        <w:tc>
          <w:tcPr>
            <w:tcW w:w="1134" w:type="dxa"/>
            <w:shd w:val="clear" w:color="auto" w:fill="C6EFCE"/>
            <w:noWrap/>
            <w:vAlign w:val="center"/>
          </w:tcPr>
          <w:p w14:paraId="306A3AEA" w14:textId="77777777" w:rsidR="00C972CB" w:rsidRDefault="002457F6">
            <w:pPr>
              <w:pStyle w:val="P68B1DB1-Normal5"/>
              <w:jc w:val="center"/>
              <w:rPr>
                <w:noProof/>
              </w:rPr>
            </w:pPr>
            <w:r>
              <w:rPr>
                <w:noProof/>
              </w:rPr>
              <w:t>Skaits</w:t>
            </w:r>
          </w:p>
        </w:tc>
        <w:tc>
          <w:tcPr>
            <w:tcW w:w="1417" w:type="dxa"/>
            <w:shd w:val="clear" w:color="auto" w:fill="C6EFCE"/>
            <w:noWrap/>
            <w:vAlign w:val="center"/>
          </w:tcPr>
          <w:p w14:paraId="7662DF2C" w14:textId="77777777" w:rsidR="00C972CB" w:rsidRDefault="002457F6">
            <w:pPr>
              <w:pStyle w:val="P68B1DB1-Normal5"/>
              <w:jc w:val="center"/>
              <w:rPr>
                <w:noProof/>
              </w:rPr>
            </w:pPr>
            <w:r>
              <w:rPr>
                <w:noProof/>
              </w:rPr>
              <w:t>5</w:t>
            </w:r>
          </w:p>
        </w:tc>
        <w:tc>
          <w:tcPr>
            <w:tcW w:w="1276" w:type="dxa"/>
            <w:shd w:val="clear" w:color="auto" w:fill="C6EFCE"/>
            <w:noWrap/>
            <w:vAlign w:val="center"/>
          </w:tcPr>
          <w:p w14:paraId="4A1895B7" w14:textId="77777777" w:rsidR="00C972CB" w:rsidRDefault="002457F6">
            <w:pPr>
              <w:pStyle w:val="P68B1DB1-Normal5"/>
              <w:jc w:val="center"/>
              <w:rPr>
                <w:noProof/>
              </w:rPr>
            </w:pPr>
            <w:r>
              <w:rPr>
                <w:noProof/>
              </w:rPr>
              <w:t>50</w:t>
            </w:r>
          </w:p>
        </w:tc>
        <w:tc>
          <w:tcPr>
            <w:tcW w:w="850" w:type="dxa"/>
            <w:shd w:val="clear" w:color="auto" w:fill="C6EFCE"/>
            <w:noWrap/>
            <w:vAlign w:val="center"/>
          </w:tcPr>
          <w:p w14:paraId="2C347BB4"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747A6348" w14:textId="77777777" w:rsidR="00C972CB" w:rsidRDefault="002457F6">
            <w:pPr>
              <w:pStyle w:val="P68B1DB1-Normal5"/>
              <w:jc w:val="center"/>
              <w:rPr>
                <w:noProof/>
              </w:rPr>
            </w:pPr>
            <w:r>
              <w:rPr>
                <w:noProof/>
              </w:rPr>
              <w:t>2024</w:t>
            </w:r>
          </w:p>
        </w:tc>
        <w:tc>
          <w:tcPr>
            <w:tcW w:w="2835" w:type="dxa"/>
            <w:shd w:val="clear" w:color="auto" w:fill="C6EFCE"/>
            <w:noWrap/>
            <w:vAlign w:val="center"/>
          </w:tcPr>
          <w:p w14:paraId="163FB885" w14:textId="77777777" w:rsidR="00C972CB" w:rsidRDefault="002457F6">
            <w:pPr>
              <w:pStyle w:val="P68B1DB1-Normal5"/>
              <w:spacing w:after="120"/>
              <w:rPr>
                <w:noProof/>
              </w:rPr>
            </w:pPr>
            <w:r>
              <w:rPr>
                <w:noProof/>
              </w:rPr>
              <w:t xml:space="preserve">Vismaz 50 intervences pasākumu pastiprināšana, kas pabeigti valsts kiberdrošības </w:t>
            </w:r>
            <w:r>
              <w:rPr>
                <w:noProof/>
              </w:rPr>
              <w:t>perimetra (PSNC) un tīklu un informācijas sistēmu (TID) nozarēs.</w:t>
            </w:r>
          </w:p>
          <w:p w14:paraId="2596876E" w14:textId="76C21AA0" w:rsidR="00C972CB" w:rsidRDefault="002457F6">
            <w:pPr>
              <w:pStyle w:val="P68B1DB1-Normal5"/>
              <w:spacing w:after="120"/>
              <w:rPr>
                <w:noProof/>
              </w:rPr>
            </w:pPr>
            <w:r>
              <w:rPr>
                <w:noProof/>
              </w:rPr>
              <w:t>Intervences veidi ietver, piemēram, drošības operatīvos centrus (SOC), kiberrobežu aizsardzības uzlabojumus un iekšējās uzraudzības un kontroles spējas saskaņā ar TID un PSNC prasībām. Interv</w:t>
            </w:r>
            <w:r>
              <w:rPr>
                <w:noProof/>
              </w:rPr>
              <w:t>encēs TID nozarēs īpaša uzmanība tiek pievērsta veselības aprūpes, enerģētikas un vides (dzeramā ūdensapgādes un atkritumu apsaimniekošanas) nozarēm.</w:t>
            </w:r>
          </w:p>
        </w:tc>
      </w:tr>
      <w:tr w:rsidR="00C972CB" w14:paraId="585B1AD5" w14:textId="77777777">
        <w:trPr>
          <w:trHeight w:val="309"/>
        </w:trPr>
        <w:tc>
          <w:tcPr>
            <w:tcW w:w="1253" w:type="dxa"/>
            <w:shd w:val="clear" w:color="auto" w:fill="C6EFCE"/>
            <w:noWrap/>
            <w:vAlign w:val="center"/>
          </w:tcPr>
          <w:p w14:paraId="2C69545D" w14:textId="77777777" w:rsidR="00C972CB" w:rsidRDefault="002457F6">
            <w:pPr>
              <w:pStyle w:val="P68B1DB1-Normal5"/>
              <w:jc w:val="center"/>
              <w:rPr>
                <w:noProof/>
              </w:rPr>
            </w:pPr>
            <w:r>
              <w:rPr>
                <w:noProof/>
              </w:rPr>
              <w:t>M1C1–20</w:t>
            </w:r>
          </w:p>
        </w:tc>
        <w:tc>
          <w:tcPr>
            <w:tcW w:w="1568" w:type="dxa"/>
            <w:shd w:val="clear" w:color="auto" w:fill="C6EFCE"/>
            <w:noWrap/>
            <w:vAlign w:val="center"/>
          </w:tcPr>
          <w:p w14:paraId="5FD63978" w14:textId="77777777" w:rsidR="00C972CB" w:rsidRDefault="002457F6">
            <w:pPr>
              <w:pStyle w:val="P68B1DB1-Normal5"/>
              <w:jc w:val="center"/>
              <w:rPr>
                <w:noProof/>
              </w:rPr>
            </w:pPr>
            <w:r>
              <w:rPr>
                <w:noProof/>
              </w:rPr>
              <w:t>Ieguldījums 1,5: Kiberdrošība</w:t>
            </w:r>
          </w:p>
        </w:tc>
        <w:tc>
          <w:tcPr>
            <w:tcW w:w="1148" w:type="dxa"/>
            <w:shd w:val="clear" w:color="auto" w:fill="C6EFCE"/>
            <w:noWrap/>
            <w:vAlign w:val="center"/>
          </w:tcPr>
          <w:p w14:paraId="38678796"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76C95AE8" w14:textId="77777777" w:rsidR="00C972CB" w:rsidRDefault="002457F6">
            <w:pPr>
              <w:pStyle w:val="P68B1DB1-Normal5"/>
              <w:jc w:val="center"/>
              <w:rPr>
                <w:noProof/>
              </w:rPr>
            </w:pPr>
            <w:r>
              <w:rPr>
                <w:noProof/>
              </w:rPr>
              <w:t xml:space="preserve">Valstu kiberdrošības pakalpojumu pilnīga </w:t>
            </w:r>
            <w:r>
              <w:rPr>
                <w:noProof/>
              </w:rPr>
              <w:t>ieviešana</w:t>
            </w:r>
          </w:p>
        </w:tc>
        <w:tc>
          <w:tcPr>
            <w:tcW w:w="1701" w:type="dxa"/>
            <w:shd w:val="clear" w:color="auto" w:fill="C6EFCE"/>
            <w:noWrap/>
            <w:vAlign w:val="center"/>
          </w:tcPr>
          <w:p w14:paraId="25B1792F" w14:textId="77777777" w:rsidR="00C972CB" w:rsidRDefault="002457F6">
            <w:pPr>
              <w:pStyle w:val="P68B1DB1-Normal5"/>
              <w:jc w:val="center"/>
              <w:rPr>
                <w:noProof/>
              </w:rPr>
            </w:pPr>
            <w:r>
              <w:rPr>
                <w:noProof/>
              </w:rPr>
              <w:t>Ziņojums, kas apliecina valstu kiberdrošības pakalpojumu pilnīgu aktivizēšanu</w:t>
            </w:r>
          </w:p>
        </w:tc>
        <w:tc>
          <w:tcPr>
            <w:tcW w:w="1134" w:type="dxa"/>
            <w:shd w:val="clear" w:color="auto" w:fill="C6EFCE"/>
            <w:noWrap/>
            <w:vAlign w:val="center"/>
          </w:tcPr>
          <w:p w14:paraId="2482C024"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4711E42B"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146B1D37"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6C4C876B"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4EF3F5CD" w14:textId="77777777" w:rsidR="00C972CB" w:rsidRDefault="002457F6">
            <w:pPr>
              <w:pStyle w:val="P68B1DB1-Normal5"/>
              <w:jc w:val="center"/>
              <w:rPr>
                <w:noProof/>
              </w:rPr>
            </w:pPr>
            <w:r>
              <w:rPr>
                <w:noProof/>
              </w:rPr>
              <w:t>2024</w:t>
            </w:r>
          </w:p>
        </w:tc>
        <w:tc>
          <w:tcPr>
            <w:tcW w:w="2835" w:type="dxa"/>
            <w:shd w:val="clear" w:color="auto" w:fill="C6EFCE"/>
            <w:noWrap/>
            <w:vAlign w:val="center"/>
          </w:tcPr>
          <w:p w14:paraId="0029A2E7" w14:textId="77777777" w:rsidR="00C972CB" w:rsidRDefault="002457F6">
            <w:pPr>
              <w:pStyle w:val="P68B1DB1-Normal5"/>
              <w:spacing w:after="120"/>
              <w:rPr>
                <w:noProof/>
              </w:rPr>
            </w:pPr>
            <w:r>
              <w:rPr>
                <w:noProof/>
              </w:rPr>
              <w:t xml:space="preserve">Šo starpposma mērķi pabeidz, aktivizējot nozaru datorapdraudējumu reaģēšanas vienības (CERT), tās savienojot ar Itālijas datordrošības incidentu reaģēšanas vienību (CSIRT) un Informācijas kopīgošanas un analīzes centru (ISAC), integrējot vismaz 5 drošības </w:t>
            </w:r>
            <w:r>
              <w:rPr>
                <w:noProof/>
              </w:rPr>
              <w:t>operatīvos centrus (SOC) ar valstu HyperSOC, kiberdrošības riska pārvaldības pakalpojumus, tostarp piegādes ķēdes analīzes un kiberriska apdrošināšanas pakalpojumus.</w:t>
            </w:r>
          </w:p>
        </w:tc>
      </w:tr>
      <w:tr w:rsidR="00C972CB" w14:paraId="311CE42B" w14:textId="77777777">
        <w:trPr>
          <w:trHeight w:val="309"/>
        </w:trPr>
        <w:tc>
          <w:tcPr>
            <w:tcW w:w="1253" w:type="dxa"/>
            <w:shd w:val="clear" w:color="auto" w:fill="C6EFCE"/>
            <w:noWrap/>
            <w:vAlign w:val="center"/>
          </w:tcPr>
          <w:p w14:paraId="3A214FF2" w14:textId="77777777" w:rsidR="00C972CB" w:rsidRDefault="002457F6">
            <w:pPr>
              <w:pStyle w:val="P68B1DB1-Normal5"/>
              <w:jc w:val="center"/>
              <w:rPr>
                <w:noProof/>
              </w:rPr>
            </w:pPr>
            <w:r>
              <w:rPr>
                <w:noProof/>
              </w:rPr>
              <w:t>M1C1–21</w:t>
            </w:r>
          </w:p>
        </w:tc>
        <w:tc>
          <w:tcPr>
            <w:tcW w:w="1568" w:type="dxa"/>
            <w:shd w:val="clear" w:color="auto" w:fill="C6EFCE"/>
            <w:noWrap/>
            <w:vAlign w:val="center"/>
          </w:tcPr>
          <w:p w14:paraId="2B04D4BA" w14:textId="77777777" w:rsidR="00C972CB" w:rsidRDefault="002457F6">
            <w:pPr>
              <w:pStyle w:val="P68B1DB1-Normal5"/>
              <w:jc w:val="center"/>
              <w:rPr>
                <w:noProof/>
              </w:rPr>
            </w:pPr>
            <w:r>
              <w:rPr>
                <w:noProof/>
              </w:rPr>
              <w:t>Ieguldījums 1,5: Kiberdrošība</w:t>
            </w:r>
          </w:p>
        </w:tc>
        <w:tc>
          <w:tcPr>
            <w:tcW w:w="1148" w:type="dxa"/>
            <w:shd w:val="clear" w:color="auto" w:fill="C6EFCE"/>
            <w:noWrap/>
            <w:vAlign w:val="center"/>
          </w:tcPr>
          <w:p w14:paraId="7361A6EE"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044DDD9E" w14:textId="77777777" w:rsidR="00C972CB" w:rsidRDefault="002457F6">
            <w:pPr>
              <w:pStyle w:val="P68B1DB1-Normal5"/>
              <w:jc w:val="center"/>
              <w:rPr>
                <w:noProof/>
              </w:rPr>
            </w:pPr>
            <w:r>
              <w:rPr>
                <w:noProof/>
              </w:rPr>
              <w:t xml:space="preserve">Kiberdrošības skrīninga un </w:t>
            </w:r>
            <w:r>
              <w:rPr>
                <w:noProof/>
              </w:rPr>
              <w:t>sertifikācijas laboratoriju un izvērtēšanas centru tīkla pabeigšana</w:t>
            </w:r>
          </w:p>
        </w:tc>
        <w:tc>
          <w:tcPr>
            <w:tcW w:w="1701" w:type="dxa"/>
            <w:shd w:val="clear" w:color="auto" w:fill="C6EFCE"/>
            <w:noWrap/>
            <w:vAlign w:val="center"/>
          </w:tcPr>
          <w:p w14:paraId="3A3BB244" w14:textId="082E2461" w:rsidR="00C972CB" w:rsidRDefault="002457F6">
            <w:pPr>
              <w:pStyle w:val="P68B1DB1-Normal5"/>
              <w:jc w:val="center"/>
              <w:rPr>
                <w:noProof/>
              </w:rPr>
            </w:pPr>
            <w:r>
              <w:rPr>
                <w:noProof/>
              </w:rPr>
              <w:t>Sniegti ziņojumi, pierādot, ka ir pilnībā aktivizētas vismaz 10 laboratorijas un 2 novērtēšanas centri (CV)</w:t>
            </w:r>
          </w:p>
        </w:tc>
        <w:tc>
          <w:tcPr>
            <w:tcW w:w="1134" w:type="dxa"/>
            <w:shd w:val="clear" w:color="auto" w:fill="C6EFCE"/>
            <w:noWrap/>
            <w:vAlign w:val="center"/>
          </w:tcPr>
          <w:p w14:paraId="1F32B991"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7805A180"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0B11A3B0"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3EC157E7"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1A55FEE7" w14:textId="77777777" w:rsidR="00C972CB" w:rsidRDefault="002457F6">
            <w:pPr>
              <w:pStyle w:val="P68B1DB1-Normal5"/>
              <w:jc w:val="center"/>
              <w:rPr>
                <w:noProof/>
              </w:rPr>
            </w:pPr>
            <w:r>
              <w:rPr>
                <w:noProof/>
              </w:rPr>
              <w:t>2024</w:t>
            </w:r>
          </w:p>
        </w:tc>
        <w:tc>
          <w:tcPr>
            <w:tcW w:w="2835" w:type="dxa"/>
            <w:shd w:val="clear" w:color="auto" w:fill="C6EFCE"/>
            <w:noWrap/>
            <w:vAlign w:val="center"/>
          </w:tcPr>
          <w:p w14:paraId="7020B06B" w14:textId="2DFF78C0" w:rsidR="00C972CB" w:rsidRDefault="002457F6">
            <w:pPr>
              <w:pStyle w:val="P68B1DB1-Normal5"/>
              <w:spacing w:after="120"/>
              <w:rPr>
                <w:noProof/>
              </w:rPr>
            </w:pPr>
            <w:r>
              <w:rPr>
                <w:noProof/>
              </w:rPr>
              <w:t>Vismaz 10 skrīninga un sertifikācijas</w:t>
            </w:r>
            <w:r>
              <w:rPr>
                <w:noProof/>
              </w:rPr>
              <w:t xml:space="preserve"> laboratoriju un 2 novērtēšanas centru (CV) aktivizēšana.</w:t>
            </w:r>
          </w:p>
        </w:tc>
      </w:tr>
      <w:tr w:rsidR="00C972CB" w14:paraId="2DB38B2D" w14:textId="77777777">
        <w:trPr>
          <w:trHeight w:val="309"/>
        </w:trPr>
        <w:tc>
          <w:tcPr>
            <w:tcW w:w="1253" w:type="dxa"/>
            <w:shd w:val="clear" w:color="auto" w:fill="C6EFCE"/>
            <w:noWrap/>
            <w:vAlign w:val="center"/>
          </w:tcPr>
          <w:p w14:paraId="3C6A23A8" w14:textId="77777777" w:rsidR="00C972CB" w:rsidRDefault="002457F6">
            <w:pPr>
              <w:pStyle w:val="P68B1DB1-Normal5"/>
              <w:jc w:val="center"/>
              <w:rPr>
                <w:noProof/>
              </w:rPr>
            </w:pPr>
            <w:r>
              <w:rPr>
                <w:noProof/>
              </w:rPr>
              <w:t>M1C1–22.</w:t>
            </w:r>
          </w:p>
        </w:tc>
        <w:tc>
          <w:tcPr>
            <w:tcW w:w="1568" w:type="dxa"/>
            <w:shd w:val="clear" w:color="auto" w:fill="C6EFCE"/>
            <w:noWrap/>
            <w:vAlign w:val="center"/>
          </w:tcPr>
          <w:p w14:paraId="4EE6BC4C" w14:textId="77777777" w:rsidR="00C972CB" w:rsidRDefault="002457F6">
            <w:pPr>
              <w:pStyle w:val="P68B1DB1-Normal5"/>
              <w:jc w:val="center"/>
              <w:rPr>
                <w:noProof/>
              </w:rPr>
            </w:pPr>
            <w:r>
              <w:rPr>
                <w:noProof/>
              </w:rPr>
              <w:t>Ieguldījums 1,5: Kiberdrošība</w:t>
            </w:r>
          </w:p>
        </w:tc>
        <w:tc>
          <w:tcPr>
            <w:tcW w:w="1148" w:type="dxa"/>
            <w:shd w:val="clear" w:color="auto" w:fill="C6EFCE"/>
            <w:noWrap/>
            <w:vAlign w:val="center"/>
          </w:tcPr>
          <w:p w14:paraId="04D28867"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1BC79443" w14:textId="77777777" w:rsidR="00C972CB" w:rsidRDefault="002457F6">
            <w:pPr>
              <w:pStyle w:val="P68B1DB1-Normal5"/>
              <w:jc w:val="center"/>
              <w:rPr>
                <w:noProof/>
              </w:rPr>
            </w:pPr>
            <w:r>
              <w:rPr>
                <w:noProof/>
              </w:rPr>
              <w:t>Centrālās revīzijas nodaļas pilnīga darbība attiecībā uz PSNC un TID drošības pasākumiem, un ir pabeigtas vismaz 30 pārbaudes</w:t>
            </w:r>
          </w:p>
        </w:tc>
        <w:tc>
          <w:tcPr>
            <w:tcW w:w="1701" w:type="dxa"/>
            <w:shd w:val="clear" w:color="auto" w:fill="C6EFCE"/>
            <w:noWrap/>
            <w:vAlign w:val="center"/>
          </w:tcPr>
          <w:p w14:paraId="528F94B2" w14:textId="77777777" w:rsidR="00C972CB" w:rsidRDefault="002457F6">
            <w:pPr>
              <w:pStyle w:val="P68B1DB1-Normal5"/>
              <w:jc w:val="center"/>
              <w:rPr>
                <w:noProof/>
              </w:rPr>
            </w:pPr>
            <w:r>
              <w:rPr>
                <w:noProof/>
              </w:rPr>
              <w:t xml:space="preserve">Sniegtie </w:t>
            </w:r>
            <w:r>
              <w:rPr>
                <w:noProof/>
              </w:rPr>
              <w:t>ziņojumi, inspekcijas ziņojumi</w:t>
            </w:r>
          </w:p>
        </w:tc>
        <w:tc>
          <w:tcPr>
            <w:tcW w:w="1134" w:type="dxa"/>
            <w:shd w:val="clear" w:color="auto" w:fill="C6EFCE"/>
            <w:noWrap/>
            <w:vAlign w:val="center"/>
          </w:tcPr>
          <w:p w14:paraId="69486001"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1898036C"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1AC7FFC8"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05AC6251"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41447BEB" w14:textId="77777777" w:rsidR="00C972CB" w:rsidRDefault="002457F6">
            <w:pPr>
              <w:pStyle w:val="P68B1DB1-Normal5"/>
              <w:jc w:val="center"/>
              <w:rPr>
                <w:noProof/>
              </w:rPr>
            </w:pPr>
            <w:r>
              <w:rPr>
                <w:noProof/>
              </w:rPr>
              <w:t>2024</w:t>
            </w:r>
          </w:p>
        </w:tc>
        <w:tc>
          <w:tcPr>
            <w:tcW w:w="2835" w:type="dxa"/>
            <w:shd w:val="clear" w:color="auto" w:fill="C6EFCE"/>
            <w:noWrap/>
            <w:vAlign w:val="center"/>
          </w:tcPr>
          <w:p w14:paraId="7B52AC93" w14:textId="77777777" w:rsidR="00C972CB" w:rsidRDefault="002457F6">
            <w:pPr>
              <w:pStyle w:val="P68B1DB1-Normal5"/>
              <w:spacing w:after="120"/>
              <w:rPr>
                <w:noProof/>
              </w:rPr>
            </w:pPr>
            <w:r>
              <w:rPr>
                <w:noProof/>
              </w:rPr>
              <w:t>Centrālās revīzijas struktūrvienības pilnīga darbība, un ir pabeigtas vismaz 30 pārbaudes.</w:t>
            </w:r>
          </w:p>
        </w:tc>
      </w:tr>
      <w:tr w:rsidR="00C972CB" w14:paraId="066AAB12" w14:textId="77777777">
        <w:trPr>
          <w:trHeight w:val="309"/>
        </w:trPr>
        <w:tc>
          <w:tcPr>
            <w:tcW w:w="1253" w:type="dxa"/>
            <w:shd w:val="clear" w:color="auto" w:fill="C6EFCE"/>
            <w:noWrap/>
            <w:vAlign w:val="center"/>
          </w:tcPr>
          <w:p w14:paraId="5BEEF5EB" w14:textId="77777777" w:rsidR="00C972CB" w:rsidRDefault="002457F6">
            <w:pPr>
              <w:pStyle w:val="P68B1DB1-Normal5"/>
              <w:jc w:val="center"/>
              <w:rPr>
                <w:noProof/>
              </w:rPr>
            </w:pPr>
            <w:r>
              <w:rPr>
                <w:noProof/>
              </w:rPr>
              <w:t>M1C1–23</w:t>
            </w:r>
          </w:p>
        </w:tc>
        <w:tc>
          <w:tcPr>
            <w:tcW w:w="1568" w:type="dxa"/>
            <w:shd w:val="clear" w:color="auto" w:fill="C6EFCE"/>
            <w:noWrap/>
            <w:vAlign w:val="center"/>
          </w:tcPr>
          <w:p w14:paraId="035C8A1C" w14:textId="1B5E4D4C" w:rsidR="00C972CB" w:rsidRDefault="002457F6">
            <w:pPr>
              <w:pStyle w:val="P68B1DB1-Normal5"/>
              <w:jc w:val="center"/>
              <w:rPr>
                <w:noProof/>
              </w:rPr>
            </w:pPr>
            <w:r>
              <w:rPr>
                <w:noProof/>
              </w:rPr>
              <w:t>Ieguldījums 1.4.6.: Mobilitāte kā pakalpojums Itālijai</w:t>
            </w:r>
          </w:p>
        </w:tc>
        <w:tc>
          <w:tcPr>
            <w:tcW w:w="1148" w:type="dxa"/>
            <w:shd w:val="clear" w:color="auto" w:fill="C6EFCE"/>
            <w:noWrap/>
            <w:vAlign w:val="center"/>
          </w:tcPr>
          <w:p w14:paraId="102B1596"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5FE7E4EC" w14:textId="77777777" w:rsidR="00C972CB" w:rsidRDefault="002457F6">
            <w:pPr>
              <w:pStyle w:val="P68B1DB1-Normal5"/>
              <w:jc w:val="center"/>
              <w:rPr>
                <w:noProof/>
              </w:rPr>
            </w:pPr>
            <w:r>
              <w:rPr>
                <w:noProof/>
              </w:rPr>
              <w:t>Mobilitāte kā pakalpojumu risinājumi M2</w:t>
            </w:r>
          </w:p>
        </w:tc>
        <w:tc>
          <w:tcPr>
            <w:tcW w:w="1701" w:type="dxa"/>
            <w:shd w:val="clear" w:color="auto" w:fill="C6EFCE"/>
            <w:noWrap/>
            <w:vAlign w:val="center"/>
          </w:tcPr>
          <w:p w14:paraId="5E460BDF" w14:textId="01EB0E82" w:rsidR="00C972CB" w:rsidRDefault="002457F6">
            <w:pPr>
              <w:pStyle w:val="P68B1DB1-Normal5"/>
              <w:jc w:val="center"/>
              <w:rPr>
                <w:noProof/>
              </w:rPr>
            </w:pPr>
            <w:r>
              <w:rPr>
                <w:noProof/>
              </w:rPr>
              <w:t>Izmēģinājuma rezultāti, ko sadarbībā ar universitātēm novērtējis Ministero delle Infrastrutture e della Mobilità Sostenibili (MIMS)</w:t>
            </w:r>
          </w:p>
        </w:tc>
        <w:tc>
          <w:tcPr>
            <w:tcW w:w="1134" w:type="dxa"/>
            <w:shd w:val="clear" w:color="auto" w:fill="C6EFCE"/>
            <w:noWrap/>
            <w:vAlign w:val="center"/>
          </w:tcPr>
          <w:p w14:paraId="4042578F"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4C25D1DB"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61F08E48"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648F442F" w14:textId="77777777" w:rsidR="00C972CB" w:rsidRDefault="002457F6">
            <w:pPr>
              <w:pStyle w:val="P68B1DB1-Normal5"/>
              <w:jc w:val="center"/>
              <w:rPr>
                <w:noProof/>
              </w:rPr>
            </w:pPr>
            <w:r>
              <w:rPr>
                <w:noProof/>
              </w:rPr>
              <w:t>1. CET.</w:t>
            </w:r>
          </w:p>
        </w:tc>
        <w:tc>
          <w:tcPr>
            <w:tcW w:w="709" w:type="dxa"/>
            <w:shd w:val="clear" w:color="auto" w:fill="C6EFCE"/>
            <w:noWrap/>
            <w:vAlign w:val="center"/>
          </w:tcPr>
          <w:p w14:paraId="6737ABB8" w14:textId="77777777" w:rsidR="00C972CB" w:rsidRDefault="002457F6">
            <w:pPr>
              <w:pStyle w:val="P68B1DB1-Normal5"/>
              <w:jc w:val="center"/>
              <w:rPr>
                <w:noProof/>
              </w:rPr>
            </w:pPr>
            <w:r>
              <w:rPr>
                <w:noProof/>
              </w:rPr>
              <w:t>2025</w:t>
            </w:r>
          </w:p>
        </w:tc>
        <w:tc>
          <w:tcPr>
            <w:tcW w:w="2835" w:type="dxa"/>
            <w:shd w:val="clear" w:color="auto" w:fill="C6EFCE"/>
            <w:noWrap/>
            <w:vAlign w:val="center"/>
          </w:tcPr>
          <w:p w14:paraId="5DC39A38" w14:textId="77777777" w:rsidR="00C972CB" w:rsidRDefault="002457F6">
            <w:pPr>
              <w:pStyle w:val="P68B1DB1-Normal5"/>
              <w:spacing w:after="120"/>
              <w:rPr>
                <w:noProof/>
              </w:rPr>
            </w:pPr>
            <w:r>
              <w:rPr>
                <w:noProof/>
              </w:rPr>
              <w:t xml:space="preserve">Starpposma mērķis ir īstenot septiņu </w:t>
            </w:r>
            <w:r>
              <w:rPr>
                <w:noProof/>
              </w:rPr>
              <w:t>izmēģinājuma projektu otro kārtu, kuru mērķis ir testēt mobilitāti kā pakalpojumu risinājumus “sekojošās” jomās.</w:t>
            </w:r>
          </w:p>
          <w:p w14:paraId="34003128" w14:textId="77777777" w:rsidR="00C972CB" w:rsidRDefault="002457F6">
            <w:pPr>
              <w:pStyle w:val="P68B1DB1-Normal5"/>
              <w:spacing w:after="120"/>
              <w:rPr>
                <w:noProof/>
              </w:rPr>
            </w:pPr>
            <w:r>
              <w:rPr>
                <w:noProof/>
              </w:rPr>
              <w:t>Paredzams, ka pašvaldības izmantos pieredzi, ko guvušas pirmā viļņa laikā izraudzītās digitālās lielpilsētas. 40 % izmēģinājuma projektu īsteno</w:t>
            </w:r>
            <w:r>
              <w:rPr>
                <w:noProof/>
              </w:rPr>
              <w:t xml:space="preserve"> dienvidos.</w:t>
            </w:r>
          </w:p>
        </w:tc>
      </w:tr>
      <w:tr w:rsidR="00C972CB" w14:paraId="478D9BCD" w14:textId="77777777">
        <w:trPr>
          <w:trHeight w:val="309"/>
        </w:trPr>
        <w:tc>
          <w:tcPr>
            <w:tcW w:w="1253" w:type="dxa"/>
            <w:shd w:val="clear" w:color="auto" w:fill="C6EFCE"/>
            <w:noWrap/>
            <w:vAlign w:val="center"/>
          </w:tcPr>
          <w:p w14:paraId="4531755B" w14:textId="77777777" w:rsidR="00C972CB" w:rsidRDefault="002457F6">
            <w:pPr>
              <w:pStyle w:val="P68B1DB1-Normal5"/>
              <w:jc w:val="center"/>
              <w:rPr>
                <w:noProof/>
              </w:rPr>
            </w:pPr>
            <w:r>
              <w:rPr>
                <w:noProof/>
              </w:rPr>
              <w:t>M1C1–24</w:t>
            </w:r>
          </w:p>
        </w:tc>
        <w:tc>
          <w:tcPr>
            <w:tcW w:w="1568" w:type="dxa"/>
            <w:shd w:val="clear" w:color="auto" w:fill="C6EFCE"/>
            <w:noWrap/>
            <w:vAlign w:val="center"/>
          </w:tcPr>
          <w:p w14:paraId="03697DDF" w14:textId="7CDC1D1D" w:rsidR="00C972CB" w:rsidRDefault="002457F6">
            <w:pPr>
              <w:pStyle w:val="P68B1DB1-Normal5"/>
              <w:jc w:val="center"/>
              <w:rPr>
                <w:noProof/>
              </w:rPr>
            </w:pPr>
            <w:r>
              <w:rPr>
                <w:noProof/>
              </w:rPr>
              <w:t>Ieguldījums 1.7.1.: Digitālais civildienests</w:t>
            </w:r>
          </w:p>
        </w:tc>
        <w:tc>
          <w:tcPr>
            <w:tcW w:w="1148" w:type="dxa"/>
            <w:shd w:val="clear" w:color="auto" w:fill="C6EFCE"/>
            <w:noWrap/>
            <w:vAlign w:val="center"/>
          </w:tcPr>
          <w:p w14:paraId="010E7A4E" w14:textId="77777777" w:rsidR="00C972CB" w:rsidRDefault="002457F6">
            <w:pPr>
              <w:pStyle w:val="P68B1DB1-Normal5"/>
              <w:jc w:val="center"/>
              <w:rPr>
                <w:noProof/>
              </w:rPr>
            </w:pPr>
            <w:r>
              <w:rPr>
                <w:noProof/>
              </w:rPr>
              <w:t>Mērķa</w:t>
            </w:r>
          </w:p>
        </w:tc>
        <w:tc>
          <w:tcPr>
            <w:tcW w:w="1470" w:type="dxa"/>
            <w:shd w:val="clear" w:color="auto" w:fill="C6EFCE"/>
            <w:noWrap/>
            <w:vAlign w:val="center"/>
          </w:tcPr>
          <w:p w14:paraId="2376AED8" w14:textId="360A3DB3" w:rsidR="00C972CB" w:rsidRDefault="002457F6">
            <w:pPr>
              <w:pStyle w:val="P68B1DB1-Normal5"/>
              <w:jc w:val="center"/>
              <w:rPr>
                <w:noProof/>
              </w:rPr>
            </w:pPr>
            <w:r>
              <w:rPr>
                <w:noProof/>
              </w:rPr>
              <w:t xml:space="preserve">Iedzīvotāji, kas piedalās digitālās izglītības un/vai veicināšanas iniciatīvās, kuras nodrošina organizācijas, kas reģistrētas vispārējo civildienesta organizāciju valsts reģistrā </w:t>
            </w:r>
          </w:p>
        </w:tc>
        <w:tc>
          <w:tcPr>
            <w:tcW w:w="1701" w:type="dxa"/>
            <w:shd w:val="clear" w:color="auto" w:fill="C6EFCE"/>
            <w:noWrap/>
            <w:vAlign w:val="center"/>
          </w:tcPr>
          <w:p w14:paraId="1B1E6A44" w14:textId="77777777" w:rsidR="00C972CB" w:rsidRDefault="002457F6">
            <w:pPr>
              <w:pStyle w:val="P68B1DB1-Normal5"/>
              <w:jc w:val="center"/>
              <w:rPr>
                <w:noProof/>
              </w:rPr>
            </w:pPr>
            <w:r>
              <w:rPr>
                <w:noProof/>
              </w:rPr>
              <w:t>NEPIEMĒRO</w:t>
            </w:r>
          </w:p>
        </w:tc>
        <w:tc>
          <w:tcPr>
            <w:tcW w:w="1134" w:type="dxa"/>
            <w:shd w:val="clear" w:color="auto" w:fill="C6EFCE"/>
            <w:noWrap/>
            <w:vAlign w:val="center"/>
          </w:tcPr>
          <w:p w14:paraId="78DF70DA" w14:textId="77777777" w:rsidR="00C972CB" w:rsidRDefault="002457F6">
            <w:pPr>
              <w:pStyle w:val="P68B1DB1-Normal5"/>
              <w:jc w:val="center"/>
              <w:rPr>
                <w:noProof/>
              </w:rPr>
            </w:pPr>
            <w:r>
              <w:rPr>
                <w:noProof/>
              </w:rPr>
              <w:t>Skaits</w:t>
            </w:r>
          </w:p>
        </w:tc>
        <w:tc>
          <w:tcPr>
            <w:tcW w:w="1417" w:type="dxa"/>
            <w:shd w:val="clear" w:color="auto" w:fill="C6EFCE"/>
            <w:noWrap/>
            <w:vAlign w:val="center"/>
          </w:tcPr>
          <w:p w14:paraId="2EF961F5" w14:textId="77777777" w:rsidR="00C972CB" w:rsidRDefault="002457F6">
            <w:pPr>
              <w:pStyle w:val="P68B1DB1-Normal5"/>
              <w:jc w:val="center"/>
              <w:rPr>
                <w:noProof/>
              </w:rPr>
            </w:pPr>
            <w:r>
              <w:rPr>
                <w:noProof/>
              </w:rPr>
              <w:t>0</w:t>
            </w:r>
          </w:p>
        </w:tc>
        <w:tc>
          <w:tcPr>
            <w:tcW w:w="1276" w:type="dxa"/>
            <w:shd w:val="clear" w:color="auto" w:fill="C6EFCE"/>
            <w:noWrap/>
            <w:vAlign w:val="center"/>
          </w:tcPr>
          <w:p w14:paraId="302FAE86" w14:textId="77777777" w:rsidR="00C972CB" w:rsidRDefault="002457F6">
            <w:pPr>
              <w:pStyle w:val="P68B1DB1-Normal5"/>
              <w:jc w:val="center"/>
              <w:rPr>
                <w:noProof/>
              </w:rPr>
            </w:pPr>
            <w:r>
              <w:rPr>
                <w:noProof/>
              </w:rPr>
              <w:t>700 000</w:t>
            </w:r>
          </w:p>
        </w:tc>
        <w:tc>
          <w:tcPr>
            <w:tcW w:w="850" w:type="dxa"/>
            <w:shd w:val="clear" w:color="auto" w:fill="C6EFCE"/>
            <w:noWrap/>
            <w:vAlign w:val="center"/>
          </w:tcPr>
          <w:p w14:paraId="30471F33" w14:textId="77777777" w:rsidR="00C972CB" w:rsidRDefault="002457F6">
            <w:pPr>
              <w:pStyle w:val="P68B1DB1-Normal5"/>
              <w:jc w:val="center"/>
              <w:rPr>
                <w:noProof/>
              </w:rPr>
            </w:pPr>
            <w:r>
              <w:rPr>
                <w:noProof/>
              </w:rPr>
              <w:t>4. CET.</w:t>
            </w:r>
          </w:p>
        </w:tc>
        <w:tc>
          <w:tcPr>
            <w:tcW w:w="709" w:type="dxa"/>
            <w:shd w:val="clear" w:color="auto" w:fill="C6EFCE"/>
            <w:noWrap/>
            <w:vAlign w:val="center"/>
          </w:tcPr>
          <w:p w14:paraId="3384BD2C" w14:textId="77777777" w:rsidR="00C972CB" w:rsidRDefault="002457F6">
            <w:pPr>
              <w:pStyle w:val="P68B1DB1-Normal5"/>
              <w:jc w:val="center"/>
              <w:rPr>
                <w:noProof/>
              </w:rPr>
            </w:pPr>
            <w:r>
              <w:rPr>
                <w:noProof/>
              </w:rPr>
              <w:t>2025</w:t>
            </w:r>
          </w:p>
        </w:tc>
        <w:tc>
          <w:tcPr>
            <w:tcW w:w="2835" w:type="dxa"/>
            <w:shd w:val="clear" w:color="auto" w:fill="C6EFCE"/>
            <w:noWrap/>
            <w:vAlign w:val="center"/>
          </w:tcPr>
          <w:p w14:paraId="065A0C11" w14:textId="2F52883A" w:rsidR="00C972CB" w:rsidRDefault="002457F6">
            <w:pPr>
              <w:pStyle w:val="P68B1DB1-Normal5"/>
              <w:rPr>
                <w:noProof/>
              </w:rPr>
            </w:pPr>
            <w:r>
              <w:rPr>
                <w:noProof/>
              </w:rPr>
              <w:t>Vismaz 700000 digitālās izglītības un/vai veicināšanas iniciatīvu, kurās iesaistīti iedzīvotāji un kuras nodrošina organizācijas, kas reģistrētas vispārējo civildienesta organizāciju valsts reģistrā.</w:t>
            </w:r>
          </w:p>
        </w:tc>
      </w:tr>
      <w:tr w:rsidR="00C972CB" w14:paraId="35F80035" w14:textId="77777777">
        <w:trPr>
          <w:trHeight w:val="309"/>
        </w:trPr>
        <w:tc>
          <w:tcPr>
            <w:tcW w:w="1253" w:type="dxa"/>
            <w:shd w:val="clear" w:color="auto" w:fill="C6EFCE"/>
            <w:noWrap/>
            <w:vAlign w:val="center"/>
          </w:tcPr>
          <w:p w14:paraId="1E9EE715" w14:textId="77777777" w:rsidR="00C972CB" w:rsidRDefault="002457F6">
            <w:pPr>
              <w:pStyle w:val="P68B1DB1-Normal5"/>
              <w:jc w:val="center"/>
              <w:rPr>
                <w:noProof/>
              </w:rPr>
            </w:pPr>
            <w:r>
              <w:rPr>
                <w:noProof/>
              </w:rPr>
              <w:t>M1C1–25</w:t>
            </w:r>
          </w:p>
        </w:tc>
        <w:tc>
          <w:tcPr>
            <w:tcW w:w="1568" w:type="dxa"/>
            <w:shd w:val="clear" w:color="auto" w:fill="C6EFCE"/>
            <w:noWrap/>
            <w:vAlign w:val="center"/>
          </w:tcPr>
          <w:p w14:paraId="5113E1C7" w14:textId="77777777" w:rsidR="00C972CB" w:rsidRDefault="002457F6">
            <w:pPr>
              <w:pStyle w:val="P68B1DB1-Normal5"/>
              <w:jc w:val="center"/>
              <w:rPr>
                <w:noProof/>
              </w:rPr>
            </w:pPr>
            <w:r>
              <w:rPr>
                <w:noProof/>
              </w:rPr>
              <w:t>Ieguldījums 1.6.6.: Finanšu policijas digitalizācija</w:t>
            </w:r>
          </w:p>
        </w:tc>
        <w:tc>
          <w:tcPr>
            <w:tcW w:w="1148" w:type="dxa"/>
            <w:shd w:val="clear" w:color="auto" w:fill="C6EFCE"/>
            <w:noWrap/>
            <w:vAlign w:val="center"/>
          </w:tcPr>
          <w:p w14:paraId="02C95E45" w14:textId="77777777" w:rsidR="00C972CB" w:rsidRDefault="002457F6">
            <w:pPr>
              <w:pStyle w:val="P68B1DB1-Normal5"/>
              <w:jc w:val="center"/>
              <w:rPr>
                <w:noProof/>
              </w:rPr>
            </w:pPr>
            <w:r>
              <w:rPr>
                <w:noProof/>
              </w:rPr>
              <w:t>Starpposma mērķis</w:t>
            </w:r>
          </w:p>
        </w:tc>
        <w:tc>
          <w:tcPr>
            <w:tcW w:w="1470" w:type="dxa"/>
            <w:shd w:val="clear" w:color="auto" w:fill="C6EFCE"/>
            <w:noWrap/>
            <w:vAlign w:val="center"/>
          </w:tcPr>
          <w:p w14:paraId="023241C8" w14:textId="77777777" w:rsidR="00C972CB" w:rsidRDefault="002457F6">
            <w:pPr>
              <w:pStyle w:val="P68B1DB1-Normal5"/>
              <w:jc w:val="center"/>
              <w:rPr>
                <w:noProof/>
              </w:rPr>
            </w:pPr>
            <w:r>
              <w:rPr>
                <w:noProof/>
              </w:rPr>
              <w:t>Attīstīt operatīvās informācijas sistēmas, ko izmanto cīņā pret ekonomiskajiem noziegumiem</w:t>
            </w:r>
          </w:p>
        </w:tc>
        <w:tc>
          <w:tcPr>
            <w:tcW w:w="1701" w:type="dxa"/>
            <w:shd w:val="clear" w:color="auto" w:fill="C6EFCE"/>
            <w:noWrap/>
            <w:vAlign w:val="center"/>
          </w:tcPr>
          <w:p w14:paraId="5D12386D" w14:textId="77777777" w:rsidR="00C972CB" w:rsidRDefault="002457F6">
            <w:pPr>
              <w:pStyle w:val="P68B1DB1-Normal5"/>
              <w:jc w:val="center"/>
              <w:rPr>
                <w:noProof/>
              </w:rPr>
            </w:pPr>
            <w:r>
              <w:rPr>
                <w:noProof/>
              </w:rPr>
              <w:t>It sistēmu uzlabošana jaunu funkciju, veiktspējas un lietotāju pieredzes ziņā</w:t>
            </w:r>
          </w:p>
        </w:tc>
        <w:tc>
          <w:tcPr>
            <w:tcW w:w="1134" w:type="dxa"/>
            <w:shd w:val="clear" w:color="auto" w:fill="C6EFCE"/>
            <w:noWrap/>
            <w:vAlign w:val="center"/>
          </w:tcPr>
          <w:p w14:paraId="1F0B82DD" w14:textId="77777777" w:rsidR="00C972CB" w:rsidRDefault="002457F6">
            <w:pPr>
              <w:pStyle w:val="P68B1DB1-Normal5"/>
              <w:jc w:val="center"/>
              <w:rPr>
                <w:noProof/>
              </w:rPr>
            </w:pPr>
            <w:r>
              <w:rPr>
                <w:noProof/>
              </w:rPr>
              <w:t>NEPIEMĒRO</w:t>
            </w:r>
          </w:p>
        </w:tc>
        <w:tc>
          <w:tcPr>
            <w:tcW w:w="1417" w:type="dxa"/>
            <w:shd w:val="clear" w:color="auto" w:fill="C6EFCE"/>
            <w:noWrap/>
            <w:vAlign w:val="center"/>
          </w:tcPr>
          <w:p w14:paraId="17A81F3F" w14:textId="77777777" w:rsidR="00C972CB" w:rsidRDefault="002457F6">
            <w:pPr>
              <w:pStyle w:val="P68B1DB1-Normal5"/>
              <w:jc w:val="center"/>
              <w:rPr>
                <w:noProof/>
              </w:rPr>
            </w:pPr>
            <w:r>
              <w:rPr>
                <w:noProof/>
              </w:rPr>
              <w:t>NEPIEMĒRO</w:t>
            </w:r>
          </w:p>
        </w:tc>
        <w:tc>
          <w:tcPr>
            <w:tcW w:w="1276" w:type="dxa"/>
            <w:shd w:val="clear" w:color="auto" w:fill="C6EFCE"/>
            <w:noWrap/>
            <w:vAlign w:val="center"/>
          </w:tcPr>
          <w:p w14:paraId="27C367E4" w14:textId="77777777" w:rsidR="00C972CB" w:rsidRDefault="002457F6">
            <w:pPr>
              <w:pStyle w:val="P68B1DB1-Normal5"/>
              <w:jc w:val="center"/>
              <w:rPr>
                <w:noProof/>
              </w:rPr>
            </w:pPr>
            <w:r>
              <w:rPr>
                <w:noProof/>
              </w:rPr>
              <w:t>NEPIEMĒRO</w:t>
            </w:r>
          </w:p>
        </w:tc>
        <w:tc>
          <w:tcPr>
            <w:tcW w:w="850" w:type="dxa"/>
            <w:shd w:val="clear" w:color="auto" w:fill="C6EFCE"/>
            <w:noWrap/>
            <w:vAlign w:val="center"/>
          </w:tcPr>
          <w:p w14:paraId="0E754B8E" w14:textId="77777777" w:rsidR="00C972CB" w:rsidRDefault="002457F6">
            <w:pPr>
              <w:pStyle w:val="P68B1DB1-Normal5"/>
              <w:jc w:val="center"/>
              <w:rPr>
                <w:noProof/>
              </w:rPr>
            </w:pPr>
            <w:r>
              <w:rPr>
                <w:noProof/>
              </w:rPr>
              <w:t>2. CET.</w:t>
            </w:r>
          </w:p>
        </w:tc>
        <w:tc>
          <w:tcPr>
            <w:tcW w:w="709" w:type="dxa"/>
            <w:shd w:val="clear" w:color="auto" w:fill="C6EFCE"/>
            <w:noWrap/>
            <w:vAlign w:val="center"/>
          </w:tcPr>
          <w:p w14:paraId="44E04321" w14:textId="77777777" w:rsidR="00C972CB" w:rsidRDefault="002457F6">
            <w:pPr>
              <w:pStyle w:val="P68B1DB1-Normal5"/>
              <w:jc w:val="center"/>
              <w:rPr>
                <w:noProof/>
              </w:rPr>
            </w:pPr>
            <w:r>
              <w:rPr>
                <w:noProof/>
              </w:rPr>
              <w:t>2025</w:t>
            </w:r>
          </w:p>
        </w:tc>
        <w:tc>
          <w:tcPr>
            <w:tcW w:w="2835" w:type="dxa"/>
            <w:shd w:val="clear" w:color="auto" w:fill="C6EFCE"/>
            <w:noWrap/>
            <w:vAlign w:val="center"/>
          </w:tcPr>
          <w:p w14:paraId="6A7C19D5" w14:textId="77777777" w:rsidR="00C972CB" w:rsidRDefault="002457F6">
            <w:pPr>
              <w:pStyle w:val="P68B1DB1-Normal5"/>
              <w:rPr>
                <w:noProof/>
              </w:rPr>
            </w:pPr>
            <w:r>
              <w:rPr>
                <w:noProof/>
              </w:rPr>
              <w:t>Darbības informācijas sistēmu jaunu funkciju pakāpeniska publiskošana (uz gadu), lai nodrošinātu to aktualitāti saskaņā ar strauji mainīgajiem tiesību aktu scenārijiem, kas saistīti arī ar pandēmijas situāciju.</w:t>
            </w:r>
          </w:p>
        </w:tc>
      </w:tr>
      <w:tr w:rsidR="00C972CB" w14:paraId="0A2F7A5B" w14:textId="77777777">
        <w:trPr>
          <w:trHeight w:val="309"/>
        </w:trPr>
        <w:tc>
          <w:tcPr>
            <w:tcW w:w="1253" w:type="dxa"/>
            <w:shd w:val="clear" w:color="auto" w:fill="C6EFCE"/>
            <w:noWrap/>
            <w:vAlign w:val="center"/>
            <w:hideMark/>
          </w:tcPr>
          <w:p w14:paraId="062CC674" w14:textId="77777777" w:rsidR="00C972CB" w:rsidRDefault="002457F6">
            <w:pPr>
              <w:pStyle w:val="P68B1DB1-Normal5"/>
              <w:jc w:val="center"/>
              <w:rPr>
                <w:noProof/>
              </w:rPr>
            </w:pPr>
            <w:r>
              <w:rPr>
                <w:noProof/>
              </w:rPr>
              <w:t>M1C1–26</w:t>
            </w:r>
          </w:p>
        </w:tc>
        <w:tc>
          <w:tcPr>
            <w:tcW w:w="1568" w:type="dxa"/>
            <w:shd w:val="clear" w:color="auto" w:fill="C6EFCE"/>
            <w:noWrap/>
            <w:vAlign w:val="center"/>
            <w:hideMark/>
          </w:tcPr>
          <w:p w14:paraId="7EC5F168" w14:textId="77777777" w:rsidR="00C972CB" w:rsidRDefault="002457F6">
            <w:pPr>
              <w:pStyle w:val="P68B1DB1-Normal5"/>
              <w:jc w:val="center"/>
              <w:rPr>
                <w:noProof/>
              </w:rPr>
            </w:pPr>
            <w:r>
              <w:rPr>
                <w:noProof/>
              </w:rPr>
              <w:t>Ieguldījums 1.1: Digitālā infrastruktūra</w:t>
            </w:r>
          </w:p>
        </w:tc>
        <w:tc>
          <w:tcPr>
            <w:tcW w:w="1148" w:type="dxa"/>
            <w:shd w:val="clear" w:color="auto" w:fill="C6EFCE"/>
            <w:noWrap/>
            <w:vAlign w:val="center"/>
            <w:hideMark/>
          </w:tcPr>
          <w:p w14:paraId="0ACB1580" w14:textId="77777777" w:rsidR="00C972CB" w:rsidRDefault="002457F6">
            <w:pPr>
              <w:pStyle w:val="P68B1DB1-Normal5"/>
              <w:jc w:val="center"/>
              <w:rPr>
                <w:noProof/>
              </w:rPr>
            </w:pPr>
            <w:r>
              <w:rPr>
                <w:noProof/>
              </w:rPr>
              <w:t>Mērķa</w:t>
            </w:r>
          </w:p>
        </w:tc>
        <w:tc>
          <w:tcPr>
            <w:tcW w:w="1470" w:type="dxa"/>
            <w:shd w:val="clear" w:color="auto" w:fill="C6EFCE"/>
            <w:noWrap/>
            <w:vAlign w:val="center"/>
            <w:hideMark/>
          </w:tcPr>
          <w:p w14:paraId="2C048693" w14:textId="77777777" w:rsidR="00C972CB" w:rsidRDefault="002457F6">
            <w:pPr>
              <w:pStyle w:val="P68B1DB1-Normal5"/>
              <w:jc w:val="center"/>
              <w:rPr>
                <w:noProof/>
              </w:rPr>
            </w:pPr>
            <w:r>
              <w:rPr>
                <w:noProof/>
              </w:rPr>
              <w:t>Migrācija uz Polo Strategico Nazionale T2</w:t>
            </w:r>
          </w:p>
        </w:tc>
        <w:tc>
          <w:tcPr>
            <w:tcW w:w="1701" w:type="dxa"/>
            <w:shd w:val="clear" w:color="auto" w:fill="C6EFCE"/>
            <w:noWrap/>
            <w:vAlign w:val="center"/>
            <w:hideMark/>
          </w:tcPr>
          <w:p w14:paraId="44AB7C49" w14:textId="77777777" w:rsidR="00C972CB" w:rsidRDefault="002457F6">
            <w:pPr>
              <w:pStyle w:val="P68B1DB1-Normal5"/>
              <w:jc w:val="center"/>
              <w:rPr>
                <w:noProof/>
              </w:rPr>
            </w:pPr>
            <w:r>
              <w:rPr>
                <w:noProof/>
              </w:rPr>
              <w:t>NEPIEMĒRO</w:t>
            </w:r>
          </w:p>
        </w:tc>
        <w:tc>
          <w:tcPr>
            <w:tcW w:w="1134" w:type="dxa"/>
            <w:shd w:val="clear" w:color="auto" w:fill="C6EFCE"/>
            <w:noWrap/>
            <w:vAlign w:val="center"/>
            <w:hideMark/>
          </w:tcPr>
          <w:p w14:paraId="01CBCFEB" w14:textId="77777777" w:rsidR="00C972CB" w:rsidRDefault="002457F6">
            <w:pPr>
              <w:pStyle w:val="P68B1DB1-Normal5"/>
              <w:jc w:val="center"/>
              <w:rPr>
                <w:noProof/>
              </w:rPr>
            </w:pPr>
            <w:r>
              <w:rPr>
                <w:noProof/>
              </w:rPr>
              <w:t>Skaits</w:t>
            </w:r>
          </w:p>
        </w:tc>
        <w:tc>
          <w:tcPr>
            <w:tcW w:w="1417" w:type="dxa"/>
            <w:shd w:val="clear" w:color="auto" w:fill="C6EFCE"/>
            <w:noWrap/>
            <w:vAlign w:val="center"/>
            <w:hideMark/>
          </w:tcPr>
          <w:p w14:paraId="02F42438" w14:textId="77777777" w:rsidR="00C972CB" w:rsidRDefault="002457F6">
            <w:pPr>
              <w:pStyle w:val="P68B1DB1-Normal5"/>
              <w:jc w:val="center"/>
              <w:rPr>
                <w:noProof/>
              </w:rPr>
            </w:pPr>
            <w:r>
              <w:rPr>
                <w:noProof/>
              </w:rPr>
              <w:t>100</w:t>
            </w:r>
          </w:p>
        </w:tc>
        <w:tc>
          <w:tcPr>
            <w:tcW w:w="1276" w:type="dxa"/>
            <w:shd w:val="clear" w:color="auto" w:fill="C6EFCE"/>
            <w:noWrap/>
            <w:vAlign w:val="center"/>
            <w:hideMark/>
          </w:tcPr>
          <w:p w14:paraId="6B1E3483" w14:textId="77777777" w:rsidR="00C972CB" w:rsidRDefault="002457F6">
            <w:pPr>
              <w:pStyle w:val="P68B1DB1-Normal5"/>
              <w:jc w:val="center"/>
              <w:rPr>
                <w:noProof/>
              </w:rPr>
            </w:pPr>
            <w:r>
              <w:rPr>
                <w:noProof/>
              </w:rPr>
              <w:t>280</w:t>
            </w:r>
          </w:p>
        </w:tc>
        <w:tc>
          <w:tcPr>
            <w:tcW w:w="850" w:type="dxa"/>
            <w:shd w:val="clear" w:color="auto" w:fill="C6EFCE"/>
            <w:noWrap/>
            <w:vAlign w:val="center"/>
            <w:hideMark/>
          </w:tcPr>
          <w:p w14:paraId="00D170F6" w14:textId="77777777" w:rsidR="00C972CB" w:rsidRDefault="002457F6">
            <w:pPr>
              <w:pStyle w:val="P68B1DB1-Normal5"/>
              <w:jc w:val="center"/>
              <w:rPr>
                <w:noProof/>
              </w:rPr>
            </w:pPr>
            <w:r>
              <w:rPr>
                <w:noProof/>
              </w:rPr>
              <w:t>2. CET.</w:t>
            </w:r>
          </w:p>
        </w:tc>
        <w:tc>
          <w:tcPr>
            <w:tcW w:w="709" w:type="dxa"/>
            <w:shd w:val="clear" w:color="auto" w:fill="C6EFCE"/>
            <w:noWrap/>
            <w:vAlign w:val="center"/>
            <w:hideMark/>
          </w:tcPr>
          <w:p w14:paraId="7DE74470" w14:textId="77777777" w:rsidR="00C972CB" w:rsidRDefault="002457F6">
            <w:pPr>
              <w:pStyle w:val="P68B1DB1-Normal5"/>
              <w:jc w:val="center"/>
              <w:rPr>
                <w:noProof/>
              </w:rPr>
            </w:pPr>
            <w:r>
              <w:rPr>
                <w:noProof/>
              </w:rPr>
              <w:t>2026</w:t>
            </w:r>
          </w:p>
        </w:tc>
        <w:tc>
          <w:tcPr>
            <w:tcW w:w="2835" w:type="dxa"/>
            <w:shd w:val="clear" w:color="auto" w:fill="C6EFCE"/>
            <w:noWrap/>
            <w:vAlign w:val="center"/>
            <w:hideMark/>
          </w:tcPr>
          <w:p w14:paraId="37D8573F" w14:textId="77777777" w:rsidR="00C972CB" w:rsidRDefault="002457F6">
            <w:pPr>
              <w:pStyle w:val="P68B1DB1-Normal4"/>
              <w:spacing w:after="120"/>
              <w:rPr>
                <w:noProof/>
                <w:color w:val="006100"/>
              </w:rPr>
            </w:pPr>
            <w:r>
              <w:rPr>
                <w:noProof/>
                <w:color w:val="006100"/>
              </w:rPr>
              <w:t xml:space="preserve">Vismaz 280 centrālo valsts pārvaldes iestāžu un vietējo veselības aprūpes iestāžu (Aziende Sanitarie Locali) migrēja uz “Polo </w:t>
            </w:r>
            <w:r>
              <w:rPr>
                <w:noProof/>
                <w:color w:val="006100"/>
              </w:rPr>
              <w:t>Strategico Nazionale”</w:t>
            </w:r>
            <w:r>
              <w:rPr>
                <w:noProof/>
              </w:rPr>
              <w:t xml:space="preserve"> </w:t>
            </w:r>
            <w:r>
              <w:rPr>
                <w:noProof/>
                <w:color w:val="006100"/>
              </w:rPr>
              <w:t xml:space="preserve">saskaņā ar migrācijas plānu, ko apstiprinājis Digitālās pārveides departaments. </w:t>
            </w:r>
          </w:p>
          <w:p w14:paraId="3B80004E" w14:textId="77777777" w:rsidR="00C972CB" w:rsidRDefault="002457F6">
            <w:pPr>
              <w:pStyle w:val="P68B1DB1-Normal5"/>
              <w:spacing w:after="120"/>
              <w:rPr>
                <w:noProof/>
              </w:rPr>
            </w:pPr>
            <w:r>
              <w:rPr>
                <w:noProof/>
              </w:rPr>
              <w:t xml:space="preserve">Migrāciju uz Polo Strategico Nazionale var veikt dažādos veidos saskaņā ar jaunākajiem sasniegumiem uz vietas esošās programmatūras IT arhitektūrā, kas pieder katrai migrējošai valsts pārvaldei. </w:t>
            </w:r>
          </w:p>
          <w:p w14:paraId="2C3969F0" w14:textId="0197E6DB" w:rsidR="00C972CB" w:rsidRDefault="002457F6">
            <w:pPr>
              <w:pStyle w:val="P68B1DB1-Normal5"/>
              <w:spacing w:after="120"/>
              <w:rPr>
                <w:noProof/>
              </w:rPr>
            </w:pPr>
            <w:r>
              <w:rPr>
                <w:noProof/>
              </w:rPr>
              <w:t xml:space="preserve">Šīs stratēģijas var atšķirties, sākot ar tīri mitināšanu un </w:t>
            </w:r>
            <w:r>
              <w:rPr>
                <w:noProof/>
              </w:rPr>
              <w:t xml:space="preserve">pacelšanu un pāreju uz nemākonī gatavu programmatūru līdz pārejai uz “infrastruktūra kā pakalpojums” (IaaS), platformu kā pakalpojumu (PaaS) vai programmatūru kā pakalpojumu (SaaS) programmatūrai, kas gatava mākoņdatošanai. </w:t>
            </w:r>
          </w:p>
          <w:p w14:paraId="31A1D4C2" w14:textId="6A21A4C7" w:rsidR="00C972CB" w:rsidRDefault="002457F6">
            <w:pPr>
              <w:pStyle w:val="P68B1DB1-Normal5"/>
              <w:spacing w:after="120"/>
              <w:rPr>
                <w:noProof/>
              </w:rPr>
            </w:pPr>
            <w:r>
              <w:rPr>
                <w:noProof/>
              </w:rPr>
              <w:t>Vismaz 40 % migrēto pakalpojumu</w:t>
            </w:r>
            <w:r>
              <w:rPr>
                <w:noProof/>
              </w:rPr>
              <w:t xml:space="preserve"> īsteno, izmantojot vai nu IaaS, PaaS vai SaaS risinājumus.</w:t>
            </w:r>
          </w:p>
          <w:p w14:paraId="286BF5A3" w14:textId="77777777" w:rsidR="00C972CB" w:rsidRDefault="002457F6">
            <w:pPr>
              <w:pStyle w:val="P68B1DB1-Normal5"/>
              <w:spacing w:after="120"/>
              <w:rPr>
                <w:noProof/>
              </w:rPr>
            </w:pPr>
            <w:r>
              <w:rPr>
                <w:noProof/>
              </w:rPr>
              <w:t>PSN katrai migrējošai valsts pārvaldei piedāvā visas migrācijas stratēģijas, kas ir atbilstīgas, lai apsvērtu izvirzīto mērķi “migrācija uz Polo Strategico Nazionale”.</w:t>
            </w:r>
          </w:p>
          <w:p w14:paraId="50BB3BEA" w14:textId="77777777" w:rsidR="00C972CB" w:rsidRDefault="002457F6">
            <w:pPr>
              <w:pStyle w:val="P68B1DB1-Normal5"/>
              <w:spacing w:after="120"/>
              <w:rPr>
                <w:noProof/>
              </w:rPr>
            </w:pPr>
            <w:r>
              <w:rPr>
                <w:noProof/>
              </w:rPr>
              <w:t>Kopā valsts pārvaldes iestād</w:t>
            </w:r>
            <w:r>
              <w:rPr>
                <w:noProof/>
              </w:rPr>
              <w:t>es, kas ir “darbības jomā”, ietver:</w:t>
            </w:r>
          </w:p>
          <w:p w14:paraId="39F667B6" w14:textId="77777777" w:rsidR="00C972CB" w:rsidRDefault="002457F6">
            <w:pPr>
              <w:pStyle w:val="P68B1DB1-Normal5"/>
              <w:spacing w:after="120"/>
              <w:rPr>
                <w:noProof/>
              </w:rPr>
            </w:pPr>
            <w:r>
              <w:rPr>
                <w:noProof/>
              </w:rPr>
              <w:t>• Centrālās valsts pārvaldes iestādes, kas veido lielāko daļu no informācijas un komunikācijas tehnoloģiju (IKT) izdevumiem (piemēram, Valsts sociālā nodrošinājuma institūts, Tieslietu ministrija);</w:t>
            </w:r>
          </w:p>
          <w:p w14:paraId="3CF57394" w14:textId="77777777" w:rsidR="00C972CB" w:rsidRDefault="002457F6">
            <w:pPr>
              <w:pStyle w:val="P68B1DB1-Normal5"/>
              <w:spacing w:after="120"/>
              <w:rPr>
                <w:noProof/>
              </w:rPr>
            </w:pPr>
            <w:r>
              <w:rPr>
                <w:noProof/>
              </w:rPr>
              <w:t xml:space="preserve">• Centrālās publiskās </w:t>
            </w:r>
            <w:r>
              <w:rPr>
                <w:noProof/>
              </w:rPr>
              <w:t>pārvaldes iestādes, kas glabā datus novecojušajos datu centros, kā liecina nesen veiktā aptauja par “mākoņgatavību”;</w:t>
            </w:r>
          </w:p>
          <w:p w14:paraId="2F5FD307" w14:textId="77777777" w:rsidR="00C972CB" w:rsidRDefault="002457F6">
            <w:pPr>
              <w:pStyle w:val="P68B1DB1-Normal5"/>
              <w:spacing w:after="120"/>
              <w:rPr>
                <w:noProof/>
              </w:rPr>
            </w:pPr>
            <w:r>
              <w:rPr>
                <w:noProof/>
              </w:rPr>
              <w:t>• Vietējās veselības aprūpes iestādes (Aziende Sanitarie Locali), kas galvenokārt atrodas Itālijas centrālajā un dienvidu daļā un kam trūks</w:t>
            </w:r>
            <w:r>
              <w:rPr>
                <w:noProof/>
              </w:rPr>
              <w:t>t atbilstošas infrastruktūras datu drošības nodrošināšanai.</w:t>
            </w:r>
          </w:p>
        </w:tc>
      </w:tr>
      <w:tr w:rsidR="00C972CB" w14:paraId="281E3311" w14:textId="77777777">
        <w:trPr>
          <w:trHeight w:val="309"/>
        </w:trPr>
        <w:tc>
          <w:tcPr>
            <w:tcW w:w="1253" w:type="dxa"/>
            <w:shd w:val="clear" w:color="auto" w:fill="C6EFCE"/>
            <w:noWrap/>
            <w:vAlign w:val="center"/>
          </w:tcPr>
          <w:p w14:paraId="5A759B1F" w14:textId="77777777" w:rsidR="00C972CB" w:rsidRDefault="002457F6">
            <w:pPr>
              <w:pStyle w:val="P68B1DB1-Normal5"/>
              <w:jc w:val="center"/>
              <w:rPr>
                <w:noProof/>
              </w:rPr>
            </w:pPr>
            <w:r>
              <w:rPr>
                <w:noProof/>
              </w:rPr>
              <w:t>M1C1–27</w:t>
            </w:r>
          </w:p>
        </w:tc>
        <w:tc>
          <w:tcPr>
            <w:tcW w:w="1568" w:type="dxa"/>
            <w:shd w:val="clear" w:color="auto" w:fill="C6EFCE"/>
            <w:noWrap/>
            <w:vAlign w:val="center"/>
          </w:tcPr>
          <w:p w14:paraId="099DFB04" w14:textId="1151DE24" w:rsidR="00C972CB" w:rsidRDefault="002457F6">
            <w:pPr>
              <w:pStyle w:val="P68B1DB1-Normal5"/>
              <w:jc w:val="center"/>
              <w:rPr>
                <w:noProof/>
              </w:rPr>
            </w:pPr>
            <w:r>
              <w:rPr>
                <w:noProof/>
              </w:rPr>
              <w:t>Ieguldījums 1.3.1.: Valsts digitālo datu platforma</w:t>
            </w:r>
          </w:p>
        </w:tc>
        <w:tc>
          <w:tcPr>
            <w:tcW w:w="1148" w:type="dxa"/>
            <w:shd w:val="clear" w:color="auto" w:fill="C6EFCE"/>
            <w:noWrap/>
            <w:vAlign w:val="center"/>
          </w:tcPr>
          <w:p w14:paraId="0CB37A22" w14:textId="77777777" w:rsidR="00C972CB" w:rsidRDefault="002457F6">
            <w:pPr>
              <w:pStyle w:val="P68B1DB1-Normal5"/>
              <w:jc w:val="center"/>
              <w:rPr>
                <w:noProof/>
              </w:rPr>
            </w:pPr>
            <w:r>
              <w:rPr>
                <w:noProof/>
              </w:rPr>
              <w:t>Mērķa</w:t>
            </w:r>
          </w:p>
        </w:tc>
        <w:tc>
          <w:tcPr>
            <w:tcW w:w="1470" w:type="dxa"/>
            <w:shd w:val="clear" w:color="auto" w:fill="C6EFCE"/>
            <w:noWrap/>
            <w:vAlign w:val="center"/>
          </w:tcPr>
          <w:p w14:paraId="5C612E3C" w14:textId="77777777" w:rsidR="00C972CB" w:rsidRDefault="002457F6">
            <w:pPr>
              <w:pStyle w:val="P68B1DB1-Normal5"/>
              <w:jc w:val="center"/>
              <w:rPr>
                <w:noProof/>
              </w:rPr>
            </w:pPr>
            <w:r>
              <w:rPr>
                <w:noProof/>
              </w:rPr>
              <w:t>API valsts digitālo datu platformā T2</w:t>
            </w:r>
          </w:p>
        </w:tc>
        <w:tc>
          <w:tcPr>
            <w:tcW w:w="1701" w:type="dxa"/>
            <w:shd w:val="clear" w:color="auto" w:fill="C6EFCE"/>
            <w:noWrap/>
            <w:vAlign w:val="center"/>
          </w:tcPr>
          <w:p w14:paraId="1737A35E" w14:textId="77777777" w:rsidR="00C972CB" w:rsidRDefault="002457F6">
            <w:pPr>
              <w:pStyle w:val="P68B1DB1-Normal5"/>
              <w:jc w:val="center"/>
              <w:rPr>
                <w:noProof/>
              </w:rPr>
            </w:pPr>
            <w:r>
              <w:rPr>
                <w:noProof/>
              </w:rPr>
              <w:t>NEPIEMĒRO</w:t>
            </w:r>
          </w:p>
        </w:tc>
        <w:tc>
          <w:tcPr>
            <w:tcW w:w="1134" w:type="dxa"/>
            <w:shd w:val="clear" w:color="auto" w:fill="C6EFCE"/>
            <w:noWrap/>
            <w:vAlign w:val="center"/>
          </w:tcPr>
          <w:p w14:paraId="4C831262" w14:textId="77777777" w:rsidR="00C972CB" w:rsidRDefault="002457F6">
            <w:pPr>
              <w:pStyle w:val="P68B1DB1-Normal5"/>
              <w:jc w:val="center"/>
              <w:rPr>
                <w:noProof/>
              </w:rPr>
            </w:pPr>
            <w:r>
              <w:rPr>
                <w:noProof/>
              </w:rPr>
              <w:t>Skaits</w:t>
            </w:r>
          </w:p>
        </w:tc>
        <w:tc>
          <w:tcPr>
            <w:tcW w:w="1417" w:type="dxa"/>
            <w:shd w:val="clear" w:color="auto" w:fill="C6EFCE"/>
            <w:noWrap/>
            <w:vAlign w:val="center"/>
          </w:tcPr>
          <w:p w14:paraId="5B650D25" w14:textId="77777777" w:rsidR="00C972CB" w:rsidRDefault="002457F6">
            <w:pPr>
              <w:pStyle w:val="P68B1DB1-Normal5"/>
              <w:jc w:val="center"/>
              <w:rPr>
                <w:noProof/>
              </w:rPr>
            </w:pPr>
            <w:r>
              <w:rPr>
                <w:noProof/>
              </w:rPr>
              <w:t>400</w:t>
            </w:r>
          </w:p>
        </w:tc>
        <w:tc>
          <w:tcPr>
            <w:tcW w:w="1276" w:type="dxa"/>
            <w:shd w:val="clear" w:color="auto" w:fill="C6EFCE"/>
            <w:noWrap/>
            <w:vAlign w:val="center"/>
          </w:tcPr>
          <w:p w14:paraId="4EB63296" w14:textId="77777777" w:rsidR="00C972CB" w:rsidRDefault="002457F6">
            <w:pPr>
              <w:pStyle w:val="P68B1DB1-Normal5"/>
              <w:jc w:val="center"/>
              <w:rPr>
                <w:noProof/>
              </w:rPr>
            </w:pPr>
            <w:r>
              <w:rPr>
                <w:noProof/>
              </w:rPr>
              <w:t>1 000</w:t>
            </w:r>
          </w:p>
        </w:tc>
        <w:tc>
          <w:tcPr>
            <w:tcW w:w="850" w:type="dxa"/>
            <w:shd w:val="clear" w:color="auto" w:fill="C6EFCE"/>
            <w:noWrap/>
            <w:vAlign w:val="center"/>
          </w:tcPr>
          <w:p w14:paraId="3EBF7EC8" w14:textId="77777777" w:rsidR="00C972CB" w:rsidRDefault="002457F6">
            <w:pPr>
              <w:pStyle w:val="P68B1DB1-Normal5"/>
              <w:jc w:val="center"/>
              <w:rPr>
                <w:noProof/>
              </w:rPr>
            </w:pPr>
            <w:r>
              <w:rPr>
                <w:noProof/>
              </w:rPr>
              <w:t>2. CET.</w:t>
            </w:r>
          </w:p>
        </w:tc>
        <w:tc>
          <w:tcPr>
            <w:tcW w:w="709" w:type="dxa"/>
            <w:shd w:val="clear" w:color="auto" w:fill="C6EFCE"/>
            <w:noWrap/>
            <w:vAlign w:val="center"/>
          </w:tcPr>
          <w:p w14:paraId="536F93C6" w14:textId="77777777" w:rsidR="00C972CB" w:rsidRDefault="002457F6">
            <w:pPr>
              <w:pStyle w:val="P68B1DB1-Normal5"/>
              <w:jc w:val="center"/>
              <w:rPr>
                <w:noProof/>
              </w:rPr>
            </w:pPr>
            <w:r>
              <w:rPr>
                <w:noProof/>
              </w:rPr>
              <w:t>2026</w:t>
            </w:r>
          </w:p>
        </w:tc>
        <w:tc>
          <w:tcPr>
            <w:tcW w:w="2835" w:type="dxa"/>
            <w:shd w:val="clear" w:color="auto" w:fill="C6EFCE"/>
            <w:noWrap/>
            <w:vAlign w:val="center"/>
          </w:tcPr>
          <w:p w14:paraId="7A84F9F4" w14:textId="75CDB062" w:rsidR="00C972CB" w:rsidRDefault="002457F6">
            <w:pPr>
              <w:pStyle w:val="P68B1DB1-Normal5"/>
              <w:spacing w:after="120"/>
              <w:rPr>
                <w:noProof/>
              </w:rPr>
            </w:pPr>
            <w:r>
              <w:rPr>
                <w:noProof/>
              </w:rPr>
              <w:t xml:space="preserve">Šis mērķis ir sasniegt vismaz papildu 600 </w:t>
            </w:r>
            <w:r>
              <w:rPr>
                <w:noProof/>
              </w:rPr>
              <w:t>lietojumprogrammu saskarnes (API), kas publicētas katalogā (kopumā 1000).</w:t>
            </w:r>
          </w:p>
          <w:p w14:paraId="5A75FC7A" w14:textId="77777777" w:rsidR="00C972CB" w:rsidRDefault="002457F6">
            <w:pPr>
              <w:pStyle w:val="P68B1DB1-Normal5"/>
              <w:spacing w:after="120"/>
              <w:rPr>
                <w:noProof/>
              </w:rPr>
            </w:pPr>
            <w:r>
              <w:rPr>
                <w:noProof/>
              </w:rPr>
              <w:t>Publicētās API ietekmē šādas jomas:</w:t>
            </w:r>
          </w:p>
          <w:p w14:paraId="7B63B174" w14:textId="77777777" w:rsidR="00C972CB" w:rsidRDefault="002457F6">
            <w:pPr>
              <w:pStyle w:val="P68B1DB1-Normal5"/>
              <w:spacing w:after="120"/>
              <w:ind w:right="-62"/>
              <w:rPr>
                <w:noProof/>
              </w:rPr>
            </w:pPr>
            <w:r>
              <w:rPr>
                <w:noProof/>
              </w:rPr>
              <w:t>līdz 2025. gada 31. decembrim: publiskas procedūras, piemēram, pieņemšana darbā, pensionēšanās, skolas un universitātes uzņemšana (piemēram, Valst</w:t>
            </w:r>
            <w:r>
              <w:rPr>
                <w:noProof/>
              </w:rPr>
              <w:t>s studentu reģistrs un autovadītāja apliecību reģistrs);</w:t>
            </w:r>
          </w:p>
          <w:p w14:paraId="3A9BA6E0" w14:textId="77777777" w:rsidR="00C972CB" w:rsidRDefault="002457F6">
            <w:pPr>
              <w:pStyle w:val="P68B1DB1-Normal5"/>
              <w:spacing w:after="120"/>
              <w:ind w:right="-62"/>
              <w:rPr>
                <w:noProof/>
              </w:rPr>
            </w:pPr>
            <w:r>
              <w:rPr>
                <w:noProof/>
              </w:rPr>
              <w:t>līdz 2026. gada 30. jūnijam: labklājība, iepirkuma pakalpojumu pārvaldība, valsts medicīnisko datu informācijas sistēma un sanitārās ārkārtas situācijas, piemēram, pacientu un ārstu reģistri.</w:t>
            </w:r>
          </w:p>
          <w:p w14:paraId="005DC369" w14:textId="77777777" w:rsidR="00C972CB" w:rsidRDefault="002457F6">
            <w:pPr>
              <w:pStyle w:val="P68B1DB1-Normal5"/>
              <w:spacing w:after="120"/>
              <w:ind w:right="-62"/>
              <w:rPr>
                <w:noProof/>
              </w:rPr>
            </w:pPr>
            <w:r>
              <w:rPr>
                <w:noProof/>
              </w:rPr>
              <w:t>Katra A</w:t>
            </w:r>
            <w:r>
              <w:rPr>
                <w:noProof/>
              </w:rPr>
              <w:t>PI īstenošana un dokumentācija atbilst valsts sadarbspējas standartiem un atbalsta valsts digitālo datu platformas satvaru; iepriekš minētā platforma nodrošina funkcijas minētās atbilstības novērtēšanai.</w:t>
            </w:r>
          </w:p>
        </w:tc>
      </w:tr>
      <w:tr w:rsidR="00C972CB" w14:paraId="5B532FE4" w14:textId="77777777">
        <w:trPr>
          <w:trHeight w:val="309"/>
        </w:trPr>
        <w:tc>
          <w:tcPr>
            <w:tcW w:w="1253" w:type="dxa"/>
            <w:shd w:val="clear" w:color="auto" w:fill="C6EFCE"/>
            <w:noWrap/>
            <w:vAlign w:val="center"/>
          </w:tcPr>
          <w:p w14:paraId="2999D531" w14:textId="77777777" w:rsidR="00C972CB" w:rsidRDefault="002457F6">
            <w:pPr>
              <w:pStyle w:val="P68B1DB1-Normal5"/>
              <w:jc w:val="center"/>
              <w:rPr>
                <w:noProof/>
              </w:rPr>
            </w:pPr>
            <w:r>
              <w:rPr>
                <w:noProof/>
              </w:rPr>
              <w:t>M1C1–28</w:t>
            </w:r>
          </w:p>
        </w:tc>
        <w:tc>
          <w:tcPr>
            <w:tcW w:w="1568" w:type="dxa"/>
            <w:shd w:val="clear" w:color="auto" w:fill="C6EFCE"/>
            <w:noWrap/>
            <w:vAlign w:val="center"/>
          </w:tcPr>
          <w:p w14:paraId="1457F6F5" w14:textId="799FB2ED" w:rsidR="00C972CB" w:rsidRDefault="002457F6">
            <w:pPr>
              <w:pStyle w:val="P68B1DB1-Normal5"/>
              <w:jc w:val="center"/>
              <w:rPr>
                <w:noProof/>
              </w:rPr>
            </w:pPr>
            <w:r>
              <w:rPr>
                <w:noProof/>
              </w:rPr>
              <w:t xml:space="preserve">Ieguldījums 1.7.2.: Digitālo veicināšanas </w:t>
            </w:r>
            <w:r>
              <w:rPr>
                <w:noProof/>
              </w:rPr>
              <w:t>pakalpojumu tīkls</w:t>
            </w:r>
          </w:p>
        </w:tc>
        <w:tc>
          <w:tcPr>
            <w:tcW w:w="1148" w:type="dxa"/>
            <w:shd w:val="clear" w:color="auto" w:fill="C6EFCE"/>
            <w:noWrap/>
            <w:vAlign w:val="center"/>
          </w:tcPr>
          <w:p w14:paraId="0DA9C736" w14:textId="77777777" w:rsidR="00C972CB" w:rsidRDefault="002457F6">
            <w:pPr>
              <w:pStyle w:val="P68B1DB1-Normal5"/>
              <w:jc w:val="center"/>
              <w:rPr>
                <w:noProof/>
              </w:rPr>
            </w:pPr>
            <w:r>
              <w:rPr>
                <w:noProof/>
              </w:rPr>
              <w:t>Mērķa</w:t>
            </w:r>
          </w:p>
        </w:tc>
        <w:tc>
          <w:tcPr>
            <w:tcW w:w="1470" w:type="dxa"/>
            <w:shd w:val="clear" w:color="auto" w:fill="C6EFCE"/>
            <w:noWrap/>
            <w:vAlign w:val="center"/>
          </w:tcPr>
          <w:p w14:paraId="454C0A8E" w14:textId="77777777" w:rsidR="00C972CB" w:rsidRDefault="002457F6">
            <w:pPr>
              <w:pStyle w:val="P68B1DB1-Normal5"/>
              <w:jc w:val="center"/>
              <w:rPr>
                <w:noProof/>
              </w:rPr>
            </w:pPr>
            <w:r>
              <w:rPr>
                <w:noProof/>
              </w:rPr>
              <w:t>To iedzīvotāju skaits, kuri piedalās jaunās digitālās izglītības un/vai veicināšanas iniciatīvās, ko nodrošina digitālās veicināšanas centri</w:t>
            </w:r>
          </w:p>
        </w:tc>
        <w:tc>
          <w:tcPr>
            <w:tcW w:w="1701" w:type="dxa"/>
            <w:shd w:val="clear" w:color="auto" w:fill="C6EFCE"/>
            <w:noWrap/>
            <w:vAlign w:val="center"/>
          </w:tcPr>
          <w:p w14:paraId="113DBC4F" w14:textId="77777777" w:rsidR="00C972CB" w:rsidRDefault="002457F6">
            <w:pPr>
              <w:pStyle w:val="P68B1DB1-Normal5"/>
              <w:jc w:val="center"/>
              <w:rPr>
                <w:noProof/>
              </w:rPr>
            </w:pPr>
            <w:r>
              <w:rPr>
                <w:noProof/>
              </w:rPr>
              <w:t>NEPIEMĒRO</w:t>
            </w:r>
          </w:p>
        </w:tc>
        <w:tc>
          <w:tcPr>
            <w:tcW w:w="1134" w:type="dxa"/>
            <w:shd w:val="clear" w:color="auto" w:fill="C6EFCE"/>
            <w:noWrap/>
            <w:vAlign w:val="center"/>
          </w:tcPr>
          <w:p w14:paraId="086DEA8F" w14:textId="77777777" w:rsidR="00C972CB" w:rsidRDefault="002457F6">
            <w:pPr>
              <w:pStyle w:val="P68B1DB1-Normal5"/>
              <w:jc w:val="center"/>
              <w:rPr>
                <w:noProof/>
              </w:rPr>
            </w:pPr>
            <w:r>
              <w:rPr>
                <w:noProof/>
              </w:rPr>
              <w:t>Skaits</w:t>
            </w:r>
          </w:p>
        </w:tc>
        <w:tc>
          <w:tcPr>
            <w:tcW w:w="1417" w:type="dxa"/>
            <w:shd w:val="clear" w:color="auto" w:fill="C6EFCE"/>
            <w:noWrap/>
            <w:vAlign w:val="center"/>
          </w:tcPr>
          <w:p w14:paraId="7BCC2AD7" w14:textId="77777777" w:rsidR="00C972CB" w:rsidRDefault="002457F6">
            <w:pPr>
              <w:pStyle w:val="P68B1DB1-Normal5"/>
              <w:jc w:val="center"/>
              <w:rPr>
                <w:noProof/>
              </w:rPr>
            </w:pPr>
            <w:r>
              <w:rPr>
                <w:noProof/>
              </w:rPr>
              <w:t>0</w:t>
            </w:r>
          </w:p>
        </w:tc>
        <w:tc>
          <w:tcPr>
            <w:tcW w:w="1276" w:type="dxa"/>
            <w:shd w:val="clear" w:color="auto" w:fill="C6EFCE"/>
            <w:noWrap/>
            <w:vAlign w:val="center"/>
          </w:tcPr>
          <w:p w14:paraId="62947177" w14:textId="77777777" w:rsidR="00C972CB" w:rsidRDefault="002457F6">
            <w:pPr>
              <w:pStyle w:val="P68B1DB1-Normal5"/>
              <w:jc w:val="center"/>
              <w:rPr>
                <w:noProof/>
              </w:rPr>
            </w:pPr>
            <w:r>
              <w:rPr>
                <w:noProof/>
              </w:rPr>
              <w:t>2 000 000</w:t>
            </w:r>
          </w:p>
        </w:tc>
        <w:tc>
          <w:tcPr>
            <w:tcW w:w="850" w:type="dxa"/>
            <w:shd w:val="clear" w:color="auto" w:fill="C6EFCE"/>
            <w:noWrap/>
            <w:vAlign w:val="center"/>
          </w:tcPr>
          <w:p w14:paraId="73D1C9B4" w14:textId="77777777" w:rsidR="00C972CB" w:rsidRDefault="002457F6">
            <w:pPr>
              <w:pStyle w:val="P68B1DB1-Normal5"/>
              <w:jc w:val="center"/>
              <w:rPr>
                <w:noProof/>
              </w:rPr>
            </w:pPr>
            <w:r>
              <w:rPr>
                <w:noProof/>
              </w:rPr>
              <w:t>2. CET.</w:t>
            </w:r>
          </w:p>
        </w:tc>
        <w:tc>
          <w:tcPr>
            <w:tcW w:w="709" w:type="dxa"/>
            <w:shd w:val="clear" w:color="auto" w:fill="C6EFCE"/>
            <w:noWrap/>
            <w:vAlign w:val="center"/>
          </w:tcPr>
          <w:p w14:paraId="5233F8AC" w14:textId="77777777" w:rsidR="00C972CB" w:rsidRDefault="002457F6">
            <w:pPr>
              <w:pStyle w:val="P68B1DB1-Normal5"/>
              <w:jc w:val="center"/>
              <w:rPr>
                <w:noProof/>
              </w:rPr>
            </w:pPr>
            <w:r>
              <w:rPr>
                <w:noProof/>
              </w:rPr>
              <w:t>2026</w:t>
            </w:r>
          </w:p>
        </w:tc>
        <w:tc>
          <w:tcPr>
            <w:tcW w:w="2835" w:type="dxa"/>
            <w:shd w:val="clear" w:color="auto" w:fill="C6EFCE"/>
            <w:noWrap/>
            <w:vAlign w:val="center"/>
          </w:tcPr>
          <w:p w14:paraId="2ED7C91C" w14:textId="42B7A39B" w:rsidR="00C972CB" w:rsidRDefault="002457F6">
            <w:pPr>
              <w:pStyle w:val="P68B1DB1-Normal5"/>
              <w:spacing w:after="120"/>
              <w:rPr>
                <w:noProof/>
              </w:rPr>
            </w:pPr>
            <w:r>
              <w:rPr>
                <w:noProof/>
              </w:rPr>
              <w:t xml:space="preserve">Vismaz 2000000 iedzīvotāju, kuri piedalās </w:t>
            </w:r>
            <w:r>
              <w:rPr>
                <w:noProof/>
              </w:rPr>
              <w:t>digitālās izglītības un/vai veicināšanas iniciatīvās, ko nodrošina digitālās veicināšanas centri.</w:t>
            </w:r>
          </w:p>
          <w:p w14:paraId="274AFCDB" w14:textId="77777777" w:rsidR="00C972CB" w:rsidRDefault="002457F6">
            <w:pPr>
              <w:pStyle w:val="P68B1DB1-Normal5"/>
              <w:spacing w:after="120"/>
              <w:rPr>
                <w:noProof/>
              </w:rPr>
            </w:pPr>
            <w:r>
              <w:rPr>
                <w:noProof/>
              </w:rPr>
              <w:t>Mērķa sasniegšanai tiek apsvērti šādi mācību pasākumi:</w:t>
            </w:r>
          </w:p>
          <w:p w14:paraId="02D3348E" w14:textId="77777777" w:rsidR="00C972CB" w:rsidRDefault="002457F6">
            <w:pPr>
              <w:pStyle w:val="P68B1DB1-Normal5"/>
              <w:rPr>
                <w:noProof/>
              </w:rPr>
            </w:pPr>
            <w:r>
              <w:rPr>
                <w:noProof/>
              </w:rPr>
              <w:t>a) personalizētas digitālās izglītības un/vai veicināšanas iniciatīvas, ko nodrošina ar digitālās veici</w:t>
            </w:r>
            <w:r>
              <w:rPr>
                <w:noProof/>
              </w:rPr>
              <w:t>nāšanas metodēm un ko parasti veic, pamatojoties uz pakalpojumu rezervēšanu, un reģistrē uzraudzības sistēmā;</w:t>
            </w:r>
          </w:p>
          <w:p w14:paraId="7B93DAA3" w14:textId="77777777" w:rsidR="00C972CB" w:rsidRDefault="002457F6">
            <w:pPr>
              <w:pStyle w:val="P68B1DB1-Normal5"/>
              <w:rPr>
                <w:noProof/>
              </w:rPr>
            </w:pPr>
            <w:r>
              <w:rPr>
                <w:noProof/>
              </w:rPr>
              <w:t>tieša un tiešsaistes digitālā izglītība un/vai veicināšanas iniciatīvas, kuru mērķis ir attīstīt iedzīvotāju digitālās prasmes un kuras sinhroni ī</w:t>
            </w:r>
            <w:r>
              <w:rPr>
                <w:noProof/>
              </w:rPr>
              <w:t>steno digitālās veicināšanas centri un kuras reģistrē uzraudzības sistēmā;</w:t>
            </w:r>
          </w:p>
          <w:p w14:paraId="7237A21D" w14:textId="7BA7D955" w:rsidR="00C972CB" w:rsidRDefault="002457F6">
            <w:pPr>
              <w:pStyle w:val="P68B1DB1-Normal5"/>
              <w:spacing w:after="120"/>
              <w:rPr>
                <w:noProof/>
              </w:rPr>
            </w:pPr>
            <w:r>
              <w:rPr>
                <w:noProof/>
              </w:rPr>
              <w:t>tiešsaistes digitālā izglītība un/vai veicināšanas iniciatīvas, kuru mērķis ir attīstīt iedzīvotāju digitālās prasmes, arī pašmācīšanās un asinhrona režīmā, bet obligāti ar reģistrā</w:t>
            </w:r>
            <w:r>
              <w:rPr>
                <w:noProof/>
              </w:rPr>
              <w:t>ciju, par ko ziņo uzraudzības sistēmā, kura tiek veikta kā daļa no apmācības kataloga, ko sagatavojis digitālo veicināšanas pakalpojumu tīkls un kam var piekļūt no ieviestās zināšanu pārvaldības sistēmas.</w:t>
            </w:r>
          </w:p>
        </w:tc>
      </w:tr>
      <w:tr w:rsidR="00C972CB" w14:paraId="0915F41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11353" w14:textId="77777777" w:rsidR="00C972CB" w:rsidRDefault="002457F6">
            <w:pPr>
              <w:pStyle w:val="P68B1DB1-Normal5"/>
              <w:jc w:val="center"/>
              <w:rPr>
                <w:noProof/>
              </w:rPr>
            </w:pPr>
            <w:r>
              <w:rPr>
                <w:noProof/>
              </w:rPr>
              <w:t>M1C1–29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F144C" w14:textId="77777777" w:rsidR="00C972CB" w:rsidRDefault="002457F6">
            <w:pPr>
              <w:pStyle w:val="P68B1DB1-Normal5"/>
              <w:jc w:val="center"/>
              <w:rPr>
                <w:noProof/>
              </w:rPr>
            </w:pPr>
            <w:r>
              <w:rPr>
                <w:noProof/>
              </w:rPr>
              <w:t>Reforma: Civiltiesību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2A637A" w14:textId="77777777" w:rsidR="00C972CB" w:rsidRDefault="002457F6">
            <w:pPr>
              <w:pStyle w:val="P68B1DB1-Normal5"/>
              <w:jc w:val="center"/>
              <w:rPr>
                <w:noProof/>
              </w:rPr>
            </w:pPr>
            <w:r>
              <w:rPr>
                <w:noProof/>
              </w:rPr>
              <w:t xml:space="preserve">Starpposma </w:t>
            </w:r>
            <w:r>
              <w:rPr>
                <w:noProof/>
              </w:rPr>
              <w:t>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371E2F" w14:textId="77777777" w:rsidR="00C972CB" w:rsidRDefault="002457F6">
            <w:pPr>
              <w:pStyle w:val="P68B1DB1-Normal5"/>
              <w:jc w:val="center"/>
              <w:rPr>
                <w:noProof/>
              </w:rPr>
            </w:pPr>
            <w:r>
              <w:rPr>
                <w:noProof/>
              </w:rPr>
              <w:t>Civiltiesību reformai paredzēto tiesību aktu stāšanās spēkā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DA2E7" w14:textId="77777777" w:rsidR="00C972CB" w:rsidRDefault="002457F6">
            <w:pPr>
              <w:pStyle w:val="P68B1DB1-Normal5"/>
              <w:jc w:val="center"/>
              <w:rPr>
                <w:noProof/>
              </w:rPr>
            </w:pPr>
            <w:r>
              <w:rPr>
                <w:noProof/>
              </w:rPr>
              <w:t>Likuma norma, kas norāda uz pilnvarojošā tiesiskā regulējuma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AF49BE"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CBEFC"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B5E5"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9DED8"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66D757"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5FFA65" w14:textId="77777777" w:rsidR="00C972CB" w:rsidRDefault="002457F6">
            <w:pPr>
              <w:pStyle w:val="P68B1DB1-Normal5"/>
              <w:rPr>
                <w:noProof/>
              </w:rPr>
            </w:pPr>
            <w:r>
              <w:rPr>
                <w:noProof/>
              </w:rPr>
              <w:t>Pilnvarojošie tiesību akti ietver vismaz šādus pasākumus: vienkāršotas procedūras ieviešana pirmās instances/tiesas līmenī un “filtrēšanas procedūru” piemērošanas stiprināšana pārsūdzības līmenī, tostarp paplašināt vienkāršotu procedūru izmantošanu un to l</w:t>
            </w:r>
            <w:r>
              <w:rPr>
                <w:noProof/>
              </w:rPr>
              <w:t>ietu klāstu, kurās lietu iztiesāšanai ir viens tiesnesis vienpersoniski; nodrošināt, ka faktiski tiek īstenoti saistoši procedūru termiņi un kalendārs pierādījumu vākšanai un visu attiecīgo dokumentu un dokumentu elektroniskai iesniegšanai; reformēt mediāc</w:t>
            </w:r>
            <w:r>
              <w:rPr>
                <w:noProof/>
              </w:rPr>
              <w:t>ijas un alternatīvas strīdu izšķiršanas izmantošanu kopā ar atbalstītu mediāciju, šķīrējtiesu un jebkuru citu iespējamu alternatīvu, lai padarītu šos institūtus efektīvākus spiediena mazināšanā uz civiltiesību sistēmu, tostarp izmantojot stimulus; reformēt</w:t>
            </w:r>
            <w:r>
              <w:rPr>
                <w:noProof/>
              </w:rPr>
              <w:t xml:space="preserve"> piespiedu izpildes procedūru, lai samazinātu esošo vidējo laiku, tostarp padarot izpildāmas summas ātrāku un lētāku; reformēt pašreizējo juridisko pakalpojumu maksu kvantificēšanas un atgūstamības sistēmu, lai samazinātu nenozīmīgas tiesvedības; ieviest u</w:t>
            </w:r>
            <w:r>
              <w:rPr>
                <w:noProof/>
              </w:rPr>
              <w:t>zraudzības sistēmu tiesas līmenī un palielināt civillietu tiesu produktivitāti, izmantojot stimulus, lai nodrošinātu saprātīgu tiesvedības ilgumu un vienādu sniegumu tiesās.</w:t>
            </w:r>
          </w:p>
        </w:tc>
      </w:tr>
      <w:tr w:rsidR="00C972CB" w14:paraId="68B70FF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1284A" w14:textId="77777777" w:rsidR="00C972CB" w:rsidRDefault="002457F6">
            <w:pPr>
              <w:pStyle w:val="P68B1DB1-Normal5"/>
              <w:jc w:val="center"/>
              <w:rPr>
                <w:noProof/>
              </w:rPr>
            </w:pPr>
            <w:r>
              <w:rPr>
                <w:noProof/>
              </w:rPr>
              <w:t>M1C1–30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358E1" w14:textId="77777777" w:rsidR="00C972CB" w:rsidRDefault="002457F6">
            <w:pPr>
              <w:pStyle w:val="P68B1DB1-Normal5"/>
              <w:jc w:val="center"/>
              <w:rPr>
                <w:noProof/>
              </w:rPr>
            </w:pPr>
            <w:r>
              <w:rPr>
                <w:noProof/>
              </w:rPr>
              <w:t>Reforma: Krimināltiesību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6579D8"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01F99" w14:textId="77777777" w:rsidR="00C972CB" w:rsidRDefault="002457F6">
            <w:pPr>
              <w:pStyle w:val="P68B1DB1-Normal5"/>
              <w:jc w:val="center"/>
              <w:rPr>
                <w:noProof/>
              </w:rPr>
            </w:pPr>
            <w:r>
              <w:rPr>
                <w:noProof/>
              </w:rPr>
              <w:t xml:space="preserve">Krimināltiesību </w:t>
            </w:r>
            <w:r>
              <w:rPr>
                <w:noProof/>
              </w:rPr>
              <w:t>reformas veicinošo tiesību aktu stāšanās spēkā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C8F909" w14:textId="77777777" w:rsidR="00C972CB" w:rsidRDefault="002457F6">
            <w:pPr>
              <w:pStyle w:val="P68B1DB1-Normal5"/>
              <w:jc w:val="center"/>
              <w:rPr>
                <w:noProof/>
              </w:rPr>
            </w:pPr>
            <w:r>
              <w:rPr>
                <w:noProof/>
              </w:rPr>
              <w:t>Likuma norma, kas norāda uz pilnvarojošā tiesiskā regulējuma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6C0E9"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238109"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1A20AA"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41743"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DD48C5"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D88D5" w14:textId="77777777" w:rsidR="00C972CB" w:rsidRDefault="002457F6">
            <w:pPr>
              <w:pStyle w:val="P68B1DB1-Normal5"/>
              <w:spacing w:after="120"/>
              <w:rPr>
                <w:noProof/>
              </w:rPr>
            </w:pPr>
            <w:r>
              <w:rPr>
                <w:noProof/>
              </w:rPr>
              <w:t>Pilnvarojoši tiesību akti, kas ietver vismaz šādus pasākumus: I) pārskatīta paziņošanas si</w:t>
            </w:r>
            <w:r>
              <w:rPr>
                <w:noProof/>
              </w:rPr>
              <w:t>stēma, ii) vienkāršoto procedūru plašāka izmantošana, iii) plašāka dokumentu elektroniskas iesniegšanas izmantošana, iv) vienkāršoti noteikumi par pierādījumiem, v) sākotnējās izmeklēšanas ilguma termiņu noteikšana un pasākumi, lai izvairītos no stagnācija</w:t>
            </w:r>
            <w:r>
              <w:rPr>
                <w:noProof/>
              </w:rPr>
              <w:t>s izmeklēšanas posmā, vi) iespēja izbeigt noziegumu, ja ir atlīdzināti zaudējumi, vii) uzraudzības sistēmas ieviešana tiesas līmenī un krimināltiesu produktivitātes palielināšana, izmantojot stimulus, lai nodrošinātu tiesvedības saprātīgu ilgumu un vienādu</w:t>
            </w:r>
            <w:r>
              <w:rPr>
                <w:noProof/>
              </w:rPr>
              <w:t xml:space="preserve"> darbību tiesās.</w:t>
            </w:r>
          </w:p>
        </w:tc>
      </w:tr>
      <w:tr w:rsidR="00C972CB" w14:paraId="2335315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D8174" w14:textId="77777777" w:rsidR="00C972CB" w:rsidRDefault="002457F6">
            <w:pPr>
              <w:pStyle w:val="P68B1DB1-Normal5"/>
              <w:jc w:val="center"/>
              <w:rPr>
                <w:noProof/>
              </w:rPr>
            </w:pPr>
            <w:r>
              <w:rPr>
                <w:noProof/>
              </w:rPr>
              <w:t>M1C1–31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8C147C" w14:textId="77777777" w:rsidR="00C972CB" w:rsidRDefault="002457F6">
            <w:pPr>
              <w:pStyle w:val="P68B1DB1-Normal5"/>
              <w:jc w:val="center"/>
              <w:rPr>
                <w:noProof/>
              </w:rPr>
            </w:pPr>
            <w:r>
              <w:rPr>
                <w:noProof/>
              </w:rPr>
              <w:t>Reforma. Maksātnespējas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FAAE9D"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09A782" w14:textId="77777777" w:rsidR="00C972CB" w:rsidRDefault="002457F6">
            <w:pPr>
              <w:pStyle w:val="P68B1DB1-Normal5"/>
              <w:jc w:val="center"/>
              <w:rPr>
                <w:noProof/>
              </w:rPr>
            </w:pPr>
            <w:r>
              <w:rPr>
                <w:noProof/>
              </w:rPr>
              <w:t>Maksātnespējas reformas regulējuma veicinošo tiesību aktu stāšanās spēkā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6C0455" w14:textId="77777777" w:rsidR="00C972CB" w:rsidRDefault="002457F6">
            <w:pPr>
              <w:pStyle w:val="P68B1DB1-Normal5"/>
              <w:jc w:val="center"/>
              <w:rPr>
                <w:noProof/>
              </w:rPr>
            </w:pPr>
            <w:r>
              <w:rPr>
                <w:noProof/>
              </w:rPr>
              <w:t>Likuma norma, kas norāda uz pilnvarojošā tiesiskā regulējuma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EF367A"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9BB11"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A3F5C"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3D9180"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3B69D"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17A15" w14:textId="77777777" w:rsidR="00C972CB" w:rsidRDefault="002457F6">
            <w:pPr>
              <w:pStyle w:val="P68B1DB1-Normal5"/>
              <w:spacing w:after="120"/>
              <w:rPr>
                <w:noProof/>
              </w:rPr>
            </w:pPr>
            <w:r>
              <w:rPr>
                <w:noProof/>
              </w:rPr>
              <w:t>Maksātnespējas reforma ietver vismaz šādus pasākumus: pārskatīt ārpustiesas strīdu izšķiršanas kārtību, lai noteiktu jomas, kurās var būt nepieciešami turpmāki uzlabojumi, lai stimulētu attiecīgās puses vairāk izmantot šādas procedūr</w:t>
            </w:r>
            <w:r>
              <w:rPr>
                <w:noProof/>
              </w:rPr>
              <w:t>as; ieviest agrīnās brīdināšanas mehānismus un piekļuvi informācijai pirms maksātnespējas posma; pāreja uz tiesu specializāciju (komerctiesības, maksātnespējas nodaļa/palāta), kā arī pirmstiesas iestādes, lai pārvaldītu maksātnespējas procedūras maksātnesp</w:t>
            </w:r>
            <w:r>
              <w:rPr>
                <w:noProof/>
              </w:rPr>
              <w:t>ējas gadījumā; ļauj vispirms apmaksāt nodrošinātos kreditorus (pirms nodokļu prasījumiem un darbinieku prasījumiem); ļauj uzņēmumiem piešķirt nepozitīvas drošības tiesības. Papildus maksātnespējas reformai tiek nodrošināta to tiesu un administratīvo iestāž</w:t>
            </w:r>
            <w:r>
              <w:rPr>
                <w:noProof/>
              </w:rPr>
              <w:t>u locekļu apmācība un specializācija, kuri nodarbojas ar pārstrukturēšanas procedūrām, kā arī vispārēja pārstrukturēšanas un maksātnespējas procedūru digitalizācija un tiešsaistes platformas izveide strīdu izšķiršanai ārpustiesas kārtībā, jo īpaši posmā pi</w:t>
            </w:r>
            <w:r>
              <w:rPr>
                <w:noProof/>
              </w:rPr>
              <w:t>rms maksātnespējas, kuras izmantošana tiek stimulēta, lai samazinātu tiesu iestāžu slogu (pirmsmaksātnespējas pārstrukturēšanas pieteikumi, daudzpusējas pārstrukturēšanas veicināšana un iepriekš apstiprinātas automatizētas pārstrukturēšanas procedūras un r</w:t>
            </w:r>
            <w:r>
              <w:rPr>
                <w:noProof/>
              </w:rPr>
              <w:t>ezolūcijas mazas vērtības lietās). Šāda tiešsaistes platforma nodrošina arī sadarbspēju ar banku IT sistēmām, kā arī ar citām publiskām iestādēm un datubāzēm, lai nodrošinātu ātru un elektronisku dokumentācijas un datu apmaiņu starp parādniekiem un kredito</w:t>
            </w:r>
            <w:r>
              <w:rPr>
                <w:noProof/>
              </w:rPr>
              <w:t>riem. Šajā nolūkā pieteikuma iesniedzējs (parādnieks) dotu piekrišanu apmainīties ar saviem personas datiem saskaņā ar VDAR, un šis noteikums būtu jāiekļauj tiesību aktos. Ar reformu izveido nodrošinājuma reģistru.</w:t>
            </w:r>
          </w:p>
        </w:tc>
      </w:tr>
      <w:tr w:rsidR="00C972CB" w14:paraId="43A2BDC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211BF" w14:textId="77777777" w:rsidR="00C972CB" w:rsidRDefault="002457F6">
            <w:pPr>
              <w:pStyle w:val="P68B1DB1-Normal5"/>
              <w:jc w:val="center"/>
              <w:rPr>
                <w:noProof/>
              </w:rPr>
            </w:pPr>
            <w:r>
              <w:rPr>
                <w:noProof/>
              </w:rPr>
              <w:t>M1C1–32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FA900" w14:textId="77777777" w:rsidR="00C972CB" w:rsidRDefault="002457F6">
            <w:pPr>
              <w:pStyle w:val="P68B1DB1-Normal5"/>
              <w:jc w:val="center"/>
              <w:rPr>
                <w:noProof/>
              </w:rPr>
            </w:pPr>
            <w:r>
              <w:rPr>
                <w:noProof/>
              </w:rPr>
              <w:t xml:space="preserve">Ieguldījums 1.8: Civillietu, </w:t>
            </w:r>
            <w:r>
              <w:rPr>
                <w:noProof/>
              </w:rPr>
              <w:t>krimināltiesu un administratīvo tiesu darbā pieņemšanas procedūras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32BF4"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1A305E" w14:textId="77777777" w:rsidR="00C972CB" w:rsidRDefault="002457F6">
            <w:pPr>
              <w:pStyle w:val="P68B1DB1-Normal5"/>
              <w:jc w:val="center"/>
              <w:rPr>
                <w:noProof/>
              </w:rPr>
            </w:pPr>
            <w:r>
              <w:rPr>
                <w:noProof/>
              </w:rPr>
              <w:t>Stājas spēkā īpaši tiesību akti, kas reglamentē nacionālo atveseļošanas un noturības plānu pieņemšanu darbā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E6263" w14:textId="77777777" w:rsidR="00C972CB" w:rsidRDefault="002457F6">
            <w:pPr>
              <w:pStyle w:val="P68B1DB1-Normal5"/>
              <w:jc w:val="center"/>
              <w:rPr>
                <w:noProof/>
              </w:rPr>
            </w:pPr>
            <w:r>
              <w:rPr>
                <w:noProof/>
              </w:rPr>
              <w:t xml:space="preserve">Likuma noteikums, kas norāda, ka stājas spēkā īpašie tiesību </w:t>
            </w:r>
            <w:r>
              <w:rPr>
                <w:noProof/>
              </w:rPr>
              <w:t>akti, kas reglamentē nacionālo atveseļošanas un noturības plānu pieņemšanu darbā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13A72"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BBF005"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3CA08"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A630E"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FB3B"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0FCE6" w14:textId="77777777" w:rsidR="00C972CB" w:rsidRDefault="002457F6">
            <w:pPr>
              <w:pStyle w:val="P68B1DB1-Normal5"/>
              <w:spacing w:after="120"/>
              <w:rPr>
                <w:noProof/>
              </w:rPr>
            </w:pPr>
            <w:r>
              <w:rPr>
                <w:noProof/>
              </w:rPr>
              <w:t xml:space="preserve">Apstiprināt īpašus tiesību aktus, kas reglamentē nacionālo atveseļošanas un noturības plānu pieņemšanu darbā ar atļauju reklamēt un </w:t>
            </w:r>
            <w:r>
              <w:rPr>
                <w:noProof/>
              </w:rPr>
              <w:t>pieņemt darbā.</w:t>
            </w:r>
          </w:p>
        </w:tc>
      </w:tr>
      <w:tr w:rsidR="00C972CB" w14:paraId="67E6CCA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33F1" w14:textId="77777777" w:rsidR="00C972CB" w:rsidRDefault="002457F6">
            <w:pPr>
              <w:pStyle w:val="P68B1DB1-Normal5"/>
              <w:jc w:val="center"/>
              <w:rPr>
                <w:noProof/>
              </w:rPr>
            </w:pPr>
            <w:r>
              <w:rPr>
                <w:noProof/>
              </w:rPr>
              <w:t>M1C1–33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07B52" w14:textId="77777777" w:rsidR="00C972CB" w:rsidRDefault="002457F6">
            <w:pPr>
              <w:pStyle w:val="P68B1DB1-Normal5"/>
              <w:jc w:val="center"/>
              <w:rPr>
                <w:noProof/>
              </w:rPr>
            </w:pPr>
            <w:r>
              <w:rPr>
                <w:noProof/>
              </w:rPr>
              <w:t>Ieguldījums 1.8: Administratīvo tiesu darbā pieņemšanas procedūras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7B94E"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CA7E0" w14:textId="77777777" w:rsidR="00C972CB" w:rsidRDefault="002457F6">
            <w:pPr>
              <w:pStyle w:val="P68B1DB1-Normal5"/>
              <w:jc w:val="center"/>
              <w:rPr>
                <w:noProof/>
              </w:rPr>
            </w:pPr>
            <w:r>
              <w:rPr>
                <w:noProof/>
              </w:rPr>
              <w:t>Administratīvo tiesu darbā pieņemšanas procedūru sākšana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0FB3D"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C33C36"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E9B06C"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1D9AF" w14:textId="77777777" w:rsidR="00C972CB" w:rsidRDefault="002457F6">
            <w:pPr>
              <w:pStyle w:val="P68B1DB1-Normal5"/>
              <w:jc w:val="center"/>
              <w:rPr>
                <w:noProof/>
              </w:rPr>
            </w:pPr>
            <w:r>
              <w:rPr>
                <w:noProof/>
              </w:rPr>
              <w:t>168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A8B5C3"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1D39A"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FAC03" w14:textId="77777777" w:rsidR="00C972CB" w:rsidRDefault="002457F6">
            <w:pPr>
              <w:pStyle w:val="P68B1DB1-Normal5"/>
              <w:spacing w:after="120"/>
              <w:rPr>
                <w:noProof/>
              </w:rPr>
            </w:pPr>
            <w:r>
              <w:rPr>
                <w:noProof/>
              </w:rPr>
              <w:t xml:space="preserve">Sākt darbā pieņemšanas procedūras vismaz 168 personāla vienībām </w:t>
            </w:r>
            <w:r>
              <w:rPr>
                <w:noProof/>
              </w:rPr>
              <w:t>tiesas birojā un administratīvajās tiesās, kā arī norīkot struktūrvienības darbā. Bāzlīnija ir 2021. gada 31. decembrī dienestā esošo darbinieku skaits.</w:t>
            </w:r>
          </w:p>
        </w:tc>
      </w:tr>
      <w:tr w:rsidR="00C972CB" w14:paraId="5AC49E8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46DDAB" w14:textId="77777777" w:rsidR="00C972CB" w:rsidRDefault="002457F6">
            <w:pPr>
              <w:pStyle w:val="P68B1DB1-Normal5"/>
              <w:jc w:val="center"/>
              <w:rPr>
                <w:noProof/>
              </w:rPr>
            </w:pPr>
            <w:r>
              <w:rPr>
                <w:noProof/>
              </w:rPr>
              <w:t>M1C1–34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B2B446" w14:textId="77777777" w:rsidR="00C972CB" w:rsidRDefault="002457F6">
            <w:pPr>
              <w:pStyle w:val="P68B1DB1-Normal5"/>
              <w:jc w:val="center"/>
              <w:rPr>
                <w:noProof/>
              </w:rPr>
            </w:pPr>
            <w:r>
              <w:rPr>
                <w:noProof/>
              </w:rPr>
              <w:t>Ieguldījums 1.8: Darbā pieņemšanas procedūras civiltiesās un krimināltiesās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BAC264"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C02B73" w14:textId="77777777" w:rsidR="00C972CB" w:rsidRDefault="002457F6">
            <w:pPr>
              <w:pStyle w:val="P68B1DB1-Normal5"/>
              <w:jc w:val="center"/>
              <w:rPr>
                <w:noProof/>
              </w:rPr>
            </w:pPr>
            <w:r>
              <w:rPr>
                <w:noProof/>
              </w:rPr>
              <w:t>Civillietu un krimināllietu tiesu darbā pieņemšanas procedūru sākšana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4FD2AA"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18F35"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EFE115"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AD3FE" w14:textId="24DBFD2D" w:rsidR="00C972CB" w:rsidRDefault="002457F6">
            <w:pPr>
              <w:pStyle w:val="P68B1DB1-Normal5"/>
              <w:jc w:val="center"/>
              <w:rPr>
                <w:noProof/>
              </w:rPr>
            </w:pPr>
            <w:r>
              <w:rPr>
                <w:noProof/>
              </w:rPr>
              <w:t>8 764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B0A8"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D00C3"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099C" w14:textId="748A5F88" w:rsidR="00C972CB" w:rsidRDefault="002457F6">
            <w:pPr>
              <w:pStyle w:val="P68B1DB1-Normal5"/>
              <w:spacing w:after="120"/>
              <w:rPr>
                <w:noProof/>
              </w:rPr>
            </w:pPr>
            <w:r>
              <w:rPr>
                <w:noProof/>
              </w:rPr>
              <w:t xml:space="preserve">Sākt darbā vismaz 8764 personāla vienības civiltiesās un krimināltiesās un nodot nodaļas darbā. Pamatscenārijs ir darbinieku skaits 2021. gada </w:t>
            </w:r>
            <w:r>
              <w:rPr>
                <w:noProof/>
              </w:rPr>
              <w:t>beigās.</w:t>
            </w:r>
          </w:p>
        </w:tc>
      </w:tr>
      <w:tr w:rsidR="00C972CB" w14:paraId="0981C51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2A0B9" w14:textId="77777777" w:rsidR="00C972CB" w:rsidRDefault="002457F6">
            <w:pPr>
              <w:pStyle w:val="P68B1DB1-Normal5"/>
              <w:jc w:val="center"/>
              <w:rPr>
                <w:noProof/>
              </w:rPr>
            </w:pPr>
            <w:r>
              <w:rPr>
                <w:noProof/>
              </w:rPr>
              <w:t>M1C1–35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DCA077" w14:textId="77777777" w:rsidR="00C972CB" w:rsidRDefault="002457F6">
            <w:pPr>
              <w:pStyle w:val="P68B1DB1-Normal5"/>
              <w:jc w:val="center"/>
              <w:rPr>
                <w:noProof/>
              </w:rPr>
            </w:pPr>
            <w:r>
              <w:rPr>
                <w:noProof/>
              </w:rPr>
              <w:t>Reforma. Nodokļu tiesu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4C51B"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0A6868" w14:textId="77777777" w:rsidR="00C972CB" w:rsidRDefault="002457F6">
            <w:pPr>
              <w:pStyle w:val="P68B1DB1-Normal5"/>
              <w:jc w:val="center"/>
              <w:rPr>
                <w:noProof/>
              </w:rPr>
            </w:pPr>
            <w:r>
              <w:rPr>
                <w:noProof/>
              </w:rPr>
              <w:t>Pirmās un otrās instances nodokļu tiesu visaptveroša reforma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4688D" w14:textId="77777777" w:rsidR="00C972CB" w:rsidRDefault="002457F6">
            <w:pPr>
              <w:pStyle w:val="P68B1DB1-Normal5"/>
              <w:jc w:val="center"/>
              <w:rPr>
                <w:noProof/>
              </w:rPr>
            </w:pPr>
            <w:r>
              <w:rPr>
                <w:noProof/>
              </w:rPr>
              <w:t>Likuma noteikums, kas norāda uz pārskatītā tiesiskā regulējuma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BABFB"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1B652"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C1E1C"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1C0C75"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16E11C"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C6CBB5" w14:textId="77777777" w:rsidR="00C972CB" w:rsidRDefault="002457F6">
            <w:pPr>
              <w:pStyle w:val="P68B1DB1-Normal5"/>
              <w:spacing w:after="120"/>
              <w:rPr>
                <w:noProof/>
              </w:rPr>
            </w:pPr>
            <w:r>
              <w:rPr>
                <w:noProof/>
              </w:rPr>
              <w:t>Pārskatītais tiesiskais regulējums padarīs efektīvāku nodokļu tiesību aktu izpildi un samazina kasācijas sūdzību lielo skaitu Kasācijas tiesā.</w:t>
            </w:r>
          </w:p>
        </w:tc>
      </w:tr>
      <w:tr w:rsidR="00C972CB" w14:paraId="0DA5A98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37B71" w14:textId="77777777" w:rsidR="00C972CB" w:rsidRDefault="002457F6">
            <w:pPr>
              <w:pStyle w:val="P68B1DB1-Normal5"/>
              <w:jc w:val="center"/>
              <w:rPr>
                <w:noProof/>
              </w:rPr>
            </w:pPr>
            <w:r>
              <w:rPr>
                <w:noProof/>
              </w:rPr>
              <w:t>M1C1–36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387B3" w14:textId="77777777" w:rsidR="00C972CB" w:rsidRDefault="002457F6">
            <w:pPr>
              <w:pStyle w:val="P68B1DB1-Normal5"/>
              <w:jc w:val="center"/>
              <w:rPr>
                <w:noProof/>
              </w:rPr>
            </w:pPr>
            <w:r>
              <w:rPr>
                <w:noProof/>
              </w:rPr>
              <w:t>Reforma 1.4., 1.5. un 1.6. Civiltiesību un krimināltiesību reforma un maksātnespējas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9BC37" w14:textId="77777777" w:rsidR="00C972CB" w:rsidRDefault="002457F6">
            <w:pPr>
              <w:pStyle w:val="P68B1DB1-Normal5"/>
              <w:jc w:val="center"/>
              <w:rPr>
                <w:noProof/>
              </w:rPr>
            </w:pPr>
            <w:r>
              <w:rPr>
                <w:noProof/>
              </w:rPr>
              <w:t xml:space="preserve">Starpposma </w:t>
            </w:r>
            <w:r>
              <w:rPr>
                <w:noProof/>
              </w:rPr>
              <w:t>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649D3" w14:textId="77777777" w:rsidR="00C972CB" w:rsidRDefault="002457F6">
            <w:pPr>
              <w:pStyle w:val="P68B1DB1-Normal5"/>
              <w:jc w:val="center"/>
              <w:rPr>
                <w:noProof/>
              </w:rPr>
            </w:pPr>
            <w:r>
              <w:rPr>
                <w:noProof/>
              </w:rPr>
              <w:t>Deleģēto aktu stāšanās spēkā attiecībā uz civiltiesību un krimināltiesību reformām un maksātnespējas reformu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CDD6" w14:textId="77777777" w:rsidR="00C972CB" w:rsidRDefault="002457F6">
            <w:pPr>
              <w:pStyle w:val="P68B1DB1-Normal5"/>
              <w:jc w:val="center"/>
              <w:rPr>
                <w:noProof/>
              </w:rPr>
            </w:pPr>
            <w:r>
              <w:rPr>
                <w:noProof/>
              </w:rPr>
              <w:t>Deleģēto aktu noteikums, kas norāda uz deleģēto aktu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76EB2"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E8858"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15E19"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3E5E3"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6F23C"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7A730" w14:textId="77777777" w:rsidR="00C972CB" w:rsidRDefault="002457F6">
            <w:pPr>
              <w:pStyle w:val="P68B1DB1-Normal5"/>
              <w:spacing w:after="120"/>
              <w:rPr>
                <w:noProof/>
              </w:rPr>
            </w:pPr>
            <w:r>
              <w:rPr>
                <w:noProof/>
              </w:rPr>
              <w:t xml:space="preserve">Stājas spēkā visi deleģētie </w:t>
            </w:r>
            <w:r>
              <w:rPr>
                <w:noProof/>
              </w:rPr>
              <w:t>akti, kuru saturs ir norādīts tiesību aktos, kas ļauj veikt civiltiesību un krimināltiesību reformas un maksātnespējas reformu.</w:t>
            </w:r>
          </w:p>
        </w:tc>
      </w:tr>
      <w:tr w:rsidR="00C972CB" w14:paraId="75A3D8D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5F4F4" w14:textId="77777777" w:rsidR="00C972CB" w:rsidRDefault="002457F6">
            <w:pPr>
              <w:pStyle w:val="P68B1DB1-Normal5"/>
              <w:jc w:val="center"/>
              <w:rPr>
                <w:noProof/>
              </w:rPr>
            </w:pPr>
            <w:r>
              <w:rPr>
                <w:noProof/>
              </w:rPr>
              <w:t>M1C1–37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005C" w14:textId="77777777" w:rsidR="00C972CB" w:rsidRDefault="002457F6">
            <w:pPr>
              <w:pStyle w:val="P68B1DB1-Normal5"/>
              <w:jc w:val="center"/>
              <w:rPr>
                <w:noProof/>
              </w:rPr>
            </w:pPr>
            <w:r>
              <w:rPr>
                <w:noProof/>
              </w:rPr>
              <w:t>Un 1.5. reforma: Civiltiesību un krimināltiesību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E17EBD"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7C20F" w14:textId="77777777" w:rsidR="00C972CB" w:rsidRDefault="002457F6">
            <w:pPr>
              <w:pStyle w:val="P68B1DB1-Normal5"/>
              <w:jc w:val="center"/>
              <w:rPr>
                <w:noProof/>
              </w:rPr>
            </w:pPr>
            <w:r>
              <w:rPr>
                <w:noProof/>
              </w:rPr>
              <w:t xml:space="preserve">Civiltiesību un krimināltiesību reformas </w:t>
            </w:r>
            <w:r>
              <w:rPr>
                <w:noProof/>
              </w:rPr>
              <w:t>stāšanās spēkā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6C8DC9" w14:textId="77777777" w:rsidR="00C972CB" w:rsidRDefault="002457F6">
            <w:pPr>
              <w:pStyle w:val="P68B1DB1-Normal5"/>
              <w:jc w:val="center"/>
              <w:rPr>
                <w:noProof/>
              </w:rPr>
            </w:pPr>
            <w:r>
              <w:rPr>
                <w:noProof/>
              </w:rPr>
              <w:t>Sekundāro tiesību aktu noteikums, kas norāda uz sekundāro tiesību aktu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0906"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CEFD15"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C734"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19CEB0"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B03A4"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76BEB" w14:textId="77777777" w:rsidR="00C972CB" w:rsidRDefault="002457F6">
            <w:pPr>
              <w:pStyle w:val="P68B1DB1-Normal5"/>
              <w:spacing w:after="120"/>
              <w:rPr>
                <w:noProof/>
              </w:rPr>
            </w:pPr>
            <w:r>
              <w:rPr>
                <w:noProof/>
              </w:rPr>
              <w:t>Pabeigt visu to regulu un sekundāro tiesību aktu avotu pieņemšanu, kas vajadzīgi, lai efektīvi piemērotu tiesību</w:t>
            </w:r>
            <w:r>
              <w:rPr>
                <w:noProof/>
              </w:rPr>
              <w:t xml:space="preserve"> aktus, kas ļauj veikt tiesu reformas.</w:t>
            </w:r>
          </w:p>
        </w:tc>
      </w:tr>
      <w:tr w:rsidR="00C972CB" w14:paraId="34AB677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241A4" w14:textId="77777777" w:rsidR="00C972CB" w:rsidRDefault="002457F6">
            <w:pPr>
              <w:pStyle w:val="P68B1DB1-Normal5"/>
              <w:jc w:val="center"/>
              <w:rPr>
                <w:noProof/>
              </w:rPr>
            </w:pPr>
            <w:r>
              <w:rPr>
                <w:noProof/>
              </w:rPr>
              <w:t>M1C1–38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5CF78A" w14:textId="77777777" w:rsidR="00C972CB" w:rsidRDefault="002457F6">
            <w:pPr>
              <w:pStyle w:val="P68B1DB1-Normal5"/>
              <w:jc w:val="center"/>
              <w:rPr>
                <w:noProof/>
              </w:rPr>
            </w:pPr>
            <w:r>
              <w:rPr>
                <w:noProof/>
              </w:rPr>
              <w:t>Reforma. Tieslietu sistēmu digitalizācija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11D22"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177D71" w14:textId="77777777" w:rsidR="00C972CB" w:rsidRDefault="002457F6">
            <w:pPr>
              <w:pStyle w:val="P68B1DB1-Normal5"/>
              <w:jc w:val="center"/>
              <w:rPr>
                <w:noProof/>
              </w:rPr>
            </w:pPr>
            <w:r>
              <w:rPr>
                <w:noProof/>
              </w:rPr>
              <w:t>Tiesu sistēmas digitalizācija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41497" w14:textId="77777777" w:rsidR="00C972CB" w:rsidRDefault="002457F6">
            <w:pPr>
              <w:pStyle w:val="P68B1DB1-Normal5"/>
              <w:jc w:val="center"/>
              <w:rPr>
                <w:noProof/>
              </w:rPr>
            </w:pPr>
            <w:r>
              <w:rPr>
                <w:noProof/>
              </w:rPr>
              <w:t>Primāro un sekundāro tiesību aktu noteikums, kas norāda uz attiecīgo tiesību aktu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06DC11"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1B6"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8CB5A5"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213E9A"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6B749B"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55644" w14:textId="77777777" w:rsidR="00C972CB" w:rsidRDefault="002457F6">
            <w:pPr>
              <w:pStyle w:val="P68B1DB1-Normal5"/>
              <w:spacing w:after="120"/>
              <w:rPr>
                <w:noProof/>
              </w:rPr>
            </w:pPr>
            <w:r>
              <w:rPr>
                <w:noProof/>
              </w:rPr>
              <w:t xml:space="preserve">Tiek noteikta visu dokumentu obligāta elektroniska iesniegšana un pilnīga elektroniskā darbplūsma civilprocesos. Pirmās instances kriminālprocess digitalizēts (izņemot pirmstiesas uzklausīšanas biroju). Izveidot bezmaksas, pilnībā </w:t>
            </w:r>
            <w:r>
              <w:rPr>
                <w:noProof/>
              </w:rPr>
              <w:t>pieejamu un meklējamu civillietu lēmumu datubāzi saskaņā ar tiesību aktiem.</w:t>
            </w:r>
          </w:p>
        </w:tc>
      </w:tr>
      <w:tr w:rsidR="00C972CB" w14:paraId="098518E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DF8C2" w14:textId="77777777" w:rsidR="00C972CB" w:rsidRDefault="002457F6">
            <w:pPr>
              <w:pStyle w:val="P68B1DB1-Normal5"/>
              <w:jc w:val="center"/>
              <w:rPr>
                <w:noProof/>
              </w:rPr>
            </w:pPr>
            <w:r>
              <w:rPr>
                <w:noProof/>
              </w:rPr>
              <w:t>M1C1–39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2CF5DA" w14:textId="77777777" w:rsidR="00C972CB" w:rsidRDefault="002457F6">
            <w:pPr>
              <w:pStyle w:val="P68B1DB1-Normal5"/>
              <w:jc w:val="center"/>
              <w:rPr>
                <w:noProof/>
              </w:rPr>
            </w:pPr>
            <w:r>
              <w:rPr>
                <w:noProof/>
              </w:rPr>
              <w:t>Ieguldījums 1.8: Civillietu un krimināltiesu darbā pieņemšanas procedūras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0A20F"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B5E893" w14:textId="77777777" w:rsidR="00C972CB" w:rsidRDefault="002457F6">
            <w:pPr>
              <w:pStyle w:val="P68B1DB1-Normal5"/>
              <w:jc w:val="center"/>
              <w:rPr>
                <w:noProof/>
              </w:rPr>
            </w:pPr>
            <w:r>
              <w:rPr>
                <w:noProof/>
              </w:rPr>
              <w:t xml:space="preserve">Civillietu un krimināltiesu un par ANP īstenošanu atbildīgo Tieslietu ministrijas </w:t>
            </w:r>
            <w:r>
              <w:rPr>
                <w:noProof/>
              </w:rPr>
              <w:t>teritoriālo un centrālo dienestu darbā pieņemšanas procedūru pabeigšana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8220C"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0D9D"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9FF0D"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A6658" w14:textId="77777777" w:rsidR="00C972CB" w:rsidRDefault="002457F6">
            <w:pPr>
              <w:pStyle w:val="P68B1DB1-Normal5"/>
              <w:jc w:val="center"/>
              <w:rPr>
                <w:noProof/>
              </w:rPr>
            </w:pPr>
            <w:r>
              <w:rPr>
                <w:noProof/>
              </w:rPr>
              <w:t>10 000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53746"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7BA1"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01AB6C" w14:textId="27485AC8" w:rsidR="00C972CB" w:rsidRDefault="002457F6">
            <w:pPr>
              <w:pStyle w:val="P68B1DB1-Normal5"/>
              <w:spacing w:after="120"/>
              <w:rPr>
                <w:noProof/>
              </w:rPr>
            </w:pPr>
            <w:r>
              <w:rPr>
                <w:noProof/>
              </w:rPr>
              <w:t>Pabeidz vismaz 10000 personāla vienību pieņemšanu darbā vai pagarināšanas procedūras tiesas birojam un tehniskajam administratīvajam personālam u</w:t>
            </w:r>
            <w:r>
              <w:rPr>
                <w:noProof/>
              </w:rPr>
              <w:t>n nodod tos dienestā.</w:t>
            </w:r>
          </w:p>
          <w:p w14:paraId="161A4992" w14:textId="0EC4A00E" w:rsidR="00C972CB" w:rsidRDefault="002457F6">
            <w:pPr>
              <w:pStyle w:val="P68B1DB1-Normal5"/>
              <w:spacing w:after="120"/>
              <w:rPr>
                <w:noProof/>
              </w:rPr>
            </w:pPr>
            <w:r>
              <w:rPr>
                <w:noProof/>
              </w:rPr>
              <w:t xml:space="preserve">Pamatscenārijs ir darbinieku skaits 2021. gada beigās. </w:t>
            </w:r>
          </w:p>
        </w:tc>
      </w:tr>
      <w:tr w:rsidR="00C972CB" w14:paraId="62F9F8F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9AFA9" w14:textId="77777777" w:rsidR="00C972CB" w:rsidRDefault="002457F6">
            <w:pPr>
              <w:pStyle w:val="P68B1DB1-Normal5"/>
              <w:jc w:val="center"/>
              <w:rPr>
                <w:noProof/>
              </w:rPr>
            </w:pPr>
            <w:r>
              <w:rPr>
                <w:noProof/>
              </w:rPr>
              <w:t>M1C1–40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74BA64" w14:textId="77777777" w:rsidR="00C972CB" w:rsidRDefault="002457F6">
            <w:pPr>
              <w:pStyle w:val="P68B1DB1-Normal5"/>
              <w:jc w:val="center"/>
              <w:rPr>
                <w:noProof/>
              </w:rPr>
            </w:pPr>
            <w:r>
              <w:rPr>
                <w:noProof/>
              </w:rPr>
              <w:t>Ieguldījums 1.8: Administratīvo tiesu darbā pieņemšanas procedūras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F598F"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BB8484" w14:textId="77777777" w:rsidR="00C972CB" w:rsidRDefault="002457F6">
            <w:pPr>
              <w:pStyle w:val="P68B1DB1-Normal5"/>
              <w:jc w:val="center"/>
              <w:rPr>
                <w:noProof/>
              </w:rPr>
            </w:pPr>
            <w:r>
              <w:rPr>
                <w:noProof/>
              </w:rPr>
              <w:t>Administratīvo tiesu darbā pieņemšanas procedūru pabeigšana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76CF6"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7BC4E6"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3D99D9" w14:textId="77777777" w:rsidR="00C972CB" w:rsidRDefault="002457F6">
            <w:pPr>
              <w:pStyle w:val="P68B1DB1-Normal5"/>
              <w:jc w:val="center"/>
              <w:rPr>
                <w:noProof/>
              </w:rPr>
            </w:pPr>
            <w:r>
              <w:rPr>
                <w:noProof/>
              </w:rPr>
              <w:t>168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44020E" w14:textId="77777777" w:rsidR="00C972CB" w:rsidRDefault="002457F6">
            <w:pPr>
              <w:pStyle w:val="P68B1DB1-Normal5"/>
              <w:jc w:val="center"/>
              <w:rPr>
                <w:noProof/>
              </w:rPr>
            </w:pPr>
            <w:r>
              <w:rPr>
                <w:noProof/>
              </w:rPr>
              <w:t>326</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FC653"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845ED"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DF84E4" w14:textId="77777777" w:rsidR="00C972CB" w:rsidRDefault="002457F6">
            <w:pPr>
              <w:pStyle w:val="P68B1DB1-Normal5"/>
              <w:spacing w:after="120"/>
              <w:rPr>
                <w:noProof/>
              </w:rPr>
            </w:pPr>
            <w:r>
              <w:rPr>
                <w:noProof/>
              </w:rPr>
              <w:t>Pabeigt vismaz 326 darbinieku pieņemšanas procedūras tiesas birojā un administratīvajās tiesās, kā arī norīkot struktūrvienības darbā. Pamatscenārijs ir darbinieku skaits 2022. gada 2. ceturksnī.</w:t>
            </w:r>
          </w:p>
        </w:tc>
      </w:tr>
      <w:tr w:rsidR="00C972CB" w14:paraId="14ED400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D10947" w14:textId="77777777" w:rsidR="00C972CB" w:rsidRDefault="002457F6">
            <w:pPr>
              <w:pStyle w:val="P68B1DB1-Normal5"/>
              <w:jc w:val="center"/>
              <w:rPr>
                <w:noProof/>
              </w:rPr>
            </w:pPr>
            <w:r>
              <w:rPr>
                <w:noProof/>
              </w:rPr>
              <w:t>M1C1–41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5DB1B3" w14:textId="77777777" w:rsidR="00C972CB" w:rsidRDefault="002457F6">
            <w:pPr>
              <w:pStyle w:val="P68B1DB1-Normal5"/>
              <w:jc w:val="center"/>
              <w:rPr>
                <w:noProof/>
              </w:rPr>
            </w:pPr>
            <w:r>
              <w:rPr>
                <w:noProof/>
              </w:rPr>
              <w:t xml:space="preserve">Ieguldījums 1.8: Administratīvo tiesu darbā </w:t>
            </w:r>
            <w:r>
              <w:rPr>
                <w:noProof/>
              </w:rPr>
              <w:t>pieņemšanas procedūras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76EFC1"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87CC8" w14:textId="77777777" w:rsidR="00C972CB" w:rsidRDefault="002457F6">
            <w:pPr>
              <w:pStyle w:val="P68B1DB1-Normal5"/>
              <w:jc w:val="center"/>
              <w:rPr>
                <w:noProof/>
              </w:rPr>
            </w:pPr>
            <w:r>
              <w:rPr>
                <w:noProof/>
              </w:rPr>
              <w:t>Administratīvo reģionālo tiesu neizskatīto lietu skaita samazināšana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37CAF1"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14190"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D0C21"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70729" w14:textId="77777777" w:rsidR="00C972CB" w:rsidRDefault="002457F6">
            <w:pPr>
              <w:pStyle w:val="P68B1DB1-Normal5"/>
              <w:jc w:val="center"/>
              <w:rPr>
                <w:noProof/>
              </w:rPr>
            </w:pPr>
            <w:r>
              <w:rPr>
                <w:noProof/>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DA7A13"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8A0980"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9B4685" w14:textId="74F9206A" w:rsidR="00C972CB" w:rsidRDefault="002457F6">
            <w:pPr>
              <w:pStyle w:val="P68B1DB1-Normal5"/>
              <w:spacing w:after="120"/>
              <w:rPr>
                <w:noProof/>
              </w:rPr>
            </w:pPr>
            <w:r>
              <w:rPr>
                <w:noProof/>
              </w:rPr>
              <w:t xml:space="preserve">Par 25 % samazināt neizskatīto lietu skaitu 2019. gadā (109029) administratīvajās reģionālajās tiesās (pirmās </w:t>
            </w:r>
            <w:r>
              <w:rPr>
                <w:noProof/>
              </w:rPr>
              <w:t>instances administratīvās tiesas).</w:t>
            </w:r>
          </w:p>
        </w:tc>
      </w:tr>
      <w:tr w:rsidR="00C972CB" w14:paraId="300604C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BEDD21" w14:textId="77777777" w:rsidR="00C972CB" w:rsidRDefault="002457F6">
            <w:pPr>
              <w:pStyle w:val="P68B1DB1-Normal5"/>
              <w:jc w:val="center"/>
              <w:rPr>
                <w:noProof/>
              </w:rPr>
            </w:pPr>
            <w:r>
              <w:rPr>
                <w:noProof/>
              </w:rPr>
              <w:t>M1C1–42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3633D8" w14:textId="77777777" w:rsidR="00C972CB" w:rsidRDefault="002457F6">
            <w:pPr>
              <w:pStyle w:val="P68B1DB1-Normal5"/>
              <w:jc w:val="center"/>
              <w:rPr>
                <w:noProof/>
              </w:rPr>
            </w:pPr>
            <w:r>
              <w:rPr>
                <w:noProof/>
              </w:rPr>
              <w:t>Ieguldījums 1.8: Administratīvo tiesu darbā pieņemšanas procedūras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6FE539"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98A02" w14:textId="77777777" w:rsidR="00C972CB" w:rsidRDefault="002457F6">
            <w:pPr>
              <w:pStyle w:val="P68B1DB1-Normal5"/>
              <w:jc w:val="center"/>
              <w:rPr>
                <w:noProof/>
              </w:rPr>
            </w:pPr>
            <w:r>
              <w:rPr>
                <w:noProof/>
              </w:rPr>
              <w:t>Neizskatīto lietu skaita samazināšana Valsts padomē</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F04173"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BA0A2"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1E481B"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12B2B" w14:textId="77777777" w:rsidR="00C972CB" w:rsidRDefault="002457F6">
            <w:pPr>
              <w:pStyle w:val="P68B1DB1-Normal5"/>
              <w:jc w:val="center"/>
              <w:rPr>
                <w:noProof/>
              </w:rPr>
            </w:pPr>
            <w:r>
              <w:rPr>
                <w:noProof/>
              </w:rPr>
              <w:t>65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1F819"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7AB00"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2809A0" w14:textId="5E6CFFE7" w:rsidR="00C972CB" w:rsidRDefault="002457F6">
            <w:pPr>
              <w:pStyle w:val="P68B1DB1-Normal5"/>
              <w:spacing w:after="120"/>
              <w:rPr>
                <w:noProof/>
              </w:rPr>
            </w:pPr>
            <w:r>
              <w:rPr>
                <w:noProof/>
              </w:rPr>
              <w:t xml:space="preserve">Par 35 % samazināt neizskatīto lietu </w:t>
            </w:r>
            <w:r>
              <w:rPr>
                <w:noProof/>
              </w:rPr>
              <w:t>skaitu 2019. gadā (24010) Valsts padomē (otrajā instancē).</w:t>
            </w:r>
          </w:p>
        </w:tc>
      </w:tr>
      <w:tr w:rsidR="00C972CB" w14:paraId="7FF8BE5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35030" w14:textId="77777777" w:rsidR="00C972CB" w:rsidRDefault="002457F6">
            <w:pPr>
              <w:pStyle w:val="P68B1DB1-Normal5"/>
              <w:jc w:val="center"/>
              <w:rPr>
                <w:noProof/>
              </w:rPr>
            </w:pPr>
            <w:r>
              <w:rPr>
                <w:noProof/>
              </w:rPr>
              <w:t>M1C1–43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83D39" w14:textId="77777777" w:rsidR="00C972CB" w:rsidRDefault="002457F6">
            <w:pPr>
              <w:pStyle w:val="P68B1DB1-Normal5"/>
              <w:jc w:val="center"/>
              <w:rPr>
                <w:noProof/>
              </w:rPr>
            </w:pPr>
            <w:r>
              <w:rPr>
                <w:noProof/>
              </w:rPr>
              <w:t>Reforma: Civiltiesību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169E2"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B7C318" w14:textId="77777777" w:rsidR="00C972CB" w:rsidRDefault="002457F6">
            <w:pPr>
              <w:pStyle w:val="P68B1DB1-Normal5"/>
              <w:jc w:val="center"/>
              <w:rPr>
                <w:noProof/>
              </w:rPr>
            </w:pPr>
            <w:r>
              <w:rPr>
                <w:noProof/>
              </w:rPr>
              <w:t>Neizskatīto lietu skaita samazināšana parastajās civiltiesās (pirmā instance)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C427D6"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93ED1"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BBE5A"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326826" w14:textId="77777777" w:rsidR="00C972CB" w:rsidRDefault="002457F6">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25165"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9767F"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93A1B5" w14:textId="77777777" w:rsidR="00C972CB" w:rsidRDefault="002457F6">
            <w:pPr>
              <w:pStyle w:val="P68B1DB1-Normal5"/>
              <w:spacing w:after="120"/>
              <w:rPr>
                <w:noProof/>
              </w:rPr>
            </w:pPr>
            <w:r>
              <w:rPr>
                <w:noProof/>
              </w:rPr>
              <w:t xml:space="preserve">Par 95 % samazināt </w:t>
            </w:r>
            <w:r>
              <w:rPr>
                <w:noProof/>
              </w:rPr>
              <w:t>neizskatīto lietu skaitu 2019. gadā (337740) parastajās civiltiesās (pirmās instances tiesās).</w:t>
            </w:r>
          </w:p>
          <w:p w14:paraId="41AF5FBD" w14:textId="7D995099" w:rsidR="00C972CB" w:rsidRDefault="002457F6">
            <w:pPr>
              <w:pStyle w:val="P68B1DB1-Normal5"/>
              <w:spacing w:after="120"/>
              <w:rPr>
                <w:noProof/>
              </w:rPr>
            </w:pPr>
            <w:r>
              <w:rPr>
                <w:noProof/>
              </w:rPr>
              <w:t>Pamatscenārijs ir to lietu skaits, kuras vairāk nekā trīs gadus nav izskatītas parastajās civillietu tiesās (2019. gadā).</w:t>
            </w:r>
          </w:p>
        </w:tc>
      </w:tr>
      <w:tr w:rsidR="00C972CB" w14:paraId="1CD1817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AB992" w14:textId="77777777" w:rsidR="00C972CB" w:rsidRDefault="002457F6">
            <w:pPr>
              <w:pStyle w:val="P68B1DB1-Normal5"/>
              <w:jc w:val="center"/>
              <w:rPr>
                <w:noProof/>
              </w:rPr>
            </w:pPr>
            <w:r>
              <w:rPr>
                <w:noProof/>
              </w:rPr>
              <w:t>M1C1–44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DBEBA" w14:textId="77777777" w:rsidR="00C972CB" w:rsidRDefault="002457F6">
            <w:pPr>
              <w:pStyle w:val="P68B1DB1-Normal5"/>
              <w:jc w:val="center"/>
              <w:rPr>
                <w:noProof/>
              </w:rPr>
            </w:pPr>
            <w:r>
              <w:rPr>
                <w:noProof/>
              </w:rPr>
              <w:t>Reforma: Civiltiesību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AAB13F"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5EA941" w14:textId="77777777" w:rsidR="00C972CB" w:rsidRDefault="002457F6">
            <w:pPr>
              <w:pStyle w:val="P68B1DB1-Normal5"/>
              <w:jc w:val="center"/>
              <w:rPr>
                <w:noProof/>
              </w:rPr>
            </w:pPr>
            <w:r>
              <w:rPr>
                <w:noProof/>
              </w:rPr>
              <w:t>Neizskatīto lietu skaita samazināšana apelācijas tiesā (otrā instance)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02DFB"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40CA55"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ED1AE"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DEDFE6" w14:textId="77777777" w:rsidR="00C972CB" w:rsidRDefault="002457F6">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02C4F"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F09D8D"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915AC" w14:textId="6647DADC" w:rsidR="00C972CB" w:rsidRDefault="002457F6">
            <w:pPr>
              <w:pStyle w:val="P68B1DB1-Normal5"/>
              <w:spacing w:after="120"/>
              <w:rPr>
                <w:noProof/>
              </w:rPr>
            </w:pPr>
            <w:r>
              <w:rPr>
                <w:noProof/>
              </w:rPr>
              <w:t xml:space="preserve">Par 95 % samazināt neizskatīto lietu skaitu 2019. gadā (98371) apelācijas tiesās (otrā instancē). </w:t>
            </w:r>
          </w:p>
          <w:p w14:paraId="1D212D3F" w14:textId="77777777" w:rsidR="00C972CB" w:rsidRDefault="002457F6">
            <w:pPr>
              <w:pStyle w:val="P68B1DB1-Normal5"/>
              <w:spacing w:after="120"/>
              <w:rPr>
                <w:noProof/>
              </w:rPr>
            </w:pPr>
            <w:r>
              <w:rPr>
                <w:noProof/>
              </w:rPr>
              <w:t xml:space="preserve">Pamats ir to lietu skaits, kuras </w:t>
            </w:r>
            <w:r>
              <w:rPr>
                <w:noProof/>
              </w:rPr>
              <w:t>vairāk nekā divus gadus nav izskatītas apelācijas civiltiesās (2019. gadā).</w:t>
            </w:r>
          </w:p>
        </w:tc>
      </w:tr>
      <w:tr w:rsidR="00C972CB" w14:paraId="066869F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614358" w14:textId="3BA09B55" w:rsidR="00C972CB" w:rsidRDefault="002457F6">
            <w:pPr>
              <w:pStyle w:val="P68B1DB1-Normal5"/>
              <w:jc w:val="center"/>
              <w:rPr>
                <w:noProof/>
              </w:rPr>
            </w:pPr>
            <w:r>
              <w:rPr>
                <w:noProof/>
              </w:rPr>
              <w:t>M1C1–37.bis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6163E2" w14:textId="77777777" w:rsidR="00C972CB" w:rsidRDefault="002457F6">
            <w:pPr>
              <w:pStyle w:val="P68B1DB1-Normal5"/>
              <w:jc w:val="center"/>
              <w:rPr>
                <w:noProof/>
              </w:rPr>
            </w:pPr>
            <w:r>
              <w:rPr>
                <w:noProof/>
              </w:rPr>
              <w:t>Reforma: Civiltiesību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19191"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BB01B" w14:textId="77777777" w:rsidR="00C972CB" w:rsidRDefault="002457F6">
            <w:pPr>
              <w:pStyle w:val="P68B1DB1-Normal5"/>
              <w:jc w:val="center"/>
              <w:rPr>
                <w:noProof/>
              </w:rPr>
            </w:pPr>
            <w:r>
              <w:rPr>
                <w:noProof/>
              </w:rPr>
              <w:t>Tādu pasākumu stāšanās spēkā, kuru mērķis ir samazināt neizskatīto lietu skaitu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FDEA3" w14:textId="77777777" w:rsidR="00C972CB" w:rsidRDefault="002457F6">
            <w:pPr>
              <w:pStyle w:val="P68B1DB1-Normal5"/>
              <w:jc w:val="center"/>
              <w:rPr>
                <w:noProof/>
              </w:rPr>
            </w:pPr>
            <w:r>
              <w:rPr>
                <w:noProof/>
              </w:rPr>
              <w:t xml:space="preserve">Tiesību norma, kas norāda, ka stājas </w:t>
            </w:r>
            <w:r>
              <w:rPr>
                <w:noProof/>
              </w:rPr>
              <w:t>spēkā primārie tiesību akti un sekundārie tiesību akti, lai samazinātu neizskatīto lietu uzkrāšanos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3D0374" w14:textId="77777777" w:rsidR="00C972CB" w:rsidRDefault="00C972CB">
            <w:pPr>
              <w:jc w:val="center"/>
              <w:rPr>
                <w:rFonts w:ascii="Arial Narrow" w:hAnsi="Arial Narrow" w:cs="Arial"/>
                <w:noProof/>
                <w:color w:val="006100"/>
                <w:sz w:val="20"/>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7D17" w14:textId="77777777" w:rsidR="00C972CB" w:rsidRDefault="00C972CB">
            <w:pPr>
              <w:jc w:val="center"/>
              <w:rPr>
                <w:rFonts w:ascii="Arial Narrow" w:hAnsi="Arial Narrow" w:cs="Arial"/>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DB041" w14:textId="77777777" w:rsidR="00C972CB" w:rsidRDefault="00C972CB">
            <w:pPr>
              <w:jc w:val="center"/>
              <w:rPr>
                <w:rFonts w:ascii="Arial Narrow" w:hAnsi="Arial Narrow" w:cs="Arial"/>
                <w:noProof/>
                <w:color w:val="006100"/>
                <w:sz w:val="20"/>
              </w:rPr>
            </w:pP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3F595E"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546E58"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A2844" w14:textId="69BE131A" w:rsidR="00C972CB" w:rsidRDefault="002457F6">
            <w:pPr>
              <w:pStyle w:val="P68B1DB1-Normal5"/>
              <w:rPr>
                <w:noProof/>
              </w:rPr>
            </w:pPr>
            <w:r>
              <w:rPr>
                <w:noProof/>
              </w:rPr>
              <w:t>Primāro tiesību aktu un sekundāro tiesību aktu avotu stāšanās spēkā, lai:</w:t>
            </w:r>
          </w:p>
          <w:p w14:paraId="6F87B41C" w14:textId="77777777" w:rsidR="00C972CB" w:rsidRDefault="002457F6">
            <w:pPr>
              <w:pStyle w:val="P68B1DB1-ListParagraph6"/>
              <w:numPr>
                <w:ilvl w:val="0"/>
                <w:numId w:val="113"/>
              </w:numPr>
              <w:ind w:left="304" w:hanging="142"/>
              <w:jc w:val="left"/>
              <w:rPr>
                <w:noProof/>
              </w:rPr>
            </w:pPr>
            <w:r>
              <w:rPr>
                <w:noProof/>
              </w:rPr>
              <w:t>Izmēģinājuma biroju stiprināšana, tostarp ar stimuliem, lai piesai</w:t>
            </w:r>
            <w:r>
              <w:rPr>
                <w:noProof/>
              </w:rPr>
              <w:t>stītu un noturētu to darbinieku vienības, kas pieņemti darbā, pamatojoties uz valsts atveseļošanas un noturības plāna darbā pieņemšanas shēmu;</w:t>
            </w:r>
          </w:p>
          <w:p w14:paraId="4415764E" w14:textId="49D383CF" w:rsidR="00C972CB" w:rsidRDefault="002457F6">
            <w:pPr>
              <w:pStyle w:val="P68B1DB1-ListParagraph6"/>
              <w:numPr>
                <w:ilvl w:val="0"/>
                <w:numId w:val="113"/>
              </w:numPr>
              <w:ind w:left="304" w:hanging="142"/>
              <w:jc w:val="left"/>
              <w:rPr>
                <w:noProof/>
              </w:rPr>
            </w:pPr>
            <w:r>
              <w:rPr>
                <w:noProof/>
              </w:rPr>
              <w:t xml:space="preserve">Stimulu radīšana, lai: Atbalstīt mazāk efektīvas tiesas civiltiesību jomā neizskatīto lietu skaita samazināšanā; </w:t>
            </w:r>
            <w:r>
              <w:rPr>
                <w:noProof/>
              </w:rPr>
              <w:t>Lai atalgotu tiesu iestādes, kas sasniedz konkrētus gada mērķus samazināt neizskatīto lietu skaitu civiltiesību sistēmā.</w:t>
            </w:r>
          </w:p>
        </w:tc>
      </w:tr>
      <w:tr w:rsidR="00C972CB" w14:paraId="7DC4B2D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B654EA" w14:textId="77777777" w:rsidR="00C972CB" w:rsidRDefault="002457F6">
            <w:pPr>
              <w:pStyle w:val="P68B1DB1-Normal5"/>
              <w:jc w:val="center"/>
              <w:rPr>
                <w:noProof/>
              </w:rPr>
            </w:pPr>
            <w:r>
              <w:rPr>
                <w:noProof/>
              </w:rPr>
              <w:t>M1C1–45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E47E94" w14:textId="77777777" w:rsidR="00C972CB" w:rsidRDefault="002457F6">
            <w:pPr>
              <w:pStyle w:val="P68B1DB1-Normal5"/>
              <w:jc w:val="center"/>
              <w:rPr>
                <w:noProof/>
              </w:rPr>
            </w:pPr>
            <w:r>
              <w:rPr>
                <w:noProof/>
              </w:rPr>
              <w:t>Un 1.5. reforma: Civiltiesību un krimināltiesību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8F16B"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B28729" w14:textId="77777777" w:rsidR="00C972CB" w:rsidRDefault="002457F6">
            <w:pPr>
              <w:pStyle w:val="P68B1DB1-Normal5"/>
              <w:jc w:val="center"/>
              <w:rPr>
                <w:noProof/>
              </w:rPr>
            </w:pPr>
            <w:r>
              <w:rPr>
                <w:noProof/>
              </w:rPr>
              <w:t>Civilprocesa ilguma samazināšana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224F"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9188D"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3FA9C5"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0CE85" w14:textId="77777777" w:rsidR="00C972CB" w:rsidRDefault="002457F6">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DFAA25"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F2183"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0570C9" w14:textId="77777777" w:rsidR="00C972CB" w:rsidRDefault="002457F6">
            <w:pPr>
              <w:pStyle w:val="P68B1DB1-Normal5"/>
              <w:spacing w:after="120"/>
              <w:rPr>
                <w:noProof/>
              </w:rPr>
            </w:pPr>
            <w:r>
              <w:rPr>
                <w:noProof/>
              </w:rPr>
              <w:t xml:space="preserve">Samazināt nolēmuma pieņemšanas laiku par 40 % no visām strīdīgu civillietu un komerclietu lietām salīdzinājumā ar 2019. gadu </w:t>
            </w:r>
          </w:p>
        </w:tc>
      </w:tr>
      <w:tr w:rsidR="00C972CB" w14:paraId="2C4C4A5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D2064" w14:textId="77777777" w:rsidR="00C972CB" w:rsidRDefault="002457F6">
            <w:pPr>
              <w:pStyle w:val="P68B1DB1-Normal5"/>
              <w:jc w:val="center"/>
              <w:rPr>
                <w:noProof/>
              </w:rPr>
            </w:pPr>
            <w:r>
              <w:rPr>
                <w:noProof/>
              </w:rPr>
              <w:t>M1C1–46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09124" w14:textId="77777777" w:rsidR="00C972CB" w:rsidRDefault="002457F6">
            <w:pPr>
              <w:pStyle w:val="P68B1DB1-Normal5"/>
              <w:jc w:val="center"/>
              <w:rPr>
                <w:noProof/>
              </w:rPr>
            </w:pPr>
            <w:r>
              <w:rPr>
                <w:noProof/>
              </w:rPr>
              <w:t>Un 1.5. reforma: Civiltiesību un krimināltiesību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CF2D0"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2BDC24" w14:textId="77777777" w:rsidR="00C972CB" w:rsidRDefault="002457F6">
            <w:pPr>
              <w:pStyle w:val="P68B1DB1-Normal5"/>
              <w:jc w:val="center"/>
              <w:rPr>
                <w:noProof/>
              </w:rPr>
            </w:pPr>
            <w:r>
              <w:rPr>
                <w:noProof/>
              </w:rPr>
              <w:t>Kriminālprocesa ilguma samazināšana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A95553"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B41EB"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CBC5F"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366D9" w14:textId="77777777" w:rsidR="00C972CB" w:rsidRDefault="002457F6">
            <w:pPr>
              <w:pStyle w:val="P68B1DB1-Normal5"/>
              <w:jc w:val="center"/>
              <w:rPr>
                <w:noProof/>
              </w:rPr>
            </w:pPr>
            <w:r>
              <w:rPr>
                <w:noProof/>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D609C"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F008FA"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4386" w14:textId="77777777" w:rsidR="00C972CB" w:rsidRDefault="002457F6">
            <w:pPr>
              <w:pStyle w:val="P68B1DB1-Normal5"/>
              <w:spacing w:after="120"/>
              <w:rPr>
                <w:noProof/>
              </w:rPr>
            </w:pPr>
            <w:r>
              <w:rPr>
                <w:noProof/>
              </w:rPr>
              <w:t xml:space="preserve">Samazināt nolēmuma pieņemšanas laiku par 25 % no visiem krimināllietu gadījumiem salīdzinājumā ar 2019. gadu </w:t>
            </w:r>
          </w:p>
        </w:tc>
      </w:tr>
      <w:tr w:rsidR="00C972CB" w14:paraId="54A8C64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BC8B7" w14:textId="77777777" w:rsidR="00C972CB" w:rsidRDefault="002457F6">
            <w:pPr>
              <w:pStyle w:val="P68B1DB1-Normal5"/>
              <w:jc w:val="center"/>
              <w:rPr>
                <w:noProof/>
              </w:rPr>
            </w:pPr>
            <w:r>
              <w:rPr>
                <w:noProof/>
              </w:rPr>
              <w:t>M1C1–47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FCC4D" w14:textId="77777777" w:rsidR="00C972CB" w:rsidRDefault="002457F6">
            <w:pPr>
              <w:pStyle w:val="P68B1DB1-Normal5"/>
              <w:jc w:val="center"/>
              <w:rPr>
                <w:noProof/>
              </w:rPr>
            </w:pPr>
            <w:r>
              <w:rPr>
                <w:noProof/>
              </w:rPr>
              <w:t>Reforma: Civiltiesību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D8C2D"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76AE6" w14:textId="77777777" w:rsidR="00C972CB" w:rsidRDefault="002457F6">
            <w:pPr>
              <w:pStyle w:val="P68B1DB1-Normal5"/>
              <w:jc w:val="center"/>
              <w:rPr>
                <w:noProof/>
              </w:rPr>
            </w:pPr>
            <w:r>
              <w:rPr>
                <w:noProof/>
              </w:rPr>
              <w:t xml:space="preserve">Neizskatīto lietu skaita samazināšana parastajās </w:t>
            </w:r>
            <w:r>
              <w:rPr>
                <w:noProof/>
              </w:rPr>
              <w:t>civiltiesās (pirmā instance)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FCB726"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AEC1E"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112765"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213F23" w14:textId="77777777" w:rsidR="00C972CB" w:rsidRDefault="002457F6">
            <w:pPr>
              <w:pStyle w:val="P68B1DB1-Normal5"/>
              <w:jc w:val="center"/>
              <w:rPr>
                <w:noProof/>
              </w:rPr>
            </w:pPr>
            <w:r>
              <w:rPr>
                <w:noProof/>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FD557"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84A37"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40821" w14:textId="4DBB2A8F" w:rsidR="00C972CB" w:rsidRDefault="002457F6">
            <w:pPr>
              <w:pStyle w:val="P68B1DB1-Normal5"/>
              <w:spacing w:after="120"/>
              <w:rPr>
                <w:noProof/>
              </w:rPr>
            </w:pPr>
            <w:r>
              <w:rPr>
                <w:noProof/>
              </w:rPr>
              <w:t>Par 90 % samazināt to neizskatīto lietu skaitu, kuras bija sāktas laikposmā no 2017. gada 1. janvāra līdz 2022. gada 31. decembrim un kuras 2022. gada 31. decembrī vēl nebija pabei</w:t>
            </w:r>
            <w:r>
              <w:rPr>
                <w:noProof/>
              </w:rPr>
              <w:t xml:space="preserve">gtas (1197786) parastajās civillietu tiesās (pirmās instances tiesās). </w:t>
            </w:r>
          </w:p>
        </w:tc>
      </w:tr>
      <w:tr w:rsidR="00C972CB" w14:paraId="53B3C8E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BDDF" w14:textId="77777777" w:rsidR="00C972CB" w:rsidRDefault="002457F6">
            <w:pPr>
              <w:pStyle w:val="P68B1DB1-Normal5"/>
              <w:jc w:val="center"/>
              <w:rPr>
                <w:noProof/>
              </w:rPr>
            </w:pPr>
            <w:r>
              <w:rPr>
                <w:noProof/>
              </w:rPr>
              <w:t>M1C1–48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036F" w14:textId="77777777" w:rsidR="00C972CB" w:rsidRDefault="002457F6">
            <w:pPr>
              <w:pStyle w:val="P68B1DB1-Normal5"/>
              <w:jc w:val="center"/>
              <w:rPr>
                <w:noProof/>
              </w:rPr>
            </w:pPr>
            <w:r>
              <w:rPr>
                <w:noProof/>
              </w:rPr>
              <w:t>Reforma: Civiltiesību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770A0"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785F8D" w14:textId="77777777" w:rsidR="00C972CB" w:rsidRDefault="002457F6">
            <w:pPr>
              <w:pStyle w:val="P68B1DB1-Normal5"/>
              <w:jc w:val="center"/>
              <w:rPr>
                <w:noProof/>
              </w:rPr>
            </w:pPr>
            <w:r>
              <w:rPr>
                <w:noProof/>
              </w:rPr>
              <w:t>Neizskatīto lietu skaita samazināšana apelācijas tiesā (otrā instance)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F66B41"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7D7DF2"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5584E1"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D78F05" w14:textId="77777777" w:rsidR="00C972CB" w:rsidRDefault="002457F6">
            <w:pPr>
              <w:pStyle w:val="P68B1DB1-Normal5"/>
              <w:jc w:val="center"/>
              <w:rPr>
                <w:noProof/>
              </w:rPr>
            </w:pPr>
            <w:r>
              <w:rPr>
                <w:noProof/>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68024"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BED04D"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9F11D" w14:textId="1C6ED5E8" w:rsidR="00C972CB" w:rsidRDefault="002457F6">
            <w:pPr>
              <w:pStyle w:val="P68B1DB1-Normal5"/>
              <w:spacing w:after="120"/>
              <w:rPr>
                <w:noProof/>
              </w:rPr>
            </w:pPr>
            <w:r>
              <w:rPr>
                <w:noProof/>
              </w:rPr>
              <w:t xml:space="preserve">Par 90 % samazināt to neizskatīto lietu skaitu, kuras bija sāktas laikposmā no 2018. gada 1. janvāra līdz 2022. gada 31. decembrim un kuras 2022. gada 31. decembrī vēl nebija pabeigtas (179306) apelācijas tiesās (otrā instancē). </w:t>
            </w:r>
          </w:p>
        </w:tc>
      </w:tr>
      <w:tr w:rsidR="00C972CB" w14:paraId="0DC211C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EA746" w14:textId="77777777" w:rsidR="00C972CB" w:rsidRDefault="002457F6">
            <w:pPr>
              <w:pStyle w:val="P68B1DB1-Normal5"/>
              <w:jc w:val="center"/>
              <w:rPr>
                <w:noProof/>
              </w:rPr>
            </w:pPr>
            <w:r>
              <w:rPr>
                <w:noProof/>
              </w:rPr>
              <w:t>M1C1–49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3F71B" w14:textId="77777777" w:rsidR="00C972CB" w:rsidRDefault="002457F6">
            <w:pPr>
              <w:pStyle w:val="P68B1DB1-Normal5"/>
              <w:jc w:val="center"/>
              <w:rPr>
                <w:noProof/>
              </w:rPr>
            </w:pPr>
            <w:r>
              <w:rPr>
                <w:noProof/>
              </w:rPr>
              <w:t xml:space="preserve">Ieguldījums 1.8: </w:t>
            </w:r>
            <w:r>
              <w:rPr>
                <w:noProof/>
              </w:rPr>
              <w:t>Administratīvo tiesu darbā pieņemšanas procedūras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B9603"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6A458" w14:textId="3CBA1AA0" w:rsidR="00C972CB" w:rsidRDefault="002457F6">
            <w:pPr>
              <w:pStyle w:val="P68B1DB1-Normal5"/>
              <w:jc w:val="center"/>
              <w:rPr>
                <w:noProof/>
              </w:rPr>
            </w:pPr>
            <w:r>
              <w:rPr>
                <w:noProof/>
              </w:rPr>
              <w:t>Administratīvo reģionālo tiesu neizskatīto lietu skaita samazināšana (pirmā instance)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8B80BC"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920C"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DC9D2"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247A0C" w14:textId="77777777" w:rsidR="00C972CB" w:rsidRDefault="002457F6">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6AE278"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7EF3B4"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581FA0" w14:textId="1A10285D" w:rsidR="00C972CB" w:rsidRDefault="002457F6">
            <w:pPr>
              <w:pStyle w:val="P68B1DB1-Normal5"/>
              <w:spacing w:after="120"/>
              <w:rPr>
                <w:noProof/>
              </w:rPr>
            </w:pPr>
            <w:r>
              <w:rPr>
                <w:noProof/>
              </w:rPr>
              <w:t xml:space="preserve">Par 70 % samazināt neizskatīto lietu skaitu (109029) 2019. gadā </w:t>
            </w:r>
            <w:r>
              <w:rPr>
                <w:noProof/>
              </w:rPr>
              <w:t>Administratīvajās reģionālajās tiesās (pirmās instances administratīvajā tiesā).</w:t>
            </w:r>
          </w:p>
        </w:tc>
      </w:tr>
      <w:tr w:rsidR="00C972CB" w14:paraId="60C7F04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317C53" w14:textId="77777777" w:rsidR="00C972CB" w:rsidRDefault="002457F6">
            <w:pPr>
              <w:pStyle w:val="P68B1DB1-Normal5"/>
              <w:jc w:val="center"/>
              <w:rPr>
                <w:noProof/>
              </w:rPr>
            </w:pPr>
            <w:r>
              <w:rPr>
                <w:noProof/>
              </w:rPr>
              <w:t>M1C1–50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7B655A" w14:textId="77777777" w:rsidR="00C972CB" w:rsidRDefault="002457F6">
            <w:pPr>
              <w:pStyle w:val="P68B1DB1-Normal5"/>
              <w:jc w:val="center"/>
              <w:rPr>
                <w:noProof/>
              </w:rPr>
            </w:pPr>
            <w:r>
              <w:rPr>
                <w:noProof/>
              </w:rPr>
              <w:t>Ieguldījums 1.8: Administratīvo tiesu darbā pieņemšanas procedūras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C086F"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C62E4" w14:textId="77777777" w:rsidR="00C972CB" w:rsidRDefault="002457F6">
            <w:pPr>
              <w:pStyle w:val="P68B1DB1-Normal5"/>
              <w:jc w:val="center"/>
              <w:rPr>
                <w:noProof/>
              </w:rPr>
            </w:pPr>
            <w:r>
              <w:rPr>
                <w:noProof/>
              </w:rPr>
              <w:t>Neizskatīto lietu skaita samazināšana Valsts padomē</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A9320"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B2BB5"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8ACFA"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0ADB7" w14:textId="77777777" w:rsidR="00C972CB" w:rsidRDefault="002457F6">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25167B"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DC2DB8"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2DF29" w14:textId="275AF66A" w:rsidR="00C972CB" w:rsidRDefault="002457F6">
            <w:pPr>
              <w:pStyle w:val="P68B1DB1-Normal5"/>
              <w:spacing w:after="120"/>
              <w:rPr>
                <w:noProof/>
              </w:rPr>
            </w:pPr>
            <w:r>
              <w:rPr>
                <w:noProof/>
              </w:rPr>
              <w:t>Par 70 % samazināt neizskatīto lietu skaitu (24010) Valsts padomē (otrajā instancē).</w:t>
            </w:r>
          </w:p>
        </w:tc>
      </w:tr>
      <w:tr w:rsidR="00C972CB" w14:paraId="79CD914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599919" w14:textId="77777777" w:rsidR="00C972CB" w:rsidRDefault="002457F6">
            <w:pPr>
              <w:pStyle w:val="P68B1DB1-Normal5"/>
              <w:jc w:val="center"/>
              <w:rPr>
                <w:noProof/>
              </w:rPr>
            </w:pPr>
            <w:r>
              <w:rPr>
                <w:noProof/>
              </w:rPr>
              <w:t>M1C1–51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354F6"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EF2507"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C5835" w14:textId="77777777" w:rsidR="00C972CB" w:rsidRDefault="002457F6">
            <w:pPr>
              <w:pStyle w:val="P68B1DB1-Normal5"/>
              <w:jc w:val="center"/>
              <w:rPr>
                <w:noProof/>
              </w:rPr>
            </w:pPr>
            <w:r>
              <w:rPr>
                <w:noProof/>
              </w:rPr>
              <w:t>Stājas spēkā primārie tiesību akti par Itālijas atveseļošanas un noturības plāna pārvaldību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0BAD9" w14:textId="77777777" w:rsidR="00C972CB" w:rsidRDefault="002457F6">
            <w:pPr>
              <w:pStyle w:val="P68B1DB1-Normal5"/>
              <w:jc w:val="center"/>
              <w:rPr>
                <w:noProof/>
              </w:rPr>
            </w:pPr>
            <w:r>
              <w:rPr>
                <w:noProof/>
              </w:rPr>
              <w:t xml:space="preserve">Likuma </w:t>
            </w:r>
            <w:r>
              <w:rPr>
                <w:noProof/>
              </w:rPr>
              <w:t>norma, kas norāda uz likuma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8D0F9E"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9CF2BF"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1954C4"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D5B2B4"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357284"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70499" w14:textId="77777777" w:rsidR="00C972CB" w:rsidRDefault="002457F6">
            <w:pPr>
              <w:pStyle w:val="P68B1DB1-Normal5"/>
              <w:spacing w:after="120"/>
              <w:rPr>
                <w:noProof/>
              </w:rPr>
            </w:pPr>
            <w:r>
              <w:rPr>
                <w:noProof/>
              </w:rPr>
              <w:t>Primārie tiesību akti attiecas vismaz uz:</w:t>
            </w:r>
          </w:p>
          <w:p w14:paraId="4FF848D5" w14:textId="77777777" w:rsidR="00C972CB" w:rsidRDefault="002457F6">
            <w:pPr>
              <w:pStyle w:val="P68B1DB1-Normal5"/>
              <w:spacing w:after="120"/>
              <w:rPr>
                <w:noProof/>
              </w:rPr>
            </w:pPr>
            <w:r>
              <w:rPr>
                <w:noProof/>
              </w:rPr>
              <w:t>Itālijas atveseļošanas un noturības plāna projektu koordinēšana un uzraudzība centrālā līmenī;</w:t>
            </w:r>
          </w:p>
          <w:p w14:paraId="030EF8E9" w14:textId="77777777" w:rsidR="00C972CB" w:rsidRDefault="002457F6">
            <w:pPr>
              <w:pStyle w:val="P68B1DB1-Normal5"/>
              <w:spacing w:after="120"/>
              <w:rPr>
                <w:noProof/>
              </w:rPr>
            </w:pPr>
            <w:r>
              <w:rPr>
                <w:noProof/>
              </w:rPr>
              <w:t>Kompetenču definēšana un nodalīša</w:t>
            </w:r>
            <w:r>
              <w:rPr>
                <w:noProof/>
              </w:rPr>
              <w:t>na un attiecīgo pilnvaru apstiprināšana dažādajām struktūrām un administrācijām, kas iesaistītas Itālijas atveseļošanas un noturības plāna koordinēšanā, uzraudzībā un īstenošanā;</w:t>
            </w:r>
          </w:p>
          <w:p w14:paraId="706FBAD7" w14:textId="77777777" w:rsidR="00C972CB" w:rsidRDefault="002457F6">
            <w:pPr>
              <w:pStyle w:val="P68B1DB1-Normal5"/>
              <w:spacing w:after="120"/>
              <w:rPr>
                <w:noProof/>
              </w:rPr>
            </w:pPr>
            <w:r>
              <w:rPr>
                <w:noProof/>
              </w:rPr>
              <w:t>Sistēmas definēšana agrīnai īstenošanas problēmu atklāšanai;</w:t>
            </w:r>
          </w:p>
          <w:p w14:paraId="095FACCB" w14:textId="77777777" w:rsidR="00C972CB" w:rsidRDefault="002457F6">
            <w:pPr>
              <w:pStyle w:val="P68B1DB1-Normal5"/>
              <w:spacing w:after="120"/>
              <w:rPr>
                <w:noProof/>
              </w:rPr>
            </w:pPr>
            <w:r>
              <w:rPr>
                <w:noProof/>
              </w:rPr>
              <w:t>Izpildes mehānis</w:t>
            </w:r>
            <w:r>
              <w:rPr>
                <w:noProof/>
              </w:rPr>
              <w:t>ma ex ante definīcija, lai atrisinātu īstenošanas problēmas un izvairītos no kavējumiem, jo īpaši attiecībā uz dažādiem pārvaldes līmeņiem;</w:t>
            </w:r>
          </w:p>
          <w:p w14:paraId="36749454" w14:textId="77777777" w:rsidR="00C972CB" w:rsidRDefault="002457F6">
            <w:pPr>
              <w:pStyle w:val="P68B1DB1-Normal5"/>
              <w:spacing w:after="120"/>
              <w:rPr>
                <w:noProof/>
              </w:rPr>
            </w:pPr>
            <w:r>
              <w:rPr>
                <w:noProof/>
              </w:rPr>
              <w:t>To darbinieku definīcija (skaits un speciālās zināšanas), kas iesaistīti Itālijas atveseļošanas un noturības plāna k</w:t>
            </w:r>
            <w:r>
              <w:rPr>
                <w:noProof/>
              </w:rPr>
              <w:t>oordinēšanā, uzraudzībā un īstenošanā iesaistītajās administrācijās;</w:t>
            </w:r>
          </w:p>
          <w:p w14:paraId="316B3747" w14:textId="77777777" w:rsidR="00C972CB" w:rsidRDefault="002457F6">
            <w:pPr>
              <w:pStyle w:val="P68B1DB1-Normal5"/>
              <w:spacing w:after="120"/>
              <w:rPr>
                <w:noProof/>
              </w:rPr>
            </w:pPr>
            <w:r>
              <w:rPr>
                <w:noProof/>
              </w:rPr>
              <w:t>Definēt tehnisko palīdzību, ko sniedz Itālijas atveseļošanas un noturības plāna īstenošanā iesaistītajām administrācijām, jo īpaši vietējā līmenī, nodrošinot administratīvās spējas veidoš</w:t>
            </w:r>
            <w:r>
              <w:rPr>
                <w:noProof/>
              </w:rPr>
              <w:t>anu valsts pārvaldē;</w:t>
            </w:r>
          </w:p>
          <w:p w14:paraId="793473AF" w14:textId="77777777" w:rsidR="00C972CB" w:rsidRDefault="002457F6">
            <w:pPr>
              <w:pStyle w:val="P68B1DB1-Normal5"/>
              <w:spacing w:after="120"/>
              <w:rPr>
                <w:noProof/>
              </w:rPr>
            </w:pPr>
            <w:r>
              <w:rPr>
                <w:noProof/>
              </w:rPr>
              <w:t>“Paātrinātās” procedūras Itālijas atveseļošanas un noturības plāna īstenošanai un savlaicīgai līdzekļu apguvei;</w:t>
            </w:r>
          </w:p>
          <w:p w14:paraId="6C46F90E" w14:textId="77777777" w:rsidR="00C972CB" w:rsidRDefault="002457F6">
            <w:pPr>
              <w:pStyle w:val="P68B1DB1-Normal5"/>
              <w:spacing w:after="120"/>
              <w:rPr>
                <w:noProof/>
              </w:rPr>
            </w:pPr>
            <w:r>
              <w:rPr>
                <w:noProof/>
              </w:rPr>
              <w:t>8) Itālijas atveseļošanas un noturības plāna revīzijas un kontroles organizācija un procedūras.</w:t>
            </w:r>
          </w:p>
        </w:tc>
      </w:tr>
      <w:tr w:rsidR="00C972CB" w14:paraId="7EF912A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4B7974" w14:textId="77777777" w:rsidR="00C972CB" w:rsidRDefault="002457F6">
            <w:pPr>
              <w:pStyle w:val="P68B1DB1-Normal5"/>
              <w:jc w:val="center"/>
              <w:rPr>
                <w:noProof/>
              </w:rPr>
            </w:pPr>
            <w:r>
              <w:rPr>
                <w:noProof/>
              </w:rPr>
              <w:t>M1C1–52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7F528D" w14:textId="77777777" w:rsidR="00C972CB" w:rsidRDefault="002457F6">
            <w:pPr>
              <w:pStyle w:val="P68B1DB1-Normal5"/>
              <w:jc w:val="center"/>
              <w:rPr>
                <w:noProof/>
              </w:rPr>
            </w:pPr>
            <w:r>
              <w:rPr>
                <w:noProof/>
              </w:rPr>
              <w:t xml:space="preserve">Reforma: Valsts </w:t>
            </w:r>
            <w:r>
              <w:rPr>
                <w:noProof/>
              </w:rPr>
              <w:t>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8EA4EA"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99FF8" w14:textId="77777777" w:rsidR="00C972CB" w:rsidRDefault="002457F6">
            <w:pPr>
              <w:pStyle w:val="P68B1DB1-Normal5"/>
              <w:jc w:val="center"/>
              <w:rPr>
                <w:noProof/>
              </w:rPr>
            </w:pPr>
            <w:r>
              <w:rPr>
                <w:noProof/>
              </w:rPr>
              <w:t>Stājas spēkā primārie tiesību akti par administratīvo procedūru vienkāršošanu Itālijas atveseļošanas un noturības plāna īstenošanai.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5AA36A" w14:textId="77777777" w:rsidR="00C972CB" w:rsidRDefault="002457F6">
            <w:pPr>
              <w:pStyle w:val="P68B1DB1-Normal5"/>
              <w:jc w:val="center"/>
              <w:rPr>
                <w:noProof/>
              </w:rPr>
            </w:pPr>
            <w:r>
              <w:rPr>
                <w:noProof/>
              </w:rPr>
              <w:t>Likuma norma, kas norāda uz likuma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C0DCD"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A215A"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E5628"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C32EC"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0A3AE8"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82D8CE" w14:textId="77777777" w:rsidR="00C972CB" w:rsidRDefault="002457F6">
            <w:pPr>
              <w:pStyle w:val="P68B1DB1-Normal5"/>
              <w:spacing w:after="120"/>
              <w:rPr>
                <w:noProof/>
              </w:rPr>
            </w:pPr>
            <w:r>
              <w:rPr>
                <w:noProof/>
              </w:rPr>
              <w:t>Šie pasākumi ir šādi:</w:t>
            </w:r>
          </w:p>
          <w:p w14:paraId="37C440DC" w14:textId="1FA8C72A" w:rsidR="00C972CB" w:rsidRDefault="002457F6">
            <w:pPr>
              <w:pStyle w:val="P68B1DB1-Normal5"/>
              <w:spacing w:after="120"/>
              <w:rPr>
                <w:noProof/>
              </w:rPr>
            </w:pPr>
            <w:r>
              <w:rPr>
                <w:noProof/>
              </w:rPr>
              <w:t>Novērst būtiskas vājās vietas, jo īpaši saistībā ar valsts un reģionālo ietekmes uz vidi novērtējumu, jaunu atkritumu pārstrādes iekārtu apstiprināšanu, atjaunojamo energoresursu atļauju piešķiršanas procedūrām un tām, kas vajad</w:t>
            </w:r>
            <w:r>
              <w:rPr>
                <w:noProof/>
              </w:rPr>
              <w:t>zīgas, lai panāktu ēku energoefektivitāti (tā dēvētās Super Bonus), un pilsētvides atjaunošanu. Īpašas darbības tiek veltītas “Conferenza di servizi” procedūru vienkāršošanai (oficiāla vienošanās starp divām vai vairākām valsts pārvaldes iestādēm.</w:t>
            </w:r>
          </w:p>
        </w:tc>
      </w:tr>
      <w:tr w:rsidR="00C972CB" w14:paraId="6F9FA6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DB5F6" w14:textId="77777777" w:rsidR="00C972CB" w:rsidRDefault="002457F6">
            <w:pPr>
              <w:pStyle w:val="P68B1DB1-Normal5"/>
              <w:jc w:val="center"/>
              <w:rPr>
                <w:noProof/>
              </w:rPr>
            </w:pPr>
            <w:r>
              <w:rPr>
                <w:noProof/>
              </w:rPr>
              <w:t>M1C1–53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A6CD2" w14:textId="77777777" w:rsidR="00C972CB" w:rsidRDefault="002457F6">
            <w:pPr>
              <w:pStyle w:val="P68B1DB1-Normal5"/>
              <w:jc w:val="center"/>
              <w:rPr>
                <w:noProof/>
              </w:rPr>
            </w:pPr>
            <w:r>
              <w:rPr>
                <w:noProof/>
              </w:rPr>
              <w:t>Ieguldījums 1.9: Sniegt tehnisko palīdzību un stiprināt spēju veidošanu Itālijas atveseļošanas un noturības plāna īstenošanai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D6E95"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8301C" w14:textId="77777777" w:rsidR="00C972CB" w:rsidRDefault="002457F6">
            <w:pPr>
              <w:pStyle w:val="P68B1DB1-Normal5"/>
              <w:jc w:val="center"/>
              <w:rPr>
                <w:noProof/>
              </w:rPr>
            </w:pPr>
            <w:r>
              <w:rPr>
                <w:noProof/>
              </w:rPr>
              <w:t xml:space="preserve">Primāro tiesību aktu stāšanās spēkā, lai sniegtu tehnisko palīdzību un stiprinātu spēju veidošanu Itālijas </w:t>
            </w:r>
            <w:r>
              <w:rPr>
                <w:noProof/>
              </w:rPr>
              <w:t>atveseļošanas un noturības plāna īstenošanai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A5DD0" w14:textId="77777777" w:rsidR="00C972CB" w:rsidRDefault="002457F6">
            <w:pPr>
              <w:pStyle w:val="P68B1DB1-Normal5"/>
              <w:jc w:val="center"/>
              <w:rPr>
                <w:noProof/>
              </w:rPr>
            </w:pPr>
            <w:r>
              <w:rPr>
                <w:noProof/>
              </w:rPr>
              <w:t>Likuma norma, kas norāda uz likuma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1DE4E1"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E2704B"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FABDF1"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5B871"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91A47C"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0164A" w14:textId="77777777" w:rsidR="00C972CB" w:rsidRDefault="002457F6">
            <w:pPr>
              <w:pStyle w:val="P68B1DB1-Normal5"/>
              <w:spacing w:after="120"/>
              <w:rPr>
                <w:noProof/>
              </w:rPr>
            </w:pPr>
            <w:r>
              <w:rPr>
                <w:noProof/>
              </w:rPr>
              <w:t>Pasākumi ietver noteikumu, kas ļauj uz laiku pieņemt darbā:</w:t>
            </w:r>
          </w:p>
          <w:p w14:paraId="6B440EA4" w14:textId="4E1FF529" w:rsidR="00C972CB" w:rsidRDefault="002457F6">
            <w:pPr>
              <w:pStyle w:val="P68B1DB1-Normal5"/>
              <w:spacing w:after="120"/>
              <w:rPr>
                <w:noProof/>
              </w:rPr>
            </w:pPr>
            <w:r>
              <w:rPr>
                <w:noProof/>
              </w:rPr>
              <w:t>2800 tehniskie rādītāji, lai stiprinātu dienvidu valsts pā</w:t>
            </w:r>
            <w:r>
              <w:rPr>
                <w:noProof/>
              </w:rPr>
              <w:t>rvaldes iestādes, ko maksā no valsts budžeta;</w:t>
            </w:r>
          </w:p>
          <w:p w14:paraId="2CF289DD" w14:textId="77777777" w:rsidR="00C972CB" w:rsidRDefault="002457F6">
            <w:pPr>
              <w:pStyle w:val="P68B1DB1-Normal5"/>
              <w:spacing w:after="120"/>
              <w:rPr>
                <w:noProof/>
              </w:rPr>
            </w:pPr>
            <w:r>
              <w:rPr>
                <w:noProof/>
              </w:rPr>
              <w:t>II) 1000 ekspertu grupa, ko paredzēts izvietot uz trim gadiem, lai palīdzētu administrācijām pārvaldīt jaunās tehniskās palīdzības sniegšanas procedūras.</w:t>
            </w:r>
          </w:p>
        </w:tc>
      </w:tr>
      <w:tr w:rsidR="00C972CB" w14:paraId="3D57D1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C32D5A" w14:textId="77777777" w:rsidR="00C972CB" w:rsidRDefault="002457F6">
            <w:pPr>
              <w:pStyle w:val="P68B1DB1-Normal5"/>
              <w:jc w:val="center"/>
              <w:rPr>
                <w:noProof/>
              </w:rPr>
            </w:pPr>
            <w:r>
              <w:rPr>
                <w:noProof/>
              </w:rPr>
              <w:t>M1C1–54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AFC006" w14:textId="77777777" w:rsidR="00C972CB" w:rsidRDefault="002457F6">
            <w:pPr>
              <w:pStyle w:val="P68B1DB1-Normal5"/>
              <w:jc w:val="center"/>
              <w:rPr>
                <w:noProof/>
              </w:rPr>
            </w:pPr>
            <w:r>
              <w:rPr>
                <w:noProof/>
              </w:rPr>
              <w:t xml:space="preserve">Ieguldījums 1.9: Sniegt tehnisko palīdzību un </w:t>
            </w:r>
            <w:r>
              <w:rPr>
                <w:noProof/>
              </w:rPr>
              <w:t>stiprināt spēju veidošanu Itālijas atveseļošanas un noturības plāna īstenošanai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64FFD"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178462" w14:textId="77777777" w:rsidR="00C972CB" w:rsidRDefault="002457F6">
            <w:pPr>
              <w:pStyle w:val="P68B1DB1-Normal5"/>
              <w:jc w:val="center"/>
              <w:rPr>
                <w:noProof/>
              </w:rPr>
            </w:pPr>
            <w:r>
              <w:rPr>
                <w:noProof/>
              </w:rPr>
              <w:t>Pabeigta ekspertu pieņemšana darbā Itālijas atveseļošanas un noturības plāna īstenošanai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3E9DE2"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BD1B9"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99240"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C9EC1" w14:textId="77777777" w:rsidR="00C972CB" w:rsidRDefault="002457F6">
            <w:pPr>
              <w:pStyle w:val="P68B1DB1-Normal5"/>
              <w:jc w:val="center"/>
              <w:rPr>
                <w:noProof/>
              </w:rPr>
            </w:pPr>
            <w:r>
              <w:rPr>
                <w:noProof/>
              </w:rPr>
              <w:t>1 000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3358B"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A9F0C3"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62575" w14:textId="77777777" w:rsidR="00C972CB" w:rsidRDefault="002457F6">
            <w:pPr>
              <w:pStyle w:val="P68B1DB1-Normal5"/>
              <w:spacing w:after="120"/>
              <w:rPr>
                <w:noProof/>
              </w:rPr>
            </w:pPr>
            <w:r>
              <w:rPr>
                <w:noProof/>
              </w:rPr>
              <w:t xml:space="preserve">Pabeigt darbā pieņemšanas procedūras 1000 </w:t>
            </w:r>
            <w:r>
              <w:rPr>
                <w:noProof/>
              </w:rPr>
              <w:t>ekspertu kopumam, ko paredzēts nosūtīt uz trim gadiem, lai palīdzētu administrācijām pārvaldīt jaunās procedūras tehniskās palīdzības sniegšanai.</w:t>
            </w:r>
          </w:p>
        </w:tc>
      </w:tr>
      <w:tr w:rsidR="00C972CB" w14:paraId="13E97EE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060C21" w14:textId="77777777" w:rsidR="00C972CB" w:rsidRDefault="002457F6">
            <w:pPr>
              <w:pStyle w:val="P68B1DB1-Normal5"/>
              <w:jc w:val="center"/>
              <w:rPr>
                <w:noProof/>
              </w:rPr>
            </w:pPr>
            <w:r>
              <w:rPr>
                <w:noProof/>
              </w:rPr>
              <w:t>M1C1–55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0C49EC"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7CA6FF"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1F4A52" w14:textId="77777777" w:rsidR="00C972CB" w:rsidRDefault="002457F6">
            <w:pPr>
              <w:pStyle w:val="P68B1DB1-Normal5"/>
              <w:jc w:val="center"/>
              <w:rPr>
                <w:noProof/>
              </w:rPr>
            </w:pPr>
            <w:r>
              <w:rPr>
                <w:noProof/>
              </w:rPr>
              <w:t xml:space="preserve">Itālijas atveseļošanas un noturības plānam </w:t>
            </w:r>
            <w:r>
              <w:rPr>
                <w:noProof/>
              </w:rPr>
              <w:t>piemērotās metodikas attiecināšana arī uz valsts budžetu, lai palielinātu investīciju apguvi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7302C7" w14:textId="77777777" w:rsidR="00C972CB" w:rsidRDefault="002457F6">
            <w:pPr>
              <w:pStyle w:val="P68B1DB1-Normal5"/>
              <w:jc w:val="center"/>
              <w:rPr>
                <w:noProof/>
              </w:rPr>
            </w:pPr>
            <w:r>
              <w:rPr>
                <w:noProof/>
              </w:rPr>
              <w:t>Likuma norma, kas norāda uz metodikas paplašināšanas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E8812"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71D70"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1381D"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295FD"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0E281"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E2F4D" w14:textId="4E8B3D0E" w:rsidR="00C972CB" w:rsidRDefault="002457F6">
            <w:pPr>
              <w:pStyle w:val="P68B1DB1-Normal5"/>
              <w:spacing w:after="120"/>
              <w:rPr>
                <w:noProof/>
              </w:rPr>
            </w:pPr>
            <w:r>
              <w:rPr>
                <w:noProof/>
              </w:rPr>
              <w:t>Izveidot vienkāršotu atskaites punktu un mērķrādītāj</w:t>
            </w:r>
            <w:r>
              <w:rPr>
                <w:noProof/>
              </w:rPr>
              <w:t>u sistēmu, kas līdzīga ANM, papildu investīciju fonda projektu plānošanai, izpildei un finansēšanai (30,5 miljardi EUR).</w:t>
            </w:r>
          </w:p>
        </w:tc>
      </w:tr>
      <w:tr w:rsidR="00C972CB" w14:paraId="6D0096A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64D43" w14:textId="77777777" w:rsidR="00C972CB" w:rsidRDefault="002457F6">
            <w:pPr>
              <w:pStyle w:val="P68B1DB1-Normal5"/>
              <w:jc w:val="center"/>
              <w:rPr>
                <w:noProof/>
              </w:rPr>
            </w:pPr>
            <w:r>
              <w:rPr>
                <w:noProof/>
              </w:rPr>
              <w:t>M1C1–56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F1262"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0E3A3"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99BA3B" w14:textId="77777777" w:rsidR="00C972CB" w:rsidRDefault="002457F6">
            <w:pPr>
              <w:pStyle w:val="P68B1DB1-Normal5"/>
              <w:jc w:val="center"/>
              <w:rPr>
                <w:noProof/>
              </w:rPr>
            </w:pPr>
            <w:r>
              <w:rPr>
                <w:noProof/>
              </w:rPr>
              <w:t>Valsts nodarbinātības reformu veicinošo tiesību aktu stāšanās spēkā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A575A" w14:textId="77777777" w:rsidR="00C972CB" w:rsidRDefault="002457F6">
            <w:pPr>
              <w:pStyle w:val="P68B1DB1-Normal5"/>
              <w:jc w:val="center"/>
              <w:rPr>
                <w:noProof/>
              </w:rPr>
            </w:pPr>
            <w:r>
              <w:rPr>
                <w:noProof/>
              </w:rPr>
              <w:t>Likuma</w:t>
            </w:r>
            <w:r>
              <w:rPr>
                <w:noProof/>
              </w:rPr>
              <w:t xml:space="preserve"> norma, kas norāda uz likuma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60371"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FEE788"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5324E"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7DBBD"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65AFD0"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68358" w14:textId="77777777" w:rsidR="00C972CB" w:rsidRDefault="002457F6">
            <w:pPr>
              <w:pStyle w:val="P68B1DB1-Normal5"/>
              <w:spacing w:after="120"/>
              <w:rPr>
                <w:noProof/>
              </w:rPr>
            </w:pPr>
            <w:r>
              <w:rPr>
                <w:noProof/>
              </w:rPr>
              <w:t>Pilnvarojošie tiesību akti ietver šādus pasākumus:</w:t>
            </w:r>
          </w:p>
          <w:p w14:paraId="7DB9BD6D" w14:textId="77777777" w:rsidR="00C972CB" w:rsidRDefault="002457F6">
            <w:pPr>
              <w:pStyle w:val="P68B1DB1-Normal5"/>
              <w:spacing w:after="120"/>
              <w:rPr>
                <w:noProof/>
              </w:rPr>
            </w:pPr>
            <w:r>
              <w:rPr>
                <w:noProof/>
              </w:rPr>
              <w:t>noteikt valsts sektoram specifiskus amatu profilus, lai piesaistītu vajadzīgās kompetences un prasmes;</w:t>
            </w:r>
          </w:p>
          <w:p w14:paraId="59A50578" w14:textId="77777777" w:rsidR="00C972CB" w:rsidRDefault="002457F6">
            <w:pPr>
              <w:pStyle w:val="P68B1DB1-Normal5"/>
              <w:spacing w:after="120"/>
              <w:rPr>
                <w:noProof/>
              </w:rPr>
            </w:pPr>
            <w:r>
              <w:rPr>
                <w:noProof/>
              </w:rPr>
              <w:t xml:space="preserve">vienotas darbā </w:t>
            </w:r>
            <w:r>
              <w:rPr>
                <w:noProof/>
              </w:rPr>
              <w:t>pieņemšanas platformas izveide, lai centralizētu publiskā sektora darbā pieņemšanas procedūras visām centrālajām valsts pārvaldes iestādēm, apņemoties paplašināt platformas izmantošanu, attiecinot to arī uz vietējām pārvaldes iestādēm;</w:t>
            </w:r>
          </w:p>
          <w:p w14:paraId="2ACFA4A3" w14:textId="5290A996" w:rsidR="00C972CB" w:rsidRDefault="002457F6">
            <w:pPr>
              <w:pStyle w:val="P68B1DB1-Normal5"/>
              <w:spacing w:after="120"/>
              <w:rPr>
                <w:noProof/>
              </w:rPr>
            </w:pPr>
            <w:r>
              <w:rPr>
                <w:noProof/>
              </w:rPr>
              <w:t>darbā pieņemšanas pr</w:t>
            </w:r>
            <w:r>
              <w:rPr>
                <w:noProof/>
              </w:rPr>
              <w:t>ocesa reforma, lai: pāriet no sistēmas, kas balstīta tikai uz zināšanām, uz sistēmu, kas galvenokārt balstīta uz kompetencēm un piemērotām spējām; novērtēt kompetences, lai pildītu civildienesta ierēdņus; III) nošķirt darbā pieņemšanas procesus starp pieņe</w:t>
            </w:r>
            <w:r>
              <w:rPr>
                <w:noProof/>
              </w:rPr>
              <w:t>mšanu darbā sākuma līmenī, kas balstās tikai uz kompetenci, un specializētu profilu pieņemšanu darbā, kam būtu jāapvieno kompetences ar attiecīgu darba pieredzi un kas ļautu piekļūt karjerai augstākā līmenī. Valsts pārvaldes ministrija nodrošina jaunā proc</w:t>
            </w:r>
            <w:r>
              <w:rPr>
                <w:noProof/>
              </w:rPr>
              <w:t>esa konsekventu īstenošanu visās pārvaldes iestādēs;</w:t>
            </w:r>
          </w:p>
          <w:p w14:paraId="7AEBC519" w14:textId="77777777" w:rsidR="00C972CB" w:rsidRDefault="002457F6">
            <w:pPr>
              <w:pStyle w:val="P68B1DB1-Normal5"/>
              <w:spacing w:after="120"/>
              <w:rPr>
                <w:noProof/>
              </w:rPr>
            </w:pPr>
            <w:r>
              <w:rPr>
                <w:noProof/>
              </w:rPr>
              <w:t>vecākā civildienesta reforma, lai vienādotu iecelšanas procedūras valsts pārvaldē, nosakot amatu profilus un to snieguma novērtējumu;</w:t>
            </w:r>
          </w:p>
          <w:p w14:paraId="41F53FA7" w14:textId="77777777" w:rsidR="00C972CB" w:rsidRDefault="002457F6">
            <w:pPr>
              <w:pStyle w:val="P68B1DB1-Normal5"/>
              <w:spacing w:after="120"/>
              <w:rPr>
                <w:noProof/>
              </w:rPr>
            </w:pPr>
            <w:r>
              <w:rPr>
                <w:noProof/>
              </w:rPr>
              <w:t>stiprināt saikni starp mūžizglītību un darba ņēmēju apmācības iespējā</w:t>
            </w:r>
            <w:r>
              <w:rPr>
                <w:noProof/>
              </w:rPr>
              <w:t>m un līdzdalības stimuliem, piemēram, paredzot atalgošanas mehānismus vai īpašas karjeras iespējas, īpašu uzmanību pievēršot divējādās pārkārtošanās procesam;</w:t>
            </w:r>
          </w:p>
          <w:p w14:paraId="7897AEF9" w14:textId="77777777" w:rsidR="00C972CB" w:rsidRDefault="002457F6">
            <w:pPr>
              <w:pStyle w:val="P68B1DB1-Normal5"/>
              <w:spacing w:after="120"/>
              <w:rPr>
                <w:noProof/>
              </w:rPr>
            </w:pPr>
            <w:r>
              <w:rPr>
                <w:noProof/>
              </w:rPr>
              <w:t>noteikt vai atjaunināt valsts pārvaldes ētikas principus, izmantojot skaidrus noteikumus, rīcības</w:t>
            </w:r>
            <w:r>
              <w:rPr>
                <w:noProof/>
              </w:rPr>
              <w:t xml:space="preserve"> kodeksus un apmācības moduļus par šo tematu;</w:t>
            </w:r>
          </w:p>
          <w:p w14:paraId="6E208755" w14:textId="77777777" w:rsidR="00C972CB" w:rsidRDefault="002457F6">
            <w:pPr>
              <w:pStyle w:val="P68B1DB1-Normal5"/>
              <w:spacing w:after="120"/>
              <w:rPr>
                <w:noProof/>
              </w:rPr>
            </w:pPr>
            <w:r>
              <w:rPr>
                <w:noProof/>
              </w:rPr>
              <w:t>stiprināt apņemšanos nodrošināt dzimumu līdzsvaru;</w:t>
            </w:r>
          </w:p>
          <w:p w14:paraId="70F4B1E6" w14:textId="77777777" w:rsidR="00C972CB" w:rsidRDefault="002457F6">
            <w:pPr>
              <w:pStyle w:val="P68B1DB1-Normal5"/>
              <w:spacing w:after="120"/>
              <w:rPr>
                <w:noProof/>
              </w:rPr>
            </w:pPr>
            <w:r>
              <w:rPr>
                <w:noProof/>
              </w:rPr>
              <w:t>— pārskatīt vertikālās mobilitātes tiesisko regulējumu, reformēt karjeras ceļus, lai izveidotu un piekļūtu vidējā līmeņa vadības amatiem (“quadri”) un piekļūtu</w:t>
            </w:r>
            <w:r>
              <w:rPr>
                <w:noProof/>
              </w:rPr>
              <w:t xml:space="preserve"> augstākā līmeņa civilajiem amatiem (“dirigenti di prima e seconda fascia”) no administrācijas. Tas ietver snieguma izvērtēšanas sistēmas reformu un saiknes stiprināšanu starp karjeras attīstību un snieguma izvērtēšanu;</w:t>
            </w:r>
          </w:p>
          <w:p w14:paraId="7659C5A7" w14:textId="77777777" w:rsidR="00C972CB" w:rsidRDefault="002457F6">
            <w:pPr>
              <w:pStyle w:val="P68B1DB1-Normal5"/>
              <w:rPr>
                <w:noProof/>
              </w:rPr>
            </w:pPr>
            <w:r>
              <w:rPr>
                <w:noProof/>
              </w:rPr>
              <w:t>pārskatīt horizontālās mobilitātes t</w:t>
            </w:r>
            <w:r>
              <w:rPr>
                <w:noProof/>
              </w:rPr>
              <w:t>iesisko regulējumu, lai valsts pārvaldes iestādēs izveidotu efektīvu darba tirgu, tostarp a) izveidot pārredzamu vienotu reklāmas sistēmu visām vakancēm centrālajās un vietējās pārvaldes iestādēs, b) iespēju pieteikties jebkurai pieejamai amata vietai jebk</w:t>
            </w:r>
            <w:r>
              <w:rPr>
                <w:noProof/>
              </w:rPr>
              <w:t>urā vietā, c) atcelt atļauju mobilitātei no izcelsmes valsts pārvaldes un d) ieviest būtiskus ierobežojumus alternatīvu mobilitātes līdzekļu izmantošanai, kas neizraisa pārcelšanu (t. i., “comandi” un “distacchi”), lai padarītu tos par ārkārtējiem un sting</w:t>
            </w:r>
            <w:r>
              <w:rPr>
                <w:noProof/>
              </w:rPr>
              <w:t>ri ierobežotiem termiņiem.</w:t>
            </w:r>
          </w:p>
        </w:tc>
      </w:tr>
      <w:tr w:rsidR="00C972CB" w14:paraId="371D583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119D4" w14:textId="77777777" w:rsidR="00C972CB" w:rsidRDefault="002457F6">
            <w:pPr>
              <w:pStyle w:val="P68B1DB1-Normal5"/>
              <w:jc w:val="center"/>
              <w:rPr>
                <w:noProof/>
              </w:rPr>
            </w:pPr>
            <w:r>
              <w:rPr>
                <w:noProof/>
              </w:rPr>
              <w:t>M1C1–57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8AFA9"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7B179"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048F2" w14:textId="77777777" w:rsidR="00C972CB" w:rsidRDefault="002457F6">
            <w:pPr>
              <w:pStyle w:val="P68B1DB1-Normal5"/>
              <w:jc w:val="center"/>
              <w:rPr>
                <w:noProof/>
              </w:rPr>
            </w:pPr>
            <w:r>
              <w:rPr>
                <w:noProof/>
              </w:rPr>
              <w:t>Administratīvo procedūru stāšanās spēkā vienkāršošanas reformai, kuras mērķis ir ANM īstenošana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8B4B87" w14:textId="77777777" w:rsidR="00C972CB" w:rsidRDefault="002457F6">
            <w:pPr>
              <w:pStyle w:val="P68B1DB1-Normal5"/>
              <w:jc w:val="center"/>
              <w:rPr>
                <w:noProof/>
              </w:rPr>
            </w:pPr>
            <w:r>
              <w:rPr>
                <w:noProof/>
              </w:rPr>
              <w:t>Tiesību norma, kas norāda uz sekundāro tiesību aktu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D24D5"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AA7FE"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6B7FFD"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19AFAC"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5647B"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C7410" w14:textId="77777777" w:rsidR="00C972CB" w:rsidRDefault="002457F6">
            <w:pPr>
              <w:pStyle w:val="P68B1DB1-Normal5"/>
              <w:spacing w:after="120"/>
              <w:rPr>
                <w:noProof/>
              </w:rPr>
            </w:pPr>
            <w:r>
              <w:rPr>
                <w:noProof/>
              </w:rPr>
              <w:t>Stājas spēkā visi saistītie deleģētie akti, ministriju dekrēti, sekundārie tiesību akti un visi citi noteikumi, kas vajadzīgi efektīvai vienkāršošanas īstenošanai, tostarp nolīgumi ar reģioniem ekskluzīvas un para</w:t>
            </w:r>
            <w:r>
              <w:rPr>
                <w:noProof/>
              </w:rPr>
              <w:t>lēlas reģionālās kompetences gadījumā.</w:t>
            </w:r>
          </w:p>
        </w:tc>
      </w:tr>
      <w:tr w:rsidR="00C972CB" w14:paraId="3B5CA78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D0EA0" w14:textId="77777777" w:rsidR="00C972CB" w:rsidRDefault="002457F6">
            <w:pPr>
              <w:pStyle w:val="P68B1DB1-Normal5"/>
              <w:jc w:val="center"/>
              <w:rPr>
                <w:noProof/>
              </w:rPr>
            </w:pPr>
            <w:r>
              <w:rPr>
                <w:noProof/>
              </w:rPr>
              <w:t>M1C1–58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708EA"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DA4FD"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F6FA6" w14:textId="77777777" w:rsidR="00C972CB" w:rsidRDefault="002457F6">
            <w:pPr>
              <w:pStyle w:val="P68B1DB1-Normal5"/>
              <w:jc w:val="center"/>
              <w:rPr>
                <w:noProof/>
              </w:rPr>
            </w:pPr>
            <w:r>
              <w:rPr>
                <w:noProof/>
              </w:rPr>
              <w:t>Valsts nodarbinātības reformas tiesību aktu stāšanās spēkā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3B2952" w14:textId="77777777" w:rsidR="00C972CB" w:rsidRDefault="002457F6">
            <w:pPr>
              <w:pStyle w:val="P68B1DB1-Normal5"/>
              <w:jc w:val="center"/>
              <w:rPr>
                <w:noProof/>
              </w:rPr>
            </w:pPr>
            <w:r>
              <w:rPr>
                <w:noProof/>
              </w:rPr>
              <w:t>Noteikums, kas norāda, ka stājas spēkā tiesību akti par valsts nodarbinātības reformu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CE57D"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ECB6D0"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2E3190"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03FA5"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069114"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9AEF" w14:textId="77777777" w:rsidR="00C972CB" w:rsidRDefault="002457F6">
            <w:pPr>
              <w:pStyle w:val="P68B1DB1-Normal5"/>
              <w:spacing w:after="120"/>
              <w:rPr>
                <w:noProof/>
              </w:rPr>
            </w:pPr>
            <w:r>
              <w:rPr>
                <w:noProof/>
              </w:rPr>
              <w:t>Stājas spēkā visi saistītie deleģētie akti, ministriju dekrēti, sekundārie tiesību akti un visas citas regulas, kas vajadzīgas reformas efektīvai īstenošanai.</w:t>
            </w:r>
          </w:p>
        </w:tc>
      </w:tr>
      <w:tr w:rsidR="00C972CB" w14:paraId="37AF744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3C4AD" w14:textId="77777777" w:rsidR="00C972CB" w:rsidRDefault="002457F6">
            <w:pPr>
              <w:pStyle w:val="P68B1DB1-Normal5"/>
              <w:jc w:val="center"/>
              <w:rPr>
                <w:noProof/>
              </w:rPr>
            </w:pPr>
            <w:r>
              <w:rPr>
                <w:noProof/>
              </w:rPr>
              <w:t>M1C1–59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D0A7E"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B88879"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57CE" w14:textId="77777777" w:rsidR="00C972CB" w:rsidRDefault="002457F6">
            <w:pPr>
              <w:pStyle w:val="P68B1DB1-Normal5"/>
              <w:jc w:val="center"/>
              <w:rPr>
                <w:noProof/>
              </w:rPr>
            </w:pPr>
            <w:r>
              <w:rPr>
                <w:noProof/>
              </w:rPr>
              <w:t>Stratēģiskās cilvēkresursu pārvaldības stāšanās spēkā valsts pārvaldē</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2D6F79" w14:textId="77777777" w:rsidR="00C972CB" w:rsidRDefault="002457F6">
            <w:pPr>
              <w:pStyle w:val="P68B1DB1-Normal5"/>
              <w:jc w:val="center"/>
              <w:rPr>
                <w:noProof/>
              </w:rPr>
            </w:pPr>
            <w:r>
              <w:rPr>
                <w:noProof/>
              </w:rPr>
              <w:t>Noteikums, kas norāda, ka stājas spēkā tiesību akti par cilvēkresursu stratēģiskās pārvaldības ieviešanu valsts pārvaldē</w:t>
            </w:r>
          </w:p>
          <w:p w14:paraId="3F1A55B1" w14:textId="77777777" w:rsidR="00C972CB" w:rsidRDefault="00C972CB">
            <w:pPr>
              <w:jc w:val="center"/>
              <w:rPr>
                <w:rFonts w:ascii="Arial Narrow" w:hAnsi="Arial Narrow" w:cs="Arial"/>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62DE1"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B14FD"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D0F850"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2FD0F"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432D25"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7D8A7" w14:textId="19EA6DC6" w:rsidR="00C972CB" w:rsidRDefault="002457F6">
            <w:pPr>
              <w:pStyle w:val="P68B1DB1-Normal5"/>
              <w:spacing w:after="120"/>
              <w:rPr>
                <w:noProof/>
              </w:rPr>
            </w:pPr>
            <w:r>
              <w:rPr>
                <w:noProof/>
              </w:rPr>
              <w:t>Tiesību akti un deleģ</w:t>
            </w:r>
            <w:r>
              <w:rPr>
                <w:noProof/>
              </w:rPr>
              <w:t>ētie akti par cilvēkresursu stratēģiskās pārvaldības ieviešanu valsts pārvaldē ietver: saistībā ar integrēto darbības un organizācijas plānu (PIAO) definēt cilvēkresursu stratēģiskos plānus attiecībā uz pieņemšanu darbā, karjeras attīstību un apmācību visā</w:t>
            </w:r>
            <w:r>
              <w:rPr>
                <w:noProof/>
              </w:rPr>
              <w:t>m centrālajām un reģionālajām administrācijām, izmantojot integrētu datubāzi ar prasmēm un profiliem; izveidot centrālu īstenošanas vienību, kas koordinē un atbalsta cilvēkresursu plānošanas sistēmu. Otrajā posmā cilvēkresursu stratēģiskos plānus attiecina</w:t>
            </w:r>
            <w:r>
              <w:rPr>
                <w:noProof/>
              </w:rPr>
              <w:t xml:space="preserve"> arī uz pašvaldībām, savukārt mazās un vidējās pašvaldības ir īpašu spēju veidošanas investīciju priekšmets.</w:t>
            </w:r>
          </w:p>
        </w:tc>
      </w:tr>
      <w:tr w:rsidR="00C972CB" w14:paraId="2BF942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DB511" w14:textId="77777777" w:rsidR="00C972CB" w:rsidRDefault="002457F6">
            <w:pPr>
              <w:pStyle w:val="P68B1DB1-Normal5"/>
              <w:jc w:val="center"/>
              <w:rPr>
                <w:noProof/>
              </w:rPr>
            </w:pPr>
            <w:r>
              <w:rPr>
                <w:noProof/>
              </w:rPr>
              <w:t>M1C1–59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E83A1F" w14:textId="77777777" w:rsidR="00C972CB" w:rsidRDefault="002457F6">
            <w:pPr>
              <w:pStyle w:val="P68B1DB1-Normal5"/>
              <w:jc w:val="center"/>
              <w:rPr>
                <w:noProof/>
              </w:rPr>
            </w:pPr>
            <w:r>
              <w:rPr>
                <w:noProof/>
              </w:rPr>
              <w:t>Reforma: Valsts pārvaldes reforma</w:t>
            </w:r>
          </w:p>
          <w:p w14:paraId="190A9526" w14:textId="77777777" w:rsidR="00C972CB" w:rsidRDefault="00C972CB">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89D22"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810262" w14:textId="77777777" w:rsidR="00C972CB" w:rsidRDefault="002457F6">
            <w:pPr>
              <w:pStyle w:val="P68B1DB1-Normal5"/>
              <w:jc w:val="center"/>
              <w:rPr>
                <w:noProof/>
              </w:rPr>
            </w:pPr>
            <w:r>
              <w:rPr>
                <w:noProof/>
              </w:rPr>
              <w:t>Cilvēkresursu stratēģiskās pārvaldības īstenošana valsts pārvaldē</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54C0F" w14:textId="77777777" w:rsidR="00C972CB" w:rsidRDefault="002457F6">
            <w:pPr>
              <w:pStyle w:val="P68B1DB1-Normal5"/>
              <w:jc w:val="center"/>
              <w:rPr>
                <w:noProof/>
              </w:rPr>
            </w:pPr>
            <w:r>
              <w:rPr>
                <w:noProof/>
              </w:rPr>
              <w:t xml:space="preserve">Pirmā pusgada </w:t>
            </w:r>
            <w:r>
              <w:rPr>
                <w:noProof/>
              </w:rPr>
              <w:t>ziņojuma par GDR publicēšana.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83A8D9"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17F06"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2DC20"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E39463"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C06EDC"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9C00C" w14:textId="68BD134A" w:rsidR="00C972CB" w:rsidRDefault="002457F6">
            <w:pPr>
              <w:pStyle w:val="P68B1DB1-Normal5"/>
              <w:rPr>
                <w:noProof/>
              </w:rPr>
            </w:pPr>
            <w:r>
              <w:rPr>
                <w:noProof/>
              </w:rPr>
              <w:t>Pirmo pusgada ziņojumu par GDR publicē.</w:t>
            </w:r>
          </w:p>
        </w:tc>
      </w:tr>
      <w:tr w:rsidR="00C972CB" w14:paraId="6B0E5B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85C13E" w14:textId="77777777" w:rsidR="00C972CB" w:rsidRDefault="002457F6">
            <w:pPr>
              <w:pStyle w:val="P68B1DB1-Normal5"/>
              <w:jc w:val="center"/>
              <w:rPr>
                <w:noProof/>
              </w:rPr>
            </w:pPr>
            <w:r>
              <w:rPr>
                <w:noProof/>
              </w:rPr>
              <w:t>M1C1–60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33586"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932E5"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622D2B" w14:textId="77777777" w:rsidR="00C972CB" w:rsidRDefault="002457F6">
            <w:pPr>
              <w:pStyle w:val="P68B1DB1-Normal5"/>
              <w:jc w:val="center"/>
              <w:rPr>
                <w:noProof/>
              </w:rPr>
            </w:pPr>
            <w:r>
              <w:rPr>
                <w:noProof/>
              </w:rPr>
              <w:t xml:space="preserve">Pilnībā īstenot (tostarp visus deleģētos aktus) vienkāršot un/vai digitalizēt 200 </w:t>
            </w:r>
            <w:r>
              <w:rPr>
                <w:noProof/>
              </w:rPr>
              <w:t>kritiski svarīgu procedūru kopumu, kas ietekmē iedzīvotājus un uzņēmumus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BAA62" w14:textId="77777777" w:rsidR="00C972CB" w:rsidRDefault="002457F6">
            <w:pPr>
              <w:pStyle w:val="P68B1DB1-Normal5"/>
              <w:jc w:val="center"/>
              <w:rPr>
                <w:noProof/>
              </w:rPr>
            </w:pPr>
            <w:r>
              <w:rPr>
                <w:noProof/>
              </w:rPr>
              <w:t>Sekundāro tiesību aktu stāšanās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42A52"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8878E2"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261EC"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38330"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C83DA"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AB43F8" w14:textId="061A31CE" w:rsidR="00C972CB" w:rsidRDefault="002457F6">
            <w:pPr>
              <w:pStyle w:val="P68B1DB1-Normal5"/>
              <w:spacing w:before="120" w:after="160" w:line="259" w:lineRule="auto"/>
              <w:contextualSpacing/>
              <w:rPr>
                <w:noProof/>
              </w:rPr>
            </w:pPr>
            <w:r>
              <w:rPr>
                <w:noProof/>
              </w:rPr>
              <w:t>Vienkāršošanas prioritārās jomas ir šādas:</w:t>
            </w:r>
          </w:p>
          <w:p w14:paraId="185B7203" w14:textId="77777777" w:rsidR="00C972CB" w:rsidRDefault="002457F6">
            <w:pPr>
              <w:pStyle w:val="P68B1DB1-ListParagraph6"/>
              <w:numPr>
                <w:ilvl w:val="0"/>
                <w:numId w:val="129"/>
              </w:numPr>
              <w:spacing w:before="0" w:after="0" w:line="259" w:lineRule="auto"/>
              <w:ind w:left="399"/>
              <w:jc w:val="left"/>
              <w:rPr>
                <w:noProof/>
              </w:rPr>
            </w:pPr>
            <w:r>
              <w:rPr>
                <w:noProof/>
              </w:rPr>
              <w:t>Vides atļaujas, atjaunojamie energoresursi un zaļā ekonomik</w:t>
            </w:r>
            <w:r>
              <w:rPr>
                <w:noProof/>
              </w:rPr>
              <w:t xml:space="preserve">a </w:t>
            </w:r>
          </w:p>
          <w:p w14:paraId="0731ACBE" w14:textId="21BAED36" w:rsidR="00C972CB" w:rsidRDefault="002457F6">
            <w:pPr>
              <w:pStyle w:val="P68B1DB1-ListParagraph6"/>
              <w:numPr>
                <w:ilvl w:val="0"/>
                <w:numId w:val="128"/>
              </w:numPr>
              <w:spacing w:before="0" w:after="0" w:line="259" w:lineRule="auto"/>
              <w:ind w:left="399"/>
              <w:jc w:val="left"/>
              <w:rPr>
                <w:noProof/>
              </w:rPr>
            </w:pPr>
            <w:r>
              <w:rPr>
                <w:noProof/>
              </w:rPr>
              <w:t>Būvatļaujas un pilsētu pārkvalifikācija</w:t>
            </w:r>
          </w:p>
          <w:p w14:paraId="17BCABB9" w14:textId="77777777" w:rsidR="00C972CB" w:rsidRDefault="002457F6">
            <w:pPr>
              <w:pStyle w:val="P68B1DB1-ListParagraph6"/>
              <w:numPr>
                <w:ilvl w:val="0"/>
                <w:numId w:val="127"/>
              </w:numPr>
              <w:spacing w:before="0" w:after="0" w:line="259" w:lineRule="auto"/>
              <w:ind w:left="399"/>
              <w:jc w:val="left"/>
              <w:rPr>
                <w:noProof/>
              </w:rPr>
            </w:pPr>
            <w:r>
              <w:rPr>
                <w:noProof/>
              </w:rPr>
              <w:t>Digitālā infrastruktūra</w:t>
            </w:r>
          </w:p>
          <w:p w14:paraId="3C14A29D" w14:textId="58CD8F42" w:rsidR="00C972CB" w:rsidRDefault="002457F6">
            <w:pPr>
              <w:pStyle w:val="P68B1DB1-ListParagraph6"/>
              <w:numPr>
                <w:ilvl w:val="0"/>
                <w:numId w:val="127"/>
              </w:numPr>
              <w:spacing w:before="0" w:after="0" w:line="259" w:lineRule="auto"/>
              <w:ind w:left="399"/>
              <w:jc w:val="left"/>
              <w:rPr>
                <w:noProof/>
              </w:rPr>
            </w:pPr>
            <w:r>
              <w:rPr>
                <w:noProof/>
              </w:rPr>
              <w:t>Uzņēmējdarbības procedūras</w:t>
            </w:r>
          </w:p>
          <w:p w14:paraId="7EAF22AB" w14:textId="01DF17CC" w:rsidR="00C972CB" w:rsidRDefault="002457F6">
            <w:pPr>
              <w:pStyle w:val="P68B1DB1-Normal5"/>
              <w:spacing w:before="120" w:after="160" w:line="259" w:lineRule="auto"/>
              <w:contextualSpacing/>
              <w:rPr>
                <w:noProof/>
              </w:rPr>
            </w:pPr>
            <w:r>
              <w:rPr>
                <w:noProof/>
              </w:rPr>
              <w:t>Citas kritiski svarīgas nozares ir:</w:t>
            </w:r>
          </w:p>
          <w:p w14:paraId="1FD1FED2" w14:textId="77777777" w:rsidR="00C972CB" w:rsidRDefault="002457F6">
            <w:pPr>
              <w:pStyle w:val="P68B1DB1-ListParagraph6"/>
              <w:numPr>
                <w:ilvl w:val="0"/>
                <w:numId w:val="126"/>
              </w:numPr>
              <w:spacing w:before="0" w:after="0" w:line="259" w:lineRule="auto"/>
              <w:ind w:left="399"/>
              <w:jc w:val="left"/>
              <w:rPr>
                <w:noProof/>
              </w:rPr>
            </w:pPr>
            <w:r>
              <w:rPr>
                <w:noProof/>
              </w:rPr>
              <w:t xml:space="preserve">Darba tiesību akti un sociālais nodrošinājums </w:t>
            </w:r>
          </w:p>
          <w:p w14:paraId="56298C23" w14:textId="77777777" w:rsidR="00C972CB" w:rsidRDefault="002457F6">
            <w:pPr>
              <w:pStyle w:val="P68B1DB1-ListParagraph6"/>
              <w:numPr>
                <w:ilvl w:val="0"/>
                <w:numId w:val="125"/>
              </w:numPr>
              <w:spacing w:before="0" w:after="0" w:line="259" w:lineRule="auto"/>
              <w:ind w:left="399"/>
              <w:jc w:val="left"/>
              <w:rPr>
                <w:noProof/>
              </w:rPr>
            </w:pPr>
            <w:r>
              <w:rPr>
                <w:noProof/>
              </w:rPr>
              <w:t xml:space="preserve">Tūrisms </w:t>
            </w:r>
          </w:p>
          <w:p w14:paraId="12F2105B" w14:textId="3A9F5348" w:rsidR="00C972CB" w:rsidRDefault="002457F6">
            <w:pPr>
              <w:pStyle w:val="P68B1DB1-ListParagraph6"/>
              <w:numPr>
                <w:ilvl w:val="0"/>
                <w:numId w:val="124"/>
              </w:numPr>
              <w:spacing w:before="0" w:after="0" w:line="259" w:lineRule="auto"/>
              <w:ind w:left="399"/>
              <w:jc w:val="left"/>
              <w:rPr>
                <w:noProof/>
              </w:rPr>
            </w:pPr>
            <w:r>
              <w:rPr>
                <w:noProof/>
              </w:rPr>
              <w:t>Lauksaimniecības pārtika</w:t>
            </w:r>
          </w:p>
          <w:p w14:paraId="6357DBCD" w14:textId="47E9D624" w:rsidR="00C972CB" w:rsidRDefault="002457F6">
            <w:pPr>
              <w:pStyle w:val="P68B1DB1-Normal5"/>
              <w:spacing w:before="120" w:after="160" w:line="259" w:lineRule="auto"/>
              <w:contextualSpacing/>
              <w:rPr>
                <w:noProof/>
              </w:rPr>
            </w:pPr>
            <w:r>
              <w:rPr>
                <w:noProof/>
              </w:rPr>
              <w:t xml:space="preserve">Atlasītās valsts un reģionālās procedūras var apkopot šādās galvenajās jomās: </w:t>
            </w:r>
          </w:p>
          <w:p w14:paraId="3C982D9A" w14:textId="77777777" w:rsidR="00C972CB" w:rsidRDefault="002457F6">
            <w:pPr>
              <w:pStyle w:val="P68B1DB1-ListParagraph6"/>
              <w:numPr>
                <w:ilvl w:val="0"/>
                <w:numId w:val="123"/>
              </w:numPr>
              <w:spacing w:before="0" w:after="0" w:line="259" w:lineRule="auto"/>
              <w:jc w:val="left"/>
              <w:rPr>
                <w:noProof/>
              </w:rPr>
            </w:pPr>
            <w:r>
              <w:rPr>
                <w:noProof/>
              </w:rPr>
              <w:t xml:space="preserve">Vides un enerģētikas atļaujas: </w:t>
            </w:r>
          </w:p>
          <w:p w14:paraId="351A3687" w14:textId="77777777" w:rsidR="00C972CB" w:rsidRDefault="002457F6">
            <w:pPr>
              <w:pStyle w:val="P68B1DB1-ListParagraph6"/>
              <w:numPr>
                <w:ilvl w:val="0"/>
                <w:numId w:val="118"/>
              </w:numPr>
              <w:spacing w:before="0" w:after="0" w:line="259" w:lineRule="auto"/>
              <w:jc w:val="left"/>
              <w:rPr>
                <w:noProof/>
              </w:rPr>
            </w:pPr>
            <w:r>
              <w:rPr>
                <w:noProof/>
              </w:rPr>
              <w:t xml:space="preserve">Valsts ietekmes uz vidi novērtējuma procedūra </w:t>
            </w:r>
          </w:p>
          <w:p w14:paraId="49AA9AC1" w14:textId="77777777" w:rsidR="00C972CB" w:rsidRDefault="002457F6">
            <w:pPr>
              <w:pStyle w:val="P68B1DB1-ListParagraph6"/>
              <w:numPr>
                <w:ilvl w:val="0"/>
                <w:numId w:val="118"/>
              </w:numPr>
              <w:spacing w:before="0" w:after="0" w:line="259" w:lineRule="auto"/>
              <w:jc w:val="left"/>
              <w:rPr>
                <w:noProof/>
              </w:rPr>
            </w:pPr>
            <w:r>
              <w:rPr>
                <w:noProof/>
              </w:rPr>
              <w:t xml:space="preserve">Reģionālā ietekmes uz vidi novērtējuma procedūra </w:t>
            </w:r>
          </w:p>
          <w:p w14:paraId="30FFC36B" w14:textId="77777777" w:rsidR="00C972CB" w:rsidRDefault="002457F6">
            <w:pPr>
              <w:pStyle w:val="P68B1DB1-ListParagraph6"/>
              <w:numPr>
                <w:ilvl w:val="0"/>
                <w:numId w:val="118"/>
              </w:numPr>
              <w:spacing w:before="0" w:after="0" w:line="259" w:lineRule="auto"/>
              <w:jc w:val="left"/>
              <w:rPr>
                <w:noProof/>
              </w:rPr>
            </w:pPr>
            <w:r>
              <w:rPr>
                <w:noProof/>
              </w:rPr>
              <w:t xml:space="preserve">Vides sanācijas atļaujas </w:t>
            </w:r>
          </w:p>
          <w:p w14:paraId="5EF8A986" w14:textId="77777777" w:rsidR="00C972CB" w:rsidRDefault="002457F6">
            <w:pPr>
              <w:pStyle w:val="P68B1DB1-ListParagraph6"/>
              <w:numPr>
                <w:ilvl w:val="0"/>
                <w:numId w:val="118"/>
              </w:numPr>
              <w:spacing w:before="0" w:after="0" w:line="259" w:lineRule="auto"/>
              <w:jc w:val="left"/>
              <w:rPr>
                <w:noProof/>
              </w:rPr>
            </w:pPr>
            <w:r>
              <w:rPr>
                <w:noProof/>
              </w:rPr>
              <w:t>Stratēģiskais vides no</w:t>
            </w:r>
            <w:r>
              <w:rPr>
                <w:noProof/>
              </w:rPr>
              <w:t xml:space="preserve">vērtējums </w:t>
            </w:r>
          </w:p>
          <w:p w14:paraId="048C68BA" w14:textId="77777777" w:rsidR="00C972CB" w:rsidRDefault="002457F6">
            <w:pPr>
              <w:pStyle w:val="P68B1DB1-ListParagraph6"/>
              <w:numPr>
                <w:ilvl w:val="0"/>
                <w:numId w:val="118"/>
              </w:numPr>
              <w:spacing w:before="0" w:after="0" w:line="259" w:lineRule="auto"/>
              <w:jc w:val="left"/>
              <w:rPr>
                <w:noProof/>
              </w:rPr>
            </w:pPr>
            <w:r>
              <w:rPr>
                <w:noProof/>
              </w:rPr>
              <w:t xml:space="preserve">Piesārņojuma integrētā novēršana un kontrole (IPPC) </w:t>
            </w:r>
          </w:p>
          <w:p w14:paraId="199A6264" w14:textId="77777777" w:rsidR="00C972CB" w:rsidRDefault="002457F6">
            <w:pPr>
              <w:pStyle w:val="P68B1DB1-ListParagraph6"/>
              <w:numPr>
                <w:ilvl w:val="0"/>
                <w:numId w:val="118"/>
              </w:numPr>
              <w:spacing w:before="0" w:after="0" w:line="259" w:lineRule="auto"/>
              <w:jc w:val="left"/>
              <w:rPr>
                <w:noProof/>
              </w:rPr>
            </w:pPr>
            <w:r>
              <w:rPr>
                <w:noProof/>
              </w:rPr>
              <w:t xml:space="preserve">Atļauju piešķiršanas procedūras atjaunojamiem energoresursiem </w:t>
            </w:r>
          </w:p>
          <w:p w14:paraId="52BD605B" w14:textId="0674CBAE" w:rsidR="00C972CB" w:rsidRDefault="002457F6">
            <w:pPr>
              <w:pStyle w:val="P68B1DB1-ListParagraph6"/>
              <w:numPr>
                <w:ilvl w:val="0"/>
                <w:numId w:val="118"/>
              </w:numPr>
              <w:spacing w:before="0" w:after="0" w:line="259" w:lineRule="auto"/>
              <w:jc w:val="left"/>
              <w:rPr>
                <w:noProof/>
              </w:rPr>
            </w:pPr>
            <w:r>
              <w:rPr>
                <w:noProof/>
              </w:rPr>
              <w:t>Energoatjaunināšanas, pārveidošanas un atjaunināšanas procedūras</w:t>
            </w:r>
          </w:p>
          <w:p w14:paraId="46266E95" w14:textId="77777777" w:rsidR="00C972CB" w:rsidRDefault="002457F6">
            <w:pPr>
              <w:pStyle w:val="P68B1DB1-ListParagraph6"/>
              <w:numPr>
                <w:ilvl w:val="0"/>
                <w:numId w:val="118"/>
              </w:numPr>
              <w:spacing w:before="0" w:after="0" w:line="259" w:lineRule="auto"/>
              <w:jc w:val="left"/>
              <w:rPr>
                <w:noProof/>
              </w:rPr>
            </w:pPr>
            <w:r>
              <w:rPr>
                <w:noProof/>
              </w:rPr>
              <w:t xml:space="preserve">Atļauju piešķiršanas procedūras energoinfrastruktūrām </w:t>
            </w:r>
          </w:p>
          <w:p w14:paraId="4B6D16B5" w14:textId="787E9644" w:rsidR="00C972CB" w:rsidRDefault="002457F6">
            <w:pPr>
              <w:pStyle w:val="P68B1DB1-ListParagraph6"/>
              <w:numPr>
                <w:ilvl w:val="0"/>
                <w:numId w:val="118"/>
              </w:numPr>
              <w:spacing w:before="0" w:after="0" w:line="259" w:lineRule="auto"/>
              <w:jc w:val="left"/>
              <w:rPr>
                <w:noProof/>
              </w:rPr>
            </w:pPr>
            <w:r>
              <w:rPr>
                <w:noProof/>
              </w:rPr>
              <w:t xml:space="preserve">Ar </w:t>
            </w:r>
            <w:r>
              <w:rPr>
                <w:noProof/>
              </w:rPr>
              <w:t>atkritumiem saistītas atļaujas</w:t>
            </w:r>
          </w:p>
          <w:p w14:paraId="330CE9A8" w14:textId="4EAF4F28" w:rsidR="00C972CB" w:rsidRDefault="002457F6">
            <w:pPr>
              <w:pStyle w:val="P68B1DB1-ListParagraph6"/>
              <w:numPr>
                <w:ilvl w:val="0"/>
                <w:numId w:val="122"/>
              </w:numPr>
              <w:spacing w:before="0" w:after="0" w:line="259" w:lineRule="auto"/>
              <w:jc w:val="left"/>
              <w:rPr>
                <w:noProof/>
              </w:rPr>
            </w:pPr>
            <w:r>
              <w:rPr>
                <w:noProof/>
              </w:rPr>
              <w:t>Būvniecība un pilsētu pārkvalifikācija:</w:t>
            </w:r>
          </w:p>
          <w:p w14:paraId="116CABF3" w14:textId="77777777" w:rsidR="00C972CB" w:rsidRDefault="002457F6">
            <w:pPr>
              <w:pStyle w:val="P68B1DB1-ListParagraph6"/>
              <w:numPr>
                <w:ilvl w:val="0"/>
                <w:numId w:val="117"/>
              </w:numPr>
              <w:spacing w:before="0" w:after="0" w:line="259" w:lineRule="auto"/>
              <w:jc w:val="left"/>
              <w:rPr>
                <w:noProof/>
              </w:rPr>
            </w:pPr>
            <w:r>
              <w:rPr>
                <w:noProof/>
              </w:rPr>
              <w:t xml:space="preserve">Energotaupības un enerģijas izmantošanas racionalizācijas procedūras (atbilstības procedūras u. c.) </w:t>
            </w:r>
          </w:p>
          <w:p w14:paraId="110D3B8F" w14:textId="126FF7DD" w:rsidR="00C972CB" w:rsidRDefault="002457F6">
            <w:pPr>
              <w:pStyle w:val="P68B1DB1-ListParagraph6"/>
              <w:numPr>
                <w:ilvl w:val="0"/>
                <w:numId w:val="117"/>
              </w:numPr>
              <w:spacing w:before="0" w:after="0" w:line="259" w:lineRule="auto"/>
              <w:jc w:val="left"/>
              <w:rPr>
                <w:noProof/>
              </w:rPr>
            </w:pPr>
            <w:r>
              <w:rPr>
                <w:noProof/>
              </w:rPr>
              <w:t xml:space="preserve"> Pakalpojumu konference</w:t>
            </w:r>
          </w:p>
          <w:p w14:paraId="43B28BDB" w14:textId="77777777" w:rsidR="00C972CB" w:rsidRDefault="002457F6">
            <w:pPr>
              <w:pStyle w:val="P68B1DB1-ListParagraph6"/>
              <w:numPr>
                <w:ilvl w:val="0"/>
                <w:numId w:val="121"/>
              </w:numPr>
              <w:spacing w:before="0" w:after="0" w:line="259" w:lineRule="auto"/>
              <w:jc w:val="left"/>
              <w:rPr>
                <w:noProof/>
              </w:rPr>
            </w:pPr>
            <w:r>
              <w:rPr>
                <w:noProof/>
              </w:rPr>
              <w:t xml:space="preserve">Digitālā infrastruktūra:  </w:t>
            </w:r>
          </w:p>
          <w:p w14:paraId="33AC1F29" w14:textId="77777777" w:rsidR="00C972CB" w:rsidRDefault="002457F6">
            <w:pPr>
              <w:pStyle w:val="P68B1DB1-ListParagraph6"/>
              <w:numPr>
                <w:ilvl w:val="0"/>
                <w:numId w:val="116"/>
              </w:numPr>
              <w:spacing w:before="0" w:after="0" w:line="259" w:lineRule="auto"/>
              <w:jc w:val="left"/>
              <w:rPr>
                <w:noProof/>
              </w:rPr>
            </w:pPr>
            <w:r>
              <w:rPr>
                <w:noProof/>
              </w:rPr>
              <w:t xml:space="preserve">Atļaujas sakaru infrastruktūrām  </w:t>
            </w:r>
          </w:p>
          <w:p w14:paraId="6D34301F" w14:textId="77777777" w:rsidR="00C972CB" w:rsidRDefault="002457F6">
            <w:pPr>
              <w:pStyle w:val="P68B1DB1-ListParagraph6"/>
              <w:numPr>
                <w:ilvl w:val="0"/>
                <w:numId w:val="120"/>
              </w:numPr>
              <w:spacing w:before="0" w:after="0" w:line="259" w:lineRule="auto"/>
              <w:jc w:val="left"/>
              <w:rPr>
                <w:noProof/>
              </w:rPr>
            </w:pPr>
            <w:r>
              <w:rPr>
                <w:noProof/>
              </w:rPr>
              <w:t xml:space="preserve">Darba procedūras: </w:t>
            </w:r>
          </w:p>
          <w:p w14:paraId="0627195D" w14:textId="77777777" w:rsidR="00C972CB" w:rsidRDefault="002457F6">
            <w:pPr>
              <w:pStyle w:val="P68B1DB1-ListParagraph6"/>
              <w:numPr>
                <w:ilvl w:val="0"/>
                <w:numId w:val="112"/>
              </w:numPr>
              <w:spacing w:before="0" w:after="0" w:line="259" w:lineRule="auto"/>
              <w:jc w:val="left"/>
              <w:rPr>
                <w:noProof/>
              </w:rPr>
            </w:pPr>
            <w:r>
              <w:rPr>
                <w:noProof/>
              </w:rPr>
              <w:t>Procedūras mazumtirdzniecības nozarē</w:t>
            </w:r>
          </w:p>
          <w:p w14:paraId="2504C141" w14:textId="77777777" w:rsidR="00C972CB" w:rsidRDefault="002457F6">
            <w:pPr>
              <w:pStyle w:val="P68B1DB1-ListParagraph6"/>
              <w:numPr>
                <w:ilvl w:val="0"/>
                <w:numId w:val="112"/>
              </w:numPr>
              <w:spacing w:before="0" w:after="0" w:line="259" w:lineRule="auto"/>
              <w:jc w:val="left"/>
              <w:rPr>
                <w:noProof/>
              </w:rPr>
            </w:pPr>
            <w:r>
              <w:rPr>
                <w:noProof/>
              </w:rPr>
              <w:t>Uzņēmējdarbības un būvniecības procedūras (SUAP un SUE)</w:t>
            </w:r>
          </w:p>
          <w:p w14:paraId="4276A47E" w14:textId="77777777" w:rsidR="00C972CB" w:rsidRDefault="002457F6">
            <w:pPr>
              <w:pStyle w:val="P68B1DB1-ListParagraph6"/>
              <w:numPr>
                <w:ilvl w:val="0"/>
                <w:numId w:val="112"/>
              </w:numPr>
              <w:spacing w:before="0" w:after="0" w:line="259" w:lineRule="auto"/>
              <w:jc w:val="left"/>
              <w:rPr>
                <w:noProof/>
              </w:rPr>
            </w:pPr>
            <w:r>
              <w:rPr>
                <w:noProof/>
              </w:rPr>
              <w:t>Procedūras amatnieku darbībai</w:t>
            </w:r>
          </w:p>
          <w:p w14:paraId="4E37C53D" w14:textId="77777777" w:rsidR="00C972CB" w:rsidRDefault="002457F6">
            <w:pPr>
              <w:pStyle w:val="P68B1DB1-ListParagraph6"/>
              <w:numPr>
                <w:ilvl w:val="0"/>
                <w:numId w:val="119"/>
              </w:numPr>
              <w:spacing w:before="0" w:after="0" w:line="259" w:lineRule="auto"/>
              <w:jc w:val="left"/>
              <w:rPr>
                <w:noProof/>
              </w:rPr>
            </w:pPr>
            <w:r>
              <w:rPr>
                <w:noProof/>
              </w:rPr>
              <w:t xml:space="preserve">Citas procedūras:  </w:t>
            </w:r>
          </w:p>
          <w:p w14:paraId="4C96A6AD" w14:textId="77777777" w:rsidR="00C972CB" w:rsidRDefault="002457F6">
            <w:pPr>
              <w:pStyle w:val="P68B1DB1-ListParagraph6"/>
              <w:numPr>
                <w:ilvl w:val="0"/>
                <w:numId w:val="115"/>
              </w:numPr>
              <w:spacing w:before="0" w:after="0" w:line="259" w:lineRule="auto"/>
              <w:jc w:val="left"/>
              <w:rPr>
                <w:noProof/>
              </w:rPr>
            </w:pPr>
            <w:r>
              <w:rPr>
                <w:noProof/>
              </w:rPr>
              <w:t xml:space="preserve">Klusējot izteiktas piekrišanas sertifikācija </w:t>
            </w:r>
          </w:p>
          <w:p w14:paraId="4A851BCE" w14:textId="77777777" w:rsidR="00C972CB" w:rsidRDefault="002457F6">
            <w:pPr>
              <w:pStyle w:val="P68B1DB1-ListParagraph6"/>
              <w:numPr>
                <w:ilvl w:val="0"/>
                <w:numId w:val="115"/>
              </w:numPr>
              <w:spacing w:before="0" w:after="0" w:line="259" w:lineRule="auto"/>
              <w:jc w:val="left"/>
              <w:rPr>
                <w:noProof/>
              </w:rPr>
            </w:pPr>
            <w:r>
              <w:rPr>
                <w:noProof/>
              </w:rPr>
              <w:t xml:space="preserve">Aizstājējspēks </w:t>
            </w:r>
          </w:p>
          <w:p w14:paraId="6F888952" w14:textId="77777777" w:rsidR="00C972CB" w:rsidRDefault="002457F6">
            <w:pPr>
              <w:pStyle w:val="P68B1DB1-ListParagraph6"/>
              <w:numPr>
                <w:ilvl w:val="0"/>
                <w:numId w:val="115"/>
              </w:numPr>
              <w:spacing w:before="0" w:after="0" w:line="259" w:lineRule="auto"/>
              <w:jc w:val="left"/>
              <w:rPr>
                <w:noProof/>
              </w:rPr>
            </w:pPr>
            <w:r>
              <w:rPr>
                <w:noProof/>
              </w:rPr>
              <w:t xml:space="preserve">Ugunsgrēku novēršanas procedūras </w:t>
            </w:r>
          </w:p>
          <w:p w14:paraId="640906AC" w14:textId="77777777" w:rsidR="00C972CB" w:rsidRDefault="002457F6">
            <w:pPr>
              <w:pStyle w:val="P68B1DB1-ListParagraph6"/>
              <w:numPr>
                <w:ilvl w:val="0"/>
                <w:numId w:val="115"/>
              </w:numPr>
              <w:spacing w:before="0" w:after="0" w:line="259" w:lineRule="auto"/>
              <w:jc w:val="left"/>
              <w:rPr>
                <w:noProof/>
              </w:rPr>
            </w:pPr>
            <w:r>
              <w:rPr>
                <w:noProof/>
              </w:rPr>
              <w:t xml:space="preserve">Īpašo ekonomisko zonu atļaujas </w:t>
            </w:r>
          </w:p>
          <w:p w14:paraId="4951E64D" w14:textId="77777777" w:rsidR="00C972CB" w:rsidRDefault="002457F6">
            <w:pPr>
              <w:pStyle w:val="P68B1DB1-ListParagraph6"/>
              <w:numPr>
                <w:ilvl w:val="0"/>
                <w:numId w:val="115"/>
              </w:numPr>
              <w:spacing w:before="0" w:after="0" w:line="259" w:lineRule="auto"/>
              <w:jc w:val="left"/>
              <w:rPr>
                <w:noProof/>
              </w:rPr>
            </w:pPr>
            <w:r>
              <w:rPr>
                <w:noProof/>
              </w:rPr>
              <w:t>Sabiedriskās drošības atļaujas</w:t>
            </w:r>
          </w:p>
          <w:p w14:paraId="65FCEE70" w14:textId="77777777" w:rsidR="00C972CB" w:rsidRDefault="002457F6">
            <w:pPr>
              <w:pStyle w:val="P68B1DB1-ListParagraph6"/>
              <w:numPr>
                <w:ilvl w:val="0"/>
                <w:numId w:val="115"/>
              </w:numPr>
              <w:spacing w:before="0" w:after="0" w:line="259" w:lineRule="auto"/>
              <w:jc w:val="left"/>
              <w:rPr>
                <w:noProof/>
              </w:rPr>
            </w:pPr>
            <w:r>
              <w:rPr>
                <w:noProof/>
              </w:rPr>
              <w:t xml:space="preserve">Ainavas atļaujas </w:t>
            </w:r>
          </w:p>
          <w:p w14:paraId="3354300E" w14:textId="77777777" w:rsidR="00C972CB" w:rsidRDefault="002457F6">
            <w:pPr>
              <w:pStyle w:val="P68B1DB1-ListParagraph6"/>
              <w:numPr>
                <w:ilvl w:val="0"/>
                <w:numId w:val="115"/>
              </w:numPr>
              <w:spacing w:before="0" w:after="0" w:line="259" w:lineRule="auto"/>
              <w:jc w:val="left"/>
              <w:rPr>
                <w:noProof/>
              </w:rPr>
            </w:pPr>
            <w:r>
              <w:rPr>
                <w:noProof/>
              </w:rPr>
              <w:t>Farmācijas un veselības atļaujas</w:t>
            </w:r>
          </w:p>
          <w:p w14:paraId="3FC45C1B" w14:textId="2874EC2C" w:rsidR="00C972CB" w:rsidRDefault="002457F6">
            <w:pPr>
              <w:pStyle w:val="P68B1DB1-ListParagraph6"/>
              <w:numPr>
                <w:ilvl w:val="0"/>
                <w:numId w:val="115"/>
              </w:numPr>
              <w:spacing w:after="160" w:line="257" w:lineRule="auto"/>
              <w:jc w:val="left"/>
              <w:rPr>
                <w:noProof/>
              </w:rPr>
            </w:pPr>
            <w:r>
              <w:rPr>
                <w:noProof/>
              </w:rPr>
              <w:t>Seismiskās un hidroģeoloģiskās procedūras/atļaujas</w:t>
            </w:r>
          </w:p>
        </w:tc>
      </w:tr>
      <w:tr w:rsidR="00C972CB" w14:paraId="4BC4D82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A8DE8" w14:textId="77777777" w:rsidR="00C972CB" w:rsidRDefault="002457F6">
            <w:pPr>
              <w:pStyle w:val="P68B1DB1-Normal5"/>
              <w:jc w:val="center"/>
              <w:rPr>
                <w:noProof/>
              </w:rPr>
            </w:pPr>
            <w:r>
              <w:rPr>
                <w:noProof/>
              </w:rPr>
              <w:t>M1C1–61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82CFED"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6F9E59" w14:textId="77777777" w:rsidR="00C972CB" w:rsidRDefault="002457F6">
            <w:pPr>
              <w:pStyle w:val="P68B1DB1-Normal5"/>
              <w:jc w:val="center"/>
              <w:rPr>
                <w:noProof/>
              </w:rPr>
            </w:pPr>
            <w:r>
              <w:rPr>
                <w:noProof/>
              </w:rPr>
              <w:t xml:space="preserve">Starpposma </w:t>
            </w:r>
            <w:r>
              <w:rPr>
                <w:noProof/>
              </w:rPr>
              <w:t>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AA1DD" w14:textId="77777777" w:rsidR="00C972CB" w:rsidRDefault="002457F6">
            <w:pPr>
              <w:pStyle w:val="P68B1DB1-Normal5"/>
              <w:jc w:val="center"/>
              <w:rPr>
                <w:noProof/>
              </w:rPr>
            </w:pPr>
            <w:r>
              <w:rPr>
                <w:noProof/>
              </w:rPr>
              <w:t xml:space="preserve"> Papildu 50 kritiski svarīgu procedūru kopuma, kas tieši ietekmē iedzīvotājus, vienkāršošanas un/vai digitalizācijas pabeigšana (tostarp visi deleģētie akti)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0537A" w14:textId="77777777" w:rsidR="00C972CB" w:rsidRDefault="002457F6">
            <w:pPr>
              <w:pStyle w:val="P68B1DB1-Normal5"/>
              <w:jc w:val="center"/>
              <w:rPr>
                <w:noProof/>
              </w:rPr>
            </w:pPr>
            <w:r>
              <w:rPr>
                <w:noProof/>
              </w:rPr>
              <w:t>Sekundāro tiesību aktu stāšanās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4F785D"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C96A2B"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ABA0D"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C07B09"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3CDAD7"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44A63" w14:textId="77777777" w:rsidR="00C972CB" w:rsidRDefault="002457F6">
            <w:pPr>
              <w:pStyle w:val="P68B1DB1-Normal5"/>
              <w:spacing w:after="120"/>
              <w:contextualSpacing/>
              <w:rPr>
                <w:noProof/>
              </w:rPr>
            </w:pPr>
            <w:r>
              <w:rPr>
                <w:noProof/>
              </w:rPr>
              <w:t xml:space="preserve">Vienkāršotas procedūras attiecas uz šādām jomām:  </w:t>
            </w:r>
          </w:p>
          <w:p w14:paraId="60C6A176" w14:textId="77777777" w:rsidR="00C972CB" w:rsidRDefault="002457F6">
            <w:pPr>
              <w:pStyle w:val="P68B1DB1-ListParagraph6"/>
              <w:numPr>
                <w:ilvl w:val="0"/>
                <w:numId w:val="114"/>
              </w:numPr>
              <w:spacing w:before="0" w:after="0"/>
              <w:ind w:left="173" w:hanging="141"/>
              <w:jc w:val="left"/>
              <w:rPr>
                <w:noProof/>
              </w:rPr>
            </w:pPr>
            <w:r>
              <w:rPr>
                <w:noProof/>
              </w:rPr>
              <w:t xml:space="preserve">Reģistrs un civilstāvoklis  </w:t>
            </w:r>
          </w:p>
          <w:p w14:paraId="3F2D227B" w14:textId="77777777" w:rsidR="00C972CB" w:rsidRDefault="002457F6">
            <w:pPr>
              <w:pStyle w:val="P68B1DB1-ListParagraph6"/>
              <w:numPr>
                <w:ilvl w:val="0"/>
                <w:numId w:val="114"/>
              </w:numPr>
              <w:spacing w:before="0" w:after="0"/>
              <w:ind w:left="173" w:hanging="141"/>
              <w:jc w:val="left"/>
              <w:rPr>
                <w:noProof/>
              </w:rPr>
            </w:pPr>
            <w:r>
              <w:rPr>
                <w:noProof/>
              </w:rPr>
              <w:t xml:space="preserve">Identitāte, digitālais domicils un piekļuve tiešsaistes pakalpojumiem </w:t>
            </w:r>
          </w:p>
          <w:p w14:paraId="612B0DFF" w14:textId="15898B8F" w:rsidR="00C972CB" w:rsidRDefault="002457F6">
            <w:pPr>
              <w:pStyle w:val="P68B1DB1-ListParagraph6"/>
              <w:numPr>
                <w:ilvl w:val="0"/>
                <w:numId w:val="114"/>
              </w:numPr>
              <w:spacing w:before="0"/>
              <w:ind w:left="173" w:hanging="141"/>
              <w:jc w:val="left"/>
              <w:rPr>
                <w:noProof/>
              </w:rPr>
            </w:pPr>
            <w:r>
              <w:rPr>
                <w:noProof/>
              </w:rPr>
              <w:t>Invaliditāte</w:t>
            </w:r>
          </w:p>
        </w:tc>
      </w:tr>
      <w:tr w:rsidR="00C972CB" w14:paraId="0BBD26A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585A5" w14:textId="77777777" w:rsidR="00C972CB" w:rsidRDefault="002457F6">
            <w:pPr>
              <w:pStyle w:val="P68B1DB1-Normal5"/>
              <w:jc w:val="center"/>
              <w:rPr>
                <w:noProof/>
              </w:rPr>
            </w:pPr>
            <w:r>
              <w:rPr>
                <w:noProof/>
              </w:rPr>
              <w:t>M1C1–62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04E23C"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7E2B9"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1C5A0" w14:textId="77777777" w:rsidR="00C972CB" w:rsidRDefault="002457F6">
            <w:pPr>
              <w:pStyle w:val="P68B1DB1-Normal5"/>
              <w:jc w:val="center"/>
              <w:rPr>
                <w:noProof/>
              </w:rPr>
            </w:pPr>
            <w:r>
              <w:rPr>
                <w:noProof/>
              </w:rPr>
              <w:t>Palielināt ieguldījumu apgūšanu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B74C9C" w14:textId="77777777" w:rsidR="00C972CB" w:rsidRDefault="002457F6">
            <w:pPr>
              <w:pStyle w:val="P68B1DB1-Normal5"/>
              <w:jc w:val="center"/>
              <w:rPr>
                <w:noProof/>
              </w:rPr>
            </w:pPr>
            <w:r>
              <w:rPr>
                <w:noProof/>
              </w:rPr>
              <w:t>Īstenošanas ziņojuma publicēšana, ko veic Finanšu ministrija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02F370"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1BF58"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565A87"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DBB26D"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8E115"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FA22C" w14:textId="77777777" w:rsidR="00C972CB" w:rsidRDefault="002457F6">
            <w:pPr>
              <w:pStyle w:val="P68B1DB1-Normal5"/>
              <w:spacing w:after="120"/>
              <w:rPr>
                <w:noProof/>
              </w:rPr>
            </w:pPr>
            <w:r>
              <w:rPr>
                <w:noProof/>
              </w:rPr>
              <w:t>Publicēt īstenošanas ziņojumu, lai novērtētu to darbību ietekmi, kuru mērķis ir sniegt tehnisko palīdzību un spēju veidošanu, uzlabot spēju plānot, pār</w:t>
            </w:r>
            <w:r>
              <w:rPr>
                <w:noProof/>
              </w:rPr>
              <w:t>valdīt un izpildīt kapitālizdevumus, kas finansēti no valsts budžeta, panāktu līdz 2024. gadam piešķirto papildu fonda resursu ievērojamu apguvi.</w:t>
            </w:r>
          </w:p>
        </w:tc>
      </w:tr>
      <w:tr w:rsidR="00C972CB" w14:paraId="6DCBE95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80EF78" w14:textId="77777777" w:rsidR="00C972CB" w:rsidRDefault="002457F6">
            <w:pPr>
              <w:pStyle w:val="P68B1DB1-Normal5"/>
              <w:jc w:val="center"/>
              <w:rPr>
                <w:noProof/>
              </w:rPr>
            </w:pPr>
            <w:r>
              <w:rPr>
                <w:noProof/>
              </w:rPr>
              <w:t>M1C1–63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FB2C6"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2A2A39"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8E3A5" w14:textId="134BF2AD" w:rsidR="00C972CB" w:rsidRDefault="002457F6">
            <w:pPr>
              <w:pStyle w:val="P68B1DB1-Normal5"/>
              <w:jc w:val="center"/>
              <w:rPr>
                <w:noProof/>
              </w:rPr>
            </w:pPr>
            <w:r>
              <w:rPr>
                <w:noProof/>
              </w:rPr>
              <w:t xml:space="preserve">Pabeigt vienkāršošanu un izveidot visu </w:t>
            </w:r>
            <w:r>
              <w:rPr>
                <w:noProof/>
              </w:rPr>
              <w:t>vienkāršoto procedūru un atbilstošo administratīvo režīmu repozitoriju ar pilnu juridisko spēku visā valsts teritorijā.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1E372" w14:textId="77777777" w:rsidR="00C972CB" w:rsidRDefault="002457F6">
            <w:pPr>
              <w:pStyle w:val="P68B1DB1-Normal5"/>
              <w:jc w:val="center"/>
              <w:rPr>
                <w:noProof/>
              </w:rPr>
            </w:pPr>
            <w:r>
              <w:rPr>
                <w:noProof/>
              </w:rPr>
              <w:t>Repozitorija publicēšana attiecīgās nozaru ministrijas tīmekļa vietnē</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9F503A"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58350"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B370D"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1BE742"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839A6E"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8446D" w14:textId="77777777" w:rsidR="00C972CB" w:rsidRDefault="002457F6">
            <w:pPr>
              <w:pStyle w:val="P68B1DB1-Normal5"/>
              <w:rPr>
                <w:noProof/>
              </w:rPr>
            </w:pPr>
            <w:r>
              <w:rPr>
                <w:noProof/>
              </w:rPr>
              <w:t>Procesuālo režīmu pārba</w:t>
            </w:r>
            <w:r>
              <w:rPr>
                <w:noProof/>
              </w:rPr>
              <w:t xml:space="preserve">udi veic attiecībā uz visām vienkāršotajām procedūrām. </w:t>
            </w:r>
          </w:p>
          <w:p w14:paraId="5BF5FAF6" w14:textId="77777777" w:rsidR="00C972CB" w:rsidRDefault="002457F6">
            <w:pPr>
              <w:pStyle w:val="P68B1DB1-Normal5"/>
              <w:rPr>
                <w:noProof/>
              </w:rPr>
            </w:pPr>
            <w:r>
              <w:rPr>
                <w:noProof/>
              </w:rPr>
              <w:t>Arī šādu elementu pārbaude un uzraudzība:</w:t>
            </w:r>
          </w:p>
          <w:p w14:paraId="06A9A8C1" w14:textId="77777777" w:rsidR="00C972CB" w:rsidRDefault="002457F6">
            <w:pPr>
              <w:pStyle w:val="P68B1DB1-ListParagraph6"/>
              <w:numPr>
                <w:ilvl w:val="0"/>
                <w:numId w:val="130"/>
              </w:numPr>
              <w:ind w:left="313" w:hanging="283"/>
              <w:jc w:val="left"/>
              <w:rPr>
                <w:noProof/>
              </w:rPr>
            </w:pPr>
            <w:r>
              <w:rPr>
                <w:noProof/>
              </w:rPr>
              <w:t xml:space="preserve">Vienkāršoto procedūru efektīvu īstenošanu, </w:t>
            </w:r>
          </w:p>
          <w:p w14:paraId="35BBB17B" w14:textId="77777777" w:rsidR="00C972CB" w:rsidRDefault="002457F6">
            <w:pPr>
              <w:pStyle w:val="P68B1DB1-ListParagraph6"/>
              <w:numPr>
                <w:ilvl w:val="0"/>
                <w:numId w:val="130"/>
              </w:numPr>
              <w:ind w:left="313" w:hanging="283"/>
              <w:jc w:val="left"/>
              <w:rPr>
                <w:noProof/>
              </w:rPr>
            </w:pPr>
            <w:r>
              <w:rPr>
                <w:noProof/>
              </w:rPr>
              <w:t xml:space="preserve">jaunas standartizētas veidlapas un </w:t>
            </w:r>
          </w:p>
          <w:p w14:paraId="7C948C74" w14:textId="77777777" w:rsidR="00C972CB" w:rsidRDefault="002457F6">
            <w:pPr>
              <w:pStyle w:val="P68B1DB1-ListParagraph6"/>
              <w:numPr>
                <w:ilvl w:val="0"/>
                <w:numId w:val="130"/>
              </w:numPr>
              <w:ind w:left="313" w:hanging="283"/>
              <w:jc w:val="left"/>
              <w:rPr>
                <w:noProof/>
              </w:rPr>
            </w:pPr>
            <w:r>
              <w:rPr>
                <w:noProof/>
              </w:rPr>
              <w:t>attiecīgā digitalizētā pārvaldība</w:t>
            </w:r>
          </w:p>
          <w:p w14:paraId="69DD36FF" w14:textId="77777777" w:rsidR="00C972CB" w:rsidRDefault="002457F6">
            <w:pPr>
              <w:pStyle w:val="P68B1DB1-Normal5"/>
              <w:rPr>
                <w:noProof/>
              </w:rPr>
            </w:pPr>
            <w:r>
              <w:rPr>
                <w:noProof/>
              </w:rPr>
              <w:t xml:space="preserve">nodrošina. </w:t>
            </w:r>
          </w:p>
          <w:p w14:paraId="6693D463" w14:textId="77777777" w:rsidR="00C972CB" w:rsidRDefault="00C972CB">
            <w:pPr>
              <w:rPr>
                <w:rFonts w:ascii="Arial Narrow" w:hAnsi="Arial Narrow" w:cs="Arial"/>
                <w:noProof/>
                <w:color w:val="006100"/>
                <w:sz w:val="20"/>
              </w:rPr>
            </w:pPr>
          </w:p>
          <w:p w14:paraId="5047CE8D" w14:textId="77777777" w:rsidR="00C972CB" w:rsidRDefault="002457F6">
            <w:pPr>
              <w:pStyle w:val="P68B1DB1-Normal5"/>
              <w:spacing w:after="120"/>
              <w:rPr>
                <w:noProof/>
              </w:rPr>
            </w:pPr>
            <w:r>
              <w:rPr>
                <w:noProof/>
              </w:rPr>
              <w:t>Vienkāršošanu piemēro kopumā 60</w:t>
            </w:r>
            <w:r>
              <w:rPr>
                <w:noProof/>
              </w:rPr>
              <w:t xml:space="preserve">0 kritiski svarīgām procedūrām, tostarp tām, uz kurām attiecas M1C1 60. un M1C1 61. starpposma mērķi. </w:t>
            </w:r>
          </w:p>
        </w:tc>
      </w:tr>
      <w:tr w:rsidR="00C972CB" w14:paraId="70BE381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C37A95" w14:textId="77777777" w:rsidR="00C972CB" w:rsidRDefault="002457F6">
            <w:pPr>
              <w:pStyle w:val="P68B1DB1-Normal5"/>
              <w:jc w:val="center"/>
              <w:rPr>
                <w:noProof/>
              </w:rPr>
            </w:pPr>
            <w:r>
              <w:rPr>
                <w:noProof/>
              </w:rPr>
              <w:t>M1C1–64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28729" w14:textId="77777777" w:rsidR="00C972CB" w:rsidRDefault="002457F6">
            <w:pPr>
              <w:pStyle w:val="P68B1DB1-Normal5"/>
              <w:jc w:val="center"/>
              <w:rPr>
                <w:noProof/>
              </w:rPr>
            </w:pPr>
            <w:r>
              <w:rPr>
                <w:noProof/>
              </w:rPr>
              <w:t>Ieguldījums 1.9: Sniegt tehnisko palīdzību un stiprināt spēju veidošanu Itālijas atveseļošanas un noturības plāna īstenošanai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481259"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4D419" w14:textId="77777777" w:rsidR="00C972CB" w:rsidRDefault="002457F6">
            <w:pPr>
              <w:pStyle w:val="P68B1DB1-Normal5"/>
              <w:jc w:val="center"/>
              <w:rPr>
                <w:noProof/>
              </w:rPr>
            </w:pPr>
            <w:r>
              <w:rPr>
                <w:noProof/>
              </w:rPr>
              <w:t>Izglītība un</w:t>
            </w:r>
            <w:r>
              <w:rPr>
                <w:noProof/>
              </w:rPr>
              <w:t xml:space="preserve"> apmācība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98EFD"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6F3376"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60E82"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771FF" w14:textId="77777777" w:rsidR="00C972CB" w:rsidRDefault="002457F6">
            <w:pPr>
              <w:pStyle w:val="P68B1DB1-Normal5"/>
              <w:jc w:val="center"/>
              <w:rPr>
                <w:noProof/>
              </w:rPr>
            </w:pPr>
            <w:r>
              <w:rPr>
                <w:noProof/>
              </w:rPr>
              <w:t>350 000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20D9"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1FD2D"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A60BE" w14:textId="77777777" w:rsidR="00C972CB" w:rsidRDefault="002457F6">
            <w:pPr>
              <w:pStyle w:val="P68B1DB1-Normal5"/>
              <w:spacing w:after="120"/>
              <w:rPr>
                <w:noProof/>
              </w:rPr>
            </w:pPr>
            <w:r>
              <w:rPr>
                <w:noProof/>
              </w:rPr>
              <w:t>Vismaz 350000 centrālās publiskās pārvaldes iestāžu publiskā sektora darbinieku, kas iesaistījušies prasmju pilnveides vai pārkvalifikācijas iniciatīvās.</w:t>
            </w:r>
          </w:p>
        </w:tc>
      </w:tr>
      <w:tr w:rsidR="00C972CB" w14:paraId="3ADE9C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B50E7" w14:textId="77777777" w:rsidR="00C972CB" w:rsidRDefault="002457F6">
            <w:pPr>
              <w:pStyle w:val="P68B1DB1-Normal5"/>
              <w:jc w:val="center"/>
              <w:rPr>
                <w:noProof/>
              </w:rPr>
            </w:pPr>
            <w:r>
              <w:rPr>
                <w:noProof/>
              </w:rPr>
              <w:t>M1C1–65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B99BE" w14:textId="77777777" w:rsidR="00C972CB" w:rsidRDefault="002457F6">
            <w:pPr>
              <w:pStyle w:val="P68B1DB1-Normal5"/>
              <w:jc w:val="center"/>
              <w:rPr>
                <w:noProof/>
              </w:rPr>
            </w:pPr>
            <w:r>
              <w:rPr>
                <w:noProof/>
              </w:rPr>
              <w:t xml:space="preserve">Ieguldījums 1.9: Sniegt tehnisko palīdzību </w:t>
            </w:r>
            <w:r>
              <w:rPr>
                <w:noProof/>
              </w:rPr>
              <w:t>un stiprināt spēju veidošanu Itālijas atveseļošanas un noturības plāna īstenošanai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A5D01C"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2DA3F5" w14:textId="77777777" w:rsidR="00C972CB" w:rsidRDefault="002457F6">
            <w:pPr>
              <w:pStyle w:val="P68B1DB1-Normal5"/>
              <w:jc w:val="center"/>
              <w:rPr>
                <w:noProof/>
              </w:rPr>
            </w:pPr>
            <w:r>
              <w:rPr>
                <w:noProof/>
              </w:rPr>
              <w:t>Izglītība un apmācība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F7A30D"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71AA3"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5D527"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F0F42" w14:textId="77777777" w:rsidR="00C972CB" w:rsidRDefault="002457F6">
            <w:pPr>
              <w:pStyle w:val="P68B1DB1-Normal5"/>
              <w:jc w:val="center"/>
              <w:rPr>
                <w:noProof/>
              </w:rPr>
            </w:pPr>
            <w:r>
              <w:rPr>
                <w:noProof/>
              </w:rPr>
              <w:t>400 000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94BDE"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3044EA"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08080" w14:textId="77777777" w:rsidR="00C972CB" w:rsidRDefault="002457F6">
            <w:pPr>
              <w:pStyle w:val="P68B1DB1-Normal5"/>
              <w:spacing w:after="120"/>
              <w:rPr>
                <w:noProof/>
              </w:rPr>
            </w:pPr>
            <w:r>
              <w:rPr>
                <w:noProof/>
              </w:rPr>
              <w:t xml:space="preserve">Vismaz 400000 citu publiskās pārvaldes iestāžu publiskā sektora darbinieku, kas iesaistījušies prasmju </w:t>
            </w:r>
            <w:r>
              <w:rPr>
                <w:noProof/>
              </w:rPr>
              <w:t>pilnveides vai pārkvalifikācijas iniciatīvās.</w:t>
            </w:r>
          </w:p>
        </w:tc>
      </w:tr>
      <w:tr w:rsidR="00C972CB" w14:paraId="356DD75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2230B9" w14:textId="77777777" w:rsidR="00C972CB" w:rsidRDefault="002457F6">
            <w:pPr>
              <w:pStyle w:val="P68B1DB1-Normal5"/>
              <w:jc w:val="center"/>
              <w:rPr>
                <w:noProof/>
              </w:rPr>
            </w:pPr>
            <w:r>
              <w:rPr>
                <w:noProof/>
              </w:rPr>
              <w:t>M1C1–66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3E9DE" w14:textId="77777777" w:rsidR="00C972CB" w:rsidRDefault="002457F6">
            <w:pPr>
              <w:pStyle w:val="P68B1DB1-Normal5"/>
              <w:jc w:val="center"/>
              <w:rPr>
                <w:noProof/>
              </w:rPr>
            </w:pPr>
            <w:r>
              <w:rPr>
                <w:noProof/>
              </w:rPr>
              <w:t>Ieguldījums 1.9: Sniegt tehnisko palīdzību un stiprināt spēju veidošanu Itālijas atveseļošanas un noturības plāna īstenošanai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1FE07C"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F3D22F" w14:textId="77777777" w:rsidR="00C972CB" w:rsidRDefault="002457F6">
            <w:pPr>
              <w:pStyle w:val="P68B1DB1-Normal5"/>
              <w:jc w:val="center"/>
              <w:rPr>
                <w:noProof/>
              </w:rPr>
            </w:pPr>
            <w:r>
              <w:rPr>
                <w:noProof/>
              </w:rPr>
              <w:t>Izglītība un apmācība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32673"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6C74C"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866F4"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228F43" w14:textId="77777777" w:rsidR="00C972CB" w:rsidRDefault="002457F6">
            <w:pPr>
              <w:pStyle w:val="P68B1DB1-Normal5"/>
              <w:jc w:val="center"/>
              <w:rPr>
                <w:noProof/>
              </w:rPr>
            </w:pPr>
            <w:r>
              <w:rPr>
                <w:noProof/>
              </w:rPr>
              <w:t>245 000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DEBC81"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F27F6D"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0F34EA" w14:textId="77777777" w:rsidR="00C972CB" w:rsidRDefault="002457F6">
            <w:pPr>
              <w:pStyle w:val="P68B1DB1-Normal5"/>
              <w:spacing w:after="120"/>
              <w:rPr>
                <w:noProof/>
              </w:rPr>
            </w:pPr>
            <w:r>
              <w:rPr>
                <w:noProof/>
              </w:rPr>
              <w:t xml:space="preserve">Vismaz </w:t>
            </w:r>
            <w:r>
              <w:rPr>
                <w:noProof/>
              </w:rPr>
              <w:t>245000 (70 %) centrālās valsts pārvaldes iestāžu darbinieki sekmīgi pabeidza mācību iniciatīvas, kas minētas M1C1–64. punktā (oficiāla sertifikācija vai ietekmes novērtējums).</w:t>
            </w:r>
          </w:p>
        </w:tc>
      </w:tr>
      <w:tr w:rsidR="00C972CB" w14:paraId="599A61D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9FDE4" w14:textId="77777777" w:rsidR="00C972CB" w:rsidRDefault="002457F6">
            <w:pPr>
              <w:pStyle w:val="P68B1DB1-Normal5"/>
              <w:jc w:val="center"/>
              <w:rPr>
                <w:noProof/>
              </w:rPr>
            </w:pPr>
            <w:r>
              <w:rPr>
                <w:noProof/>
              </w:rPr>
              <w:t>M1C1–67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BDE7E7" w14:textId="77777777" w:rsidR="00C972CB" w:rsidRDefault="002457F6">
            <w:pPr>
              <w:pStyle w:val="P68B1DB1-Normal5"/>
              <w:jc w:val="center"/>
              <w:rPr>
                <w:noProof/>
              </w:rPr>
            </w:pPr>
            <w:r>
              <w:rPr>
                <w:noProof/>
              </w:rPr>
              <w:t>Ieguldījums 1.9: Sniegt tehnisko palīdzību un stiprināt spēju veidošanu Itālijas atveseļošanas un noturības plāna īstenošanai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634C0"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28D8D" w14:textId="77777777" w:rsidR="00C972CB" w:rsidRDefault="002457F6">
            <w:pPr>
              <w:pStyle w:val="P68B1DB1-Normal5"/>
              <w:jc w:val="center"/>
              <w:rPr>
                <w:noProof/>
              </w:rPr>
            </w:pPr>
            <w:r>
              <w:rPr>
                <w:noProof/>
              </w:rPr>
              <w:t>Izglītība un apmācība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8D5854"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25CF7"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063"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9CBF2" w14:textId="77777777" w:rsidR="00C972CB" w:rsidRDefault="002457F6">
            <w:pPr>
              <w:pStyle w:val="P68B1DB1-Normal5"/>
              <w:jc w:val="center"/>
              <w:rPr>
                <w:noProof/>
              </w:rPr>
            </w:pPr>
            <w:r>
              <w:rPr>
                <w:noProof/>
              </w:rPr>
              <w:t>280 000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1BEA2"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2B1DC6"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22155C" w14:textId="77777777" w:rsidR="00C972CB" w:rsidRDefault="002457F6">
            <w:pPr>
              <w:pStyle w:val="P68B1DB1-Normal5"/>
              <w:spacing w:after="120"/>
              <w:rPr>
                <w:noProof/>
              </w:rPr>
            </w:pPr>
            <w:r>
              <w:rPr>
                <w:noProof/>
              </w:rPr>
              <w:t>Vismaz 280000 (70 %) citu valsts pārvaldes iestāžu darbinieki sekmīgi pabeiguši mācību iniciatīvas, kas minētas M1C1–65. punktā (oficiāla sertifikācija vai ietekmes novērtējums).</w:t>
            </w:r>
          </w:p>
        </w:tc>
      </w:tr>
      <w:tr w:rsidR="00C972CB" w14:paraId="7CB7F2F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8FD15" w14:textId="77777777" w:rsidR="00C972CB" w:rsidRDefault="002457F6">
            <w:pPr>
              <w:pStyle w:val="P68B1DB1-Normal5"/>
              <w:jc w:val="center"/>
              <w:rPr>
                <w:noProof/>
              </w:rPr>
            </w:pPr>
            <w:r>
              <w:rPr>
                <w:noProof/>
              </w:rPr>
              <w:t>M1C1–68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1BF08" w14:textId="77777777" w:rsidR="00C972CB" w:rsidRDefault="002457F6">
            <w:pPr>
              <w:pStyle w:val="P68B1DB1-Normal5"/>
              <w:jc w:val="center"/>
              <w:rPr>
                <w:noProof/>
              </w:rPr>
            </w:pPr>
            <w:r>
              <w:rPr>
                <w:noProof/>
              </w:rPr>
              <w:t>Reforma: Valsts pārvaldes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0A7CC8"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61EDA2" w14:textId="77777777" w:rsidR="00C972CB" w:rsidRDefault="002457F6">
            <w:pPr>
              <w:pStyle w:val="P68B1DB1-Normal5"/>
              <w:jc w:val="center"/>
              <w:rPr>
                <w:noProof/>
              </w:rPr>
            </w:pPr>
            <w:r>
              <w:rPr>
                <w:noProof/>
              </w:rPr>
              <w:t xml:space="preserve">Revīzijas un </w:t>
            </w:r>
            <w:r>
              <w:rPr>
                <w:noProof/>
              </w:rPr>
              <w:t>kontroles repozitorija sistēma: informācija ANM īstenošanas uzraudzībai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625C2" w14:textId="77777777" w:rsidR="00C972CB" w:rsidRDefault="002457F6">
            <w:pPr>
              <w:pStyle w:val="P68B1DB1-Normal5"/>
              <w:jc w:val="center"/>
              <w:rPr>
                <w:noProof/>
              </w:rPr>
            </w:pPr>
            <w:r>
              <w:rPr>
                <w:noProof/>
              </w:rPr>
              <w:t>Revīzijas ziņojums, kas apstiprina repozitorija sistēmas funkcijas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36F61"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47EEE"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564E20"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FD70C"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9D4C1"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93DCE9" w14:textId="77777777" w:rsidR="00C972CB" w:rsidRDefault="002457F6">
            <w:pPr>
              <w:pStyle w:val="P68B1DB1-Normal5"/>
              <w:spacing w:after="120"/>
              <w:rPr>
                <w:noProof/>
              </w:rPr>
            </w:pPr>
            <w:r>
              <w:rPr>
                <w:noProof/>
              </w:rPr>
              <w:t>Ir izveidota un darbojas repozitorija sistēma ANM īstenošanas uzraudzībai.</w:t>
            </w:r>
          </w:p>
          <w:p w14:paraId="6B8EA697" w14:textId="77777777" w:rsidR="00C972CB" w:rsidRDefault="002457F6">
            <w:pPr>
              <w:pStyle w:val="P68B1DB1-Normal5"/>
              <w:spacing w:after="120"/>
              <w:rPr>
                <w:noProof/>
              </w:rPr>
            </w:pPr>
            <w:r>
              <w:rPr>
                <w:noProof/>
              </w:rPr>
              <w:t>Sistēmai ir vismaz šādas funkcijas:</w:t>
            </w:r>
          </w:p>
          <w:p w14:paraId="5A99E7CA" w14:textId="77777777" w:rsidR="00C972CB" w:rsidRDefault="002457F6">
            <w:pPr>
              <w:pStyle w:val="P68B1DB1-Normal5"/>
              <w:spacing w:after="120"/>
              <w:rPr>
                <w:noProof/>
              </w:rPr>
            </w:pPr>
            <w:r>
              <w:rPr>
                <w:noProof/>
              </w:rPr>
              <w:t>vāc datus un uzrauga atskaites punktu un mērķrādītāju sasniegšanu;</w:t>
            </w:r>
          </w:p>
          <w:p w14:paraId="5D5E10D0" w14:textId="77777777" w:rsidR="00C972CB" w:rsidRDefault="002457F6">
            <w:pPr>
              <w:pStyle w:val="P68B1DB1-Normal5"/>
              <w:spacing w:after="120"/>
              <w:rPr>
                <w:noProof/>
              </w:rPr>
            </w:pPr>
            <w:r>
              <w:rPr>
                <w:noProof/>
              </w:rPr>
              <w:t>vāc, uzglabā un nodrošina piekļuvi datiem, kas prasīti ANM regulas 22. panta 2. punkta d) apakšpunkta i)–iii) punktā.</w:t>
            </w:r>
          </w:p>
        </w:tc>
      </w:tr>
      <w:tr w:rsidR="00C972CB" w14:paraId="591C282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20F02" w14:textId="77777777" w:rsidR="00C972CB" w:rsidRDefault="002457F6">
            <w:pPr>
              <w:pStyle w:val="P68B1DB1-Normal5"/>
              <w:jc w:val="center"/>
              <w:rPr>
                <w:noProof/>
              </w:rPr>
            </w:pPr>
            <w:r>
              <w:rPr>
                <w:noProof/>
              </w:rPr>
              <w:t>M1C1–69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3688A1" w14:textId="77777777" w:rsidR="00C972CB" w:rsidRDefault="002457F6">
            <w:pPr>
              <w:pStyle w:val="P68B1DB1-Normal5"/>
              <w:jc w:val="center"/>
              <w:rPr>
                <w:noProof/>
              </w:rPr>
            </w:pPr>
            <w:r>
              <w:rPr>
                <w:noProof/>
              </w:rPr>
              <w:t xml:space="preserve">Reforma: Publiskā </w:t>
            </w:r>
            <w:r>
              <w:rPr>
                <w:noProof/>
              </w:rPr>
              <w:t>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47E94"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8B16F" w14:textId="77777777" w:rsidR="00C972CB" w:rsidRDefault="002457F6">
            <w:pPr>
              <w:pStyle w:val="P68B1DB1-Normal5"/>
              <w:jc w:val="center"/>
              <w:rPr>
                <w:noProof/>
              </w:rPr>
            </w:pPr>
            <w:r>
              <w:rPr>
                <w:noProof/>
              </w:rPr>
              <w:t>Noteikumu par publiskā iepirkuma sistēmas vienkāršošanu stāšanās spēkā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B59B" w14:textId="77777777" w:rsidR="00C972CB" w:rsidRDefault="002457F6">
            <w:pPr>
              <w:pStyle w:val="P68B1DB1-Normal5"/>
              <w:jc w:val="center"/>
              <w:rPr>
                <w:noProof/>
              </w:rPr>
            </w:pPr>
            <w:r>
              <w:rPr>
                <w:noProof/>
              </w:rPr>
              <w:t>Likuma norma, kas norāda uz likuma stāšanos spēkā, lai vienkāršotu publiskā iepirkuma sistēmu.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2E3B0"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F58B64"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F13480"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7DCAF" w14:textId="77777777" w:rsidR="00C972CB" w:rsidRDefault="002457F6">
            <w:pPr>
              <w:pStyle w:val="P68B1DB1-Normal5"/>
              <w:jc w:val="center"/>
              <w:rPr>
                <w:noProof/>
              </w:rPr>
            </w:pPr>
            <w:r>
              <w:rPr>
                <w:noProof/>
              </w:rPr>
              <w:t xml:space="preserve">2. </w:t>
            </w:r>
            <w:r>
              <w:rPr>
                <w:noProof/>
              </w:rPr>
              <w:t>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59D24E"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5E50A" w14:textId="77777777" w:rsidR="00C972CB" w:rsidRDefault="002457F6">
            <w:pPr>
              <w:pStyle w:val="P68B1DB1-Normal5"/>
              <w:spacing w:after="120"/>
              <w:rPr>
                <w:noProof/>
              </w:rPr>
            </w:pPr>
            <w:r>
              <w:rPr>
                <w:noProof/>
              </w:rPr>
              <w:t>Likums vienkāršo publiskā iepirkuma sistēmu ar vismaz šādiem steidzamiem pasākumiem:</w:t>
            </w:r>
          </w:p>
          <w:p w14:paraId="3C906276" w14:textId="77777777" w:rsidR="00C972CB" w:rsidRDefault="002457F6">
            <w:pPr>
              <w:pStyle w:val="P68B1DB1-Normal5"/>
              <w:spacing w:after="120"/>
              <w:rPr>
                <w:noProof/>
              </w:rPr>
            </w:pPr>
            <w:r>
              <w:rPr>
                <w:noProof/>
              </w:rPr>
              <w:t>I. Nosaka mērķus, lai samazinātu laiku starp publicēšanu un līguma slēgšanas tiesību piešķiršanu.</w:t>
            </w:r>
          </w:p>
          <w:p w14:paraId="0A1E1AB1" w14:textId="77777777" w:rsidR="00C972CB" w:rsidRDefault="002457F6">
            <w:pPr>
              <w:pStyle w:val="P68B1DB1-Normal5"/>
              <w:spacing w:after="120"/>
              <w:rPr>
                <w:noProof/>
              </w:rPr>
            </w:pPr>
            <w:r>
              <w:rPr>
                <w:noProof/>
              </w:rPr>
              <w:t xml:space="preserve">II. Nosaka mērķus un uzraudzības sistēmu, lai samazinātu laiku </w:t>
            </w:r>
            <w:r>
              <w:rPr>
                <w:noProof/>
              </w:rPr>
              <w:t>starp līguma slēgšanas tiesību piešķiršanu un infrastruktūras pabeigšanu (“fase esecutiva”).</w:t>
            </w:r>
          </w:p>
          <w:p w14:paraId="3FF2B944" w14:textId="77777777" w:rsidR="00C972CB" w:rsidRDefault="002457F6">
            <w:pPr>
              <w:pStyle w:val="P68B1DB1-Normal5"/>
              <w:spacing w:after="120"/>
              <w:rPr>
                <w:noProof/>
              </w:rPr>
            </w:pPr>
            <w:r>
              <w:rPr>
                <w:noProof/>
              </w:rPr>
              <w:t>III. Prasa, lai visu līgumu dati tiktu reģistrēti valsts korupcijas apkarošanas iestādes (ANAC) pretkorupcijas datubāzē.</w:t>
            </w:r>
          </w:p>
          <w:p w14:paraId="5DBA2BAF" w14:textId="77777777" w:rsidR="00C972CB" w:rsidRDefault="002457F6">
            <w:pPr>
              <w:pStyle w:val="P68B1DB1-Normal5"/>
              <w:spacing w:after="120"/>
              <w:rPr>
                <w:noProof/>
              </w:rPr>
            </w:pPr>
            <w:r>
              <w:rPr>
                <w:noProof/>
              </w:rPr>
              <w:t xml:space="preserve">IV. Īstenot un stimulēt alternatīvus </w:t>
            </w:r>
            <w:r>
              <w:rPr>
                <w:noProof/>
              </w:rPr>
              <w:t>strīdu izšķiršanas mehānismus publisko līgumu izpildes posmā.</w:t>
            </w:r>
          </w:p>
          <w:p w14:paraId="4A2ACB70" w14:textId="77777777" w:rsidR="00C972CB" w:rsidRDefault="002457F6">
            <w:pPr>
              <w:pStyle w:val="P68B1DB1-Normal5"/>
              <w:spacing w:after="120"/>
              <w:rPr>
                <w:noProof/>
              </w:rPr>
            </w:pPr>
            <w:r>
              <w:rPr>
                <w:noProof/>
              </w:rPr>
              <w:t>v. izveido īpašus birojus, kas atbild par publiskā iepirkuma procedūrām ministrijās, reģionos un lielpilsētu pilsētās.</w:t>
            </w:r>
          </w:p>
          <w:p w14:paraId="66CB72FC" w14:textId="77777777" w:rsidR="00C972CB" w:rsidRDefault="002457F6">
            <w:pPr>
              <w:pStyle w:val="P68B1DB1-Normal5"/>
              <w:spacing w:after="120"/>
              <w:rPr>
                <w:noProof/>
              </w:rPr>
            </w:pPr>
            <w:r>
              <w:rPr>
                <w:noProof/>
              </w:rPr>
              <w:t>Papildu specifikācijas:</w:t>
            </w:r>
          </w:p>
          <w:p w14:paraId="26070B95" w14:textId="5F65CD1E" w:rsidR="00C972CB" w:rsidRDefault="002457F6">
            <w:pPr>
              <w:pStyle w:val="P68B1DB1-Normal5"/>
              <w:spacing w:after="120"/>
              <w:rPr>
                <w:noProof/>
              </w:rPr>
            </w:pPr>
            <w:r>
              <w:rPr>
                <w:noProof/>
              </w:rPr>
              <w:t>Centralizēto iepirkumu struktūru (“centrali di Comm</w:t>
            </w:r>
            <w:r>
              <w:rPr>
                <w:noProof/>
              </w:rPr>
              <w:t>tenza”) procedūru vienkāršošana un digitalizācija;</w:t>
            </w:r>
          </w:p>
          <w:p w14:paraId="77542B64" w14:textId="5F7AE2F8" w:rsidR="00C972CB" w:rsidRDefault="002457F6">
            <w:pPr>
              <w:pStyle w:val="P68B1DB1-Normal5"/>
              <w:spacing w:after="120"/>
              <w:rPr>
                <w:noProof/>
              </w:rPr>
            </w:pPr>
            <w:r>
              <w:rPr>
                <w:noProof/>
              </w:rPr>
              <w:t>—Īstenot spēkā esošā Publiskā iepirkuma kodeksa 41. un 44. pantu;</w:t>
            </w:r>
          </w:p>
          <w:p w14:paraId="73119A7B" w14:textId="08623397" w:rsidR="00C972CB" w:rsidRDefault="002457F6">
            <w:pPr>
              <w:pStyle w:val="P68B1DB1-Normal5"/>
              <w:spacing w:after="120"/>
              <w:rPr>
                <w:noProof/>
              </w:rPr>
            </w:pPr>
            <w:r>
              <w:rPr>
                <w:noProof/>
              </w:rPr>
              <w:t>Noteikt, kā būtu jādigitalizē procedūras attiecībā uz visiem publiskajiem līgumiem un koncesijām, un noteikt sadarbspējas un savienojamības</w:t>
            </w:r>
            <w:r>
              <w:rPr>
                <w:noProof/>
              </w:rPr>
              <w:t xml:space="preserve"> prasības;</w:t>
            </w:r>
          </w:p>
          <w:p w14:paraId="056043F8" w14:textId="58C60AED" w:rsidR="00C972CB" w:rsidRDefault="002457F6">
            <w:pPr>
              <w:pStyle w:val="P68B1DB1-Normal5"/>
              <w:spacing w:after="120"/>
              <w:rPr>
                <w:noProof/>
              </w:rPr>
            </w:pPr>
            <w:r>
              <w:rPr>
                <w:noProof/>
              </w:rPr>
              <w:t>Īstenot spēkā esošā Publiskā iepirkuma kodeksa 44. pantu.0</w:t>
            </w:r>
          </w:p>
        </w:tc>
      </w:tr>
      <w:tr w:rsidR="00C972CB" w14:paraId="60B8C90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3C6C2E" w14:textId="77777777" w:rsidR="00C972CB" w:rsidRDefault="002457F6">
            <w:pPr>
              <w:pStyle w:val="P68B1DB1-Normal5"/>
              <w:jc w:val="center"/>
              <w:rPr>
                <w:noProof/>
              </w:rPr>
            </w:pPr>
            <w:r>
              <w:rPr>
                <w:noProof/>
              </w:rPr>
              <w:t>M1C1–70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EF3A8"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650CB"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7650A3" w14:textId="77777777" w:rsidR="00C972CB" w:rsidRDefault="002457F6">
            <w:pPr>
              <w:pStyle w:val="P68B1DB1-Normal5"/>
              <w:jc w:val="center"/>
              <w:rPr>
                <w:noProof/>
              </w:rPr>
            </w:pPr>
            <w:r>
              <w:rPr>
                <w:noProof/>
              </w:rPr>
              <w:t>Publiskā iepirkuma kodeksa pārskatīšanas stāšanās spēkā (D.Lgs. Nr. 50/2016)</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0075B2" w14:textId="77777777" w:rsidR="00C972CB" w:rsidRDefault="002457F6">
            <w:pPr>
              <w:pStyle w:val="P68B1DB1-Normal5"/>
              <w:jc w:val="center"/>
              <w:rPr>
                <w:noProof/>
              </w:rPr>
            </w:pPr>
            <w:r>
              <w:rPr>
                <w:noProof/>
              </w:rPr>
              <w:t xml:space="preserve">Likuma norma, kas norāda, </w:t>
            </w:r>
            <w:r>
              <w:rPr>
                <w:noProof/>
              </w:rPr>
              <w:t>ka stājas spēkā Delegācijas likums, ar kuru tiek reformēts pašreizējais Publisko iepirkumu sistēmas kodekss (D.Lgs. Nr. 50/2016)</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030DE"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F6A39"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AAE1AC"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082F0"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C09FA"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A79F07" w14:textId="77777777" w:rsidR="00C972CB" w:rsidRDefault="002457F6">
            <w:pPr>
              <w:pStyle w:val="P68B1DB1-Normal5"/>
              <w:spacing w:after="120"/>
              <w:rPr>
                <w:noProof/>
              </w:rPr>
            </w:pPr>
            <w:r>
              <w:rPr>
                <w:noProof/>
              </w:rPr>
              <w:t>Šajā likumā ir noteikti precīzi kritēriji un principi Publisko iepirkumu kodeksa sis</w:t>
            </w:r>
            <w:r>
              <w:rPr>
                <w:noProof/>
              </w:rPr>
              <w:t>tēmiskajai reformai.</w:t>
            </w:r>
          </w:p>
          <w:p w14:paraId="628C95E6" w14:textId="77777777" w:rsidR="00C972CB" w:rsidRDefault="002457F6">
            <w:pPr>
              <w:pStyle w:val="P68B1DB1-Normal5"/>
              <w:spacing w:after="120"/>
              <w:rPr>
                <w:noProof/>
              </w:rPr>
            </w:pPr>
            <w:r>
              <w:rPr>
                <w:noProof/>
              </w:rPr>
              <w:t>Deleģēšanas tiesības nosaka vismaz šādus principus un kritērijus:</w:t>
            </w:r>
          </w:p>
          <w:p w14:paraId="465F87E6" w14:textId="77777777" w:rsidR="00C972CB" w:rsidRDefault="002457F6">
            <w:pPr>
              <w:pStyle w:val="P68B1DB1-Normal5"/>
              <w:spacing w:after="120"/>
              <w:rPr>
                <w:noProof/>
              </w:rPr>
            </w:pPr>
            <w:r>
              <w:rPr>
                <w:noProof/>
              </w:rPr>
              <w:t xml:space="preserve">samazināt līgumslēdzēju iestāžu sadrumstalotību 1) kvalifikācijas sistēmas pamatelementu izveidē, 2) prasība izveidot e-platformu kā pamatprasību, lai piedalītos valsts </w:t>
            </w:r>
            <w:r>
              <w:rPr>
                <w:noProof/>
              </w:rPr>
              <w:t>mēroga iepirkuma spēju izvērtēšanā, 3) valsts korupcijas apkarošanas iestādes (ANAC) pilnvarošana pārskatīt līgumslēdzēju iestāžu kvalifikāciju attiecībā uz iepirkuma spēju (iepirkumu veidi un apjomi), 4) stimulu nodrošināšana esošo profesionālo centralizē</w:t>
            </w:r>
            <w:r>
              <w:rPr>
                <w:noProof/>
              </w:rPr>
              <w:t>to iepirkumu struktūru izmantošanai.</w:t>
            </w:r>
          </w:p>
          <w:p w14:paraId="59ED593F" w14:textId="77777777" w:rsidR="00C972CB" w:rsidRDefault="002457F6">
            <w:pPr>
              <w:pStyle w:val="P68B1DB1-Normal5"/>
              <w:spacing w:after="120"/>
              <w:rPr>
                <w:noProof/>
              </w:rPr>
            </w:pPr>
            <w:r>
              <w:rPr>
                <w:noProof/>
              </w:rPr>
              <w:t>II. Vienkāršot un digitalizēt centralizēto iepirkumu struktūru (“centrali di Commtenza”) procedūras</w:t>
            </w:r>
          </w:p>
          <w:p w14:paraId="0185A5CD" w14:textId="77777777" w:rsidR="00C972CB" w:rsidRDefault="002457F6">
            <w:pPr>
              <w:pStyle w:val="P68B1DB1-Normal5"/>
              <w:spacing w:after="120"/>
              <w:rPr>
                <w:noProof/>
              </w:rPr>
            </w:pPr>
            <w:r>
              <w:rPr>
                <w:noProof/>
              </w:rPr>
              <w:t>III. Noteikt, kā jādigitalizē procedūras attiecībā uz visiem publiskajiem līgumiem un koncesijām, un noteikt sadarbspēj</w:t>
            </w:r>
            <w:r>
              <w:rPr>
                <w:noProof/>
              </w:rPr>
              <w:t>as un savienojamības prasības.</w:t>
            </w:r>
          </w:p>
          <w:p w14:paraId="7F3649C3" w14:textId="77777777" w:rsidR="00C972CB" w:rsidRDefault="002457F6">
            <w:pPr>
              <w:pStyle w:val="P68B1DB1-Normal5"/>
              <w:spacing w:after="120"/>
              <w:rPr>
                <w:noProof/>
              </w:rPr>
            </w:pPr>
            <w:r>
              <w:rPr>
                <w:noProof/>
              </w:rPr>
              <w:t>IV. Pakāpeniski samazināt ierobežojumus attiecībā uz apakšuzņēmuma līgumu slēgšanu.</w:t>
            </w:r>
          </w:p>
        </w:tc>
      </w:tr>
      <w:tr w:rsidR="00C972CB" w14:paraId="797BF5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61633" w14:textId="77777777" w:rsidR="00C972CB" w:rsidRDefault="002457F6">
            <w:pPr>
              <w:pStyle w:val="P68B1DB1-Normal5"/>
              <w:jc w:val="center"/>
              <w:rPr>
                <w:noProof/>
              </w:rPr>
            </w:pPr>
            <w:r>
              <w:rPr>
                <w:noProof/>
              </w:rPr>
              <w:t>M1C1–71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8E5C87"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4AC8"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C1CD27" w14:textId="77777777" w:rsidR="00C972CB" w:rsidRDefault="002457F6">
            <w:pPr>
              <w:pStyle w:val="P68B1DB1-Normal5"/>
              <w:jc w:val="center"/>
              <w:rPr>
                <w:noProof/>
              </w:rPr>
            </w:pPr>
            <w:r>
              <w:rPr>
                <w:noProof/>
              </w:rPr>
              <w:t xml:space="preserve">Stājas spēkā visi publiskā iepirkuma sistēmai vajadzīgie </w:t>
            </w:r>
            <w:r>
              <w:rPr>
                <w:noProof/>
              </w:rPr>
              <w:t>tiesību akti, regulas un īstenošanas akti (tostarp sekundārie tiesību akti)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E7FECD" w14:textId="77777777" w:rsidR="00C972CB" w:rsidRDefault="002457F6">
            <w:pPr>
              <w:pStyle w:val="P68B1DB1-Normal5"/>
              <w:jc w:val="center"/>
              <w:rPr>
                <w:noProof/>
              </w:rPr>
            </w:pPr>
            <w:r>
              <w:rPr>
                <w:noProof/>
              </w:rPr>
              <w:t>Visu vajadzīgo tiesību aktu un īstenošanas aktu stāšanās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6C9B3"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4BFF5"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CB15"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BD7E"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574F3"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45097" w14:textId="77777777" w:rsidR="00C972CB" w:rsidRDefault="002457F6">
            <w:pPr>
              <w:pStyle w:val="P68B1DB1-Normal5"/>
              <w:spacing w:after="120"/>
              <w:rPr>
                <w:noProof/>
              </w:rPr>
            </w:pPr>
            <w:r>
              <w:rPr>
                <w:noProof/>
              </w:rPr>
              <w:t>Visos nepieciešamajos tiesību aktos, regulās un īstenošanas aktos (tostarp</w:t>
            </w:r>
            <w:r>
              <w:rPr>
                <w:noProof/>
              </w:rPr>
              <w:t xml:space="preserve"> vajadzības gadījumā sekundārajos tiesību aktos) iegūst šādus rezultātus:</w:t>
            </w:r>
          </w:p>
          <w:p w14:paraId="7AC4812D" w14:textId="77777777" w:rsidR="00C972CB" w:rsidRDefault="002457F6">
            <w:pPr>
              <w:pStyle w:val="P68B1DB1-Normal5"/>
              <w:spacing w:after="120"/>
              <w:rPr>
                <w:noProof/>
              </w:rPr>
            </w:pPr>
            <w:r>
              <w:rPr>
                <w:noProof/>
              </w:rPr>
              <w:t>I. Publiskā iepirkuma politikas vienotajai koordinācijas struktūrai ir pietiekams personāla un finanšu resursu līmenis (jānorāda operatīvajā vienošanās), lai tā būtu pilnībā darbotie</w:t>
            </w:r>
            <w:r>
              <w:rPr>
                <w:noProof/>
              </w:rPr>
              <w:t>sspējīga, arī tāpēc, ka atbalstu sniedz īpaša ANAC struktūra.</w:t>
            </w:r>
          </w:p>
          <w:p w14:paraId="5F9C90C2" w14:textId="77777777" w:rsidR="00C972CB" w:rsidRDefault="002457F6">
            <w:pPr>
              <w:pStyle w:val="P68B1DB1-Normal5"/>
              <w:spacing w:after="120"/>
              <w:rPr>
                <w:noProof/>
              </w:rPr>
            </w:pPr>
            <w:r>
              <w:rPr>
                <w:noProof/>
              </w:rPr>
              <w:t>II. Publiskā iepirkuma politikas vienotā koordinācijas struktūra ar ANAC un Valsts administrācijas skolas atbalstu pieņem profesionalizācijas stratēģiju (sk. saistībā ar Itālijas NRPP ierosināto</w:t>
            </w:r>
            <w:r>
              <w:rPr>
                <w:noProof/>
              </w:rPr>
              <w:t xml:space="preserve"> reformu 2.1.6. punktu), kas ietver apmācības veidus dažādos līmeņos, īpašu apmācību un darbības pamatnostādņu izstrādi.</w:t>
            </w:r>
          </w:p>
          <w:p w14:paraId="146A5498" w14:textId="77777777" w:rsidR="00C972CB" w:rsidRDefault="002457F6">
            <w:pPr>
              <w:pStyle w:val="P68B1DB1-Normal5"/>
              <w:spacing w:after="120"/>
              <w:rPr>
                <w:noProof/>
              </w:rPr>
            </w:pPr>
            <w:r>
              <w:rPr>
                <w:noProof/>
              </w:rPr>
              <w:t>III. Dinamiskās iepirkumu sistēmas ir pieejamas Consip, un tās atbilst publiskā iepirkuma direktīvām.</w:t>
            </w:r>
          </w:p>
          <w:p w14:paraId="4E3C1732" w14:textId="77777777" w:rsidR="00C972CB" w:rsidRDefault="002457F6">
            <w:pPr>
              <w:pStyle w:val="P68B1DB1-Normal5"/>
              <w:spacing w:after="120"/>
              <w:rPr>
                <w:noProof/>
              </w:rPr>
            </w:pPr>
            <w:r>
              <w:rPr>
                <w:noProof/>
              </w:rPr>
              <w:t>IV. ANAC pēc Publisko iepirkumu k</w:t>
            </w:r>
            <w:r>
              <w:rPr>
                <w:noProof/>
              </w:rPr>
              <w:t>odeksa 38. panta īstenošanas pabeidz līgumslēdzēju iestāžu kvalificēšanu attiecībā uz iepirkuma spēju.</w:t>
            </w:r>
          </w:p>
          <w:p w14:paraId="7252BA0B" w14:textId="77777777" w:rsidR="00C972CB" w:rsidRDefault="002457F6">
            <w:pPr>
              <w:pStyle w:val="P68B1DB1-Normal5"/>
              <w:spacing w:after="120"/>
              <w:rPr>
                <w:noProof/>
              </w:rPr>
            </w:pPr>
            <w:r>
              <w:rPr>
                <w:noProof/>
              </w:rPr>
              <w:t>darbojas uzraudzības sistēma laika posmam starp līguma slēgšanas tiesību piešķiršanu un infrastruktūras darbu pabeigšanu.</w:t>
            </w:r>
          </w:p>
          <w:p w14:paraId="6AB832E0" w14:textId="77777777" w:rsidR="00C972CB" w:rsidRDefault="002457F6">
            <w:pPr>
              <w:pStyle w:val="P68B1DB1-Normal5"/>
              <w:spacing w:after="120"/>
              <w:rPr>
                <w:noProof/>
              </w:rPr>
            </w:pPr>
            <w:r>
              <w:rPr>
                <w:noProof/>
              </w:rPr>
              <w:t>VI. Dati par visiem līgumiem ir</w:t>
            </w:r>
            <w:r>
              <w:rPr>
                <w:noProof/>
              </w:rPr>
              <w:t xml:space="preserve"> reģistrēti valsts korupcijas apkarošanas iestādes (ANAC) pretkorupcijas datubāzē.</w:t>
            </w:r>
          </w:p>
          <w:p w14:paraId="3784B762" w14:textId="77777777" w:rsidR="00C972CB" w:rsidRDefault="002457F6">
            <w:pPr>
              <w:pStyle w:val="P68B1DB1-Normal5"/>
              <w:spacing w:after="120"/>
              <w:rPr>
                <w:noProof/>
              </w:rPr>
            </w:pPr>
            <w:r>
              <w:rPr>
                <w:noProof/>
              </w:rPr>
              <w:t>VII. Visi īpašie biroji, kas atbild par publiskā iepirkuma procedūrām ministrijās, reģionos un lielpilsētu pilsētās.</w:t>
            </w:r>
          </w:p>
        </w:tc>
      </w:tr>
      <w:tr w:rsidR="00C972CB" w14:paraId="5327A26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CEE34" w14:textId="77777777" w:rsidR="00C972CB" w:rsidRDefault="002457F6">
            <w:pPr>
              <w:pStyle w:val="P68B1DB1-Normal5"/>
              <w:jc w:val="center"/>
              <w:rPr>
                <w:noProof/>
              </w:rPr>
            </w:pPr>
            <w:r>
              <w:rPr>
                <w:noProof/>
              </w:rPr>
              <w:t>M1C1–72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AFA35" w14:textId="77777777" w:rsidR="00C972CB" w:rsidRDefault="002457F6">
            <w:pPr>
              <w:pStyle w:val="P68B1DB1-Normal5"/>
              <w:jc w:val="center"/>
              <w:rPr>
                <w:noProof/>
              </w:rPr>
            </w:pPr>
            <w:r>
              <w:rPr>
                <w:noProof/>
              </w:rPr>
              <w:t xml:space="preserve">Reforma: Valsts pārvaldes iestāžu un veselības </w:t>
            </w:r>
            <w:r>
              <w:rPr>
                <w:noProof/>
              </w:rPr>
              <w:t>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7DC1BD"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E1426" w14:textId="70AC682A" w:rsidR="00C972CB" w:rsidRDefault="002457F6">
            <w:pPr>
              <w:pStyle w:val="P68B1DB1-Normal5"/>
              <w:jc w:val="center"/>
              <w:rPr>
                <w:noProof/>
              </w:rPr>
            </w:pPr>
            <w:r>
              <w:rPr>
                <w:noProof/>
              </w:rPr>
              <w:t>Tiek apstiprināti pasākumi, lai samazinātu valsts pārvaldes iestāžu kavētos maksājumus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D7E140" w14:textId="77777777" w:rsidR="00C972CB" w:rsidRDefault="002457F6">
            <w:pPr>
              <w:pStyle w:val="P68B1DB1-Normal5"/>
              <w:jc w:val="center"/>
              <w:rPr>
                <w:noProof/>
              </w:rPr>
            </w:pPr>
            <w:r>
              <w:rPr>
                <w:noProof/>
              </w:rPr>
              <w:t xml:space="preserve">Likuma noteikums, kas norāda, ka stājas spēkā noteikumi, lai samazinātu maksājumu </w:t>
            </w:r>
            <w:r>
              <w:rPr>
                <w:noProof/>
              </w:rPr>
              <w:t>aģentūras kavētos maksājumus uzņēmumiem</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94038"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519ACE"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CB16A"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1F34F4"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3F61D0"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83510" w14:textId="77777777" w:rsidR="00C972CB" w:rsidRDefault="002457F6">
            <w:pPr>
              <w:pStyle w:val="P68B1DB1-Normal5"/>
              <w:spacing w:after="120"/>
              <w:rPr>
                <w:noProof/>
              </w:rPr>
            </w:pPr>
            <w:r>
              <w:rPr>
                <w:noProof/>
              </w:rPr>
              <w:t>Stājas spēkā jauni noteikumi, kuru mērķis ir samazināt valsts pārvaldes iestāžu kavētos maksājumus uzņēmumiem.</w:t>
            </w:r>
          </w:p>
          <w:p w14:paraId="1E38921D" w14:textId="77777777" w:rsidR="00C972CB" w:rsidRDefault="002457F6">
            <w:pPr>
              <w:pStyle w:val="P68B1DB1-Normal5"/>
              <w:spacing w:after="120"/>
              <w:rPr>
                <w:noProof/>
              </w:rPr>
            </w:pPr>
            <w:r>
              <w:rPr>
                <w:noProof/>
              </w:rPr>
              <w:t>Pasākumi ietver vismaz šādus galvenos elementus:</w:t>
            </w:r>
          </w:p>
          <w:p w14:paraId="7B4A1A34" w14:textId="0B6D0976" w:rsidR="00C972CB" w:rsidRDefault="002457F6">
            <w:pPr>
              <w:pStyle w:val="P68B1DB1-Normal4"/>
              <w:spacing w:after="120"/>
              <w:rPr>
                <w:noProof/>
                <w:color w:val="006100"/>
              </w:rPr>
            </w:pPr>
            <w:r>
              <w:rPr>
                <w:noProof/>
                <w:color w:val="006100"/>
              </w:rPr>
              <w:t>I. Sistēmu</w:t>
            </w:r>
            <w:r>
              <w:rPr>
                <w:noProof/>
              </w:rPr>
              <w:t xml:space="preserve"> </w:t>
            </w:r>
            <w:r>
              <w:rPr>
                <w:noProof/>
                <w:color w:val="006100"/>
              </w:rPr>
              <w:t>InIT izmanto centrālajā valsts pārvaldē, lai atbalstītu ekonomisko un finanšu uzskaiti un publisko izdevumu izpildi.</w:t>
            </w:r>
          </w:p>
          <w:p w14:paraId="64DC3B84" w14:textId="2CFFE001" w:rsidR="00C972CB" w:rsidRDefault="002457F6">
            <w:pPr>
              <w:pStyle w:val="P68B1DB1-Normal4"/>
              <w:spacing w:after="120"/>
              <w:rPr>
                <w:noProof/>
                <w:color w:val="006100"/>
              </w:rPr>
            </w:pPr>
            <w:r>
              <w:rPr>
                <w:noProof/>
                <w:color w:val="006100"/>
              </w:rPr>
              <w:t>II.</w:t>
            </w:r>
            <w:r>
              <w:rPr>
                <w:noProof/>
              </w:rPr>
              <w:t xml:space="preserve"> </w:t>
            </w:r>
            <w:r>
              <w:rPr>
                <w:noProof/>
                <w:color w:val="006100"/>
              </w:rPr>
              <w:t xml:space="preserve">Maksājumu kavējumi — rādītāji, kuru pamatā ir MoF IT sistēmas (Komerckredītu platforma — PPD) datubāze, ir vidējais svērtais laiks, ko </w:t>
            </w:r>
            <w:r>
              <w:rPr>
                <w:noProof/>
                <w:color w:val="006100"/>
              </w:rPr>
              <w:t>publiskās iestādes veic uzņēmumiem, un vidējais svērtais publisko iestāžu maksājumu kavējums uzņēmumiem katrā no šādiem valsts pārvaldes līmeņiem:</w:t>
            </w:r>
          </w:p>
          <w:p w14:paraId="6FE43641" w14:textId="77777777" w:rsidR="00C972CB" w:rsidRDefault="002457F6">
            <w:pPr>
              <w:pStyle w:val="P68B1DB1-Normal5"/>
              <w:numPr>
                <w:ilvl w:val="0"/>
                <w:numId w:val="83"/>
              </w:numPr>
              <w:spacing w:after="120"/>
              <w:rPr>
                <w:noProof/>
              </w:rPr>
            </w:pPr>
            <w:r>
              <w:rPr>
                <w:noProof/>
              </w:rPr>
              <w:t>centrālās iestādes (Amministrazioni dello Stato, enti pubblici nazionali e altri enti)</w:t>
            </w:r>
          </w:p>
          <w:p w14:paraId="21024CC2" w14:textId="77777777" w:rsidR="00C972CB" w:rsidRDefault="002457F6">
            <w:pPr>
              <w:pStyle w:val="P68B1DB1-Normal5"/>
              <w:numPr>
                <w:ilvl w:val="0"/>
                <w:numId w:val="83"/>
              </w:numPr>
              <w:spacing w:after="120"/>
              <w:rPr>
                <w:noProof/>
              </w:rPr>
            </w:pPr>
            <w:r>
              <w:rPr>
                <w:noProof/>
              </w:rPr>
              <w:t>reģionālās iestādes (R</w:t>
            </w:r>
            <w:r>
              <w:rPr>
                <w:noProof/>
              </w:rPr>
              <w:t>egioni un provinces autonomija),</w:t>
            </w:r>
          </w:p>
          <w:p w14:paraId="70476CBD" w14:textId="77777777" w:rsidR="00C972CB" w:rsidRDefault="002457F6">
            <w:pPr>
              <w:pStyle w:val="P68B1DB1-Normal5"/>
              <w:numPr>
                <w:ilvl w:val="0"/>
                <w:numId w:val="83"/>
              </w:numPr>
              <w:spacing w:after="120"/>
              <w:rPr>
                <w:noProof/>
              </w:rPr>
            </w:pPr>
            <w:r>
              <w:rPr>
                <w:noProof/>
              </w:rPr>
              <w:t>vietējās iestādes (enti locali)</w:t>
            </w:r>
          </w:p>
          <w:p w14:paraId="11D929DC" w14:textId="37823A2E" w:rsidR="00C972CB" w:rsidRDefault="002457F6">
            <w:pPr>
              <w:pStyle w:val="P68B1DB1-Normal5"/>
              <w:numPr>
                <w:ilvl w:val="0"/>
                <w:numId w:val="83"/>
              </w:numPr>
              <w:spacing w:after="120"/>
              <w:rPr>
                <w:noProof/>
              </w:rPr>
            </w:pPr>
            <w:r>
              <w:rPr>
                <w:noProof/>
              </w:rPr>
              <w:t>sabiedrības veselības iestādes (enti del Servizio sanitario nazionale).</w:t>
            </w:r>
          </w:p>
        </w:tc>
      </w:tr>
      <w:tr w:rsidR="00C972CB" w14:paraId="6FFE874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D4BB1" w14:textId="77777777" w:rsidR="00C972CB" w:rsidRDefault="002457F6">
            <w:pPr>
              <w:pStyle w:val="P68B1DB1-Normal5"/>
              <w:jc w:val="center"/>
              <w:rPr>
                <w:noProof/>
              </w:rPr>
            </w:pPr>
            <w:r>
              <w:rPr>
                <w:noProof/>
              </w:rPr>
              <w:t>M1C1–72bis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D80B7"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FEE42"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42487" w14:textId="77777777" w:rsidR="00C972CB" w:rsidRDefault="002457F6">
            <w:pPr>
              <w:pStyle w:val="P68B1DB1-Normal5"/>
              <w:jc w:val="center"/>
              <w:rPr>
                <w:noProof/>
              </w:rPr>
            </w:pPr>
            <w:r>
              <w:rPr>
                <w:noProof/>
              </w:rPr>
              <w:t>Likumdošanas un konkrētas darbības, lai samazinātu maksājumu kavējumus centrālā/vietējā līmenī</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3A44FB" w14:textId="739779D4" w:rsidR="00C972CB" w:rsidRDefault="002457F6">
            <w:pPr>
              <w:pStyle w:val="P68B1DB1-Normal5"/>
              <w:jc w:val="center"/>
              <w:rPr>
                <w:noProof/>
              </w:rPr>
            </w:pPr>
            <w:r>
              <w:rPr>
                <w:noProof/>
              </w:rPr>
              <w:t xml:space="preserve">Likuma noteikums, kas norāda uz primāro tiesību aktu stāšanos spēkā un pasākumu pieņemšanu, lai samazinātu maksājumu kavējumus no maksājumu </w:t>
            </w:r>
            <w:r>
              <w:rPr>
                <w:noProof/>
              </w:rPr>
              <w:t>aģentūras uzņēmumiem</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5276E"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65D0F"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CE7D5"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6B8FD"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E376E2"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7E985" w14:textId="6C392237" w:rsidR="00C972CB" w:rsidRDefault="002457F6">
            <w:pPr>
              <w:pStyle w:val="P68B1DB1-Normal5"/>
              <w:spacing w:after="120"/>
              <w:rPr>
                <w:noProof/>
              </w:rPr>
            </w:pPr>
            <w:r>
              <w:rPr>
                <w:noProof/>
              </w:rPr>
              <w:t>Stājas spēkā šādas likumdošanas un konkrētas darbības:</w:t>
            </w:r>
          </w:p>
          <w:p w14:paraId="2654A60D" w14:textId="19FEC0D1" w:rsidR="00C972CB" w:rsidRDefault="002457F6">
            <w:pPr>
              <w:pStyle w:val="P68B1DB1-Normal5"/>
              <w:spacing w:after="120"/>
              <w:rPr>
                <w:noProof/>
              </w:rPr>
            </w:pPr>
            <w:r>
              <w:rPr>
                <w:noProof/>
              </w:rPr>
              <w:t xml:space="preserve">pamatnostādnes, kas precizē komerciālo un nekomerciālo darījumu darbības jomu saskaņā ar Maksājumu kavējumu direktīvu; </w:t>
            </w:r>
          </w:p>
          <w:p w14:paraId="18731492" w14:textId="2CDCB9CE" w:rsidR="00C972CB" w:rsidRDefault="002457F6">
            <w:pPr>
              <w:pStyle w:val="P68B1DB1-Normal5"/>
              <w:spacing w:after="120"/>
              <w:rPr>
                <w:noProof/>
              </w:rPr>
            </w:pPr>
            <w:r>
              <w:rPr>
                <w:noProof/>
              </w:rPr>
              <w:t>pamatnostādnes, k</w:t>
            </w:r>
            <w:r>
              <w:rPr>
                <w:noProof/>
              </w:rPr>
              <w:t>as precizē Maksājumu kavējumu direktīvas 4. panta 6. punkta darbības jomu saskaņā ar pēdējo minēto;</w:t>
            </w:r>
          </w:p>
          <w:p w14:paraId="11E8E255" w14:textId="1F34520D" w:rsidR="00C972CB" w:rsidRDefault="002457F6">
            <w:pPr>
              <w:pStyle w:val="P68B1DB1-Normal5"/>
              <w:spacing w:after="120"/>
              <w:rPr>
                <w:noProof/>
              </w:rPr>
            </w:pPr>
            <w:r>
              <w:rPr>
                <w:noProof/>
              </w:rPr>
              <w:t>tiesību akti, kuru mērķis ir nodrošināt, ka vietējās un reģionālās pašvaldības saņem līdzekļus rēķinu savlaicīgai apmaksai no centrālā līmeņa;</w:t>
            </w:r>
          </w:p>
          <w:p w14:paraId="2E3FA0AF" w14:textId="356FFB36" w:rsidR="00C972CB" w:rsidRDefault="002457F6">
            <w:pPr>
              <w:pStyle w:val="P68B1DB1-Normal5"/>
              <w:spacing w:after="120"/>
              <w:rPr>
                <w:noProof/>
              </w:rPr>
            </w:pPr>
            <w:r>
              <w:rPr>
                <w:noProof/>
              </w:rPr>
              <w:t>tiesību akti,</w:t>
            </w:r>
            <w:r>
              <w:rPr>
                <w:noProof/>
              </w:rPr>
              <w:t xml:space="preserve"> kas liek valsts iestādēm pieņemt ikgadējus naudas plūsmas plānus, nodrošinot likumā noteikto maksājumu termiņu ievērošanu;</w:t>
            </w:r>
          </w:p>
          <w:p w14:paraId="5A043031" w14:textId="0A0BB698" w:rsidR="00C972CB" w:rsidRDefault="002457F6">
            <w:pPr>
              <w:pStyle w:val="P68B1DB1-Normal5"/>
              <w:spacing w:after="120"/>
              <w:rPr>
                <w:noProof/>
              </w:rPr>
            </w:pPr>
            <w:r>
              <w:rPr>
                <w:noProof/>
              </w:rPr>
              <w:t>ministriju un reģionu iekšējās revīzijas un kontroles spējas uzraudzīt laikus nesamaksātu rēķinu situāciju.</w:t>
            </w:r>
          </w:p>
          <w:p w14:paraId="6DB9A0BD" w14:textId="7773B477" w:rsidR="00C972CB" w:rsidRDefault="002457F6">
            <w:pPr>
              <w:pStyle w:val="P68B1DB1-Normal5"/>
              <w:spacing w:after="120"/>
              <w:rPr>
                <w:noProof/>
              </w:rPr>
            </w:pPr>
            <w:r>
              <w:rPr>
                <w:noProof/>
              </w:rPr>
              <w:t>Veic šādas konkrētas dar</w:t>
            </w:r>
            <w:r>
              <w:rPr>
                <w:noProof/>
              </w:rPr>
              <w:t>bības:</w:t>
            </w:r>
          </w:p>
          <w:p w14:paraId="055863CE" w14:textId="77777777" w:rsidR="00C972CB" w:rsidRDefault="002457F6">
            <w:pPr>
              <w:pStyle w:val="P68B1DB1-Normal7"/>
              <w:rPr>
                <w:noProof/>
              </w:rPr>
            </w:pPr>
            <w:r>
              <w:rPr>
                <w:noProof/>
              </w:rPr>
              <w:t xml:space="preserve">Centrālais līmenis: </w:t>
            </w:r>
          </w:p>
          <w:p w14:paraId="2AF9941A" w14:textId="5D37DE0D" w:rsidR="00C972CB" w:rsidRDefault="002457F6">
            <w:pPr>
              <w:pStyle w:val="P68B1DB1-Normal5"/>
              <w:spacing w:after="120"/>
              <w:rPr>
                <w:noProof/>
              </w:rPr>
            </w:pPr>
            <w:r>
              <w:rPr>
                <w:noProof/>
              </w:rPr>
              <w:t>Veikt pasākumus, lai nodrošinātu, ka ministrijas un centrālās pārvaldes iestādes, kuras Itālijas iestādes līdz 2023. gada beigām identificē kā strukturāli novēlotus maksātājus, individuāli maksā 30 dienu laikā (piemēram, Lauksai</w:t>
            </w:r>
            <w:r>
              <w:rPr>
                <w:noProof/>
              </w:rPr>
              <w:t xml:space="preserve">mniecības, tieslietu, aizsardzības, iekšlietu, infrastruktūras ministrija); </w:t>
            </w:r>
          </w:p>
          <w:p w14:paraId="43B3811D" w14:textId="36B2ABC6" w:rsidR="00C972CB" w:rsidRDefault="002457F6">
            <w:pPr>
              <w:pStyle w:val="P68B1DB1-Normal5"/>
              <w:spacing w:after="120"/>
              <w:rPr>
                <w:noProof/>
              </w:rPr>
            </w:pPr>
            <w:r>
              <w:rPr>
                <w:noProof/>
              </w:rPr>
              <w:t>Šo ministriju publicētais nokavēto maksājumu apjoms tiek atjaunināts reizi ceturksnī;</w:t>
            </w:r>
          </w:p>
          <w:p w14:paraId="586CFCF1" w14:textId="77777777" w:rsidR="00C972CB" w:rsidRDefault="002457F6">
            <w:pPr>
              <w:pStyle w:val="P68B1DB1-Normal5"/>
              <w:spacing w:after="120"/>
              <w:rPr>
                <w:noProof/>
              </w:rPr>
            </w:pPr>
            <w:r>
              <w:rPr>
                <w:noProof/>
              </w:rPr>
              <w:t xml:space="preserve">—Uzdevumgrupu stiprināšana, ja tādas ir, un darba grupu izveide, ja tās vēl nav aktivizētas; </w:t>
            </w:r>
            <w:r>
              <w:rPr>
                <w:noProof/>
              </w:rPr>
              <w:t xml:space="preserve">nodrošināt darba grupu automātisku aktivizēšanu strukturāli novēlotu maksātāju gadījumā. </w:t>
            </w:r>
          </w:p>
          <w:p w14:paraId="6830875C" w14:textId="5F1363B4" w:rsidR="00C972CB" w:rsidRDefault="002457F6">
            <w:pPr>
              <w:pStyle w:val="P68B1DB1-Normal5"/>
              <w:spacing w:after="120"/>
              <w:rPr>
                <w:b/>
                <w:noProof/>
              </w:rPr>
            </w:pPr>
            <w:r>
              <w:rPr>
                <w:noProof/>
              </w:rPr>
              <w:t>Vietējā līmenī veic šādas konkrētas darbības</w:t>
            </w:r>
            <w:r>
              <w:rPr>
                <w:b/>
                <w:noProof/>
              </w:rPr>
              <w:t>:</w:t>
            </w:r>
            <w:r>
              <w:rPr>
                <w:noProof/>
              </w:rPr>
              <w:t xml:space="preserve"> </w:t>
            </w:r>
            <w:r>
              <w:rPr>
                <w:b/>
                <w:noProof/>
              </w:rPr>
              <w:t xml:space="preserve"> </w:t>
            </w:r>
          </w:p>
          <w:p w14:paraId="28C5BE26" w14:textId="535276BD" w:rsidR="00C972CB" w:rsidRDefault="002457F6">
            <w:pPr>
              <w:pStyle w:val="P68B1DB1-Normal5"/>
              <w:spacing w:after="120"/>
              <w:rPr>
                <w:noProof/>
              </w:rPr>
            </w:pPr>
            <w:r>
              <w:rPr>
                <w:noProof/>
              </w:rPr>
              <w:t>Veikt pasākumus, lai nodrošinātu, ka vietējās pārvaldes iestādes, kuras Itālijas iestādes līdz [2023.] gada beigām ide</w:t>
            </w:r>
            <w:r>
              <w:rPr>
                <w:noProof/>
              </w:rPr>
              <w:t xml:space="preserve">ntificē kā strukturāli novēlotus maksātājus (piemēram, Neapoles, Lečes un Salerno komūnas), maksā 30 dienu laikā; </w:t>
            </w:r>
          </w:p>
          <w:p w14:paraId="451C7698" w14:textId="77777777" w:rsidR="00C972CB" w:rsidRDefault="002457F6">
            <w:pPr>
              <w:pStyle w:val="P68B1DB1-Normal5"/>
              <w:spacing w:after="120"/>
              <w:rPr>
                <w:noProof/>
              </w:rPr>
            </w:pPr>
            <w:r>
              <w:rPr>
                <w:noProof/>
              </w:rPr>
              <w:t>— Reizi ceturksnī atjaunināts šo iestāžu publicētais nokavēto maksājumu apjoms.</w:t>
            </w:r>
          </w:p>
        </w:tc>
      </w:tr>
      <w:tr w:rsidR="00C972CB" w14:paraId="226D16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9965E6" w14:textId="77777777" w:rsidR="00C972CB" w:rsidRDefault="002457F6">
            <w:pPr>
              <w:pStyle w:val="P68B1DB1-Normal5"/>
              <w:jc w:val="center"/>
              <w:rPr>
                <w:noProof/>
              </w:rPr>
            </w:pPr>
            <w:r>
              <w:rPr>
                <w:noProof/>
              </w:rPr>
              <w:t>M1C1–72ter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6E2A0" w14:textId="77777777" w:rsidR="00C972CB" w:rsidRDefault="002457F6">
            <w:pPr>
              <w:pStyle w:val="P68B1DB1-Normal5"/>
              <w:jc w:val="center"/>
              <w:rPr>
                <w:noProof/>
              </w:rPr>
            </w:pPr>
            <w:r>
              <w:rPr>
                <w:noProof/>
              </w:rPr>
              <w:t xml:space="preserve">Reforma: Valsts pārvaldes iestāžu un veselības </w:t>
            </w:r>
            <w:r>
              <w:rPr>
                <w:noProof/>
              </w:rPr>
              <w:t>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0E533"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B59D89" w14:textId="77777777" w:rsidR="00C972CB" w:rsidRDefault="002457F6">
            <w:pPr>
              <w:pStyle w:val="P68B1DB1-Normal5"/>
              <w:jc w:val="center"/>
              <w:rPr>
                <w:noProof/>
              </w:rPr>
            </w:pPr>
            <w:r>
              <w:rPr>
                <w:noProof/>
              </w:rPr>
              <w:t>Palielināt cilvēkresursus saistībā ar novēlotiem maksājumiem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9599A" w14:textId="5F56AAC0" w:rsidR="00C972CB" w:rsidRDefault="002457F6">
            <w:pPr>
              <w:pStyle w:val="P68B1DB1-Normal5"/>
              <w:jc w:val="center"/>
              <w:rPr>
                <w:noProof/>
              </w:rPr>
            </w:pPr>
            <w:r>
              <w:rPr>
                <w:noProof/>
              </w:rPr>
              <w:t>Noteikums, kas norāda, ka stājas spēkā tiesību akti, kuru mērķis ir palielināt cilvēkresursus maksājumu kavējumu gadījumā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F31B4"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42882E"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6F129F"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2A234B"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98E3AA"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7FBCA" w14:textId="78D0A283" w:rsidR="00C972CB" w:rsidRDefault="002457F6">
            <w:pPr>
              <w:pStyle w:val="P68B1DB1-Normal5"/>
              <w:spacing w:after="120"/>
              <w:rPr>
                <w:noProof/>
              </w:rPr>
            </w:pPr>
            <w:r>
              <w:rPr>
                <w:noProof/>
              </w:rPr>
              <w:t>Stājas spēkā tiesību akti, kas paredz palielināt cilvēkresursus attiecībā uz maksājumiem šādās jomās:</w:t>
            </w:r>
          </w:p>
          <w:p w14:paraId="6462CE7E" w14:textId="67F836E0" w:rsidR="00C972CB" w:rsidRDefault="002457F6">
            <w:pPr>
              <w:pStyle w:val="P68B1DB1-Normal5"/>
              <w:spacing w:after="120"/>
              <w:rPr>
                <w:noProof/>
              </w:rPr>
            </w:pPr>
            <w:r>
              <w:rPr>
                <w:noProof/>
              </w:rPr>
              <w:t xml:space="preserve">Ministrijas un centrālās pārvaldes atkarībā no attiecīgās centrālās administrācijas konkrētajām </w:t>
            </w:r>
            <w:r>
              <w:rPr>
                <w:noProof/>
              </w:rPr>
              <w:t>organizatoriskajām vajadzībām;</w:t>
            </w:r>
          </w:p>
          <w:p w14:paraId="3D989A88" w14:textId="4BFE830A" w:rsidR="00C972CB" w:rsidRDefault="002457F6">
            <w:pPr>
              <w:pStyle w:val="P68B1DB1-Normal5"/>
              <w:spacing w:after="120"/>
              <w:rPr>
                <w:noProof/>
              </w:rPr>
            </w:pPr>
            <w:r>
              <w:rPr>
                <w:noProof/>
              </w:rPr>
              <w:t>vietējās pārvaldes iestādes atkarībā no attiecīgās vietējās pārvaldes īpašajām organizatoriskajām vajadzībām.</w:t>
            </w:r>
          </w:p>
        </w:tc>
      </w:tr>
      <w:tr w:rsidR="00C972CB" w14:paraId="234A8A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E0322" w14:textId="77777777" w:rsidR="00C972CB" w:rsidRDefault="002457F6">
            <w:pPr>
              <w:pStyle w:val="P68B1DB1-Normal5"/>
              <w:jc w:val="center"/>
              <w:rPr>
                <w:noProof/>
              </w:rPr>
            </w:pPr>
            <w:r>
              <w:rPr>
                <w:noProof/>
              </w:rPr>
              <w:t>M1C1–72quater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CB03CC"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5D77C9"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2937" w14:textId="26287738" w:rsidR="00C972CB" w:rsidRDefault="002457F6">
            <w:pPr>
              <w:pStyle w:val="P68B1DB1-Normal5"/>
              <w:rPr>
                <w:noProof/>
              </w:rPr>
            </w:pPr>
            <w:r>
              <w:rPr>
                <w:noProof/>
              </w:rPr>
              <w:t>Ieviest kredītu piešķiršanu trešām personām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3F22F6" w14:textId="77777777" w:rsidR="00C972CB" w:rsidRDefault="002457F6">
            <w:pPr>
              <w:pStyle w:val="P68B1DB1-Normal5"/>
              <w:jc w:val="center"/>
              <w:rPr>
                <w:noProof/>
              </w:rPr>
            </w:pPr>
            <w:r>
              <w:rPr>
                <w:noProof/>
              </w:rPr>
              <w:t>Likuma norma, kas norāda uz primāro tiesību aktu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CF422"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EA21A"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DB2E8"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56AF6"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542CC"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C0675F" w14:textId="0A354296" w:rsidR="00C972CB" w:rsidRDefault="002457F6">
            <w:pPr>
              <w:pStyle w:val="P68B1DB1-Normal5"/>
              <w:spacing w:after="120"/>
              <w:rPr>
                <w:noProof/>
              </w:rPr>
            </w:pPr>
            <w:r>
              <w:rPr>
                <w:noProof/>
              </w:rPr>
              <w:t xml:space="preserve">Tādu tiesību aktu stāšanās spēkā, ar kuriem ievieš noteikumus, kas ļauj piešķirt </w:t>
            </w:r>
            <w:r>
              <w:rPr>
                <w:noProof/>
              </w:rPr>
              <w:t>kredītu trešām personām pēc 30 dienu klusēšanas/valsts pārvaldes bezdarbības</w:t>
            </w:r>
          </w:p>
        </w:tc>
      </w:tr>
      <w:tr w:rsidR="00C972CB" w14:paraId="1F049C2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AFDB96" w14:textId="77777777" w:rsidR="00C972CB" w:rsidRDefault="002457F6">
            <w:pPr>
              <w:pStyle w:val="P68B1DB1-Normal5"/>
              <w:jc w:val="center"/>
              <w:rPr>
                <w:noProof/>
              </w:rPr>
            </w:pPr>
            <w:r>
              <w:rPr>
                <w:noProof/>
              </w:rPr>
              <w:t>M1C1–72quinquies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80532"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3C4B2C"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CA210" w14:textId="77777777" w:rsidR="00C972CB" w:rsidRDefault="002457F6">
            <w:pPr>
              <w:pStyle w:val="P68B1DB1-Normal5"/>
              <w:jc w:val="center"/>
              <w:rPr>
                <w:noProof/>
              </w:rPr>
            </w:pPr>
            <w:r>
              <w:rPr>
                <w:noProof/>
              </w:rPr>
              <w:t xml:space="preserve">Maksājumu izpilde InIT datubāzē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8219CC" w14:textId="77777777" w:rsidR="00C972CB" w:rsidRDefault="002457F6">
            <w:pPr>
              <w:pStyle w:val="P68B1DB1-Normal5"/>
              <w:jc w:val="center"/>
              <w:rPr>
                <w:noProof/>
              </w:rPr>
            </w:pPr>
            <w:r>
              <w:rPr>
                <w:noProof/>
              </w:rPr>
              <w:t xml:space="preserve">Maksājumu </w:t>
            </w:r>
            <w:r>
              <w:rPr>
                <w:noProof/>
              </w:rPr>
              <w:t>izpildei darbojas INIT datubāze.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4AD15"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10CFC7"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FD445"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7F1FC6"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F2DE6D"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4BB9DE" w14:textId="77777777" w:rsidR="00C972CB" w:rsidRDefault="002457F6">
            <w:pPr>
              <w:pStyle w:val="P68B1DB1-Normal5"/>
              <w:spacing w:after="120"/>
              <w:rPr>
                <w:noProof/>
              </w:rPr>
            </w:pPr>
            <w:r>
              <w:rPr>
                <w:noProof/>
              </w:rPr>
              <w:t>InIT datubāze pilnībā darbojas ar šādām spējām:</w:t>
            </w:r>
          </w:p>
          <w:p w14:paraId="37262AF4" w14:textId="45018645" w:rsidR="00C972CB" w:rsidRDefault="002457F6">
            <w:pPr>
              <w:pStyle w:val="P68B1DB1-Normal5"/>
              <w:spacing w:after="120"/>
              <w:rPr>
                <w:noProof/>
              </w:rPr>
            </w:pPr>
            <w:r>
              <w:rPr>
                <w:noProof/>
              </w:rPr>
              <w:t>Tas ļauj veikt maksājumus, nepaļaujoties uz sadarbspēju ar vecajām maksājumu apstrādes platformām.</w:t>
            </w:r>
          </w:p>
          <w:p w14:paraId="4E4A9A0C" w14:textId="77777777" w:rsidR="00C972CB" w:rsidRDefault="002457F6">
            <w:pPr>
              <w:pStyle w:val="P68B1DB1-Normal5"/>
              <w:spacing w:after="120"/>
              <w:rPr>
                <w:noProof/>
              </w:rPr>
            </w:pPr>
            <w:r>
              <w:rPr>
                <w:noProof/>
              </w:rPr>
              <w:t>Tā nodrošina, ka maksājumu kavēju</w:t>
            </w:r>
            <w:r>
              <w:rPr>
                <w:noProof/>
              </w:rPr>
              <w:t>mus kontrolē ministriju revīzijas un kontroles funkcijas un Itālijas Revīzijas palāta.</w:t>
            </w:r>
          </w:p>
        </w:tc>
      </w:tr>
      <w:tr w:rsidR="00C972CB" w14:paraId="2D9166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80759" w14:textId="77777777" w:rsidR="00C972CB" w:rsidRDefault="002457F6">
            <w:pPr>
              <w:pStyle w:val="P68B1DB1-Normal5"/>
              <w:jc w:val="center"/>
              <w:rPr>
                <w:noProof/>
              </w:rPr>
            </w:pPr>
            <w:r>
              <w:rPr>
                <w:noProof/>
              </w:rPr>
              <w:t>M1C1–72 maisījumi</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6EA01E"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1A759"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DABF8" w14:textId="77777777" w:rsidR="00C972CB" w:rsidRDefault="002457F6">
            <w:pPr>
              <w:pStyle w:val="P68B1DB1-Normal5"/>
              <w:jc w:val="center"/>
              <w:rPr>
                <w:noProof/>
              </w:rPr>
            </w:pPr>
            <w:r>
              <w:rPr>
                <w:noProof/>
              </w:rPr>
              <w:t>Horizontāli pasākumi maksājumu kavējumu samazināšanai no maksājumu aģentūras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3B0A21" w14:textId="77777777" w:rsidR="00C972CB" w:rsidRDefault="002457F6">
            <w:pPr>
              <w:pStyle w:val="P68B1DB1-Normal5"/>
              <w:jc w:val="center"/>
              <w:rPr>
                <w:noProof/>
              </w:rPr>
            </w:pPr>
            <w:r>
              <w:rPr>
                <w:noProof/>
              </w:rPr>
              <w:t>Platforma darbojas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0874E"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383B8"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0EF26"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1385AE"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FC4E3C"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22E76" w14:textId="6AE7FF3D" w:rsidR="00C972CB" w:rsidRDefault="002457F6">
            <w:pPr>
              <w:pStyle w:val="P68B1DB1-Normal5"/>
              <w:spacing w:after="120"/>
              <w:rPr>
                <w:noProof/>
              </w:rPr>
            </w:pPr>
            <w:r>
              <w:rPr>
                <w:noProof/>
              </w:rPr>
              <w:t xml:space="preserve">Darbojas īpaša platformas informācija par komerckredītiem kreditoruzņēmumiem un debitoru valsts pārvaldes </w:t>
            </w:r>
            <w:r>
              <w:rPr>
                <w:noProof/>
              </w:rPr>
              <w:t>iestādēm. Platforma nodrošina vismaz šādu informāciju:</w:t>
            </w:r>
          </w:p>
          <w:p w14:paraId="72CD3676" w14:textId="2AD63F43" w:rsidR="00C972CB" w:rsidRDefault="002457F6">
            <w:pPr>
              <w:pStyle w:val="P68B1DB1-Normal5"/>
              <w:spacing w:after="120"/>
              <w:rPr>
                <w:noProof/>
              </w:rPr>
            </w:pPr>
            <w:r>
              <w:rPr>
                <w:noProof/>
              </w:rPr>
              <w:t>informācija uzņēmumiem (kreditoriem) par tiesisko regulējumu attiecībā uz kredītiem valsts pārvaldei, kreditora uzņēmuma tiesībām, juridiskajiem pasākumiem, ko var veikt maksājuma saņemšanas kavējumu g</w:t>
            </w:r>
            <w:r>
              <w:rPr>
                <w:noProof/>
              </w:rPr>
              <w:t xml:space="preserve">adījumā, par piegādātāju maksājumu mehānisma darbību, kreditoruzņēmumu kontaktpunktu. </w:t>
            </w:r>
          </w:p>
          <w:p w14:paraId="45AF45A7" w14:textId="77777777" w:rsidR="00C972CB" w:rsidRDefault="002457F6">
            <w:pPr>
              <w:pStyle w:val="P68B1DB1-Normal5"/>
              <w:spacing w:after="120"/>
              <w:rPr>
                <w:noProof/>
              </w:rPr>
            </w:pPr>
            <w:r>
              <w:rPr>
                <w:noProof/>
              </w:rPr>
              <w:t>Informācija valsts pārvaldes iestādēm (parādniekiem) par juridiskajām prasībām attiecībā uz komerciālo parādu apmaksu, administratīviem norādījumiem, valsts pārvaldei pi</w:t>
            </w:r>
            <w:r>
              <w:rPr>
                <w:noProof/>
              </w:rPr>
              <w:t>eejamiem uzraudzības instrumentiem un iespējamo paraugpraksi maksājumu izpildes uzlabošanai.</w:t>
            </w:r>
          </w:p>
          <w:p w14:paraId="700FEA03" w14:textId="09238198" w:rsidR="00C972CB" w:rsidRDefault="002457F6">
            <w:pPr>
              <w:pStyle w:val="P68B1DB1-Normal5"/>
              <w:spacing w:after="120"/>
              <w:rPr>
                <w:noProof/>
              </w:rPr>
            </w:pPr>
            <w:r>
              <w:rPr>
                <w:noProof/>
              </w:rPr>
              <w:t>—Visām ministrijas tīmekļa vietnēm ir saite uz šo platformu.</w:t>
            </w:r>
          </w:p>
        </w:tc>
      </w:tr>
      <w:tr w:rsidR="00C972CB" w14:paraId="78A8CBB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2C907" w14:textId="77777777" w:rsidR="00C972CB" w:rsidRDefault="002457F6">
            <w:pPr>
              <w:pStyle w:val="P68B1DB1-Normal5"/>
              <w:jc w:val="center"/>
              <w:rPr>
                <w:noProof/>
              </w:rPr>
            </w:pPr>
            <w:r>
              <w:rPr>
                <w:noProof/>
              </w:rPr>
              <w:t>M1C1–73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86EE9A"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C7AB6"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801E" w14:textId="77777777" w:rsidR="00C972CB" w:rsidRDefault="002457F6">
            <w:pPr>
              <w:pStyle w:val="P68B1DB1-Normal5"/>
              <w:jc w:val="center"/>
              <w:rPr>
                <w:noProof/>
              </w:rPr>
            </w:pPr>
            <w:r>
              <w:rPr>
                <w:noProof/>
              </w:rPr>
              <w:t xml:space="preserve">Publiskā iepirkuma </w:t>
            </w:r>
            <w:r>
              <w:rPr>
                <w:noProof/>
              </w:rPr>
              <w:t>kodeksa reformas stāšanās spēkā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BDD3C" w14:textId="77777777" w:rsidR="00C972CB" w:rsidRDefault="002457F6">
            <w:pPr>
              <w:pStyle w:val="P68B1DB1-Normal5"/>
              <w:jc w:val="center"/>
              <w:rPr>
                <w:noProof/>
              </w:rPr>
            </w:pPr>
            <w:r>
              <w:rPr>
                <w:noProof/>
              </w:rPr>
              <w:t>Likuma norma, kas norāda uz Likumdošanas dekrēta stāšanos spēkā, lai īstenotu visus Likuma par Publisko iepirkumu reformu deleģēšanas noteikumus.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31492"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E913B6"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A5EB75"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6C624"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C2D5F"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D54445" w14:textId="77777777" w:rsidR="00C972CB" w:rsidRDefault="002457F6">
            <w:pPr>
              <w:pStyle w:val="P68B1DB1-Normal5"/>
              <w:spacing w:before="100" w:beforeAutospacing="1" w:after="120"/>
              <w:rPr>
                <w:noProof/>
              </w:rPr>
            </w:pPr>
            <w:r>
              <w:rPr>
                <w:noProof/>
              </w:rPr>
              <w:t xml:space="preserve">Stājas spēkā Likumdošanas dekrēts, </w:t>
            </w:r>
            <w:r>
              <w:rPr>
                <w:noProof/>
              </w:rPr>
              <w:t>lai īstenotu visus Likuma par publisko iepirkumu reformu noteikumus.</w:t>
            </w:r>
          </w:p>
        </w:tc>
      </w:tr>
      <w:tr w:rsidR="00C972CB" w14:paraId="0530D71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C9567" w14:textId="77777777" w:rsidR="00C972CB" w:rsidRDefault="002457F6">
            <w:pPr>
              <w:pStyle w:val="P68B1DB1-Normal5"/>
              <w:jc w:val="center"/>
              <w:rPr>
                <w:noProof/>
              </w:rPr>
            </w:pPr>
            <w:r>
              <w:rPr>
                <w:noProof/>
              </w:rPr>
              <w:t>M1C1–74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C93EA"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36FD1"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C58FC7" w14:textId="77777777" w:rsidR="00C972CB" w:rsidRDefault="002457F6">
            <w:pPr>
              <w:pStyle w:val="P68B1DB1-Normal5"/>
              <w:jc w:val="center"/>
              <w:rPr>
                <w:noProof/>
              </w:rPr>
            </w:pPr>
            <w:r>
              <w:rPr>
                <w:noProof/>
              </w:rPr>
              <w:t xml:space="preserve">Stājas spēkā visi nepieciešamie īstenošanas pasākumi un sekundārie tiesību akti publiskā iepirkuma </w:t>
            </w:r>
            <w:r>
              <w:rPr>
                <w:noProof/>
              </w:rPr>
              <w:t>kodeksa vienkāršošanas reformai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97986" w14:textId="74512641" w:rsidR="00C972CB" w:rsidRDefault="002457F6">
            <w:pPr>
              <w:pStyle w:val="P68B1DB1-Normal5"/>
              <w:jc w:val="center"/>
              <w:rPr>
                <w:noProof/>
              </w:rPr>
            </w:pPr>
            <w:r>
              <w:rPr>
                <w:noProof/>
              </w:rPr>
              <w:t>Visu vajadzīgo īstenošanas pasākumu un sekundāro tiesību aktu stāšanās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7ADF3"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8F376"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B0A17A"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FA29A"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D979A"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DEEDA" w14:textId="77777777" w:rsidR="00C972CB" w:rsidRDefault="002457F6">
            <w:pPr>
              <w:pStyle w:val="P68B1DB1-Normal5"/>
              <w:spacing w:before="100" w:beforeAutospacing="1" w:after="120"/>
              <w:rPr>
                <w:noProof/>
              </w:rPr>
            </w:pPr>
            <w:r>
              <w:rPr>
                <w:noProof/>
              </w:rPr>
              <w:t>Stājas spēkā visi nepieciešamie īstenošanas pasākumi un sekundārie tiesību akti publiskā iepirkuma sistē</w:t>
            </w:r>
            <w:r>
              <w:rPr>
                <w:noProof/>
              </w:rPr>
              <w:t>mas reformai/vienkāršošanai (kas izriet arī no Publiskā iepirkuma kodeksa pārskatīšanas).</w:t>
            </w:r>
          </w:p>
        </w:tc>
      </w:tr>
      <w:tr w:rsidR="00C972CB" w14:paraId="3C00C95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B79805" w14:textId="77777777" w:rsidR="00C972CB" w:rsidRDefault="002457F6">
            <w:pPr>
              <w:pStyle w:val="P68B1DB1-Normal5"/>
              <w:jc w:val="center"/>
              <w:rPr>
                <w:noProof/>
              </w:rPr>
            </w:pPr>
            <w:r>
              <w:rPr>
                <w:noProof/>
              </w:rPr>
              <w:t>M1C1–73bis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4FC06C"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5C972"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5E0EED" w14:textId="77777777" w:rsidR="00C972CB" w:rsidRDefault="002457F6">
            <w:pPr>
              <w:pStyle w:val="P68B1DB1-Normal5"/>
              <w:spacing w:before="100" w:beforeAutospacing="1" w:after="120"/>
              <w:jc w:val="center"/>
              <w:rPr>
                <w:noProof/>
              </w:rPr>
            </w:pPr>
            <w:r>
              <w:rPr>
                <w:noProof/>
              </w:rPr>
              <w:t xml:space="preserve">Pieņem pamatnostādnes par līgumslēdzēju iestāžu kvalifikācijas sistēmas </w:t>
            </w:r>
            <w:r>
              <w:rPr>
                <w:noProof/>
              </w:rPr>
              <w:t>īstenošanu.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F853F" w14:textId="5B9498FD" w:rsidR="00C972CB" w:rsidRDefault="002457F6">
            <w:pPr>
              <w:pStyle w:val="P68B1DB1-Normal5"/>
              <w:spacing w:before="100" w:beforeAutospacing="1" w:after="120"/>
              <w:jc w:val="center"/>
              <w:rPr>
                <w:noProof/>
              </w:rPr>
            </w:pPr>
            <w:r>
              <w:rPr>
                <w:noProof/>
              </w:rPr>
              <w:t>Pieņemt pamatnostādnes par līgumslēdzēju iestāžu kvalifikācijas sistēmas īstenošanu Iepirkumu kodeksā.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791FC"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8510F"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9A5E21"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19DBE0"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4E994"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1BE5D" w14:textId="20835F4B" w:rsidR="00C972CB" w:rsidRDefault="002457F6">
            <w:pPr>
              <w:pStyle w:val="P68B1DB1-Normal5"/>
              <w:spacing w:before="100" w:beforeAutospacing="1" w:after="120"/>
              <w:rPr>
                <w:noProof/>
              </w:rPr>
            </w:pPr>
            <w:r>
              <w:rPr>
                <w:noProof/>
              </w:rPr>
              <w:t>Pēc apspriešanās ar ANAC pieņemt apkārtrakstu, kurā sniegtas pamatnostādnes, lai sistematizētu paš</w:t>
            </w:r>
            <w:r>
              <w:rPr>
                <w:noProof/>
              </w:rPr>
              <w:t>reizējos piemērojamos noteikumus un paskaidrotu, ka kvalifikācija ir iespējama un ieteicama arī attiecībā uz piešķīrumiem, kas ir zemāki par robežvērtībām, un lai stimulētu (kvalificētu) centralizēto iepirkumu struktūru izmantošanu gadījumos, kad kvalifikā</w:t>
            </w:r>
            <w:r>
              <w:rPr>
                <w:noProof/>
              </w:rPr>
              <w:t>cija nav vai nav iespējama (D.lgs 36/2023 62. panta 6. punkta a) apakšpunkts)</w:t>
            </w:r>
          </w:p>
        </w:tc>
      </w:tr>
      <w:tr w:rsidR="00C972CB" w14:paraId="791D4E6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889AA" w14:textId="77777777" w:rsidR="00C972CB" w:rsidRDefault="002457F6">
            <w:pPr>
              <w:pStyle w:val="P68B1DB1-Normal5"/>
              <w:jc w:val="center"/>
              <w:rPr>
                <w:noProof/>
              </w:rPr>
            </w:pPr>
            <w:r>
              <w:rPr>
                <w:noProof/>
              </w:rPr>
              <w:t>M1C1–73ter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5F2AE"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F8B2" w14:textId="77777777" w:rsidR="00C972CB" w:rsidRDefault="002457F6">
            <w:pPr>
              <w:pStyle w:val="P68B1DB1-Normal5"/>
              <w:spacing w:before="100" w:beforeAutospacing="1" w:after="120"/>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08555" w14:textId="49FB7A90" w:rsidR="00C972CB" w:rsidRDefault="002457F6">
            <w:pPr>
              <w:pStyle w:val="P68B1DB1-Normal5"/>
              <w:spacing w:before="100" w:beforeAutospacing="1" w:after="120"/>
              <w:jc w:val="center"/>
              <w:rPr>
                <w:noProof/>
              </w:rPr>
            </w:pPr>
            <w:r>
              <w:rPr>
                <w:noProof/>
              </w:rPr>
              <w:t>Stimuli līgumslēdzēju iestāžu kvalifikācijai un profesionalizācijai.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C7B7FC" w14:textId="0B1935B7" w:rsidR="00C972CB" w:rsidRDefault="002457F6">
            <w:pPr>
              <w:pStyle w:val="P68B1DB1-Normal5"/>
              <w:spacing w:before="100" w:beforeAutospacing="1" w:after="120"/>
              <w:jc w:val="center"/>
              <w:rPr>
                <w:noProof/>
              </w:rPr>
            </w:pPr>
            <w:r>
              <w:rPr>
                <w:noProof/>
              </w:rPr>
              <w:t>Īstenošanas pasākumu un</w:t>
            </w:r>
            <w:r>
              <w:rPr>
                <w:noProof/>
              </w:rPr>
              <w:t xml:space="preserve"> noteikumu pieņemšana likumā, kas norāda uz tiesību aktu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A41E6"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ED810"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3D0E6"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D207C1"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06F27"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4DE31" w14:textId="7442E20B" w:rsidR="00C972CB" w:rsidRDefault="002457F6">
            <w:pPr>
              <w:pStyle w:val="P68B1DB1-Normal5"/>
              <w:spacing w:before="100" w:beforeAutospacing="1" w:after="120"/>
              <w:rPr>
                <w:noProof/>
              </w:rPr>
            </w:pPr>
            <w:r>
              <w:rPr>
                <w:noProof/>
              </w:rPr>
              <w:t xml:space="preserve">Cabina di Regia ex 221. panta novērtējums pēc apspriešanās ar ANAC par Publisko iepirkumu kodeksa īstenošanas ietekmi uz: </w:t>
            </w:r>
          </w:p>
          <w:p w14:paraId="5C3CF263" w14:textId="77777777" w:rsidR="00C972CB" w:rsidRDefault="002457F6">
            <w:pPr>
              <w:pStyle w:val="P68B1DB1-ListParagraph6"/>
              <w:numPr>
                <w:ilvl w:val="0"/>
                <w:numId w:val="131"/>
              </w:numPr>
              <w:spacing w:before="100" w:beforeAutospacing="1"/>
              <w:jc w:val="left"/>
              <w:rPr>
                <w:noProof/>
              </w:rPr>
            </w:pPr>
            <w:r>
              <w:rPr>
                <w:noProof/>
              </w:rPr>
              <w:t>kvalificēto līgum</w:t>
            </w:r>
            <w:r>
              <w:rPr>
                <w:noProof/>
              </w:rPr>
              <w:t xml:space="preserve">slēdzēju iestāžu un centralizēto iepirkumu struktūru skaits; </w:t>
            </w:r>
          </w:p>
          <w:p w14:paraId="292BB215" w14:textId="77777777" w:rsidR="00C972CB" w:rsidRDefault="002457F6">
            <w:pPr>
              <w:pStyle w:val="P68B1DB1-ListParagraph6"/>
              <w:numPr>
                <w:ilvl w:val="0"/>
                <w:numId w:val="131"/>
              </w:numPr>
              <w:spacing w:before="100" w:beforeAutospacing="1"/>
              <w:jc w:val="left"/>
              <w:rPr>
                <w:noProof/>
              </w:rPr>
            </w:pPr>
            <w:r>
              <w:rPr>
                <w:noProof/>
              </w:rPr>
              <w:t xml:space="preserve">to publisko līgumu skaits un vērtība, kurus tās pārvalda savā vārdā un nekvalificēto struktūru vārdā; </w:t>
            </w:r>
          </w:p>
          <w:p w14:paraId="0C5B9B9C" w14:textId="77777777" w:rsidR="00C972CB" w:rsidRDefault="002457F6">
            <w:pPr>
              <w:pStyle w:val="P68B1DB1-ListParagraph6"/>
              <w:numPr>
                <w:ilvl w:val="0"/>
                <w:numId w:val="131"/>
              </w:numPr>
              <w:spacing w:before="100" w:beforeAutospacing="1"/>
              <w:jc w:val="left"/>
              <w:rPr>
                <w:noProof/>
              </w:rPr>
            </w:pPr>
            <w:r>
              <w:rPr>
                <w:noProof/>
              </w:rPr>
              <w:t>sistēmas ietekme uz līgumu slēgšanas tiesību piešķiršanas un publisko līgumu izpildes termi</w:t>
            </w:r>
            <w:r>
              <w:rPr>
                <w:noProof/>
              </w:rPr>
              <w:t xml:space="preserve">ņiem.  </w:t>
            </w:r>
          </w:p>
          <w:p w14:paraId="316D6A31" w14:textId="77777777" w:rsidR="00C972CB" w:rsidRDefault="002457F6">
            <w:pPr>
              <w:pStyle w:val="P68B1DB1-Normal5"/>
              <w:spacing w:before="100" w:beforeAutospacing="1" w:after="120"/>
              <w:rPr>
                <w:noProof/>
              </w:rPr>
            </w:pPr>
            <w:r>
              <w:rPr>
                <w:noProof/>
              </w:rPr>
              <w:t xml:space="preserve">Nekvalificēto vienību dalības spēju veidošanas darbībās kartēšanas rezultātu publicēšana. </w:t>
            </w:r>
          </w:p>
          <w:p w14:paraId="4D8FAE52" w14:textId="474BE35D" w:rsidR="00C972CB" w:rsidRDefault="002457F6">
            <w:pPr>
              <w:pStyle w:val="P68B1DB1-Normal5"/>
              <w:spacing w:before="100" w:beforeAutospacing="1" w:after="120"/>
              <w:rPr>
                <w:noProof/>
              </w:rPr>
            </w:pPr>
            <w:r>
              <w:rPr>
                <w:noProof/>
              </w:rPr>
              <w:t>Pēc apspriešanās ar ANAC pieņem turpmākas iniciatīvas, kuru mērķis ir stimulēt līgumslēdzēju iestāžu kvalifikāciju, samazināt nekvalificēto struktūru sadrums</w:t>
            </w:r>
            <w:r>
              <w:rPr>
                <w:noProof/>
              </w:rPr>
              <w:t>talotību un profesionalizāciju.</w:t>
            </w:r>
          </w:p>
          <w:p w14:paraId="1C1F556F" w14:textId="77777777" w:rsidR="00C972CB" w:rsidRDefault="002457F6">
            <w:pPr>
              <w:pStyle w:val="P68B1DB1-Normal5"/>
              <w:spacing w:before="100" w:beforeAutospacing="1" w:after="120"/>
              <w:rPr>
                <w:noProof/>
              </w:rPr>
            </w:pPr>
            <w:r>
              <w:rPr>
                <w:noProof/>
              </w:rPr>
              <w:t>Pieņem un sāk darboties papildu instrumentus tehniskam/administratīvam atbalstam vietējām vai nekvalificētām līgumslēdzējām iestādēm, ja centralizācija nav iespējama vai nav iespējama.</w:t>
            </w:r>
          </w:p>
        </w:tc>
      </w:tr>
      <w:tr w:rsidR="00C972CB" w14:paraId="5D66E61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59F67" w14:textId="77777777" w:rsidR="00C972CB" w:rsidRDefault="002457F6">
            <w:pPr>
              <w:pStyle w:val="P68B1DB1-Normal5"/>
              <w:jc w:val="center"/>
              <w:rPr>
                <w:noProof/>
              </w:rPr>
            </w:pPr>
            <w:r>
              <w:rPr>
                <w:noProof/>
              </w:rPr>
              <w:t>M1C1–73quater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D13878" w14:textId="77777777" w:rsidR="00C972CB" w:rsidRDefault="002457F6">
            <w:pPr>
              <w:pStyle w:val="P68B1DB1-Normal5"/>
              <w:jc w:val="center"/>
              <w:rPr>
                <w:noProof/>
              </w:rPr>
            </w:pPr>
            <w:r>
              <w:rPr>
                <w:noProof/>
              </w:rPr>
              <w:t xml:space="preserve">Reforma: Publiskā </w:t>
            </w:r>
            <w:r>
              <w:rPr>
                <w:noProof/>
              </w:rPr>
              <w:t>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0056B"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8CD20E" w14:textId="79725909" w:rsidR="00C972CB" w:rsidRDefault="002457F6">
            <w:pPr>
              <w:pStyle w:val="P68B1DB1-Normal5"/>
              <w:spacing w:before="100" w:beforeAutospacing="1" w:after="120"/>
              <w:jc w:val="center"/>
              <w:rPr>
                <w:noProof/>
              </w:rPr>
            </w:pPr>
            <w:r>
              <w:rPr>
                <w:noProof/>
              </w:rPr>
              <w:t>Stājas spēkā pamatnostādnes par iepirkumu zem ES robežvērtības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634A69" w14:textId="32CEA93A" w:rsidR="00C972CB" w:rsidRDefault="002457F6">
            <w:pPr>
              <w:pStyle w:val="P68B1DB1-Normal5"/>
              <w:spacing w:before="100" w:beforeAutospacing="1" w:after="120"/>
              <w:jc w:val="center"/>
              <w:rPr>
                <w:noProof/>
              </w:rPr>
            </w:pPr>
            <w:r>
              <w:rPr>
                <w:noProof/>
              </w:rPr>
              <w:t>Stājas spēkā pamatnostādnes par iepirkumu zem ES robežvērtības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A8A7F"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0FD047"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B5F8BA"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3D59B"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67392"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CA732" w14:textId="19D7EC6C" w:rsidR="00C972CB" w:rsidRDefault="002457F6">
            <w:pPr>
              <w:pStyle w:val="P68B1DB1-Normal5"/>
              <w:spacing w:before="100" w:beforeAutospacing="1" w:after="120"/>
              <w:rPr>
                <w:noProof/>
              </w:rPr>
            </w:pPr>
            <w:r>
              <w:rPr>
                <w:noProof/>
              </w:rPr>
              <w:t>Apkārtraksts par iepirkumu zem ES robežvērtības pieņemts un publicēts Itālijas Oficiālajā Vēstnesī. Apkārtrakstā precizē, ka iepirkumam zem ES robežvērtības līgumslēdzējas iestādes var izmantot atklātas un slēgtas procedūras.</w:t>
            </w:r>
          </w:p>
        </w:tc>
      </w:tr>
      <w:tr w:rsidR="00C972CB" w14:paraId="607443A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80F4" w14:textId="77777777" w:rsidR="00C972CB" w:rsidRDefault="002457F6">
            <w:pPr>
              <w:pStyle w:val="P68B1DB1-Normal5"/>
              <w:jc w:val="center"/>
              <w:rPr>
                <w:noProof/>
              </w:rPr>
            </w:pPr>
            <w:r>
              <w:rPr>
                <w:noProof/>
              </w:rPr>
              <w:t>M1C1–73quinquies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0FBDD" w14:textId="77777777" w:rsidR="00C972CB" w:rsidRDefault="002457F6">
            <w:pPr>
              <w:pStyle w:val="P68B1DB1-Normal5"/>
              <w:jc w:val="center"/>
              <w:rPr>
                <w:noProof/>
              </w:rPr>
            </w:pPr>
            <w:r>
              <w:rPr>
                <w:noProof/>
              </w:rPr>
              <w:t xml:space="preserve">Reforma: </w:t>
            </w:r>
            <w:r>
              <w:rPr>
                <w:noProof/>
              </w:rPr>
              <w:t>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B245A"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BE6D15" w14:textId="390E6152" w:rsidR="00C972CB" w:rsidRDefault="002457F6">
            <w:pPr>
              <w:pStyle w:val="P68B1DB1-Normal5"/>
              <w:spacing w:before="100" w:beforeAutospacing="1" w:after="120"/>
              <w:jc w:val="center"/>
              <w:rPr>
                <w:noProof/>
              </w:rPr>
            </w:pPr>
            <w:r>
              <w:rPr>
                <w:noProof/>
              </w:rPr>
              <w:t>Jaunu tiesību normu par projektu finansēšanu stāšanās spēkā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B970C" w14:textId="188568FE" w:rsidR="00C972CB" w:rsidRDefault="002457F6">
            <w:pPr>
              <w:pStyle w:val="P68B1DB1-Normal5"/>
              <w:spacing w:before="100" w:beforeAutospacing="1" w:after="120"/>
              <w:jc w:val="center"/>
              <w:rPr>
                <w:noProof/>
              </w:rPr>
            </w:pPr>
            <w:r>
              <w:rPr>
                <w:noProof/>
              </w:rPr>
              <w:t>Likuma noteikums, kas norāda uz jaunu tiesību normu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E67B9"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DFF2B"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30218"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9414A7"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E944E0"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9C194" w14:textId="0B7DFE79" w:rsidR="00C972CB" w:rsidRDefault="002457F6">
            <w:pPr>
              <w:pStyle w:val="P68B1DB1-Normal5"/>
              <w:spacing w:before="100" w:beforeAutospacing="1" w:after="120"/>
              <w:rPr>
                <w:noProof/>
              </w:rPr>
            </w:pPr>
            <w:r>
              <w:rPr>
                <w:noProof/>
              </w:rPr>
              <w:t xml:space="preserve">Stājas spēkā jaunas </w:t>
            </w:r>
            <w:r>
              <w:rPr>
                <w:noProof/>
              </w:rPr>
              <w:t>tiesību normas par projektu finansēšanu, kuru mērķis ir uzlabot efektivitāti un konkurenci, jo īpaši, lai palielinātu koncesiju sāncensību.</w:t>
            </w:r>
          </w:p>
        </w:tc>
      </w:tr>
      <w:tr w:rsidR="00C972CB" w14:paraId="5869C06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32A70" w14:textId="77777777" w:rsidR="00C972CB" w:rsidRDefault="002457F6">
            <w:pPr>
              <w:pStyle w:val="P68B1DB1-Normal5"/>
              <w:jc w:val="center"/>
              <w:rPr>
                <w:noProof/>
              </w:rPr>
            </w:pPr>
            <w:r>
              <w:rPr>
                <w:noProof/>
              </w:rPr>
              <w:t>M1C1–75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FF84E"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5BE93"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DCD928" w14:textId="77777777" w:rsidR="00C972CB" w:rsidRDefault="002457F6">
            <w:pPr>
              <w:pStyle w:val="P68B1DB1-Normal5"/>
              <w:jc w:val="center"/>
              <w:rPr>
                <w:noProof/>
              </w:rPr>
            </w:pPr>
            <w:r>
              <w:rPr>
                <w:noProof/>
              </w:rPr>
              <w:t>Valsts e-iepirkuma sistēmas pilnīga darbība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39F82" w14:textId="77777777" w:rsidR="00C972CB" w:rsidRDefault="002457F6">
            <w:pPr>
              <w:pStyle w:val="P68B1DB1-Normal5"/>
              <w:jc w:val="center"/>
              <w:rPr>
                <w:noProof/>
              </w:rPr>
            </w:pPr>
            <w:r>
              <w:rPr>
                <w:noProof/>
              </w:rPr>
              <w:t>Priekšizpētē noteikto funkciju pieejamība (jāizstrādā kā projekta 1. uzdevumu)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8B1F1B"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3549B1"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8E0F3"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A6EFE"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0E044"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849F3" w14:textId="77777777" w:rsidR="00C972CB" w:rsidRDefault="002457F6">
            <w:pPr>
              <w:pStyle w:val="P68B1DB1-Normal5"/>
              <w:spacing w:before="100" w:beforeAutospacing="1" w:after="120"/>
              <w:rPr>
                <w:noProof/>
              </w:rPr>
            </w:pPr>
            <w:r>
              <w:rPr>
                <w:noProof/>
              </w:rPr>
              <w:t>Valsts e-iepirkuma sistēma darbojas un pilnībā atbilst ES publiskā iepirkuma direktīvām, un tā ietver procedūru pilnīgu digitalizāciju</w:t>
            </w:r>
            <w:r>
              <w:rPr>
                <w:noProof/>
              </w:rPr>
              <w:t xml:space="preserve"> līdz līguma izpildei (viedais iepirkums), ir sadarbspējīga ar valsts pārvaldes pārvaldības sistēmām, ietver RO digitālo habilitāciju, izsoles sesijas, mašīnmācīšanos tendenču konstatēšanai, CRM ar sarunbotiem, digitālo iesaisti un statusa ķēdi.</w:t>
            </w:r>
          </w:p>
        </w:tc>
      </w:tr>
      <w:tr w:rsidR="00C972CB" w14:paraId="762CE4B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07E492" w14:textId="77777777" w:rsidR="00C972CB" w:rsidRDefault="002457F6">
            <w:pPr>
              <w:pStyle w:val="P68B1DB1-Normal5"/>
              <w:jc w:val="center"/>
              <w:rPr>
                <w:noProof/>
              </w:rPr>
            </w:pPr>
            <w:r>
              <w:rPr>
                <w:noProof/>
              </w:rPr>
              <w:t>M1C1–75bis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8A01E" w14:textId="77777777" w:rsidR="00C972CB" w:rsidRDefault="002457F6">
            <w:pPr>
              <w:pStyle w:val="P68B1DB1-Normal5"/>
              <w:jc w:val="center"/>
              <w:rPr>
                <w:noProof/>
              </w:rPr>
            </w:pPr>
            <w:r>
              <w:rPr>
                <w:noProof/>
              </w:rPr>
              <w:t>Ieguldījums 1.10: Atbalsts kvalifikācijai un e-iepirkumiem</w:t>
            </w:r>
          </w:p>
          <w:p w14:paraId="628341BD" w14:textId="77777777" w:rsidR="00C972CB" w:rsidRDefault="00C972CB">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7DDB41"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14685" w14:textId="77777777" w:rsidR="00C972CB" w:rsidRDefault="002457F6">
            <w:pPr>
              <w:pStyle w:val="P68B1DB1-Normal5"/>
              <w:jc w:val="center"/>
              <w:rPr>
                <w:noProof/>
              </w:rPr>
            </w:pPr>
            <w:r>
              <w:rPr>
                <w:noProof/>
              </w:rPr>
              <w:t>Atbalsts kvalifikācijai un e-iepirkumiem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0B4A76" w14:textId="77777777" w:rsidR="00C972CB" w:rsidRDefault="002457F6">
            <w:pPr>
              <w:pStyle w:val="P68B1DB1-Normal5"/>
              <w:jc w:val="center"/>
              <w:rPr>
                <w:noProof/>
              </w:rPr>
            </w:pPr>
            <w:r>
              <w:rPr>
                <w:noProof/>
              </w:rPr>
              <w:t xml:space="preserve">Iepirkuma atbalsta funkcijas nodošana ekspluatācijā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6B28"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FFB2A7"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57156"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899A59"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34BAE"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3C15" w14:textId="464B9341" w:rsidR="00C972CB" w:rsidRDefault="002457F6">
            <w:pPr>
              <w:pStyle w:val="P68B1DB1-Normal5"/>
              <w:spacing w:before="100" w:beforeAutospacing="1" w:after="120"/>
              <w:rPr>
                <w:noProof/>
              </w:rPr>
            </w:pPr>
            <w:r>
              <w:rPr>
                <w:noProof/>
              </w:rPr>
              <w:t>Publiskā iepirkuma atbalsta funkciju izveido Publisko pircēju profesionalizācijas stratēģijas ietvaros. Iepirkuma atbalsta funkcija ir paredzēta līgumslēdzējām iestādēm, lai izpildītu Publiskā iepirkuma kodeksa II.4. pielikuma prasības un atbalstītu tās e-</w:t>
            </w:r>
            <w:r>
              <w:rPr>
                <w:noProof/>
              </w:rPr>
              <w:t>iepirkuma procesā, atbalstot digitālo prasmju apguvi un sniedzot tehnisko atbalstu publiskā iepirkuma digitalizācijas pieņemšanā, tostarp dinamisko iepirkumu sistēmu izmantošanā.</w:t>
            </w:r>
          </w:p>
        </w:tc>
      </w:tr>
      <w:tr w:rsidR="00C972CB" w14:paraId="27C9FDE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4F40AF" w14:textId="77777777" w:rsidR="00C972CB" w:rsidRDefault="002457F6">
            <w:pPr>
              <w:pStyle w:val="P68B1DB1-Normal5"/>
              <w:jc w:val="center"/>
              <w:rPr>
                <w:noProof/>
              </w:rPr>
            </w:pPr>
            <w:r>
              <w:rPr>
                <w:noProof/>
              </w:rPr>
              <w:t>M1C1–76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14B53" w14:textId="77777777" w:rsidR="00C972CB" w:rsidRDefault="002457F6">
            <w:pPr>
              <w:pStyle w:val="P68B1DB1-Normal5"/>
              <w:jc w:val="center"/>
              <w:rPr>
                <w:noProof/>
              </w:rPr>
            </w:pPr>
            <w:r>
              <w:rPr>
                <w:noProof/>
              </w:rPr>
              <w:t xml:space="preserve">Reforma: Valsts pārvaldes iestāžu un veselības aizsardzības iestāžu </w:t>
            </w:r>
            <w:r>
              <w:rPr>
                <w:noProof/>
              </w:rPr>
              <w:t>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636925"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C5A0EA" w14:textId="77777777" w:rsidR="00C972CB" w:rsidRDefault="002457F6">
            <w:pPr>
              <w:pStyle w:val="P68B1DB1-Normal5"/>
              <w:jc w:val="center"/>
              <w:rPr>
                <w:noProof/>
              </w:rPr>
            </w:pPr>
            <w:r>
              <w:rPr>
                <w:noProof/>
              </w:rPr>
              <w:t>Samazināts vidējais dienu skaits, ko centrālās valsts pārvaldes iestādes izmanto, lai maksātu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AEDC6"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AAB0" w14:textId="77777777" w:rsidR="00C972CB" w:rsidRDefault="002457F6">
            <w:pPr>
              <w:pStyle w:val="P68B1DB1-Normal5"/>
              <w:jc w:val="center"/>
              <w:rPr>
                <w:noProof/>
              </w:rPr>
            </w:pPr>
            <w:r>
              <w:rPr>
                <w:noProof/>
              </w:rPr>
              <w:t>Vidējais svērtais maksājuma laiks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E0C8AD"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F6B2A" w14:textId="77777777" w:rsidR="00C972CB" w:rsidRDefault="002457F6">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F1930"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B63062"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B19D0" w14:textId="77777777" w:rsidR="00C972CB" w:rsidRDefault="002457F6">
            <w:pPr>
              <w:pStyle w:val="P68B1DB1-Normal5"/>
              <w:spacing w:before="100" w:beforeAutospacing="1" w:after="120"/>
              <w:rPr>
                <w:noProof/>
              </w:rPr>
            </w:pPr>
            <w:r>
              <w:rPr>
                <w:noProof/>
              </w:rPr>
              <w:t xml:space="preserve">Pamatojoties uz Komerckredītu platformu </w:t>
            </w:r>
            <w:r>
              <w:rPr>
                <w:noProof/>
              </w:rPr>
              <w:t>(PCC), centrālo valsts iestāžu (</w:t>
            </w:r>
            <w:r>
              <w:rPr>
                <w:i/>
                <w:noProof/>
              </w:rPr>
              <w:t>Amministrazioni dello Stato, enti pubblici nazionali e altri enti</w:t>
            </w:r>
            <w:r>
              <w:rPr>
                <w:noProof/>
              </w:rPr>
              <w:t>) vidējais svērtais maksājuma laiks (“tempo di pagamento”) uzņēmumiem ir mazāks par vai vienāds ar 30 dienām.</w:t>
            </w:r>
          </w:p>
        </w:tc>
      </w:tr>
      <w:tr w:rsidR="00C972CB" w14:paraId="4805C87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643D" w14:textId="77777777" w:rsidR="00C972CB" w:rsidRDefault="002457F6">
            <w:pPr>
              <w:pStyle w:val="P68B1DB1-Normal5"/>
              <w:jc w:val="center"/>
              <w:rPr>
                <w:noProof/>
              </w:rPr>
            </w:pPr>
            <w:r>
              <w:rPr>
                <w:noProof/>
              </w:rPr>
              <w:t>M1C1–77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552FCB" w14:textId="77777777" w:rsidR="00C972CB" w:rsidRDefault="002457F6">
            <w:pPr>
              <w:pStyle w:val="P68B1DB1-Normal5"/>
              <w:jc w:val="center"/>
              <w:rPr>
                <w:noProof/>
              </w:rPr>
            </w:pPr>
            <w:r>
              <w:rPr>
                <w:noProof/>
              </w:rPr>
              <w:t xml:space="preserve">Reforma: Valsts pārvaldes iestāžu un </w:t>
            </w:r>
            <w:r>
              <w:rPr>
                <w:noProof/>
              </w:rPr>
              <w:t>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1766B6"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C1BBF" w14:textId="77777777" w:rsidR="00C972CB" w:rsidRDefault="002457F6">
            <w:pPr>
              <w:pStyle w:val="P68B1DB1-Normal5"/>
              <w:jc w:val="center"/>
              <w:rPr>
                <w:noProof/>
              </w:rPr>
            </w:pPr>
            <w:r>
              <w:rPr>
                <w:noProof/>
              </w:rPr>
              <w:t>Vidējais dienu skaits, kurā reģionālās publiskās pārvaldes iestādes maksā uzņēmumiem, ir samazināts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516119"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6FFCF" w14:textId="77777777" w:rsidR="00C972CB" w:rsidRDefault="002457F6">
            <w:pPr>
              <w:pStyle w:val="P68B1DB1-Normal5"/>
              <w:jc w:val="center"/>
              <w:rPr>
                <w:noProof/>
              </w:rPr>
            </w:pPr>
            <w:r>
              <w:rPr>
                <w:noProof/>
              </w:rPr>
              <w:t>Vidējais svērtais maksājuma laiks (dienās)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06843"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FCB7CB" w14:textId="77777777" w:rsidR="00C972CB" w:rsidRDefault="002457F6">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23BE57"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49D00C"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BF17EE" w14:textId="77777777" w:rsidR="00C972CB" w:rsidRDefault="002457F6">
            <w:pPr>
              <w:pStyle w:val="P68B1DB1-Normal5"/>
              <w:spacing w:before="100" w:beforeAutospacing="1" w:after="120"/>
              <w:rPr>
                <w:noProof/>
              </w:rPr>
            </w:pPr>
            <w:r>
              <w:rPr>
                <w:noProof/>
              </w:rPr>
              <w:t>Pamatojoties uz Komerckredītu platformu (PCC), reģionālo publisko iestāžu (Reģions</w:t>
            </w:r>
            <w:r>
              <w:rPr>
                <w:i/>
                <w:noProof/>
              </w:rPr>
              <w:t>un provinces autonomija)</w:t>
            </w:r>
            <w:r>
              <w:rPr>
                <w:noProof/>
              </w:rPr>
              <w:t>vidējais svērtais maksājuma laiks (“tempo di pagamento”) uzņēmumiem ir mazāks par vai vienāds ar 30 dienām.</w:t>
            </w:r>
          </w:p>
        </w:tc>
      </w:tr>
      <w:tr w:rsidR="00C972CB" w14:paraId="36D027E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E7A617" w14:textId="77777777" w:rsidR="00C972CB" w:rsidRDefault="002457F6">
            <w:pPr>
              <w:pStyle w:val="P68B1DB1-Normal5"/>
              <w:jc w:val="center"/>
              <w:rPr>
                <w:noProof/>
              </w:rPr>
            </w:pPr>
            <w:r>
              <w:rPr>
                <w:noProof/>
              </w:rPr>
              <w:t>M1C1–78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DB90AD" w14:textId="77777777" w:rsidR="00C972CB" w:rsidRDefault="002457F6">
            <w:pPr>
              <w:pStyle w:val="P68B1DB1-Normal5"/>
              <w:jc w:val="center"/>
              <w:rPr>
                <w:noProof/>
              </w:rPr>
            </w:pPr>
            <w:r>
              <w:rPr>
                <w:noProof/>
              </w:rPr>
              <w:t>Reforma: Valsts pārvaldes iestāžu</w:t>
            </w:r>
            <w:r>
              <w:rPr>
                <w:noProof/>
              </w:rPr>
              <w:t xml:space="preserve">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A3243"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770018" w14:textId="77777777" w:rsidR="00C972CB" w:rsidRDefault="002457F6">
            <w:pPr>
              <w:pStyle w:val="P68B1DB1-Normal5"/>
              <w:jc w:val="center"/>
              <w:rPr>
                <w:noProof/>
              </w:rPr>
            </w:pPr>
            <w:r>
              <w:rPr>
                <w:noProof/>
              </w:rPr>
              <w:t>Samazināts vidējais dienu skaits, ko vietējās publiskās pārvaldes iestādes izmanto, lai maksātu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4B64B2"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2E18C" w14:textId="77777777" w:rsidR="00C972CB" w:rsidRDefault="002457F6">
            <w:pPr>
              <w:pStyle w:val="P68B1DB1-Normal5"/>
              <w:jc w:val="center"/>
              <w:rPr>
                <w:rFonts w:eastAsiaTheme="minorEastAsia"/>
                <w:noProof/>
              </w:rPr>
            </w:pPr>
            <w:r>
              <w:rPr>
                <w:noProof/>
              </w:rPr>
              <w:t>Vidējais svērtais maksājuma laiks</w:t>
            </w:r>
          </w:p>
          <w:p w14:paraId="23738C75" w14:textId="77777777" w:rsidR="00C972CB" w:rsidRDefault="002457F6">
            <w:pPr>
              <w:pStyle w:val="P68B1DB1-Normal5"/>
              <w:jc w:val="center"/>
              <w:rPr>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01AC1"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F2513" w14:textId="77777777" w:rsidR="00C972CB" w:rsidRDefault="002457F6">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DFDE7"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26302"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0D0045" w14:textId="77777777" w:rsidR="00C972CB" w:rsidRDefault="002457F6">
            <w:pPr>
              <w:pStyle w:val="P68B1DB1-Normal5"/>
              <w:spacing w:before="100" w:beforeAutospacing="1" w:after="120"/>
              <w:rPr>
                <w:noProof/>
              </w:rPr>
            </w:pPr>
            <w:r>
              <w:rPr>
                <w:noProof/>
              </w:rPr>
              <w:t>Pamatojoties uz Komerckredītu platformu (PCC), vietējo publisko iestāžu (</w:t>
            </w:r>
            <w:r>
              <w:rPr>
                <w:i/>
                <w:noProof/>
              </w:rPr>
              <w:t>enti locali</w:t>
            </w:r>
            <w:r>
              <w:rPr>
                <w:noProof/>
              </w:rPr>
              <w:t>) vidējais svērtais maksājumu laiks (“tempo di pagamento”) uzņēmumiem ir mazāks par vai vienāds ar 30 dienām.</w:t>
            </w:r>
          </w:p>
        </w:tc>
      </w:tr>
      <w:tr w:rsidR="00C972CB" w14:paraId="3A82AF2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81578" w14:textId="77777777" w:rsidR="00C972CB" w:rsidRDefault="002457F6">
            <w:pPr>
              <w:pStyle w:val="P68B1DB1-Normal5"/>
              <w:jc w:val="center"/>
              <w:rPr>
                <w:noProof/>
              </w:rPr>
            </w:pPr>
            <w:r>
              <w:rPr>
                <w:noProof/>
              </w:rPr>
              <w:t>M1C1–79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C9826"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5D7CD"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49FD3" w14:textId="77777777" w:rsidR="00C972CB" w:rsidRDefault="002457F6">
            <w:pPr>
              <w:pStyle w:val="P68B1DB1-Normal5"/>
              <w:jc w:val="center"/>
              <w:rPr>
                <w:noProof/>
              </w:rPr>
            </w:pPr>
            <w:r>
              <w:rPr>
                <w:noProof/>
              </w:rPr>
              <w:t>Samazināts vidējais dienu skaits, ko sabiedrības veselības pārvaldes iestādes izmanto, lai maksātu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C43F04"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B23C5E" w14:textId="77777777" w:rsidR="00C972CB" w:rsidRDefault="002457F6">
            <w:pPr>
              <w:pStyle w:val="P68B1DB1-Normal5"/>
              <w:jc w:val="center"/>
              <w:rPr>
                <w:rFonts w:eastAsiaTheme="minorEastAsia"/>
                <w:noProof/>
              </w:rPr>
            </w:pPr>
            <w:r>
              <w:rPr>
                <w:noProof/>
              </w:rPr>
              <w:t xml:space="preserve">Vidējais svērtais maksājuma </w:t>
            </w:r>
            <w:r>
              <w:rPr>
                <w:noProof/>
              </w:rPr>
              <w:t>laiks</w:t>
            </w:r>
          </w:p>
          <w:p w14:paraId="04C2B9AB" w14:textId="77777777" w:rsidR="00C972CB" w:rsidRDefault="002457F6">
            <w:pPr>
              <w:pStyle w:val="P68B1DB1-Normal5"/>
              <w:jc w:val="center"/>
              <w:rPr>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598E97"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01CE9" w14:textId="77777777" w:rsidR="00C972CB" w:rsidRDefault="002457F6">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1D941"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987ECF"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5B022" w14:textId="77777777" w:rsidR="00C972CB" w:rsidRDefault="002457F6">
            <w:pPr>
              <w:pStyle w:val="P68B1DB1-Normal5"/>
              <w:spacing w:before="100" w:beforeAutospacing="1" w:after="120"/>
              <w:rPr>
                <w:noProof/>
              </w:rPr>
            </w:pPr>
            <w:r>
              <w:rPr>
                <w:noProof/>
              </w:rPr>
              <w:t>Pamatojoties uz Komerckredītu platformu (PCC), sabiedrības veselības aizsardzības iestāžu (</w:t>
            </w:r>
            <w:r>
              <w:rPr>
                <w:i/>
                <w:noProof/>
              </w:rPr>
              <w:t>enti del Servizio sanitario nazionale</w:t>
            </w:r>
            <w:r>
              <w:rPr>
                <w:noProof/>
              </w:rPr>
              <w:t>) vidējais svērtais maksājuma laiks (“tempo di pagamento”) uzņēmumiem ir mazāks par vai</w:t>
            </w:r>
            <w:r>
              <w:rPr>
                <w:noProof/>
              </w:rPr>
              <w:t xml:space="preserve"> vienāds ar 60 dienām.</w:t>
            </w:r>
          </w:p>
        </w:tc>
      </w:tr>
      <w:tr w:rsidR="00C972CB" w14:paraId="4079532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6BB8B" w14:textId="77777777" w:rsidR="00C972CB" w:rsidRDefault="002457F6">
            <w:pPr>
              <w:pStyle w:val="P68B1DB1-Normal5"/>
              <w:jc w:val="center"/>
              <w:rPr>
                <w:noProof/>
              </w:rPr>
            </w:pPr>
            <w:r>
              <w:rPr>
                <w:noProof/>
              </w:rPr>
              <w:t>M1C1–80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D5A2CE"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D39479"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3C56A" w14:textId="77777777" w:rsidR="00C972CB" w:rsidRDefault="002457F6">
            <w:pPr>
              <w:pStyle w:val="P68B1DB1-Normal5"/>
              <w:jc w:val="center"/>
              <w:rPr>
                <w:noProof/>
              </w:rPr>
            </w:pPr>
            <w:r>
              <w:rPr>
                <w:noProof/>
              </w:rPr>
              <w:t>Ir samazināts vidējais to dienu skaits, kurās centrālās valsts pārvaldes iestādes kavē maksāt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E95D15"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4C5D8" w14:textId="77777777" w:rsidR="00C972CB" w:rsidRDefault="002457F6">
            <w:pPr>
              <w:pStyle w:val="P68B1DB1-Normal5"/>
              <w:jc w:val="center"/>
              <w:rPr>
                <w:rFonts w:eastAsiaTheme="minorEastAsia"/>
                <w:noProof/>
              </w:rPr>
            </w:pPr>
            <w:r>
              <w:rPr>
                <w:noProof/>
              </w:rPr>
              <w:t>Vidējais svērtais maksājuma kavējums</w:t>
            </w:r>
          </w:p>
          <w:p w14:paraId="4F46D9CB" w14:textId="77777777" w:rsidR="00C972CB" w:rsidRDefault="002457F6">
            <w:pPr>
              <w:pStyle w:val="P68B1DB1-Normal5"/>
              <w:jc w:val="center"/>
              <w:rPr>
                <w:rFonts w:eastAsiaTheme="minorEastAsia"/>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1E10EB"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7BEED9" w14:textId="77777777" w:rsidR="00C972CB" w:rsidRDefault="002457F6">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6CED4"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9663E"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44073" w14:textId="77777777" w:rsidR="00C972CB" w:rsidRDefault="002457F6">
            <w:pPr>
              <w:pStyle w:val="P68B1DB1-Normal5"/>
              <w:spacing w:before="100" w:beforeAutospacing="1" w:after="120"/>
              <w:rPr>
                <w:rFonts w:eastAsiaTheme="minorEastAsia"/>
                <w:noProof/>
              </w:rPr>
            </w:pPr>
            <w:r>
              <w:rPr>
                <w:noProof/>
              </w:rPr>
              <w:t>Pamatojoties uz Komerckredītu platformu (PCC), centrālo iestāžu (</w:t>
            </w:r>
            <w:r>
              <w:rPr>
                <w:i/>
                <w:noProof/>
              </w:rPr>
              <w:t>Amministrazioni dello Stato, enti pubblici nazionali e altri enti</w:t>
            </w:r>
            <w:r>
              <w:rPr>
                <w:noProof/>
              </w:rPr>
              <w:t xml:space="preserve">) vidējais svērtais maksājuma termiņš (“tempo di </w:t>
            </w:r>
            <w:r>
              <w:rPr>
                <w:noProof/>
              </w:rPr>
              <w:t>ritardo”) uzņēmumiem nepārsniedz 0 dienas.</w:t>
            </w:r>
          </w:p>
        </w:tc>
      </w:tr>
      <w:tr w:rsidR="00C972CB" w14:paraId="1E4F6D9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778457" w14:textId="77777777" w:rsidR="00C972CB" w:rsidRDefault="002457F6">
            <w:pPr>
              <w:pStyle w:val="P68B1DB1-Normal5"/>
              <w:jc w:val="center"/>
              <w:rPr>
                <w:noProof/>
              </w:rPr>
            </w:pPr>
            <w:r>
              <w:rPr>
                <w:noProof/>
              </w:rPr>
              <w:t>M1C1–81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CC589"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D300FE"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DA0384" w14:textId="77777777" w:rsidR="00C972CB" w:rsidRDefault="002457F6">
            <w:pPr>
              <w:pStyle w:val="P68B1DB1-Normal5"/>
              <w:jc w:val="center"/>
              <w:rPr>
                <w:noProof/>
              </w:rPr>
            </w:pPr>
            <w:r>
              <w:rPr>
                <w:noProof/>
              </w:rPr>
              <w:t xml:space="preserve">Vidējais dienu skaits, kad reģionālās publiskās pārvaldes iestādes kavē maksāt uzņēmumiem, ir </w:t>
            </w:r>
            <w:r>
              <w:rPr>
                <w:noProof/>
              </w:rPr>
              <w:t>samazināts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5A084"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BBF53" w14:textId="77777777" w:rsidR="00C972CB" w:rsidRDefault="002457F6">
            <w:pPr>
              <w:pStyle w:val="P68B1DB1-Normal5"/>
              <w:jc w:val="center"/>
              <w:rPr>
                <w:rFonts w:eastAsiaTheme="minorEastAsia"/>
                <w:noProof/>
              </w:rPr>
            </w:pPr>
            <w:r>
              <w:rPr>
                <w:noProof/>
              </w:rPr>
              <w:t>Vidējais svērtais maksājuma kavējums</w:t>
            </w:r>
          </w:p>
          <w:p w14:paraId="61D77EAF" w14:textId="77777777" w:rsidR="00C972CB" w:rsidRDefault="002457F6">
            <w:pPr>
              <w:pStyle w:val="P68B1DB1-Normal5"/>
              <w:jc w:val="center"/>
              <w:rPr>
                <w:rFonts w:eastAsiaTheme="minorEastAsia"/>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23EDDF"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6945E0" w14:textId="77777777" w:rsidR="00C972CB" w:rsidRDefault="002457F6">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AA6F40"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7AD207"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81FFA" w14:textId="77777777" w:rsidR="00C972CB" w:rsidRDefault="002457F6">
            <w:pPr>
              <w:pStyle w:val="P68B1DB1-Normal5"/>
              <w:spacing w:before="100" w:beforeAutospacing="1" w:after="120"/>
              <w:rPr>
                <w:rFonts w:eastAsiaTheme="minorEastAsia"/>
                <w:noProof/>
              </w:rPr>
            </w:pPr>
            <w:r>
              <w:rPr>
                <w:noProof/>
              </w:rPr>
              <w:t>Pamatojoties uz Komerckredītu platformu (PCC), reģionālo iestāžu (reģiona</w:t>
            </w:r>
            <w:r>
              <w:rPr>
                <w:i/>
                <w:noProof/>
              </w:rPr>
              <w:t>un provinces autonomijas) vidējais svērtais maksājumu kavējums (“tempo di ritardo</w:t>
            </w:r>
            <w:r>
              <w:rPr>
                <w:noProof/>
              </w:rPr>
              <w:t>”) uzņēmum</w:t>
            </w:r>
            <w:r>
              <w:rPr>
                <w:noProof/>
              </w:rPr>
              <w:t>iem nedrīkst pārsniegt 0 dienas.</w:t>
            </w:r>
          </w:p>
        </w:tc>
      </w:tr>
      <w:tr w:rsidR="00C972CB" w14:paraId="7D14A90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2C4DC3" w14:textId="77777777" w:rsidR="00C972CB" w:rsidRDefault="002457F6">
            <w:pPr>
              <w:pStyle w:val="P68B1DB1-Normal5"/>
              <w:jc w:val="center"/>
              <w:rPr>
                <w:noProof/>
              </w:rPr>
            </w:pPr>
            <w:r>
              <w:rPr>
                <w:noProof/>
              </w:rPr>
              <w:t>M1C1–82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0211D"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2FEE6"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97B38" w14:textId="77777777" w:rsidR="00C972CB" w:rsidRDefault="002457F6">
            <w:pPr>
              <w:pStyle w:val="P68B1DB1-Normal5"/>
              <w:jc w:val="center"/>
              <w:rPr>
                <w:noProof/>
              </w:rPr>
            </w:pPr>
            <w:r>
              <w:rPr>
                <w:noProof/>
              </w:rPr>
              <w:t>Ir samazināts vidējais to dienu skaits, kurās vietējās publiskās pārvaldes iestādes kavē maksāt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8FFFD"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17548" w14:textId="77777777" w:rsidR="00C972CB" w:rsidRDefault="002457F6">
            <w:pPr>
              <w:pStyle w:val="P68B1DB1-Normal5"/>
              <w:jc w:val="center"/>
              <w:rPr>
                <w:rFonts w:eastAsiaTheme="minorEastAsia"/>
                <w:noProof/>
              </w:rPr>
            </w:pPr>
            <w:r>
              <w:rPr>
                <w:noProof/>
              </w:rPr>
              <w:t>Vidējais svērtais maksājuma kavējums</w:t>
            </w:r>
          </w:p>
          <w:p w14:paraId="576D4C68" w14:textId="77777777" w:rsidR="00C972CB" w:rsidRDefault="002457F6">
            <w:pPr>
              <w:pStyle w:val="P68B1DB1-Normal5"/>
              <w:jc w:val="center"/>
              <w:rPr>
                <w:rFonts w:eastAsiaTheme="minorEastAsia"/>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19185C"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C84E73" w14:textId="77777777" w:rsidR="00C972CB" w:rsidRDefault="002457F6">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66120"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8F02E"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A2C963" w14:textId="77777777" w:rsidR="00C972CB" w:rsidRDefault="002457F6">
            <w:pPr>
              <w:pStyle w:val="P68B1DB1-Normal5"/>
              <w:spacing w:before="100" w:beforeAutospacing="1" w:after="120"/>
              <w:rPr>
                <w:rFonts w:eastAsiaTheme="minorEastAsia"/>
                <w:noProof/>
              </w:rPr>
            </w:pPr>
            <w:r>
              <w:rPr>
                <w:noProof/>
              </w:rPr>
              <w:t>Pamatojoties uz Komerckredītu platformu (PCC), vietējo iestāžu (</w:t>
            </w:r>
            <w:r>
              <w:rPr>
                <w:i/>
                <w:noProof/>
              </w:rPr>
              <w:t>enti locali</w:t>
            </w:r>
            <w:r>
              <w:rPr>
                <w:noProof/>
              </w:rPr>
              <w:t>) vidējais svērtais maksājumu kavējums (“tempo di ritardo”) uzņēmumiem nedrīkst pārsniegt 0 dienas.</w:t>
            </w:r>
          </w:p>
        </w:tc>
      </w:tr>
      <w:tr w:rsidR="00C972CB" w14:paraId="023716C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A5C8D0" w14:textId="77777777" w:rsidR="00C972CB" w:rsidRDefault="002457F6">
            <w:pPr>
              <w:pStyle w:val="P68B1DB1-Normal5"/>
              <w:jc w:val="center"/>
              <w:rPr>
                <w:noProof/>
              </w:rPr>
            </w:pPr>
            <w:r>
              <w:rPr>
                <w:noProof/>
              </w:rPr>
              <w:t>M1C1–83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5A7DC"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563AA"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5D21D6" w14:textId="77777777" w:rsidR="00C972CB" w:rsidRDefault="002457F6">
            <w:pPr>
              <w:pStyle w:val="P68B1DB1-Normal5"/>
              <w:jc w:val="center"/>
              <w:rPr>
                <w:noProof/>
              </w:rPr>
            </w:pPr>
            <w:r>
              <w:rPr>
                <w:noProof/>
              </w:rPr>
              <w:t>Tiek samazināts vidējais to dienu skaits, kurās veselības aprūpes valsts pārvaldes iestādes maksā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7E79C"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D0F7B" w14:textId="77777777" w:rsidR="00C972CB" w:rsidRDefault="002457F6">
            <w:pPr>
              <w:pStyle w:val="P68B1DB1-Normal5"/>
              <w:jc w:val="center"/>
              <w:rPr>
                <w:rFonts w:eastAsiaTheme="minorEastAsia"/>
                <w:noProof/>
              </w:rPr>
            </w:pPr>
            <w:r>
              <w:rPr>
                <w:noProof/>
              </w:rPr>
              <w:t xml:space="preserve">Vidējais svērtais </w:t>
            </w:r>
            <w:r>
              <w:rPr>
                <w:noProof/>
              </w:rPr>
              <w:t>maksājuma kavējums</w:t>
            </w:r>
          </w:p>
          <w:p w14:paraId="2537CA49" w14:textId="77777777" w:rsidR="00C972CB" w:rsidRDefault="002457F6">
            <w:pPr>
              <w:pStyle w:val="P68B1DB1-Normal5"/>
              <w:jc w:val="center"/>
              <w:rPr>
                <w:rFonts w:eastAsiaTheme="minorEastAsia"/>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1BDF"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32338C" w14:textId="77777777" w:rsidR="00C972CB" w:rsidRDefault="002457F6">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F04D29"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D0CCA"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7074A0" w14:textId="77777777" w:rsidR="00C972CB" w:rsidRDefault="002457F6">
            <w:pPr>
              <w:pStyle w:val="P68B1DB1-Normal5"/>
              <w:spacing w:before="100" w:beforeAutospacing="1" w:after="120"/>
              <w:rPr>
                <w:rFonts w:eastAsiaTheme="minorEastAsia"/>
                <w:noProof/>
              </w:rPr>
            </w:pPr>
            <w:r>
              <w:rPr>
                <w:noProof/>
              </w:rPr>
              <w:t>Pamatojoties uz Komerckredītu platformu (PCC), sabiedrības veselības aizsardzības iestāžu (</w:t>
            </w:r>
            <w:r>
              <w:rPr>
                <w:i/>
                <w:noProof/>
              </w:rPr>
              <w:t>enti del Servizio sanitario nazionale</w:t>
            </w:r>
            <w:r>
              <w:rPr>
                <w:noProof/>
              </w:rPr>
              <w:t>) vidējais svērtais maksājumu kavējums (“tempo di ritardo”) uzņēmumiem nedr</w:t>
            </w:r>
            <w:r>
              <w:rPr>
                <w:noProof/>
              </w:rPr>
              <w:t>īkst pārsniegt 0 dienas.</w:t>
            </w:r>
          </w:p>
        </w:tc>
      </w:tr>
      <w:tr w:rsidR="00C972CB" w14:paraId="74F972C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0FB67" w14:textId="77777777" w:rsidR="00C972CB" w:rsidRDefault="002457F6">
            <w:pPr>
              <w:pStyle w:val="P68B1DB1-Normal5"/>
              <w:jc w:val="center"/>
              <w:rPr>
                <w:noProof/>
              </w:rPr>
            </w:pPr>
            <w:r>
              <w:rPr>
                <w:noProof/>
              </w:rPr>
              <w:t>M1C1–84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69599E"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FB98B"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DFDB5" w14:textId="77777777" w:rsidR="00C972CB" w:rsidRDefault="002457F6">
            <w:pPr>
              <w:pStyle w:val="P68B1DB1-Normal5"/>
              <w:jc w:val="center"/>
              <w:rPr>
                <w:noProof/>
              </w:rPr>
            </w:pPr>
            <w:r>
              <w:rPr>
                <w:noProof/>
              </w:rPr>
              <w:t>Vidējais laiks no publicēšanas līdz līguma slēgšanas tiesību piešķiršanai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AFE78"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102C8"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48D8B" w14:textId="77777777" w:rsidR="00C972CB" w:rsidRDefault="002457F6">
            <w:pPr>
              <w:pStyle w:val="P68B1DB1-Normal5"/>
              <w:jc w:val="center"/>
              <w:rPr>
                <w:noProof/>
              </w:rPr>
            </w:pPr>
            <w:r>
              <w:rPr>
                <w:noProof/>
              </w:rPr>
              <w:t>139</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6F3FF" w14:textId="77777777" w:rsidR="00C972CB" w:rsidRDefault="002457F6">
            <w:pPr>
              <w:pStyle w:val="P68B1DB1-Normal5"/>
              <w:jc w:val="center"/>
              <w:rPr>
                <w:noProof/>
              </w:rPr>
            </w:pPr>
            <w:r>
              <w:rPr>
                <w:noProof/>
              </w:rPr>
              <w:t>100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B6A0E"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9094EB"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F345" w14:textId="404D2F39" w:rsidR="00C972CB" w:rsidRDefault="002457F6">
            <w:pPr>
              <w:pStyle w:val="P68B1DB1-Normal5"/>
              <w:spacing w:before="100" w:beforeAutospacing="1" w:after="120"/>
              <w:rPr>
                <w:noProof/>
              </w:rPr>
            </w:pPr>
            <w:r>
              <w:rPr>
                <w:noProof/>
              </w:rPr>
              <w:t>Pamatojoties uz metodēm, ko pieņēmis ES Oficiālais Vēstnesis (TED datubāze), izmantojot datus no IT valsts publisko līgumu datubāzes (BDNCP), ko pārvalda ANAC, vidējais laiks starp piedāvājumu iesniegšanas termiņu un līguma slēgšanas tiesību piešķiršanu ti</w:t>
            </w:r>
            <w:r>
              <w:rPr>
                <w:noProof/>
              </w:rPr>
              <w:t xml:space="preserve">ek samazināts līdz mazāk nekā 100 dienām līgumiem, kas pārsniedz ES publiskā iepirkuma direktīvās noteiktās robežvērtības. </w:t>
            </w:r>
          </w:p>
        </w:tc>
      </w:tr>
      <w:tr w:rsidR="00C972CB" w14:paraId="2A93BAD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659C0" w14:textId="77777777" w:rsidR="00C972CB" w:rsidRDefault="002457F6">
            <w:pPr>
              <w:pStyle w:val="P68B1DB1-Normal5"/>
              <w:jc w:val="center"/>
              <w:rPr>
                <w:noProof/>
              </w:rPr>
            </w:pPr>
            <w:r>
              <w:rPr>
                <w:noProof/>
              </w:rPr>
              <w:t>M1C1–84bis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9DD99E"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24515"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1129CB" w14:textId="77777777" w:rsidR="00C972CB" w:rsidRDefault="002457F6">
            <w:pPr>
              <w:pStyle w:val="P68B1DB1-Normal5"/>
              <w:jc w:val="center"/>
              <w:rPr>
                <w:noProof/>
              </w:rPr>
            </w:pPr>
            <w:r>
              <w:rPr>
                <w:noProof/>
              </w:rPr>
              <w:t xml:space="preserve">Pasākumi, lai uzlabotu lēmumu pieņemšanas </w:t>
            </w:r>
            <w:r>
              <w:rPr>
                <w:noProof/>
              </w:rPr>
              <w:t>ātrumu līgumslēdzēju iestāžu līgumu slēgšanas tiesību piešķiršanā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D318F" w14:textId="77777777" w:rsidR="00C972CB" w:rsidRDefault="002457F6">
            <w:pPr>
              <w:pStyle w:val="P68B1DB1-Normal5"/>
              <w:jc w:val="center"/>
              <w:rPr>
                <w:noProof/>
              </w:rPr>
            </w:pPr>
            <w:r>
              <w:rPr>
                <w:noProof/>
              </w:rPr>
              <w:t>Īstenošanas pasākumu pieņemšana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E223"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0A327B"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3F6363"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4AA7A"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CD82B"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1DDF42" w14:textId="7C8E9C5A" w:rsidR="00C972CB" w:rsidRDefault="002457F6">
            <w:pPr>
              <w:pStyle w:val="P68B1DB1-Normal5"/>
              <w:spacing w:before="100" w:beforeAutospacing="1" w:after="120"/>
              <w:rPr>
                <w:noProof/>
              </w:rPr>
            </w:pPr>
            <w:r>
              <w:rPr>
                <w:noProof/>
              </w:rPr>
              <w:t>Lai uzlabotu lēmumu pieņemšanas ātrumu līguma slēgšanas tiesību piešķiršanā un paātrinātu procesu, kas sākts ar Pub</w:t>
            </w:r>
            <w:r>
              <w:rPr>
                <w:noProof/>
              </w:rPr>
              <w:t>liskā iepirkuma kodeksa reformu, digitalizējot iepirkumus un padarot līgumslēdzējas iestādes profesionalizējušās, Cabina di regia, bijušais Publisko līgumu kodeksa 221. pants, pēc apspriešanās ar ANAC veic:</w:t>
            </w:r>
          </w:p>
          <w:p w14:paraId="550AC7B5" w14:textId="77777777" w:rsidR="00C972CB" w:rsidRDefault="002457F6">
            <w:pPr>
              <w:pStyle w:val="P68B1DB1-Normal5"/>
              <w:spacing w:before="100" w:beforeAutospacing="1" w:after="120"/>
              <w:rPr>
                <w:noProof/>
              </w:rPr>
            </w:pPr>
            <w:r>
              <w:rPr>
                <w:noProof/>
              </w:rPr>
              <w:t>analīze par e-iepirkuma ietekmi uz līguma slēgšan</w:t>
            </w:r>
            <w:r>
              <w:rPr>
                <w:noProof/>
              </w:rPr>
              <w:t>as tiesību piešķiršanas laiku līdz līguma noslēgšanai;</w:t>
            </w:r>
          </w:p>
          <w:p w14:paraId="199C57B4" w14:textId="77777777" w:rsidR="00C972CB" w:rsidRDefault="002457F6">
            <w:pPr>
              <w:pStyle w:val="P68B1DB1-Normal5"/>
              <w:spacing w:before="100" w:beforeAutospacing="1" w:after="120"/>
              <w:rPr>
                <w:noProof/>
              </w:rPr>
            </w:pPr>
            <w:r>
              <w:rPr>
                <w:noProof/>
              </w:rPr>
              <w:t xml:space="preserve">lēmuma pieņemšanas ātruma novērtējums; </w:t>
            </w:r>
          </w:p>
          <w:p w14:paraId="1DDD4BEA" w14:textId="71C6F01B" w:rsidR="00C972CB" w:rsidRDefault="002457F6">
            <w:pPr>
              <w:pStyle w:val="P68B1DB1-Normal5"/>
              <w:spacing w:before="100" w:beforeAutospacing="1" w:after="120"/>
              <w:rPr>
                <w:noProof/>
              </w:rPr>
            </w:pPr>
            <w:r>
              <w:rPr>
                <w:noProof/>
              </w:rPr>
              <w:t xml:space="preserve">līgumslēdzēju iestāžu paraugprakses uzraudzība, kuras mērķis ir saīsināt līguma slēgšanas tiesību piešķiršanas laiku; </w:t>
            </w:r>
          </w:p>
          <w:p w14:paraId="4DB61A56" w14:textId="77777777" w:rsidR="00C972CB" w:rsidRDefault="002457F6">
            <w:pPr>
              <w:pStyle w:val="P68B1DB1-Normal5"/>
              <w:spacing w:before="100" w:beforeAutospacing="1" w:after="120"/>
              <w:rPr>
                <w:noProof/>
              </w:rPr>
            </w:pPr>
            <w:r>
              <w:rPr>
                <w:noProof/>
              </w:rPr>
              <w:t>—analīze par tiesisko regulējumu, kuras mē</w:t>
            </w:r>
            <w:r>
              <w:rPr>
                <w:noProof/>
              </w:rPr>
              <w:t>rķis ir identificēt visus kritiskos jautājumus līgumu slēgšanas tiesību piešķiršanas procedūrās un, pamatojoties uz analīzi, ierosināt iniciatīvas, kas pabeigtas, lai saīsinātu lēmuma pieņemšanas ātrumu.</w:t>
            </w:r>
          </w:p>
          <w:p w14:paraId="5E1D3646" w14:textId="77777777" w:rsidR="00C972CB" w:rsidRDefault="002457F6">
            <w:pPr>
              <w:pStyle w:val="P68B1DB1-Normal5"/>
              <w:spacing w:before="100" w:beforeAutospacing="1" w:after="120"/>
              <w:rPr>
                <w:noProof/>
              </w:rPr>
            </w:pPr>
            <w:r>
              <w:rPr>
                <w:noProof/>
              </w:rPr>
              <w:t xml:space="preserve">Sākot no 2024. gada datiem, ANAC katru gadu uzrauga </w:t>
            </w:r>
            <w:r>
              <w:rPr>
                <w:noProof/>
              </w:rPr>
              <w:t xml:space="preserve">līgumslēdzēju iestāžu vidējo lēmumu pieņemšanas ātrumu, pamatojoties uz pilnvarām, kas tai piešķirtas ar Publisko iepirkumu kodeksa 222. pantu. </w:t>
            </w:r>
          </w:p>
          <w:p w14:paraId="21B7FDE3" w14:textId="77777777" w:rsidR="00C972CB" w:rsidRDefault="002457F6">
            <w:pPr>
              <w:pStyle w:val="P68B1DB1-Normal5"/>
              <w:spacing w:before="100" w:beforeAutospacing="1" w:after="120"/>
              <w:rPr>
                <w:noProof/>
              </w:rPr>
            </w:pPr>
            <w:r>
              <w:rPr>
                <w:noProof/>
              </w:rPr>
              <w:t>Līgumslēdzējām iestādēm, kuru vidējais lēmumu pieņemšanas ātrums TED pārsniedz 160 dienas, ir jāpiedalās kvalif</w:t>
            </w:r>
            <w:r>
              <w:rPr>
                <w:noProof/>
              </w:rPr>
              <w:t>ikācijas un profesionalizācijas mācībās.</w:t>
            </w:r>
          </w:p>
        </w:tc>
      </w:tr>
      <w:tr w:rsidR="00C972CB" w14:paraId="1EB6468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4A27B" w14:textId="77777777" w:rsidR="00C972CB" w:rsidRDefault="002457F6">
            <w:pPr>
              <w:pStyle w:val="P68B1DB1-Normal5"/>
              <w:jc w:val="center"/>
              <w:rPr>
                <w:noProof/>
              </w:rPr>
            </w:pPr>
            <w:r>
              <w:rPr>
                <w:noProof/>
              </w:rPr>
              <w:t>M1C1–85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9F545"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930E77"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ECBA0" w14:textId="77777777" w:rsidR="00C972CB" w:rsidRDefault="002457F6">
            <w:pPr>
              <w:pStyle w:val="P68B1DB1-Normal5"/>
              <w:jc w:val="center"/>
              <w:rPr>
                <w:noProof/>
              </w:rPr>
            </w:pPr>
            <w:r>
              <w:rPr>
                <w:noProof/>
              </w:rPr>
              <w:t>Vidējais laiks starp līguma slēgšanas tiesību piešķiršanu un infrastruktūras realizāciju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F699EF"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7C335F"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CBC3A3"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D3549" w14:textId="77777777" w:rsidR="00C972CB" w:rsidRDefault="002457F6">
            <w:pPr>
              <w:pStyle w:val="P68B1DB1-Normal5"/>
              <w:jc w:val="center"/>
              <w:rPr>
                <w:noProof/>
              </w:rPr>
            </w:pPr>
            <w:r>
              <w:rPr>
                <w:noProof/>
              </w:rPr>
              <w:t>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1E8AB"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7B5F9"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2CE0BB" w14:textId="77777777" w:rsidR="00C972CB" w:rsidRDefault="002457F6">
            <w:pPr>
              <w:pStyle w:val="P68B1DB1-Normal5"/>
              <w:spacing w:before="100" w:beforeAutospacing="1" w:after="120"/>
              <w:rPr>
                <w:noProof/>
              </w:rPr>
            </w:pPr>
            <w:r>
              <w:rPr>
                <w:noProof/>
              </w:rPr>
              <w:t>Vidējo laiku no līguma slēgšanas tiesību piešķiršanas līdz infrastruktūras realizācijai (“fase esecutiva”) samazina vismaz par 10 %.</w:t>
            </w:r>
          </w:p>
        </w:tc>
      </w:tr>
      <w:tr w:rsidR="00C972CB" w14:paraId="75F856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BC14F6" w14:textId="77777777" w:rsidR="00C972CB" w:rsidRDefault="002457F6">
            <w:pPr>
              <w:pStyle w:val="P68B1DB1-Normal5"/>
              <w:jc w:val="center"/>
              <w:rPr>
                <w:noProof/>
              </w:rPr>
            </w:pPr>
            <w:r>
              <w:rPr>
                <w:noProof/>
              </w:rPr>
              <w:t>M1C1–86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7D077F"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955CB7"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12C08E" w14:textId="77777777" w:rsidR="00C972CB" w:rsidRDefault="002457F6">
            <w:pPr>
              <w:pStyle w:val="P68B1DB1-Normal5"/>
              <w:jc w:val="center"/>
              <w:rPr>
                <w:noProof/>
              </w:rPr>
            </w:pPr>
            <w:r>
              <w:rPr>
                <w:noProof/>
              </w:rPr>
              <w:t xml:space="preserve">Ierēdņi, kas apmācīti, izmantojot Publisko pircēju </w:t>
            </w:r>
            <w:r>
              <w:rPr>
                <w:noProof/>
              </w:rPr>
              <w:t>profesionalizācijas stratēģiju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71ECE4"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9B07B"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144DBB"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6B9E7" w14:textId="77777777" w:rsidR="00C972CB" w:rsidRDefault="002457F6">
            <w:pPr>
              <w:pStyle w:val="P68B1DB1-Normal5"/>
              <w:jc w:val="center"/>
              <w:rPr>
                <w:noProof/>
              </w:rPr>
            </w:pPr>
            <w:r>
              <w:rPr>
                <w:noProof/>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46AAE3"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168363"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B13ED" w14:textId="0B67EA93" w:rsidR="00C972CB" w:rsidRDefault="002457F6">
            <w:pPr>
              <w:pStyle w:val="P68B1DB1-Normal5"/>
              <w:spacing w:before="100" w:beforeAutospacing="1" w:after="120"/>
              <w:rPr>
                <w:noProof/>
              </w:rPr>
            </w:pPr>
            <w:r>
              <w:rPr>
                <w:noProof/>
              </w:rPr>
              <w:t>Vismaz 20 % civildienesta ierēdņu ir apmācīti, izmantojot Publisko pircēju profesionalizācijas stratēģiju, kurā ņemts vērā to ierēdņu kopējais skaits, kuri aktīvi iesaistīti publis</w:t>
            </w:r>
            <w:r>
              <w:rPr>
                <w:noProof/>
              </w:rPr>
              <w:t>kajā iepirkumā, t. i., no 2021. gada 30. aprīļa 100000 publiskā iepirkuma veicēju, kas reģistrēti valsts e-iepirkumu sistēmā, kuru MEF vārdā pārvalda Consip.</w:t>
            </w:r>
          </w:p>
        </w:tc>
      </w:tr>
      <w:tr w:rsidR="00C972CB" w14:paraId="2F23B8F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46C91" w14:textId="77777777" w:rsidR="00C972CB" w:rsidRDefault="002457F6">
            <w:pPr>
              <w:pStyle w:val="P68B1DB1-Normal5"/>
              <w:jc w:val="center"/>
              <w:rPr>
                <w:noProof/>
              </w:rPr>
            </w:pPr>
            <w:r>
              <w:rPr>
                <w:noProof/>
              </w:rPr>
              <w:t>M1C1–87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95DC5A"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35530"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8133D" w14:textId="77777777" w:rsidR="00C972CB" w:rsidRDefault="002457F6">
            <w:pPr>
              <w:pStyle w:val="P68B1DB1-Normal5"/>
              <w:jc w:val="center"/>
              <w:rPr>
                <w:noProof/>
              </w:rPr>
            </w:pPr>
            <w:r>
              <w:rPr>
                <w:noProof/>
              </w:rPr>
              <w:t xml:space="preserve">Līgumslēdzējas iestādes, </w:t>
            </w:r>
            <w:r>
              <w:rPr>
                <w:noProof/>
              </w:rPr>
              <w:t>kas izmanto dinamiskās iepirkumu sistēmas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6EE4B"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5072A3"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A451"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E8DBE" w14:textId="77777777" w:rsidR="00C972CB" w:rsidRDefault="002457F6">
            <w:pPr>
              <w:pStyle w:val="P68B1DB1-Normal5"/>
              <w:jc w:val="center"/>
              <w:rPr>
                <w:noProof/>
              </w:rPr>
            </w:pPr>
            <w:r>
              <w:rPr>
                <w:noProof/>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09575"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25E67"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C7866" w14:textId="77777777" w:rsidR="00C972CB" w:rsidRDefault="002457F6">
            <w:pPr>
              <w:pStyle w:val="P68B1DB1-Normal5"/>
              <w:spacing w:before="100" w:beforeAutospacing="1" w:after="120"/>
              <w:rPr>
                <w:noProof/>
              </w:rPr>
            </w:pPr>
            <w:r>
              <w:rPr>
                <w:noProof/>
              </w:rPr>
              <w:t xml:space="preserve">Vismaz 15 % līgumslēdzēju iestāžu izmanto dinamiskās iepirkumu sistēmas saskaņā ar ES Direktīvu 2014/24 (divu gadu novērošanas termiņš un ņemot vērā to, ka Itālijā DPS </w:t>
            </w:r>
            <w:r>
              <w:rPr>
                <w:noProof/>
              </w:rPr>
              <w:t>izmantošana galvenokārt ir vērsta uz iepirkumiem, kas pārsniedz robežvērtību, ņemot vērā to, ka darījumi zem robežvērtības galvenokārt tiek veikti, izmantojot e-Marketplaces). Mērķrādītājs attiecas uz centrālās valdības līgumslēdzējām iestādēm (250 MA, kas</w:t>
            </w:r>
            <w:r>
              <w:rPr>
                <w:noProof/>
              </w:rPr>
              <w:t xml:space="preserve"> reģistrēta 2021. gada 30. aprīlī, uz valsts e-iepirkuma sistēmu, ko MEF vārdā pārvalda Consip).</w:t>
            </w:r>
          </w:p>
        </w:tc>
      </w:tr>
      <w:tr w:rsidR="00C972CB" w14:paraId="1B5630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AF83B" w14:textId="77777777" w:rsidR="00C972CB" w:rsidRDefault="002457F6">
            <w:pPr>
              <w:pStyle w:val="P68B1DB1-Normal5"/>
              <w:jc w:val="center"/>
              <w:rPr>
                <w:noProof/>
              </w:rPr>
            </w:pPr>
            <w:r>
              <w:rPr>
                <w:noProof/>
              </w:rPr>
              <w:t>M1C1–88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19A84"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E1A4CE"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2737" w14:textId="77777777" w:rsidR="00C972CB" w:rsidRDefault="002457F6">
            <w:pPr>
              <w:pStyle w:val="P68B1DB1-Normal5"/>
              <w:jc w:val="center"/>
              <w:rPr>
                <w:noProof/>
              </w:rPr>
            </w:pPr>
            <w:r>
              <w:rPr>
                <w:noProof/>
              </w:rPr>
              <w:t>Samazināts vidējais dienu skaits, ko centrālās valsts pārvaldes iestādes izmanto, lai maksātu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91B30"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4A860" w14:textId="77777777" w:rsidR="00C972CB" w:rsidRDefault="002457F6">
            <w:pPr>
              <w:pStyle w:val="P68B1DB1-Normal5"/>
              <w:jc w:val="center"/>
              <w:rPr>
                <w:noProof/>
              </w:rPr>
            </w:pPr>
            <w:r>
              <w:rPr>
                <w:noProof/>
              </w:rPr>
              <w:t>Vidējais svērtais maksājuma laiks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C3D99" w14:textId="77777777" w:rsidR="00C972CB" w:rsidRDefault="002457F6">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3DE71" w14:textId="77777777" w:rsidR="00C972CB" w:rsidRDefault="002457F6">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94FF3"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9CC7EA"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E288C" w14:textId="77777777" w:rsidR="00C972CB" w:rsidRDefault="002457F6">
            <w:pPr>
              <w:pStyle w:val="P68B1DB1-Normal5"/>
              <w:spacing w:before="100" w:beforeAutospacing="1" w:after="120"/>
              <w:rPr>
                <w:noProof/>
              </w:rPr>
            </w:pPr>
            <w:r>
              <w:rPr>
                <w:noProof/>
              </w:rPr>
              <w:t>Pamatojoties uz Komerckredītu platformu (PCC), centrālo valsts iestāžu (</w:t>
            </w:r>
            <w:r>
              <w:rPr>
                <w:i/>
                <w:noProof/>
              </w:rPr>
              <w:t xml:space="preserve">Amministrazioni </w:t>
            </w:r>
            <w:r>
              <w:rPr>
                <w:i/>
                <w:noProof/>
              </w:rPr>
              <w:t>dello Stato, enti pubblici nazionali e altri enti</w:t>
            </w:r>
            <w:r>
              <w:rPr>
                <w:noProof/>
              </w:rPr>
              <w:t>) vidējais svērtais maksājuma laiks (“tempo di pagamento”) uzņēmumiem ir mazāks par vai vienāds ar 30 dienām.</w:t>
            </w:r>
          </w:p>
        </w:tc>
      </w:tr>
      <w:tr w:rsidR="00C972CB" w14:paraId="0A13472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8F1D00" w14:textId="77777777" w:rsidR="00C972CB" w:rsidRDefault="002457F6">
            <w:pPr>
              <w:pStyle w:val="P68B1DB1-Normal5"/>
              <w:jc w:val="center"/>
              <w:rPr>
                <w:noProof/>
              </w:rPr>
            </w:pPr>
            <w:r>
              <w:rPr>
                <w:noProof/>
              </w:rPr>
              <w:t>M1C1–89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870EE" w14:textId="77777777" w:rsidR="00C972CB" w:rsidRDefault="002457F6">
            <w:pPr>
              <w:pStyle w:val="P68B1DB1-Normal5"/>
              <w:jc w:val="center"/>
              <w:rPr>
                <w:noProof/>
              </w:rPr>
            </w:pPr>
            <w:r>
              <w:rPr>
                <w:noProof/>
              </w:rPr>
              <w:t xml:space="preserve">Reforma: Valsts pārvaldes iestāžu un veselības aizsardzības iestāžu kavēto maksājumu </w:t>
            </w:r>
            <w:r>
              <w:rPr>
                <w:noProof/>
              </w:rPr>
              <w:t>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F10B78"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1A621" w14:textId="77777777" w:rsidR="00C972CB" w:rsidRDefault="002457F6">
            <w:pPr>
              <w:pStyle w:val="P68B1DB1-Normal5"/>
              <w:jc w:val="center"/>
              <w:rPr>
                <w:noProof/>
              </w:rPr>
            </w:pPr>
            <w:r>
              <w:rPr>
                <w:noProof/>
              </w:rPr>
              <w:t>Vidējais dienu skaits, kurā reģionālās publiskās pārvaldes iestādes maksā uzņēmumiem, ir samazināts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F07EC"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FAA99" w14:textId="77777777" w:rsidR="00C972CB" w:rsidRDefault="002457F6">
            <w:pPr>
              <w:pStyle w:val="P68B1DB1-Normal5"/>
              <w:jc w:val="center"/>
              <w:rPr>
                <w:noProof/>
              </w:rPr>
            </w:pPr>
            <w:r>
              <w:rPr>
                <w:noProof/>
              </w:rPr>
              <w:t>Vidējais svērtais maksājuma laiks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07C75" w14:textId="77777777" w:rsidR="00C972CB" w:rsidRDefault="002457F6">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37C48" w14:textId="77777777" w:rsidR="00C972CB" w:rsidRDefault="002457F6">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39F97"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17A2"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D6909" w14:textId="77777777" w:rsidR="00C972CB" w:rsidRDefault="002457F6">
            <w:pPr>
              <w:pStyle w:val="P68B1DB1-Normal5"/>
              <w:spacing w:before="100" w:beforeAutospacing="1" w:after="120"/>
              <w:rPr>
                <w:noProof/>
              </w:rPr>
            </w:pPr>
            <w:r>
              <w:rPr>
                <w:noProof/>
              </w:rPr>
              <w:t xml:space="preserve">Pamatojoties uz Komerckredītu platformu (PCC), reģionālo publisko iestāžu </w:t>
            </w:r>
            <w:r>
              <w:rPr>
                <w:noProof/>
              </w:rPr>
              <w:t>(Reģions</w:t>
            </w:r>
            <w:r>
              <w:rPr>
                <w:i/>
                <w:noProof/>
              </w:rPr>
              <w:t>un provinces autonomija)</w:t>
            </w:r>
            <w:r>
              <w:rPr>
                <w:noProof/>
              </w:rPr>
              <w:t>vidējais svērtais maksājuma laiks (“tempo di pagamento”) uzņēmumiem ir mazāks par vai vienāds ar 30 dienām.</w:t>
            </w:r>
          </w:p>
        </w:tc>
      </w:tr>
      <w:tr w:rsidR="00C972CB" w14:paraId="25F346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9E5913" w14:textId="77777777" w:rsidR="00C972CB" w:rsidRDefault="002457F6">
            <w:pPr>
              <w:pStyle w:val="P68B1DB1-Normal5"/>
              <w:jc w:val="center"/>
              <w:rPr>
                <w:noProof/>
              </w:rPr>
            </w:pPr>
            <w:r>
              <w:rPr>
                <w:noProof/>
              </w:rPr>
              <w:t>M1C1–90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BEB91"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90653"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146050" w14:textId="77777777" w:rsidR="00C972CB" w:rsidRDefault="002457F6">
            <w:pPr>
              <w:pStyle w:val="P68B1DB1-Normal5"/>
              <w:jc w:val="center"/>
              <w:rPr>
                <w:noProof/>
              </w:rPr>
            </w:pPr>
            <w:r>
              <w:rPr>
                <w:noProof/>
              </w:rPr>
              <w:t>Samazināts vidējais dienu skaits, ko vietējās publiskās pārvaldes iestādes izmanto, lai maksātu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C5CF"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9401" w14:textId="77777777" w:rsidR="00C972CB" w:rsidRDefault="002457F6">
            <w:pPr>
              <w:pStyle w:val="P68B1DB1-Normal5"/>
              <w:jc w:val="center"/>
              <w:rPr>
                <w:noProof/>
              </w:rPr>
            </w:pPr>
            <w:r>
              <w:rPr>
                <w:noProof/>
              </w:rPr>
              <w:t>Vidējais svērtais maksājuma laiks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7EC34D" w14:textId="77777777" w:rsidR="00C972CB" w:rsidRDefault="002457F6">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7521E" w14:textId="77777777" w:rsidR="00C972CB" w:rsidRDefault="002457F6">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6072B"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3DADED"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62482" w14:textId="77777777" w:rsidR="00C972CB" w:rsidRDefault="002457F6">
            <w:pPr>
              <w:pStyle w:val="P68B1DB1-Normal5"/>
              <w:spacing w:before="100" w:beforeAutospacing="1" w:after="120"/>
              <w:rPr>
                <w:noProof/>
              </w:rPr>
            </w:pPr>
            <w:r>
              <w:rPr>
                <w:noProof/>
              </w:rPr>
              <w:t>Pamatojoties uz Komerckredītu platformu (PCC), vietējo publisko iestāžu (</w:t>
            </w:r>
            <w:r>
              <w:rPr>
                <w:i/>
                <w:noProof/>
              </w:rPr>
              <w:t>enti locali</w:t>
            </w:r>
            <w:r>
              <w:rPr>
                <w:noProof/>
              </w:rPr>
              <w:t xml:space="preserve">) </w:t>
            </w:r>
            <w:r>
              <w:rPr>
                <w:noProof/>
              </w:rPr>
              <w:t>vidējais svērtais maksājumu laiks (“tempo di pagamento”) uzņēmumiem ir mazāks par vai vienāds ar 30 dienām.</w:t>
            </w:r>
          </w:p>
        </w:tc>
      </w:tr>
      <w:tr w:rsidR="00C972CB" w14:paraId="55DABAE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B1E36" w14:textId="77777777" w:rsidR="00C972CB" w:rsidRDefault="002457F6">
            <w:pPr>
              <w:pStyle w:val="P68B1DB1-Normal5"/>
              <w:jc w:val="center"/>
              <w:rPr>
                <w:noProof/>
              </w:rPr>
            </w:pPr>
            <w:r>
              <w:rPr>
                <w:noProof/>
              </w:rPr>
              <w:t>M1C1–91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F2BC68"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32C3DD"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0D1AB" w14:textId="77777777" w:rsidR="00C972CB" w:rsidRDefault="002457F6">
            <w:pPr>
              <w:pStyle w:val="P68B1DB1-Normal5"/>
              <w:jc w:val="center"/>
              <w:rPr>
                <w:noProof/>
              </w:rPr>
            </w:pPr>
            <w:r>
              <w:rPr>
                <w:noProof/>
              </w:rPr>
              <w:t xml:space="preserve">Samazināts vidējais dienu skaits, </w:t>
            </w:r>
            <w:r>
              <w:rPr>
                <w:noProof/>
              </w:rPr>
              <w:t>ko sabiedrības veselības pārvaldes iestādes izmanto, lai maksātu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88BE7"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BDD49" w14:textId="77777777" w:rsidR="00C972CB" w:rsidRDefault="002457F6">
            <w:pPr>
              <w:pStyle w:val="P68B1DB1-Normal5"/>
              <w:jc w:val="center"/>
              <w:rPr>
                <w:noProof/>
              </w:rPr>
            </w:pPr>
            <w:r>
              <w:rPr>
                <w:noProof/>
              </w:rPr>
              <w:t>Vidējais svērtais maksājuma laiks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4EE1F" w14:textId="77777777" w:rsidR="00C972CB" w:rsidRDefault="002457F6">
            <w:pPr>
              <w:pStyle w:val="P68B1DB1-Normal5"/>
              <w:jc w:val="center"/>
              <w:rPr>
                <w:noProof/>
              </w:rPr>
            </w:pPr>
            <w:r>
              <w:rPr>
                <w:noProof/>
              </w:rPr>
              <w:t>60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FE260" w14:textId="77777777" w:rsidR="00C972CB" w:rsidRDefault="002457F6">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C2F73"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53FEB"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FEDA" w14:textId="77777777" w:rsidR="00C972CB" w:rsidRDefault="002457F6">
            <w:pPr>
              <w:pStyle w:val="P68B1DB1-Normal5"/>
              <w:spacing w:before="100" w:beforeAutospacing="1" w:after="120"/>
              <w:rPr>
                <w:noProof/>
              </w:rPr>
            </w:pPr>
            <w:r>
              <w:rPr>
                <w:noProof/>
              </w:rPr>
              <w:t>Pamatojoties uz Komerckredītu platformu (PCC), sabiedrības veselības aizsardzības iestāžu (</w:t>
            </w:r>
            <w:r>
              <w:rPr>
                <w:i/>
                <w:noProof/>
              </w:rPr>
              <w:t xml:space="preserve">enti del Servizio </w:t>
            </w:r>
            <w:r>
              <w:rPr>
                <w:i/>
                <w:noProof/>
              </w:rPr>
              <w:t>sanitario nazionale</w:t>
            </w:r>
            <w:r>
              <w:rPr>
                <w:noProof/>
              </w:rPr>
              <w:t>) vidējais svērtais maksājuma laiks (“tempo di pagamento”) uzņēmumiem ir mazāks par vai vienāds ar 60 dienām.</w:t>
            </w:r>
          </w:p>
        </w:tc>
      </w:tr>
      <w:tr w:rsidR="00C972CB" w14:paraId="5B6B04F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E5BF" w14:textId="77777777" w:rsidR="00C972CB" w:rsidRDefault="002457F6">
            <w:pPr>
              <w:pStyle w:val="P68B1DB1-Normal5"/>
              <w:jc w:val="center"/>
              <w:rPr>
                <w:noProof/>
              </w:rPr>
            </w:pPr>
            <w:r>
              <w:rPr>
                <w:noProof/>
              </w:rPr>
              <w:t>M1C1–92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7AD72"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5DF2E"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2FCFB6" w14:textId="77777777" w:rsidR="00C972CB" w:rsidRDefault="002457F6">
            <w:pPr>
              <w:pStyle w:val="P68B1DB1-Normal5"/>
              <w:jc w:val="center"/>
              <w:rPr>
                <w:noProof/>
              </w:rPr>
            </w:pPr>
            <w:r>
              <w:rPr>
                <w:noProof/>
              </w:rPr>
              <w:t>Ir samazināts vidējais to dienu skaits, kurās centrālās valsts pārvaldes iestādes kavē maksāt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5775"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7CAFE" w14:textId="77777777" w:rsidR="00C972CB" w:rsidRDefault="002457F6">
            <w:pPr>
              <w:pStyle w:val="P68B1DB1-Normal5"/>
              <w:jc w:val="center"/>
              <w:rPr>
                <w:rFonts w:eastAsiaTheme="minorEastAsia"/>
                <w:noProof/>
              </w:rPr>
            </w:pPr>
            <w:r>
              <w:rPr>
                <w:noProof/>
              </w:rPr>
              <w:t>Vidējais svērtais maksājuma kavējums</w:t>
            </w:r>
          </w:p>
          <w:p w14:paraId="54E3418C" w14:textId="77777777" w:rsidR="00C972CB" w:rsidRDefault="002457F6">
            <w:pPr>
              <w:pStyle w:val="P68B1DB1-Normal5"/>
              <w:jc w:val="center"/>
              <w:rPr>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683F2"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0A23E" w14:textId="77777777" w:rsidR="00C972CB" w:rsidRDefault="002457F6">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D21BA"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73CA7D"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C093B" w14:textId="77777777" w:rsidR="00C972CB" w:rsidRDefault="002457F6">
            <w:pPr>
              <w:pStyle w:val="P68B1DB1-Normal5"/>
              <w:spacing w:before="100" w:beforeAutospacing="1" w:after="120"/>
              <w:rPr>
                <w:noProof/>
              </w:rPr>
            </w:pPr>
            <w:r>
              <w:rPr>
                <w:noProof/>
              </w:rPr>
              <w:t>Pamatojoties uz Komerckredītu platformu (PCC), centrālo iestāžu (Amministrazio</w:t>
            </w:r>
            <w:r>
              <w:rPr>
                <w:noProof/>
              </w:rPr>
              <w:t>ni dello Stato, enti pubblici nazionali e altri enti) vidējais svērtais maksājumu kavējums (“tempo di ritardo”) uzņēmumiem nepārsniedz 0 dienas.</w:t>
            </w:r>
          </w:p>
        </w:tc>
      </w:tr>
      <w:tr w:rsidR="00C972CB" w14:paraId="44EC8A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A13C1" w14:textId="77777777" w:rsidR="00C972CB" w:rsidRDefault="002457F6">
            <w:pPr>
              <w:pStyle w:val="P68B1DB1-Normal5"/>
              <w:jc w:val="center"/>
              <w:rPr>
                <w:noProof/>
              </w:rPr>
            </w:pPr>
            <w:r>
              <w:rPr>
                <w:noProof/>
              </w:rPr>
              <w:t>M1C1–93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4AA68"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CA22B5"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26C2B" w14:textId="77777777" w:rsidR="00C972CB" w:rsidRDefault="002457F6">
            <w:pPr>
              <w:pStyle w:val="P68B1DB1-Normal5"/>
              <w:jc w:val="center"/>
              <w:rPr>
                <w:noProof/>
              </w:rPr>
            </w:pPr>
            <w:r>
              <w:rPr>
                <w:noProof/>
              </w:rPr>
              <w:t>Vidējais dienu skaits, kad reģionālās publiskās pārvaldes iestādes kavē maksāt uzņēmumiem, ir samazināts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1C958C"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1F339" w14:textId="77777777" w:rsidR="00C972CB" w:rsidRDefault="002457F6">
            <w:pPr>
              <w:pStyle w:val="P68B1DB1-Normal5"/>
              <w:jc w:val="center"/>
              <w:rPr>
                <w:rFonts w:eastAsiaTheme="minorEastAsia"/>
                <w:noProof/>
              </w:rPr>
            </w:pPr>
            <w:r>
              <w:rPr>
                <w:noProof/>
              </w:rPr>
              <w:t>Vidējais svērtais maksājuma kavējums</w:t>
            </w:r>
          </w:p>
          <w:p w14:paraId="1AFCC9F8" w14:textId="77777777" w:rsidR="00C972CB" w:rsidRDefault="002457F6">
            <w:pPr>
              <w:pStyle w:val="P68B1DB1-Normal5"/>
              <w:jc w:val="center"/>
              <w:rPr>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CF719"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006947" w14:textId="77777777" w:rsidR="00C972CB" w:rsidRDefault="002457F6">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3918C"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39003"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3888FF" w14:textId="77777777" w:rsidR="00C972CB" w:rsidRDefault="002457F6">
            <w:pPr>
              <w:pStyle w:val="P68B1DB1-Normal5"/>
              <w:spacing w:before="100" w:beforeAutospacing="1" w:after="120"/>
              <w:rPr>
                <w:noProof/>
              </w:rPr>
            </w:pPr>
            <w:r>
              <w:rPr>
                <w:noProof/>
              </w:rPr>
              <w:t xml:space="preserve">Pamatojoties uz Komerckredītu platformu (PCC), reģionālo iestāžu </w:t>
            </w:r>
            <w:r>
              <w:rPr>
                <w:noProof/>
              </w:rPr>
              <w:t>(Regioni un provinces autonomija) vidējais svērtais maksājumu kavējums (“tempo di ritardo”) uzņēmumiem nedrīkst pārsniegt 0 dienas.</w:t>
            </w:r>
          </w:p>
        </w:tc>
      </w:tr>
      <w:tr w:rsidR="00C972CB" w14:paraId="3EC2FCB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8B72D3" w14:textId="77777777" w:rsidR="00C972CB" w:rsidRDefault="002457F6">
            <w:pPr>
              <w:pStyle w:val="P68B1DB1-Normal5"/>
              <w:jc w:val="center"/>
              <w:rPr>
                <w:noProof/>
              </w:rPr>
            </w:pPr>
            <w:r>
              <w:rPr>
                <w:noProof/>
              </w:rPr>
              <w:t>M1C1–94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0E651"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066DA"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86803B" w14:textId="77777777" w:rsidR="00C972CB" w:rsidRDefault="002457F6">
            <w:pPr>
              <w:pStyle w:val="P68B1DB1-Normal5"/>
              <w:jc w:val="center"/>
              <w:rPr>
                <w:noProof/>
              </w:rPr>
            </w:pPr>
            <w:r>
              <w:rPr>
                <w:noProof/>
              </w:rPr>
              <w:t xml:space="preserve">Ir </w:t>
            </w:r>
            <w:r>
              <w:rPr>
                <w:noProof/>
              </w:rPr>
              <w:t>samazināts vidējais to dienu skaits, kurās vietējās publiskās pārvaldes iestādes kavē maksāt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F21267"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B8D162" w14:textId="77777777" w:rsidR="00C972CB" w:rsidRDefault="002457F6">
            <w:pPr>
              <w:pStyle w:val="P68B1DB1-Normal5"/>
              <w:jc w:val="center"/>
              <w:rPr>
                <w:rFonts w:eastAsiaTheme="minorEastAsia"/>
                <w:noProof/>
              </w:rPr>
            </w:pPr>
            <w:r>
              <w:rPr>
                <w:noProof/>
              </w:rPr>
              <w:t>Vidējais svērtais maksājuma kavējums</w:t>
            </w:r>
          </w:p>
          <w:p w14:paraId="6B457FE1" w14:textId="77777777" w:rsidR="00C972CB" w:rsidRDefault="002457F6">
            <w:pPr>
              <w:pStyle w:val="P68B1DB1-Normal5"/>
              <w:jc w:val="center"/>
              <w:rPr>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47CE6D"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C716D2" w14:textId="77777777" w:rsidR="00C972CB" w:rsidRDefault="002457F6">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34D5B"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B7873"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885D5" w14:textId="77777777" w:rsidR="00C972CB" w:rsidRDefault="002457F6">
            <w:pPr>
              <w:pStyle w:val="P68B1DB1-Normal5"/>
              <w:spacing w:before="100" w:beforeAutospacing="1" w:after="120"/>
              <w:rPr>
                <w:noProof/>
              </w:rPr>
            </w:pPr>
            <w:r>
              <w:rPr>
                <w:noProof/>
              </w:rPr>
              <w:t>Pamatojoties uz Komerckredītu platformu (PCC), vietējo iestāžu (enti locali) vi</w:t>
            </w:r>
            <w:r>
              <w:rPr>
                <w:noProof/>
              </w:rPr>
              <w:t>dējais svērtais maksājumu kavējums (“tempo di ritardo”) uzņēmumiem nedrīkst pārsniegt 0 dienas.</w:t>
            </w:r>
          </w:p>
        </w:tc>
      </w:tr>
      <w:tr w:rsidR="00C972CB" w14:paraId="11A809F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66DFFC" w14:textId="77777777" w:rsidR="00C972CB" w:rsidRDefault="002457F6">
            <w:pPr>
              <w:pStyle w:val="P68B1DB1-Normal5"/>
              <w:jc w:val="center"/>
              <w:rPr>
                <w:noProof/>
              </w:rPr>
            </w:pPr>
            <w:r>
              <w:rPr>
                <w:noProof/>
              </w:rPr>
              <w:t>M1C1–95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B404" w14:textId="77777777" w:rsidR="00C972CB" w:rsidRDefault="002457F6">
            <w:pPr>
              <w:pStyle w:val="P68B1DB1-Normal5"/>
              <w:jc w:val="center"/>
              <w:rPr>
                <w:noProof/>
              </w:rPr>
            </w:pPr>
            <w:r>
              <w:rPr>
                <w:noProof/>
              </w:rPr>
              <w:t>Reforma: Valsts pārvaldes iestāžu un veselības aizsardzības iestāžu kavēto maksājumu samazināšana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25E5C2"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BF0F6" w14:textId="77777777" w:rsidR="00C972CB" w:rsidRDefault="002457F6">
            <w:pPr>
              <w:pStyle w:val="P68B1DB1-Normal5"/>
              <w:jc w:val="center"/>
              <w:rPr>
                <w:noProof/>
              </w:rPr>
            </w:pPr>
            <w:r>
              <w:rPr>
                <w:noProof/>
              </w:rPr>
              <w:t>Tiek samazināts vidējais to dienu skaits, kurās</w:t>
            </w:r>
            <w:r>
              <w:rPr>
                <w:noProof/>
              </w:rPr>
              <w:t xml:space="preserve"> veselības aprūpes valsts pārvaldes iestādes maksā uzņēmumiem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87CAA8"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67F34" w14:textId="77777777" w:rsidR="00C972CB" w:rsidRDefault="002457F6">
            <w:pPr>
              <w:pStyle w:val="P68B1DB1-Normal5"/>
              <w:jc w:val="center"/>
              <w:rPr>
                <w:rFonts w:eastAsiaTheme="minorEastAsia"/>
                <w:noProof/>
              </w:rPr>
            </w:pPr>
            <w:r>
              <w:rPr>
                <w:noProof/>
              </w:rPr>
              <w:t>Vidējais svērtais maksājuma kavējums</w:t>
            </w:r>
          </w:p>
          <w:p w14:paraId="16FA9E26" w14:textId="77777777" w:rsidR="00C972CB" w:rsidRDefault="002457F6">
            <w:pPr>
              <w:pStyle w:val="P68B1DB1-Normal5"/>
              <w:jc w:val="center"/>
              <w:rPr>
                <w:noProof/>
              </w:rPr>
            </w:pPr>
            <w:r>
              <w:rPr>
                <w:noProof/>
              </w:rPr>
              <w:t>(dienās)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91CA63"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DF363" w14:textId="77777777" w:rsidR="00C972CB" w:rsidRDefault="002457F6">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3ED203"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0BAE03"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F5261" w14:textId="77777777" w:rsidR="00C972CB" w:rsidRDefault="002457F6">
            <w:pPr>
              <w:pStyle w:val="P68B1DB1-Normal5"/>
              <w:spacing w:before="100" w:beforeAutospacing="1" w:after="120"/>
              <w:rPr>
                <w:noProof/>
              </w:rPr>
            </w:pPr>
            <w:r>
              <w:rPr>
                <w:noProof/>
              </w:rPr>
              <w:t xml:space="preserve">Pamatojoties uz Komerckredītu platformu (PCC), sabiedrības veselības aizsardzības iestāžu (enti del Servizio sanitario </w:t>
            </w:r>
            <w:r>
              <w:rPr>
                <w:noProof/>
              </w:rPr>
              <w:t>nazionale) vidējais svērtais maksājumu kavējums (“tempo di ritardo”) uzņēmumiem nedrīkst pārsniegt 0 dienas.</w:t>
            </w:r>
          </w:p>
        </w:tc>
      </w:tr>
      <w:tr w:rsidR="00C972CB" w14:paraId="38E922A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20697" w14:textId="77777777" w:rsidR="00C972CB" w:rsidRDefault="002457F6">
            <w:pPr>
              <w:pStyle w:val="P68B1DB1-Normal5"/>
              <w:jc w:val="center"/>
              <w:rPr>
                <w:noProof/>
              </w:rPr>
            </w:pPr>
            <w:r>
              <w:rPr>
                <w:noProof/>
              </w:rPr>
              <w:t>M1C1–96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3B6DB"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ACDE5"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9997F8" w14:textId="77777777" w:rsidR="00C972CB" w:rsidRDefault="002457F6">
            <w:pPr>
              <w:pStyle w:val="P68B1DB1-Normal5"/>
              <w:jc w:val="center"/>
              <w:rPr>
                <w:noProof/>
              </w:rPr>
            </w:pPr>
            <w:r>
              <w:rPr>
                <w:noProof/>
              </w:rPr>
              <w:t>Vidējais laiks no publicēšanas līdz līguma slēgšanas tiesību piešķiršanai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7CD66"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FA6C2"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D3F1C" w14:textId="77777777" w:rsidR="00C972CB" w:rsidRDefault="002457F6">
            <w:pPr>
              <w:pStyle w:val="P68B1DB1-Normal5"/>
              <w:jc w:val="center"/>
              <w:rPr>
                <w:noProof/>
              </w:rPr>
            </w:pPr>
            <w:r>
              <w:rPr>
                <w:noProof/>
              </w:rPr>
              <w:t>193</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9AFED2" w14:textId="77777777" w:rsidR="00C972CB" w:rsidRDefault="002457F6">
            <w:pPr>
              <w:pStyle w:val="P68B1DB1-Normal5"/>
              <w:jc w:val="center"/>
              <w:rPr>
                <w:noProof/>
              </w:rPr>
            </w:pPr>
            <w:r>
              <w:rPr>
                <w:noProof/>
              </w:rPr>
              <w:t>115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2E9CA0"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3B73E6" w14:textId="62CA6AFA"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DA2D3A" w14:textId="77777777" w:rsidR="00C972CB" w:rsidRDefault="002457F6">
            <w:pPr>
              <w:pStyle w:val="P68B1DB1-Normal5"/>
              <w:spacing w:before="100" w:beforeAutospacing="1" w:after="120"/>
              <w:rPr>
                <w:noProof/>
              </w:rPr>
            </w:pPr>
            <w:r>
              <w:rPr>
                <w:noProof/>
              </w:rPr>
              <w:t>Pamatojoties uz ES Oficiālā Vēstneša (TED datubāzes) datiem, vidējo laiku no piedāvājumu iesniegšanas termiņa līdz līguma parakstīšanas dienai samazina līdz ne vairāk kā 115 dienām līgumiem, kuru vērtība pārsniedz ES p</w:t>
            </w:r>
            <w:r>
              <w:rPr>
                <w:noProof/>
              </w:rPr>
              <w:t>ubliskā iepirkuma direktīvās noteiktās robežvērtības.</w:t>
            </w:r>
          </w:p>
          <w:p w14:paraId="4005C87C" w14:textId="77777777" w:rsidR="00C972CB" w:rsidRDefault="002457F6">
            <w:pPr>
              <w:pStyle w:val="P68B1DB1-Normal5"/>
              <w:spacing w:before="100" w:beforeAutospacing="1" w:after="120"/>
              <w:rPr>
                <w:noProof/>
              </w:rPr>
            </w:pPr>
            <w:r>
              <w:rPr>
                <w:noProof/>
              </w:rPr>
              <w:t>Nodrošināt, ka starp datu par līguma noslēgšanu publicēšanu TED un BDNCP (ANAC) ir pilnīga konsekvence un laika intervāls.</w:t>
            </w:r>
          </w:p>
        </w:tc>
      </w:tr>
      <w:tr w:rsidR="00C972CB" w14:paraId="4A47B93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31FD5" w14:textId="77777777" w:rsidR="00C972CB" w:rsidRDefault="002457F6">
            <w:pPr>
              <w:pStyle w:val="P68B1DB1-Normal5"/>
              <w:jc w:val="center"/>
              <w:rPr>
                <w:noProof/>
              </w:rPr>
            </w:pPr>
            <w:r>
              <w:rPr>
                <w:noProof/>
              </w:rPr>
              <w:t>M1C1–97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90CF0"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8235DF"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967F5" w14:textId="77777777" w:rsidR="00C972CB" w:rsidRDefault="002457F6">
            <w:pPr>
              <w:pStyle w:val="P68B1DB1-Normal5"/>
              <w:jc w:val="center"/>
              <w:rPr>
                <w:noProof/>
              </w:rPr>
            </w:pPr>
            <w:r>
              <w:rPr>
                <w:noProof/>
              </w:rPr>
              <w:t>Vidējais</w:t>
            </w:r>
            <w:r>
              <w:rPr>
                <w:noProof/>
              </w:rPr>
              <w:t xml:space="preserve"> laiks starp līguma slēgšanas tiesību piešķiršanu un infrastruktūras realizāciju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F5E178"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78CA9"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C27F4"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59F72" w14:textId="77777777" w:rsidR="00C972CB" w:rsidRDefault="002457F6">
            <w:pPr>
              <w:pStyle w:val="P68B1DB1-Normal5"/>
              <w:jc w:val="center"/>
              <w:rPr>
                <w:noProof/>
              </w:rPr>
            </w:pPr>
            <w:r>
              <w:rPr>
                <w:noProof/>
              </w:rPr>
              <w:t>88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2B029"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3CBCE8"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E9F8" w14:textId="77777777" w:rsidR="00C972CB" w:rsidRDefault="002457F6">
            <w:pPr>
              <w:pStyle w:val="P68B1DB1-Normal5"/>
              <w:spacing w:before="100" w:beforeAutospacing="1" w:after="120"/>
              <w:rPr>
                <w:noProof/>
              </w:rPr>
            </w:pPr>
            <w:r>
              <w:rPr>
                <w:noProof/>
              </w:rPr>
              <w:t>Vidējo laiku no līguma slēgšanas tiesību piešķiršanas līdz infrastruktūras realizācijai (“fase esecutiva”) samazina vismaz par 1</w:t>
            </w:r>
            <w:r>
              <w:rPr>
                <w:noProof/>
              </w:rPr>
              <w:t>2 %.</w:t>
            </w:r>
          </w:p>
        </w:tc>
      </w:tr>
      <w:tr w:rsidR="00C972CB" w14:paraId="17EF5DA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86E6F" w14:textId="77777777" w:rsidR="00C972CB" w:rsidRDefault="002457F6">
            <w:pPr>
              <w:pStyle w:val="P68B1DB1-Normal5"/>
              <w:jc w:val="center"/>
              <w:rPr>
                <w:noProof/>
              </w:rPr>
            </w:pPr>
            <w:r>
              <w:rPr>
                <w:noProof/>
              </w:rPr>
              <w:t>M1C1–97bis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D165CD"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3B3C46"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3F1E4" w14:textId="77777777" w:rsidR="00C972CB" w:rsidRDefault="002457F6">
            <w:pPr>
              <w:pStyle w:val="P68B1DB1-Normal5"/>
              <w:jc w:val="center"/>
              <w:rPr>
                <w:noProof/>
              </w:rPr>
            </w:pPr>
            <w:r>
              <w:rPr>
                <w:noProof/>
              </w:rPr>
              <w:t>Vidējais laiks starp līguma slēgšanas tiesību piešķiršanu un infrastruktūras realizāciju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94F8"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6B01B"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2ED69E" w14:textId="77777777" w:rsidR="00C972CB" w:rsidRDefault="002457F6">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C714C" w14:textId="77777777" w:rsidR="00C972CB" w:rsidRDefault="002457F6">
            <w:pPr>
              <w:pStyle w:val="P68B1DB1-Normal5"/>
              <w:jc w:val="center"/>
              <w:rPr>
                <w:noProof/>
              </w:rPr>
            </w:pPr>
            <w:r>
              <w:rPr>
                <w:noProof/>
              </w:rPr>
              <w:t>85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33ADE"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B60A5A"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7DEE9" w14:textId="77777777" w:rsidR="00C972CB" w:rsidRDefault="002457F6">
            <w:pPr>
              <w:pStyle w:val="P68B1DB1-Normal5"/>
              <w:spacing w:before="100" w:beforeAutospacing="1" w:after="120"/>
              <w:rPr>
                <w:noProof/>
              </w:rPr>
            </w:pPr>
            <w:r>
              <w:rPr>
                <w:noProof/>
              </w:rPr>
              <w:t xml:space="preserve">Vidējo laiku no līguma slēgšanas tiesību </w:t>
            </w:r>
            <w:r>
              <w:rPr>
                <w:noProof/>
              </w:rPr>
              <w:t>piešķiršanas līdz infrastruktūras realizācijai (“fase esecutiva”) samazina vismaz par 15 %.</w:t>
            </w:r>
          </w:p>
        </w:tc>
      </w:tr>
      <w:tr w:rsidR="00C972CB" w14:paraId="0C9E644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95ED5" w14:textId="77777777" w:rsidR="00C972CB" w:rsidRDefault="002457F6">
            <w:pPr>
              <w:pStyle w:val="P68B1DB1-Normal5"/>
              <w:jc w:val="center"/>
              <w:rPr>
                <w:noProof/>
              </w:rPr>
            </w:pPr>
            <w:r>
              <w:rPr>
                <w:noProof/>
              </w:rPr>
              <w:t>M1C1–98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E7F8EF"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59D5A"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245D6" w14:textId="77777777" w:rsidR="00C972CB" w:rsidRDefault="002457F6">
            <w:pPr>
              <w:pStyle w:val="P68B1DB1-Normal5"/>
              <w:jc w:val="center"/>
              <w:rPr>
                <w:noProof/>
              </w:rPr>
            </w:pPr>
            <w:r>
              <w:rPr>
                <w:noProof/>
              </w:rPr>
              <w:t>Ierēdņi, kas apmācīti, izmantojot Publisko pircēju profesionalizācijas stratēģiju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2DE8CD"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8D3F1"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F7ABBB" w14:textId="77777777" w:rsidR="00C972CB" w:rsidRDefault="002457F6">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83DD0E" w14:textId="77777777" w:rsidR="00C972CB" w:rsidRDefault="002457F6">
            <w:pPr>
              <w:pStyle w:val="P68B1DB1-Normal5"/>
              <w:jc w:val="center"/>
              <w:rPr>
                <w:noProof/>
              </w:rPr>
            </w:pPr>
            <w:r>
              <w:rPr>
                <w:noProof/>
              </w:rPr>
              <w:t>40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43DCD"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83A18A"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D8EA39" w14:textId="7DBC39D8" w:rsidR="00C972CB" w:rsidRDefault="002457F6">
            <w:pPr>
              <w:pStyle w:val="P68B1DB1-Normal4"/>
              <w:spacing w:before="100" w:beforeAutospacing="1" w:after="120"/>
              <w:rPr>
                <w:noProof/>
                <w:color w:val="006100"/>
              </w:rPr>
            </w:pPr>
            <w:r>
              <w:rPr>
                <w:noProof/>
                <w:color w:val="006100"/>
              </w:rPr>
              <w:t>Vismaz 40 % ierēdņu ir apmācīti, izmantojot Publisko pircēju profesionalizācijas stratēģiju, lai iegūtu kvalifikāciju. Šajā procentuālajā daļā ir ņemts vērā kopējais publiskajā iepirkumā aktīvi iesaistīto ierēdņu skaits,</w:t>
            </w:r>
            <w:r>
              <w:rPr>
                <w:noProof/>
                <w:color w:val="006100"/>
              </w:rPr>
              <w:t xml:space="preserve"> t. i., 100000 publiskā iepirkuma veicēji, kas 2021. gada 30. aprīlī reģistrēti valsts e-iepirkuma sistēmā, kuru pārvalda Consip MEF vārdā.</w:t>
            </w:r>
          </w:p>
        </w:tc>
      </w:tr>
      <w:tr w:rsidR="00C972CB" w14:paraId="0D97638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A9E69" w14:textId="77777777" w:rsidR="00C972CB" w:rsidRDefault="002457F6">
            <w:pPr>
              <w:pStyle w:val="P68B1DB1-Normal5"/>
              <w:jc w:val="center"/>
              <w:rPr>
                <w:noProof/>
              </w:rPr>
            </w:pPr>
            <w:r>
              <w:rPr>
                <w:noProof/>
              </w:rPr>
              <w:t>M1C1–98bis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C0414"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D53641"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F1DEE" w14:textId="77777777" w:rsidR="00C972CB" w:rsidRDefault="002457F6">
            <w:pPr>
              <w:pStyle w:val="P68B1DB1-Normal5"/>
              <w:jc w:val="center"/>
              <w:rPr>
                <w:noProof/>
              </w:rPr>
            </w:pPr>
            <w:r>
              <w:rPr>
                <w:noProof/>
              </w:rPr>
              <w:t>Ierēdņi, kas apmācīti, izmantojot Publisko</w:t>
            </w:r>
            <w:r>
              <w:rPr>
                <w:noProof/>
              </w:rPr>
              <w:t xml:space="preserve"> pircēju profesionalizācijas stratēģiju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7BF46B"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C639C"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61260" w14:textId="77777777" w:rsidR="00C972CB" w:rsidRDefault="002457F6">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BE5FE" w14:textId="77777777" w:rsidR="00C972CB" w:rsidRDefault="002457F6">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34633"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8CEFE"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A9D685" w14:textId="695A22EC" w:rsidR="00C972CB" w:rsidRDefault="002457F6">
            <w:pPr>
              <w:pStyle w:val="P68B1DB1-Normal5"/>
              <w:spacing w:before="100" w:beforeAutospacing="1" w:after="120"/>
              <w:rPr>
                <w:noProof/>
              </w:rPr>
            </w:pPr>
            <w:r>
              <w:rPr>
                <w:noProof/>
              </w:rPr>
              <w:t>Vismaz 60 % ierēdņu ir apmācīti, izmantojot Publisko pircēju profesionalizācijas stratēģiju, lai iegūtu kvalifikāciju. Šajā procentuālajā daļā ir ņemts vērā kopējais publ</w:t>
            </w:r>
            <w:r>
              <w:rPr>
                <w:noProof/>
              </w:rPr>
              <w:t>iskajā iepirkumā aktīvi iesaistīto ierēdņu skaits, t. i., 100000 publiskā iepirkuma veicēji, kas 2021. gada 30. aprīlī reģistrēti valsts e-iepirkuma sistēmā, kuru pārvalda Consip MEF vārdā.</w:t>
            </w:r>
          </w:p>
        </w:tc>
      </w:tr>
      <w:tr w:rsidR="00C972CB" w14:paraId="0098BD0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279F5" w14:textId="77777777" w:rsidR="00C972CB" w:rsidRDefault="002457F6">
            <w:pPr>
              <w:pStyle w:val="P68B1DB1-Normal5"/>
              <w:jc w:val="center"/>
              <w:rPr>
                <w:noProof/>
              </w:rPr>
            </w:pPr>
            <w:r>
              <w:rPr>
                <w:noProof/>
              </w:rPr>
              <w:t>M1C1–99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D50CB" w14:textId="77777777" w:rsidR="00C972CB" w:rsidRDefault="002457F6">
            <w:pPr>
              <w:pStyle w:val="P68B1DB1-Normal5"/>
              <w:jc w:val="center"/>
              <w:rPr>
                <w:noProof/>
              </w:rPr>
            </w:pPr>
            <w:r>
              <w:rPr>
                <w:noProof/>
              </w:rPr>
              <w:t>Reforma: Publiskā iepirkuma tiesiskā regulējuma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315CB3"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E40E1" w14:textId="77777777" w:rsidR="00C972CB" w:rsidRDefault="002457F6">
            <w:pPr>
              <w:pStyle w:val="P68B1DB1-Normal5"/>
              <w:jc w:val="center"/>
              <w:rPr>
                <w:noProof/>
              </w:rPr>
            </w:pPr>
            <w:r>
              <w:rPr>
                <w:noProof/>
              </w:rPr>
              <w:t>Līgumslēdzējas iestādes, kas izmanto dinamiskās iepirkumu sistēmas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BC955" w14:textId="77777777" w:rsidR="00C972CB" w:rsidRDefault="002457F6">
            <w:pPr>
              <w:pStyle w:val="P68B1DB1-Normal5"/>
              <w:jc w:val="center"/>
              <w:rPr>
                <w:noProof/>
              </w:rPr>
            </w:pPr>
            <w:r>
              <w:rPr>
                <w:noProof/>
              </w:rPr>
              <w:t>To centrālās valdības līgumslēdzēju iestāžu procentuālā daļa, kuras izmanto dinamiskās iepirkumu sistēmas saskaņā ar ES Direktīvu 2014/24</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BAAB"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0DE1B" w14:textId="77777777" w:rsidR="00C972CB" w:rsidRDefault="002457F6">
            <w:pPr>
              <w:pStyle w:val="P68B1DB1-Normal5"/>
              <w:jc w:val="center"/>
              <w:rPr>
                <w:noProof/>
              </w:rPr>
            </w:pPr>
            <w:r>
              <w:rPr>
                <w:noProof/>
              </w:rPr>
              <w:t>15</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57D2F" w14:textId="77777777" w:rsidR="00C972CB" w:rsidRDefault="002457F6">
            <w:pPr>
              <w:pStyle w:val="P68B1DB1-Normal5"/>
              <w:jc w:val="center"/>
              <w:rPr>
                <w:noProof/>
              </w:rPr>
            </w:pPr>
            <w:r>
              <w:rPr>
                <w:noProof/>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069EF"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9CEB51"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FC2EB5" w14:textId="77777777" w:rsidR="00C972CB" w:rsidRDefault="002457F6">
            <w:pPr>
              <w:pStyle w:val="P68B1DB1-Normal5"/>
              <w:spacing w:before="100" w:beforeAutospacing="1" w:after="120"/>
              <w:rPr>
                <w:noProof/>
              </w:rPr>
            </w:pPr>
            <w:r>
              <w:rPr>
                <w:noProof/>
              </w:rPr>
              <w:t xml:space="preserve">Vismaz </w:t>
            </w:r>
            <w:r>
              <w:rPr>
                <w:noProof/>
              </w:rPr>
              <w:t>20 % līgumslēdzēju iestāžu izmanto dinamiskās iepirkumu sistēmas saskaņā ar Direktīvu 2014/24 (divu gadu novērošanas termiņš un ņemot vērā to, ka Itālijā DPS izmantošana galvenokārt ir vērsta uz iepirkumiem, kas pārsniedz robežvērtību, ņemot vērā to, ka da</w:t>
            </w:r>
            <w:r>
              <w:rPr>
                <w:noProof/>
              </w:rPr>
              <w:t>rījumi zem robežvērtības galvenokārt tiek veikti, izmantojot e-Marketplaces). Mērķrādītājs attiecas uz centrālās valdības līgumslēdzējām iestādēm (250 MA, kas reģistrēta 2021. gada 30. aprīlī, uz valsts e-iepirkuma sistēmu, ko MEF vārdā pārvalda Consip).</w:t>
            </w:r>
          </w:p>
        </w:tc>
      </w:tr>
      <w:tr w:rsidR="00C972CB" w14:paraId="43E6156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7B4BD" w14:textId="77777777" w:rsidR="00C972CB" w:rsidRDefault="002457F6">
            <w:pPr>
              <w:pStyle w:val="P68B1DB1-Normal5"/>
              <w:jc w:val="center"/>
              <w:rPr>
                <w:noProof/>
              </w:rPr>
            </w:pPr>
            <w:r>
              <w:rPr>
                <w:noProof/>
              </w:rPr>
              <w:t>M1C1–99bis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ADA6" w14:textId="77777777" w:rsidR="00C972CB" w:rsidRDefault="002457F6">
            <w:pPr>
              <w:pStyle w:val="P68B1DB1-Normal5"/>
              <w:jc w:val="center"/>
              <w:rPr>
                <w:noProof/>
              </w:rPr>
            </w:pPr>
            <w:r>
              <w:rPr>
                <w:noProof/>
              </w:rPr>
              <w:t>Reforma: Publiskā iepirkuma tiesiskā regulējuma reforma</w:t>
            </w:r>
          </w:p>
          <w:p w14:paraId="4AFB8967" w14:textId="77777777" w:rsidR="00C972CB" w:rsidRDefault="00C972CB">
            <w:pPr>
              <w:jc w:val="center"/>
              <w:rPr>
                <w:rFonts w:ascii="Arial Narrow" w:hAnsi="Arial Narrow" w:cs="Arial"/>
                <w:noProof/>
                <w:color w:val="006100"/>
                <w:sz w:val="20"/>
              </w:rPr>
            </w:pPr>
          </w:p>
          <w:p w14:paraId="2ED314ED" w14:textId="77777777" w:rsidR="00C972CB" w:rsidRDefault="002457F6">
            <w:pPr>
              <w:pStyle w:val="P68B1DB1-Normal5"/>
              <w:jc w:val="center"/>
              <w:rPr>
                <w:noProof/>
              </w:rPr>
            </w:pPr>
            <w:r>
              <w:rPr>
                <w:noProof/>
              </w:rPr>
              <w:t>Ieguldījums 1.10: Atbalsts kvalifikācijai un e-iepirkumiem</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D6A023"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A48F7" w14:textId="77777777" w:rsidR="00C972CB" w:rsidRDefault="002457F6">
            <w:pPr>
              <w:pStyle w:val="P68B1DB1-Normal5"/>
              <w:jc w:val="center"/>
              <w:rPr>
                <w:noProof/>
              </w:rPr>
            </w:pPr>
            <w:r>
              <w:rPr>
                <w:noProof/>
              </w:rPr>
              <w:t xml:space="preserve">Līgumslēdzēju iestāžu digitālās kompetences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DF516" w14:textId="125A0AA3" w:rsidR="00C972CB" w:rsidRDefault="002457F6">
            <w:pPr>
              <w:pStyle w:val="P68B1DB1-Normal5"/>
              <w:jc w:val="center"/>
              <w:rPr>
                <w:noProof/>
              </w:rPr>
            </w:pPr>
            <w:r>
              <w:rPr>
                <w:noProof/>
              </w:rPr>
              <w:t>Digitāli kompetento vietējo pašvaldību līgumslēdzēju iestāžu procentuālā daļa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0202A"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2EB690"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E7AD9" w14:textId="77777777" w:rsidR="00C972CB" w:rsidRDefault="002457F6">
            <w:pPr>
              <w:pStyle w:val="P68B1DB1-Normal5"/>
              <w:jc w:val="center"/>
              <w:rPr>
                <w:noProof/>
              </w:rPr>
            </w:pPr>
            <w:r>
              <w:rPr>
                <w:noProof/>
              </w:rPr>
              <w:t>50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B83B7"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8D5C0"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9E76B" w14:textId="29207C3F" w:rsidR="00C972CB" w:rsidRDefault="002457F6">
            <w:pPr>
              <w:pStyle w:val="P68B1DB1-Normal5"/>
              <w:spacing w:before="100" w:beforeAutospacing="1" w:after="120"/>
              <w:jc w:val="center"/>
              <w:rPr>
                <w:noProof/>
              </w:rPr>
            </w:pPr>
            <w:r>
              <w:rPr>
                <w:noProof/>
              </w:rPr>
              <w:t>Vismaz 50 % vietējo līgumslēdzēju iestāžu ir kvalifikācijai prasītā digitālā kompetence.</w:t>
            </w:r>
          </w:p>
          <w:p w14:paraId="498D1186" w14:textId="51344F6B" w:rsidR="00C972CB" w:rsidRDefault="002457F6">
            <w:pPr>
              <w:pStyle w:val="P68B1DB1-Normal5"/>
              <w:spacing w:before="100" w:beforeAutospacing="1" w:after="120"/>
              <w:rPr>
                <w:noProof/>
              </w:rPr>
            </w:pPr>
            <w:r>
              <w:rPr>
                <w:noProof/>
              </w:rPr>
              <w:t>Lai sasniegtu mērķi, ņem vērā arī līgumslēdzējas iestādes, kas izpilda tās pašas prasības, izmantojot centralizēto iepirkumu struktū</w:t>
            </w:r>
            <w:r>
              <w:rPr>
                <w:noProof/>
              </w:rPr>
              <w:t>ras.</w:t>
            </w:r>
          </w:p>
        </w:tc>
      </w:tr>
      <w:tr w:rsidR="00C972CB" w14:paraId="1F820D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505F79" w14:textId="77777777" w:rsidR="00C972CB" w:rsidRDefault="002457F6">
            <w:pPr>
              <w:pStyle w:val="P68B1DB1-Normal5"/>
              <w:jc w:val="center"/>
              <w:rPr>
                <w:noProof/>
              </w:rPr>
            </w:pPr>
            <w:r>
              <w:rPr>
                <w:noProof/>
              </w:rPr>
              <w:t>M1C1–100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B611F" w14:textId="77777777" w:rsidR="00C972CB" w:rsidRDefault="002457F6">
            <w:pPr>
              <w:pStyle w:val="P68B1DB1-Normal5"/>
              <w:jc w:val="center"/>
              <w:rPr>
                <w:noProof/>
              </w:rPr>
            </w:pPr>
            <w:r>
              <w:rPr>
                <w:noProof/>
              </w:rPr>
              <w:t>Reforma Nr. 1.13: Izdevumu pārskatīšanas sistēmas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79DCFF"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EA7F" w14:textId="77777777" w:rsidR="00C972CB" w:rsidRDefault="002457F6">
            <w:pPr>
              <w:pStyle w:val="P68B1DB1-Normal5"/>
              <w:jc w:val="center"/>
              <w:rPr>
                <w:noProof/>
              </w:rPr>
            </w:pPr>
            <w:r>
              <w:rPr>
                <w:noProof/>
              </w:rPr>
              <w:t>Tādu tiesību aktu stāšanās spēkā, kas uzlabo izdevumu pārskatīšanas efektivitāti — Finanšu ministrijas stiprināšana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3C507" w14:textId="77777777" w:rsidR="00C972CB" w:rsidRDefault="002457F6">
            <w:pPr>
              <w:pStyle w:val="P68B1DB1-Normal5"/>
              <w:jc w:val="center"/>
              <w:rPr>
                <w:noProof/>
              </w:rPr>
            </w:pPr>
            <w:r>
              <w:rPr>
                <w:noProof/>
              </w:rPr>
              <w:t>Likuma norma, kas norāda uz likuma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A94E8"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F4952"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7C9BBE"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F9067"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3AB17"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76BDF" w14:textId="77777777" w:rsidR="00C972CB" w:rsidRDefault="002457F6">
            <w:pPr>
              <w:pStyle w:val="P68B1DB1-Normal5"/>
              <w:spacing w:before="100" w:beforeAutospacing="1" w:after="120"/>
              <w:rPr>
                <w:noProof/>
              </w:rPr>
            </w:pPr>
            <w:r>
              <w:rPr>
                <w:noProof/>
              </w:rPr>
              <w:t xml:space="preserve">Pārskatītā sistēma izdevumu pārskatīšanai centrālajās valsts administrācijās (ministrijās) uzlabos tās efektivitāti, nostiprinot Ekonomikas un finanšu ministrijas lomu. Tā jo īpaši paredz pastiprinātu Ekonomikas </w:t>
            </w:r>
            <w:r>
              <w:rPr>
                <w:noProof/>
              </w:rPr>
              <w:t>un finanšu ministrijas lomu ex ante novērtēšanā, uzraudzības procesos un ex post novērtēšanā, kas ļauj nodrošināt pārskatu rūpīgu izpildi un paredzēto mērķu sasniegšanu.</w:t>
            </w:r>
          </w:p>
        </w:tc>
      </w:tr>
      <w:tr w:rsidR="00C972CB" w14:paraId="709C425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35A25" w14:textId="77777777" w:rsidR="00C972CB" w:rsidRDefault="002457F6">
            <w:pPr>
              <w:pStyle w:val="P68B1DB1-Normal5"/>
              <w:jc w:val="center"/>
              <w:rPr>
                <w:noProof/>
              </w:rPr>
            </w:pPr>
            <w:r>
              <w:rPr>
                <w:noProof/>
              </w:rPr>
              <w:t>M1C1–101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63567" w14:textId="77777777" w:rsidR="00C972CB" w:rsidRDefault="002457F6">
            <w:pPr>
              <w:pStyle w:val="P68B1DB1-Normal5"/>
              <w:jc w:val="center"/>
              <w:rPr>
                <w:noProof/>
              </w:rPr>
            </w:pPr>
            <w:r>
              <w:rPr>
                <w:noProof/>
              </w:rPr>
              <w:t>Reforma:</w:t>
            </w:r>
          </w:p>
          <w:p w14:paraId="142B82D8" w14:textId="77777777" w:rsidR="00C972CB" w:rsidRDefault="002457F6">
            <w:pPr>
              <w:pStyle w:val="P68B1DB1-Normal5"/>
              <w:jc w:val="center"/>
              <w:rPr>
                <w:noProof/>
              </w:rPr>
            </w:pPr>
            <w:r>
              <w:rPr>
                <w:noProof/>
              </w:rPr>
              <w:t>Nodokļu administrācijas reforma</w:t>
            </w:r>
          </w:p>
          <w:p w14:paraId="64474473" w14:textId="77777777" w:rsidR="00C972CB" w:rsidRDefault="00C972CB">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9E185"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ED7AD2" w14:textId="77777777" w:rsidR="00C972CB" w:rsidRDefault="002457F6">
            <w:pPr>
              <w:pStyle w:val="P68B1DB1-Normal5"/>
              <w:jc w:val="center"/>
              <w:rPr>
                <w:noProof/>
              </w:rPr>
            </w:pPr>
            <w:r>
              <w:rPr>
                <w:noProof/>
              </w:rPr>
              <w:t>Pieņemt pārskatu</w:t>
            </w:r>
            <w:r>
              <w:rPr>
                <w:noProof/>
              </w:rPr>
              <w:t xml:space="preserve"> par iespējamiem pasākumiem, lai samazinātu izvairīšanos no nodokļu maksāšanas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D730D" w14:textId="77777777" w:rsidR="00C972CB" w:rsidRDefault="002457F6">
            <w:pPr>
              <w:pStyle w:val="P68B1DB1-Normal5"/>
              <w:jc w:val="center"/>
              <w:rPr>
                <w:noProof/>
              </w:rPr>
            </w:pPr>
            <w:r>
              <w:rPr>
                <w:noProof/>
              </w:rPr>
              <w:t>Pārskatīšanas publicēšana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38C5E"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CD966"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D036F"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989F2"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CDF3D6" w14:textId="77777777" w:rsidR="00C972CB" w:rsidRDefault="002457F6">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103A60" w14:textId="77777777" w:rsidR="00C972CB" w:rsidRDefault="002457F6">
            <w:pPr>
              <w:pStyle w:val="P68B1DB1-Normal5"/>
              <w:spacing w:before="100" w:beforeAutospacing="1" w:after="120"/>
              <w:rPr>
                <w:noProof/>
              </w:rPr>
            </w:pPr>
            <w:r>
              <w:rPr>
                <w:noProof/>
              </w:rPr>
              <w:t>Pieņemt ziņojumu, lai informētu valdības rīcību nolūkā samazināt izvairīšanos no nodokļu maksāšanas saistībā</w:t>
            </w:r>
            <w:r>
              <w:rPr>
                <w:noProof/>
              </w:rPr>
              <w:t xml:space="preserve"> ar rēķinu izrakstīšanu, jo īpaši nozarēs, kuras visvairāk skar izvairīšanās no nodokļu maksāšanas, tostarp izmantojot mērķtiecīgus stimulus patērētājiem.</w:t>
            </w:r>
          </w:p>
        </w:tc>
      </w:tr>
      <w:tr w:rsidR="00C972CB" w14:paraId="26C5D41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AA497E" w14:textId="77777777" w:rsidR="00C972CB" w:rsidRDefault="002457F6">
            <w:pPr>
              <w:pStyle w:val="P68B1DB1-Normal5"/>
              <w:jc w:val="center"/>
              <w:rPr>
                <w:noProof/>
              </w:rPr>
            </w:pPr>
            <w:r>
              <w:rPr>
                <w:noProof/>
              </w:rPr>
              <w:t>M1C1–102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235AC" w14:textId="77777777" w:rsidR="00C972CB" w:rsidRDefault="002457F6">
            <w:pPr>
              <w:pStyle w:val="P68B1DB1-Normal5"/>
              <w:jc w:val="center"/>
              <w:rPr>
                <w:noProof/>
              </w:rPr>
            </w:pPr>
            <w:r>
              <w:rPr>
                <w:noProof/>
              </w:rPr>
              <w:t>Reforma Nr. 1.13: Izdevumu pārskatīšanas sistēmas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61EB96"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7CD1B" w14:textId="77777777" w:rsidR="00C972CB" w:rsidRDefault="002457F6">
            <w:pPr>
              <w:pStyle w:val="P68B1DB1-Normal5"/>
              <w:jc w:val="center"/>
              <w:rPr>
                <w:noProof/>
              </w:rPr>
            </w:pPr>
            <w:r>
              <w:rPr>
                <w:noProof/>
              </w:rPr>
              <w:t>Ziņojuma pieņemšana par to, cik efektīva ir prakse, ko izvēlētas valsts pārvaldes iestādes izmanto ietaupījumu plānu formulēšanā un īstenošanā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A46923" w14:textId="77777777" w:rsidR="00C972CB" w:rsidRDefault="002457F6">
            <w:pPr>
              <w:pStyle w:val="P68B1DB1-Normal5"/>
              <w:jc w:val="center"/>
              <w:rPr>
                <w:noProof/>
              </w:rPr>
            </w:pPr>
            <w:r>
              <w:rPr>
                <w:noProof/>
              </w:rPr>
              <w:t>Ziņojuma publicēšana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245F3"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233C6"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290B1E"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C7615"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AEAF5"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47EFD" w14:textId="77777777" w:rsidR="00C972CB" w:rsidRDefault="002457F6">
            <w:pPr>
              <w:pStyle w:val="P68B1DB1-Normal5"/>
              <w:spacing w:before="100" w:beforeAutospacing="1" w:after="120"/>
              <w:rPr>
                <w:noProof/>
              </w:rPr>
            </w:pPr>
            <w:r>
              <w:rPr>
                <w:noProof/>
              </w:rPr>
              <w:t>Finanšu ministrijas Grāmatvedības departaments sa</w:t>
            </w:r>
            <w:r>
              <w:rPr>
                <w:noProof/>
              </w:rPr>
              <w:t>darbībā ar izraudzītām administrācijām sagatavo ziņojumu, lai:</w:t>
            </w:r>
          </w:p>
          <w:p w14:paraId="29487C6A" w14:textId="77777777" w:rsidR="00C972CB" w:rsidRDefault="002457F6">
            <w:pPr>
              <w:pStyle w:val="P68B1DB1-ListParagraph6"/>
              <w:numPr>
                <w:ilvl w:val="0"/>
                <w:numId w:val="76"/>
              </w:numPr>
              <w:ind w:left="324" w:hanging="283"/>
              <w:jc w:val="left"/>
              <w:rPr>
                <w:noProof/>
              </w:rPr>
            </w:pPr>
            <w:r>
              <w:rPr>
                <w:noProof/>
              </w:rPr>
              <w:t>Novērtēt uzkrājumu plānu izstrādes un īstenošanas praksi.</w:t>
            </w:r>
          </w:p>
          <w:p w14:paraId="5CD9B371" w14:textId="77777777" w:rsidR="00C972CB" w:rsidRDefault="002457F6">
            <w:pPr>
              <w:pStyle w:val="P68B1DB1-ListParagraph6"/>
              <w:numPr>
                <w:ilvl w:val="0"/>
                <w:numId w:val="76"/>
              </w:numPr>
              <w:ind w:left="324" w:hanging="283"/>
              <w:jc w:val="left"/>
              <w:rPr>
                <w:noProof/>
              </w:rPr>
            </w:pPr>
            <w:r>
              <w:rPr>
                <w:noProof/>
              </w:rPr>
              <w:t>Noteikt pamatnostādnes visām valsts pārvaldes iestādēm.</w:t>
            </w:r>
          </w:p>
        </w:tc>
      </w:tr>
      <w:tr w:rsidR="00C972CB" w14:paraId="0D98A4F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62843" w14:textId="77777777" w:rsidR="00C972CB" w:rsidRDefault="002457F6">
            <w:pPr>
              <w:pStyle w:val="P68B1DB1-Normal5"/>
              <w:jc w:val="center"/>
              <w:rPr>
                <w:noProof/>
              </w:rPr>
            </w:pPr>
            <w:r>
              <w:rPr>
                <w:noProof/>
              </w:rPr>
              <w:t>M1C1–103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344C5" w14:textId="77777777" w:rsidR="00C972CB" w:rsidRDefault="002457F6">
            <w:pPr>
              <w:pStyle w:val="P68B1DB1-Normal5"/>
              <w:jc w:val="center"/>
              <w:rPr>
                <w:noProof/>
              </w:rPr>
            </w:pPr>
            <w:r>
              <w:rPr>
                <w:noProof/>
              </w:rPr>
              <w:t>Reforma: Nodokļu administrācijas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1F668"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26E082" w14:textId="77777777" w:rsidR="00C972CB" w:rsidRDefault="002457F6">
            <w:pPr>
              <w:pStyle w:val="P68B1DB1-Normal5"/>
              <w:jc w:val="center"/>
              <w:rPr>
                <w:noProof/>
              </w:rPr>
            </w:pPr>
            <w:r>
              <w:rPr>
                <w:noProof/>
              </w:rPr>
              <w:t>Primāro un</w:t>
            </w:r>
            <w:r>
              <w:rPr>
                <w:noProof/>
              </w:rPr>
              <w:t xml:space="preserve"> sekundāro tiesību aktu un reglamentējošo noteikumu stāšanās spēkā un administratīvo procesu pabeigšana, lai veicinātu nodokļu saistību izpildi un uzlabotu revīzijas un kontroles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7F8C3C" w14:textId="77777777" w:rsidR="00C972CB" w:rsidRDefault="002457F6">
            <w:pPr>
              <w:pStyle w:val="P68B1DB1-Normal5"/>
              <w:jc w:val="center"/>
              <w:rPr>
                <w:noProof/>
              </w:rPr>
            </w:pPr>
            <w:r>
              <w:rPr>
                <w:noProof/>
              </w:rPr>
              <w:t>Tiesību aktu un normatīvo aktu noteikumi, kas norāda uz stāšanos spēkā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338554" w14:textId="77777777" w:rsidR="00C972CB" w:rsidRDefault="002457F6">
            <w:pPr>
              <w:pStyle w:val="P68B1DB1-Normal5"/>
              <w:jc w:val="center"/>
              <w:rPr>
                <w:noProof/>
              </w:rPr>
            </w:pPr>
            <w:r>
              <w:rPr>
                <w:noProof/>
              </w:rPr>
              <w:t>NEPIEM</w:t>
            </w:r>
            <w:r>
              <w:rPr>
                <w:noProof/>
              </w:rPr>
              <w:t>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ED5D0"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AD4E6C"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67878"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8A1BB"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1172CD" w14:textId="77777777" w:rsidR="00C972CB" w:rsidRDefault="002457F6">
            <w:pPr>
              <w:pStyle w:val="P68B1DB1-Normal5"/>
              <w:spacing w:after="120"/>
              <w:rPr>
                <w:noProof/>
              </w:rPr>
            </w:pPr>
            <w:r>
              <w:rPr>
                <w:noProof/>
              </w:rPr>
              <w:t>Noteikumi ietver:</w:t>
            </w:r>
          </w:p>
          <w:p w14:paraId="686E0394" w14:textId="77777777" w:rsidR="00C972CB" w:rsidRDefault="002457F6">
            <w:pPr>
              <w:pStyle w:val="P68B1DB1-Normal5"/>
              <w:spacing w:after="120"/>
              <w:rPr>
                <w:noProof/>
              </w:rPr>
            </w:pPr>
            <w:r>
              <w:rPr>
                <w:noProof/>
              </w:rPr>
              <w:t>I) datubāzes un īpašas IT infrastruktūras pilnīga izmantošana iepriekš apdzīvotās PVN deklarācijas iesniegšanai, kā paredzēts Likumdošanas dekrēta Nr. 127/2015 4. panta 1. punktā.</w:t>
            </w:r>
          </w:p>
          <w:p w14:paraId="5F8C2E30" w14:textId="77777777" w:rsidR="00C972CB" w:rsidRDefault="002457F6">
            <w:pPr>
              <w:pStyle w:val="P68B1DB1-Normal5"/>
              <w:spacing w:after="120"/>
              <w:rPr>
                <w:noProof/>
              </w:rPr>
            </w:pPr>
            <w:r>
              <w:rPr>
                <w:noProof/>
              </w:rPr>
              <w:t xml:space="preserve">datubāze, ko izmanto </w:t>
            </w:r>
            <w:r>
              <w:rPr>
                <w:noProof/>
              </w:rPr>
              <w:t>“atbilstības vēstulēm” (ar ko nodokļu maksātājiem sniedz agrīnus paziņojumus, attiecībā uz kuriem tiek atklātas novirzes), ir uzlabota, lai samazinātu viltus pozitīvu gadījumu skaitu un palielinātu nodokļu maksātājiem nosūtīto paziņojumu skaitu.</w:t>
            </w:r>
          </w:p>
          <w:p w14:paraId="1FD4D715" w14:textId="77777777" w:rsidR="00C972CB" w:rsidRDefault="002457F6">
            <w:pPr>
              <w:pStyle w:val="P68B1DB1-Normal5"/>
              <w:spacing w:after="120"/>
              <w:rPr>
                <w:noProof/>
              </w:rPr>
            </w:pPr>
            <w:r>
              <w:rPr>
                <w:noProof/>
              </w:rPr>
              <w:t>III) refor</w:t>
            </w:r>
            <w:r>
              <w:rPr>
                <w:noProof/>
              </w:rPr>
              <w:t xml:space="preserve">mēto tiesību aktu stāšanās spēkā, lai nodrošinātu efektīvas administratīvās sankcijas gadījumos, kad privātie pakalpojumu sniedzēji atsakās pieņemt elektroniskos maksājumus (sākotnējais 23. pants Dekrētlikumā Nr. 124/2019, kas tika atcelts, to pārveidojot </w:t>
            </w:r>
            <w:r>
              <w:rPr>
                <w:noProof/>
              </w:rPr>
              <w:t>par likumu, ir atsauce).</w:t>
            </w:r>
          </w:p>
          <w:p w14:paraId="434C0CD5" w14:textId="77777777" w:rsidR="00C972CB" w:rsidRDefault="002457F6">
            <w:pPr>
              <w:pStyle w:val="P68B1DB1-Normal5"/>
              <w:spacing w:after="120"/>
              <w:rPr>
                <w:noProof/>
              </w:rPr>
            </w:pPr>
            <w:r>
              <w:rPr>
                <w:noProof/>
              </w:rPr>
              <w:t>IV) Pabeigt Likuma Nr. 160/2019 1. panta 681.–686. punktā paredzēto datu pseidonimizācijas procesu un izveidot digitālo infrastruktūru to lielo datu analīzei, kas ģenerēti, izmantojot pilnībā pseidonimizētu datubāzu sadarbspēju, la</w:t>
            </w:r>
            <w:r>
              <w:rPr>
                <w:noProof/>
              </w:rPr>
              <w:t>i palielinātu atlases procesa pamatā esošās riska analīzes efektivitāti.</w:t>
            </w:r>
          </w:p>
          <w:p w14:paraId="579516CD" w14:textId="77777777" w:rsidR="00C972CB" w:rsidRDefault="002457F6">
            <w:pPr>
              <w:pStyle w:val="P68B1DB1-Normal5"/>
              <w:spacing w:after="120"/>
              <w:rPr>
                <w:noProof/>
              </w:rPr>
            </w:pPr>
            <w:r>
              <w:rPr>
                <w:noProof/>
              </w:rPr>
              <w:t>V) Stājas spēkā primārie un sekundārie tiesību akti, ar kuriem īsteno efektīvas papildu darbības, pamatojoties uz konstatējumiem, kas gūti, pārskatot iespējamos pasākumus, lai samazin</w:t>
            </w:r>
            <w:r>
              <w:rPr>
                <w:noProof/>
              </w:rPr>
              <w:t>ātu izvairīšanos no nodokļu maksāšanas saistībā ar rēķinu izrakstīšanu.</w:t>
            </w:r>
          </w:p>
        </w:tc>
      </w:tr>
      <w:tr w:rsidR="00C972CB" w14:paraId="2293823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7B0B" w14:textId="77777777" w:rsidR="00C972CB" w:rsidRDefault="002457F6">
            <w:pPr>
              <w:pStyle w:val="P68B1DB1-Normal5"/>
              <w:jc w:val="center"/>
              <w:rPr>
                <w:noProof/>
              </w:rPr>
            </w:pPr>
            <w:r>
              <w:rPr>
                <w:noProof/>
              </w:rPr>
              <w:t>M1C1–104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1582" w14:textId="77777777" w:rsidR="00C972CB" w:rsidRDefault="002457F6">
            <w:pPr>
              <w:pStyle w:val="P68B1DB1-Normal5"/>
              <w:jc w:val="center"/>
              <w:rPr>
                <w:noProof/>
              </w:rPr>
            </w:pPr>
            <w:r>
              <w:rPr>
                <w:noProof/>
              </w:rPr>
              <w:t>Reforma Nr. 1.13: Izdevumu pārskatīšanas sistēmas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D0521"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5A81DA" w14:textId="77777777" w:rsidR="00C972CB" w:rsidRDefault="002457F6">
            <w:pPr>
              <w:pStyle w:val="P68B1DB1-Normal5"/>
              <w:jc w:val="center"/>
              <w:rPr>
                <w:noProof/>
              </w:rPr>
            </w:pPr>
            <w:r>
              <w:rPr>
                <w:noProof/>
              </w:rPr>
              <w:t>Ietaupījumu mērķrādītāju pieņemšana izdevumu pārskatīšanai 2023.–2025. gadam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4713E" w14:textId="77777777" w:rsidR="00C972CB" w:rsidRDefault="002457F6">
            <w:pPr>
              <w:pStyle w:val="P68B1DB1-Normal5"/>
              <w:jc w:val="center"/>
              <w:rPr>
                <w:noProof/>
              </w:rPr>
            </w:pPr>
            <w:r>
              <w:rPr>
                <w:noProof/>
              </w:rPr>
              <w:t xml:space="preserve">Kvantitatīvs </w:t>
            </w:r>
            <w:r>
              <w:rPr>
                <w:noProof/>
              </w:rPr>
              <w:t>ietaupījumu mērķis centrālās valsts pārvaldes iestāžu kopapjomam, kas definēts Ekonomikas un finanšu dokumentā (euro)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94AD6"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8E28F"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87A97"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3C966"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22006"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B37B72" w14:textId="77777777" w:rsidR="00C972CB" w:rsidRDefault="002457F6">
            <w:pPr>
              <w:pStyle w:val="P68B1DB1-Normal5"/>
              <w:spacing w:before="100" w:beforeAutospacing="1" w:after="120"/>
              <w:rPr>
                <w:noProof/>
              </w:rPr>
            </w:pPr>
            <w:r>
              <w:rPr>
                <w:noProof/>
              </w:rPr>
              <w:t>Pamatojoties uz 2016. gada dekrētlikumiem Nr. 90 un Nr. 93 un Likumu Nr. 163/2016, Ekonomikas f</w:t>
            </w:r>
            <w:r>
              <w:rPr>
                <w:noProof/>
              </w:rPr>
              <w:t>inanšu dokumentā ir noteikti mērķi gada izdevumu pārskatīšanai attiecībā uz centrālo valsts administrāciju kopumu 2023., 2024. un 2025. gadam. Ietaupījumu mērķrādītāji atspoguļo atbilstīgu mērķu vērienīgumu.</w:t>
            </w:r>
          </w:p>
        </w:tc>
      </w:tr>
      <w:tr w:rsidR="00C972CB" w14:paraId="48C54B5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E5A8" w14:textId="77777777" w:rsidR="00C972CB" w:rsidRDefault="002457F6">
            <w:pPr>
              <w:pStyle w:val="P68B1DB1-Normal5"/>
              <w:jc w:val="center"/>
              <w:rPr>
                <w:noProof/>
              </w:rPr>
            </w:pPr>
            <w:r>
              <w:rPr>
                <w:noProof/>
              </w:rPr>
              <w:t>M1C1–105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3217CD" w14:textId="77777777" w:rsidR="00C972CB" w:rsidRDefault="002457F6">
            <w:pPr>
              <w:pStyle w:val="P68B1DB1-Normal5"/>
              <w:jc w:val="center"/>
              <w:rPr>
                <w:noProof/>
              </w:rPr>
            </w:pPr>
            <w:r>
              <w:rPr>
                <w:noProof/>
              </w:rPr>
              <w:t xml:space="preserve">Reforma: Nodokļu administrācijas </w:t>
            </w:r>
            <w:r>
              <w:rPr>
                <w:noProof/>
              </w:rPr>
              <w:t>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7EF0A"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2A04C3" w14:textId="77777777" w:rsidR="00C972CB" w:rsidRDefault="002457F6">
            <w:pPr>
              <w:pStyle w:val="P68B1DB1-Normal5"/>
              <w:jc w:val="center"/>
              <w:rPr>
                <w:noProof/>
              </w:rPr>
            </w:pPr>
            <w:r>
              <w:rPr>
                <w:noProof/>
              </w:rPr>
              <w:t>Lielāks “atbilstības burtu” skaits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05742D"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69E54"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D2A6" w14:textId="27DD306F" w:rsidR="00C972CB" w:rsidRDefault="002457F6">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1E922" w14:textId="4595621E" w:rsidR="00C972CB" w:rsidRDefault="002457F6">
            <w:pPr>
              <w:pStyle w:val="P68B1DB1-Normal5"/>
              <w:jc w:val="center"/>
              <w:rPr>
                <w:noProof/>
              </w:rPr>
            </w:pPr>
            <w:r>
              <w:rPr>
                <w:noProof/>
              </w:rPr>
              <w:t>2 581 090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98FBD"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6C0157"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7C4739" w14:textId="77777777" w:rsidR="00C972CB" w:rsidRDefault="002457F6">
            <w:pPr>
              <w:pStyle w:val="P68B1DB1-Normal5"/>
              <w:spacing w:before="100" w:beforeAutospacing="1" w:after="120"/>
              <w:rPr>
                <w:noProof/>
              </w:rPr>
            </w:pPr>
            <w:r>
              <w:rPr>
                <w:noProof/>
              </w:rPr>
              <w:t xml:space="preserve">“Atbilstības vēstuļu” skaitu, kas nodrošina agrīnu saziņu ar nodokļu maksātājiem, attiecībā uz kuriem ir konstatētas novirzes, palielina vismaz par 20 % </w:t>
            </w:r>
            <w:r>
              <w:rPr>
                <w:noProof/>
              </w:rPr>
              <w:t>salīdzinājumā ar 2019. gadu.</w:t>
            </w:r>
          </w:p>
        </w:tc>
      </w:tr>
      <w:tr w:rsidR="00C972CB" w14:paraId="18BADCD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84F8D" w14:textId="77777777" w:rsidR="00C972CB" w:rsidRDefault="002457F6">
            <w:pPr>
              <w:pStyle w:val="P68B1DB1-Normal5"/>
              <w:jc w:val="center"/>
              <w:rPr>
                <w:noProof/>
              </w:rPr>
            </w:pPr>
            <w:r>
              <w:rPr>
                <w:noProof/>
              </w:rPr>
              <w:t>M1C1–106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40B33C" w14:textId="77777777" w:rsidR="00C972CB" w:rsidRDefault="002457F6">
            <w:pPr>
              <w:pStyle w:val="P68B1DB1-Normal5"/>
              <w:jc w:val="center"/>
              <w:rPr>
                <w:noProof/>
              </w:rPr>
            </w:pPr>
            <w:r>
              <w:rPr>
                <w:noProof/>
              </w:rPr>
              <w:t>Reforma: Nodokļu administrācijas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8C48F"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0991E4" w14:textId="77777777" w:rsidR="00C972CB" w:rsidRDefault="002457F6">
            <w:pPr>
              <w:pStyle w:val="P68B1DB1-Normal5"/>
              <w:jc w:val="center"/>
              <w:rPr>
                <w:noProof/>
              </w:rPr>
            </w:pPr>
            <w:r>
              <w:rPr>
                <w:noProof/>
              </w:rPr>
              <w:t>Kļūdaini pozitīvu „atbilstības vēstuļu” skaita samazināšana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EBFE7"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4E639"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0E25D" w14:textId="0A83ACDB" w:rsidR="00C972CB" w:rsidRDefault="002457F6">
            <w:pPr>
              <w:pStyle w:val="P68B1DB1-Normal5"/>
              <w:jc w:val="center"/>
              <w:rPr>
                <w:noProof/>
              </w:rPr>
            </w:pPr>
            <w:r>
              <w:rPr>
                <w:noProof/>
              </w:rPr>
              <w:t>126 500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8D277" w14:textId="09A7B171" w:rsidR="00C972CB" w:rsidRDefault="002457F6">
            <w:pPr>
              <w:pStyle w:val="P68B1DB1-Normal5"/>
              <w:jc w:val="center"/>
              <w:rPr>
                <w:noProof/>
              </w:rPr>
            </w:pPr>
            <w:r>
              <w:rPr>
                <w:noProof/>
              </w:rPr>
              <w:t>132 825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2F006A"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AC8B"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AEF4B" w14:textId="77777777" w:rsidR="00C972CB" w:rsidRDefault="002457F6">
            <w:pPr>
              <w:pStyle w:val="P68B1DB1-Normal5"/>
              <w:spacing w:before="100" w:beforeAutospacing="1" w:after="120"/>
              <w:rPr>
                <w:noProof/>
              </w:rPr>
            </w:pPr>
            <w:r>
              <w:rPr>
                <w:noProof/>
              </w:rPr>
              <w:t xml:space="preserve">Nepatiesi pozitīvu “atbilstības vēstuļu” skaitu (kas sniedz </w:t>
            </w:r>
            <w:r>
              <w:rPr>
                <w:noProof/>
              </w:rPr>
              <w:t>agrīnu paziņojumu nodokļu maksātājiem, attiecībā uz kuriem ir konstatētas novirzes, bet attiecībā uz kuriem ex post nav atklāta krāpšana) samazina vismaz par 5 % attiecībā uz 2019. gadu.</w:t>
            </w:r>
          </w:p>
        </w:tc>
      </w:tr>
      <w:tr w:rsidR="00C972CB" w14:paraId="7CD23B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B664F1" w14:textId="77777777" w:rsidR="00C972CB" w:rsidRDefault="002457F6">
            <w:pPr>
              <w:pStyle w:val="P68B1DB1-Normal5"/>
              <w:jc w:val="center"/>
              <w:rPr>
                <w:noProof/>
              </w:rPr>
            </w:pPr>
            <w:r>
              <w:rPr>
                <w:noProof/>
              </w:rPr>
              <w:t>M1C1–107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B46AC" w14:textId="77777777" w:rsidR="00C972CB" w:rsidRDefault="002457F6">
            <w:pPr>
              <w:pStyle w:val="P68B1DB1-Normal5"/>
              <w:jc w:val="center"/>
              <w:rPr>
                <w:noProof/>
              </w:rPr>
            </w:pPr>
            <w:r>
              <w:rPr>
                <w:noProof/>
              </w:rPr>
              <w:t>Reforma: Nodokļu administrācijas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F526"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38347" w14:textId="77777777" w:rsidR="00C972CB" w:rsidRDefault="002457F6">
            <w:pPr>
              <w:pStyle w:val="P68B1DB1-Normal5"/>
              <w:jc w:val="center"/>
              <w:rPr>
                <w:noProof/>
              </w:rPr>
            </w:pPr>
            <w:r>
              <w:rPr>
                <w:noProof/>
              </w:rPr>
              <w:t xml:space="preserve">Nodokļu </w:t>
            </w:r>
            <w:r>
              <w:rPr>
                <w:noProof/>
              </w:rPr>
              <w:t>ieņēmumu palielinājums, ko rada “atbilstības vēstules”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3017C8"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D1717" w14:textId="77777777" w:rsidR="00C972CB" w:rsidRDefault="002457F6">
            <w:pPr>
              <w:pStyle w:val="P68B1DB1-Normal5"/>
              <w:jc w:val="center"/>
              <w:rPr>
                <w:noProof/>
              </w:rPr>
            </w:pPr>
            <w:r>
              <w:rPr>
                <w:noProof/>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BB97B" w14:textId="04E8BBE9" w:rsidR="00C972CB" w:rsidRDefault="002457F6">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75B48" w14:textId="774BF37B" w:rsidR="00C972CB" w:rsidRDefault="002457F6">
            <w:pPr>
              <w:pStyle w:val="P68B1DB1-Normal5"/>
              <w:jc w:val="center"/>
              <w:rPr>
                <w:noProof/>
              </w:rPr>
            </w:pPr>
            <w:r>
              <w:rPr>
                <w:noProof/>
              </w:rPr>
              <w:t>2 449 500 000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85AA74"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9010D" w14:textId="77777777" w:rsidR="00C972CB" w:rsidRDefault="002457F6">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A328D" w14:textId="77777777" w:rsidR="00C972CB" w:rsidRDefault="002457F6">
            <w:pPr>
              <w:pStyle w:val="P68B1DB1-Normal5"/>
              <w:spacing w:before="100" w:beforeAutospacing="1" w:after="120"/>
              <w:rPr>
                <w:noProof/>
              </w:rPr>
            </w:pPr>
            <w:r>
              <w:rPr>
                <w:noProof/>
              </w:rPr>
              <w:t>Nodokļu ieņēmumi, ko rada “atbilstības vēstules”, palielinās par 15 % salīdzinājumā ar 2019. gadu.</w:t>
            </w:r>
          </w:p>
        </w:tc>
      </w:tr>
      <w:tr w:rsidR="00C972CB" w14:paraId="6D04870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301C3" w14:textId="77777777" w:rsidR="00C972CB" w:rsidRDefault="002457F6">
            <w:pPr>
              <w:pStyle w:val="P68B1DB1-Normal5"/>
              <w:jc w:val="center"/>
              <w:rPr>
                <w:noProof/>
              </w:rPr>
            </w:pPr>
            <w:r>
              <w:rPr>
                <w:noProof/>
              </w:rPr>
              <w:t>M1C1–108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A76D95" w14:textId="77777777" w:rsidR="00C972CB" w:rsidRDefault="002457F6">
            <w:pPr>
              <w:pStyle w:val="P68B1DB1-Normal5"/>
              <w:jc w:val="center"/>
              <w:rPr>
                <w:noProof/>
              </w:rPr>
            </w:pPr>
            <w:r>
              <w:rPr>
                <w:noProof/>
              </w:rPr>
              <w:t xml:space="preserve">Reforma Nr. 1.15: Publiskās </w:t>
            </w:r>
            <w:r>
              <w:rPr>
                <w:noProof/>
              </w:rPr>
              <w:t>uzskaites noteikumu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23BB82"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D1D8D" w14:textId="77777777" w:rsidR="00C972CB" w:rsidRDefault="002457F6">
            <w:pPr>
              <w:pStyle w:val="P68B1DB1-Normal5"/>
              <w:jc w:val="center"/>
              <w:rPr>
                <w:noProof/>
              </w:rPr>
            </w:pPr>
            <w:r>
              <w:rPr>
                <w:noProof/>
              </w:rPr>
              <w:t>Konceptuālās sistēmas, uzkrājumu grāmatvedības standartu kopuma un daudzdimensiju kontu kartes apstiprināšana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39452" w14:textId="77777777" w:rsidR="00C972CB" w:rsidRDefault="002457F6">
            <w:pPr>
              <w:pStyle w:val="P68B1DB1-Normal5"/>
              <w:jc w:val="center"/>
              <w:rPr>
                <w:noProof/>
              </w:rPr>
            </w:pPr>
            <w:r>
              <w:rPr>
                <w:noProof/>
              </w:rPr>
              <w:t xml:space="preserve">Finanšu ministrijas Grāmatvedības departamenta lēmums, ar ko apstiprina uzkrājumu grāmatvedības </w:t>
            </w:r>
            <w:r>
              <w:rPr>
                <w:noProof/>
              </w:rPr>
              <w:t>pārvaldības struktūru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EF6C"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6CFB6"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B4BE9"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C1ED5"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E7AE84"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1ECF53" w14:textId="77777777" w:rsidR="00C972CB" w:rsidRDefault="002457F6">
            <w:pPr>
              <w:pStyle w:val="P68B1DB1-Normal4"/>
              <w:spacing w:before="100" w:beforeAutospacing="1" w:after="120"/>
              <w:rPr>
                <w:noProof/>
                <w:color w:val="006100"/>
              </w:rPr>
            </w:pPr>
            <w:r>
              <w:rPr>
                <w:noProof/>
                <w:color w:val="006100"/>
              </w:rPr>
              <w:t>Konceptuālās sistēmas izveide kā atsauce uzkrājumu grāmatvedības sistēmai saskaņā ar Eurostat definētajām kvalitatīvajām iezīmēm (EPSAS darba grupa);</w:t>
            </w:r>
            <w:r>
              <w:rPr>
                <w:noProof/>
              </w:rPr>
              <w:t xml:space="preserve"> </w:t>
            </w:r>
            <w:r>
              <w:rPr>
                <w:noProof/>
              </w:rPr>
              <w:br/>
            </w:r>
            <w:r>
              <w:rPr>
                <w:noProof/>
                <w:color w:val="006100"/>
              </w:rPr>
              <w:t xml:space="preserve"> Uzkrājumu grāmatvedības standartu noteikšana, pamatojoties uz IPSAS/EPSAS; Izstrādāt daudzdimensionālu un daudzlīmeņu kontu plānu.</w:t>
            </w:r>
          </w:p>
        </w:tc>
      </w:tr>
      <w:tr w:rsidR="00C972CB" w14:paraId="508CA77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D1C9D" w14:textId="77777777" w:rsidR="00C972CB" w:rsidRDefault="002457F6">
            <w:pPr>
              <w:pStyle w:val="P68B1DB1-Normal5"/>
              <w:jc w:val="center"/>
              <w:rPr>
                <w:noProof/>
              </w:rPr>
            </w:pPr>
            <w:r>
              <w:rPr>
                <w:noProof/>
              </w:rPr>
              <w:t>M1C1–109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FA3A7" w14:textId="77777777" w:rsidR="00C972CB" w:rsidRDefault="002457F6">
            <w:pPr>
              <w:pStyle w:val="P68B1DB1-Normal5"/>
              <w:jc w:val="center"/>
              <w:rPr>
                <w:noProof/>
              </w:rPr>
            </w:pPr>
            <w:r>
              <w:rPr>
                <w:noProof/>
              </w:rPr>
              <w:t>Reforma: Nodokļu administrācijas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617BC"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94782" w14:textId="77777777" w:rsidR="00C972CB" w:rsidRDefault="002457F6">
            <w:pPr>
              <w:pStyle w:val="P68B1DB1-Normal5"/>
              <w:jc w:val="center"/>
              <w:rPr>
                <w:noProof/>
              </w:rPr>
            </w:pPr>
            <w:r>
              <w:rPr>
                <w:noProof/>
              </w:rPr>
              <w:t>Pirmo iepriekš aizpildīto PVN nodokļu deklarāciju nosūtīšana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9399D"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431C0"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155404"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4D8F2" w14:textId="57F01C7C" w:rsidR="00C972CB" w:rsidRDefault="002457F6">
            <w:pPr>
              <w:pStyle w:val="P68B1DB1-Normal5"/>
              <w:jc w:val="center"/>
              <w:rPr>
                <w:noProof/>
              </w:rPr>
            </w:pPr>
            <w:r>
              <w:rPr>
                <w:noProof/>
              </w:rPr>
              <w:t>2 300 000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439E4B"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C900B"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EC5F3" w14:textId="6DC236A5" w:rsidR="00C972CB" w:rsidRDefault="002457F6">
            <w:pPr>
              <w:pStyle w:val="P68B1DB1-Normal5"/>
              <w:spacing w:before="100" w:beforeAutospacing="1" w:after="120"/>
              <w:rPr>
                <w:noProof/>
              </w:rPr>
            </w:pPr>
            <w:r>
              <w:rPr>
                <w:noProof/>
              </w:rPr>
              <w:t>Vismaz 2300000 nodokļu maksātāju saņem iepriekš aizpildītas PVN deklarācijas par 2022. taksācijas gadu.</w:t>
            </w:r>
          </w:p>
        </w:tc>
      </w:tr>
      <w:tr w:rsidR="00C972CB" w14:paraId="455B19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22055" w14:textId="77777777" w:rsidR="00C972CB" w:rsidRDefault="002457F6">
            <w:pPr>
              <w:pStyle w:val="P68B1DB1-Normal5"/>
              <w:jc w:val="center"/>
              <w:rPr>
                <w:noProof/>
              </w:rPr>
            </w:pPr>
            <w:r>
              <w:rPr>
                <w:noProof/>
              </w:rPr>
              <w:t>M1C1–110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F2004" w14:textId="77777777" w:rsidR="00C972CB" w:rsidRDefault="002457F6">
            <w:pPr>
              <w:pStyle w:val="P68B1DB1-Normal5"/>
              <w:jc w:val="center"/>
              <w:rPr>
                <w:noProof/>
              </w:rPr>
            </w:pPr>
            <w:r>
              <w:rPr>
                <w:noProof/>
              </w:rPr>
              <w:t>Reforma Nr. 1.13: Izdevumu pārskatīšanas sistēmas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9C09B4"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2D0679" w14:textId="77777777" w:rsidR="00C972CB" w:rsidRDefault="002457F6">
            <w:pPr>
              <w:pStyle w:val="P68B1DB1-Normal5"/>
              <w:jc w:val="center"/>
              <w:rPr>
                <w:noProof/>
              </w:rPr>
            </w:pPr>
            <w:r>
              <w:rPr>
                <w:noProof/>
              </w:rPr>
              <w:t>Valsts vispārējā budžeta</w:t>
            </w:r>
            <w:r>
              <w:rPr>
                <w:noProof/>
              </w:rPr>
              <w:t xml:space="preserve"> pārklasificēšana, atsaucoties uz izdevumiem vides jomā un izdevumiem, kas veicina dzimumu līdztiesību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E1FC2" w14:textId="77777777" w:rsidR="00C972CB" w:rsidRDefault="002457F6">
            <w:pPr>
              <w:pStyle w:val="P68B1DB1-Normal5"/>
              <w:jc w:val="center"/>
              <w:rPr>
                <w:noProof/>
              </w:rPr>
            </w:pPr>
            <w:r>
              <w:rPr>
                <w:noProof/>
              </w:rPr>
              <w:t>Valsts vispārējā budžeta pārklasificēšanas iekļaušana 2024. gada Budžeta likumā, atsaucoties uz vides izdevumiem un izdevumiem, kas veicina dzimumu līdzt</w:t>
            </w:r>
            <w:r>
              <w:rPr>
                <w:noProof/>
              </w:rPr>
              <w:t>iesību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51A1C"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78CB3"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DD716A"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54C6CE"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5B7166" w14:textId="77777777" w:rsidR="00C972CB" w:rsidRDefault="002457F6">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A487A" w14:textId="77777777" w:rsidR="00C972CB" w:rsidRDefault="002457F6">
            <w:pPr>
              <w:pStyle w:val="P68B1DB1-Normal5"/>
              <w:spacing w:before="100" w:beforeAutospacing="1" w:after="120"/>
              <w:rPr>
                <w:noProof/>
              </w:rPr>
            </w:pPr>
            <w:r>
              <w:rPr>
                <w:noProof/>
              </w:rPr>
              <w:t>2024. gada budžeta likums nodrošina parlamentam ilgtspējīgas attīstības budžetu, kas sastāv no vispārējā valsts budžeta klasifikācijas, atsaucoties uz izdevumiem vides jomā un izdevumiem, kas veicina dzimum</w:t>
            </w:r>
            <w:r>
              <w:rPr>
                <w:noProof/>
              </w:rPr>
              <w:t>u līdztiesību. Klasifikācija atbilst kritērijiem, kas ir ilgtspējīgas attīstības mērķu un Ilgtspējīgas attīstības programmas 2030. gadam mērķu noteikšanas pamatā.</w:t>
            </w:r>
          </w:p>
        </w:tc>
      </w:tr>
      <w:tr w:rsidR="00C972CB" w14:paraId="77C0885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ACBFC" w14:textId="77777777" w:rsidR="00C972CB" w:rsidRDefault="002457F6">
            <w:pPr>
              <w:pStyle w:val="P68B1DB1-Normal5"/>
              <w:jc w:val="center"/>
              <w:rPr>
                <w:noProof/>
              </w:rPr>
            </w:pPr>
            <w:r>
              <w:rPr>
                <w:noProof/>
              </w:rPr>
              <w:t>M1C1–111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705796" w14:textId="77777777" w:rsidR="00C972CB" w:rsidRDefault="002457F6">
            <w:pPr>
              <w:pStyle w:val="P68B1DB1-Normal5"/>
              <w:jc w:val="center"/>
              <w:rPr>
                <w:noProof/>
              </w:rPr>
            </w:pPr>
            <w:r>
              <w:rPr>
                <w:noProof/>
              </w:rPr>
              <w:t>Reforma Nr. 1.13: Izdevumu pārskatīšanas sistēmas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D1BEA"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84B4C1" w14:textId="77777777" w:rsidR="00C972CB" w:rsidRDefault="002457F6">
            <w:pPr>
              <w:pStyle w:val="P68B1DB1-Normal5"/>
              <w:jc w:val="center"/>
              <w:rPr>
                <w:noProof/>
              </w:rPr>
            </w:pPr>
            <w:r>
              <w:rPr>
                <w:noProof/>
              </w:rPr>
              <w:t xml:space="preserve">2023. </w:t>
            </w:r>
            <w:r>
              <w:rPr>
                <w:noProof/>
              </w:rPr>
              <w:t>gada izdevumu pārskata pabeigšana, atsaucoties uz 2022. gadam noteikto ietaupījumu mērķi 2023. gadam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17144B" w14:textId="77777777" w:rsidR="00C972CB" w:rsidRDefault="002457F6">
            <w:pPr>
              <w:pStyle w:val="P68B1DB1-Normal5"/>
              <w:jc w:val="center"/>
              <w:rPr>
                <w:noProof/>
              </w:rPr>
            </w:pPr>
            <w:r>
              <w:rPr>
                <w:noProof/>
              </w:rPr>
              <w:t>Finanšu ministrijas ziņojuma par izdevumu pārskatīšanu pieņemšana 2023. gadā, kas apliecina procesa pabeigšanu un mērķrādītāja sasniegšanu.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728CB1"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8C1721" w14:textId="77777777" w:rsidR="00C972CB" w:rsidRDefault="002457F6">
            <w:pPr>
              <w:pStyle w:val="P68B1DB1-Normal5"/>
              <w:jc w:val="center"/>
              <w:rPr>
                <w:noProof/>
              </w:rPr>
            </w:pPr>
            <w:r>
              <w:rPr>
                <w:noProof/>
              </w:rPr>
              <w:t>NEPIE</w:t>
            </w:r>
            <w:r>
              <w:rPr>
                <w:noProof/>
              </w:rPr>
              <w:t>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002A4"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20327"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4FC423"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44BCF" w14:textId="77777777" w:rsidR="00C972CB" w:rsidRDefault="002457F6">
            <w:pPr>
              <w:pStyle w:val="P68B1DB1-Normal5"/>
              <w:spacing w:after="120"/>
              <w:rPr>
                <w:noProof/>
              </w:rPr>
            </w:pPr>
            <w:r>
              <w:rPr>
                <w:noProof/>
              </w:rPr>
              <w:t>Finanšu ministrijas ziņojums, kas jānosūta Ministru padomei saskaņā ar 2016. gada dekrētlikumu Nr. 90 un Nr. 93 un Likumu Nr. 163/2016:</w:t>
            </w:r>
          </w:p>
          <w:p w14:paraId="087CF68E" w14:textId="77777777" w:rsidR="00C972CB" w:rsidRDefault="002457F6">
            <w:pPr>
              <w:pStyle w:val="P68B1DB1-Normal5"/>
              <w:spacing w:after="120"/>
              <w:rPr>
                <w:noProof/>
              </w:rPr>
            </w:pPr>
            <w:r>
              <w:rPr>
                <w:noProof/>
              </w:rPr>
              <w:t>—sertificēt, ka ir pabeigts izdevumu pārskatīšanas process 2023. gadam attiecībā uz noteikum</w:t>
            </w:r>
            <w:r>
              <w:rPr>
                <w:noProof/>
              </w:rPr>
              <w:t>u par izdevumu pārskatīšanas satvaru.</w:t>
            </w:r>
          </w:p>
          <w:p w14:paraId="3D0B5B76" w14:textId="77777777" w:rsidR="00C972CB" w:rsidRDefault="002457F6">
            <w:pPr>
              <w:pStyle w:val="P68B1DB1-Normal5"/>
              <w:spacing w:after="120"/>
              <w:rPr>
                <w:noProof/>
              </w:rPr>
            </w:pPr>
            <w:r>
              <w:rPr>
                <w:noProof/>
              </w:rPr>
              <w:t>—sertificēt 2022. gadā noteiktā mērķrādītāja sasniegšanu.</w:t>
            </w:r>
          </w:p>
        </w:tc>
      </w:tr>
      <w:tr w:rsidR="00C972CB" w14:paraId="399B1FB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86F0" w14:textId="77777777" w:rsidR="00C972CB" w:rsidRDefault="002457F6">
            <w:pPr>
              <w:pStyle w:val="P68B1DB1-Normal5"/>
              <w:jc w:val="center"/>
              <w:rPr>
                <w:noProof/>
              </w:rPr>
            </w:pPr>
            <w:r>
              <w:rPr>
                <w:noProof/>
              </w:rPr>
              <w:t>M1C1–112.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47F79" w14:textId="77777777" w:rsidR="00C972CB" w:rsidRDefault="002457F6">
            <w:pPr>
              <w:pStyle w:val="P68B1DB1-Normal5"/>
              <w:jc w:val="center"/>
              <w:rPr>
                <w:noProof/>
              </w:rPr>
            </w:pPr>
            <w:r>
              <w:rPr>
                <w:noProof/>
              </w:rPr>
              <w:t>Reforma: Nodokļu administrācijas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8B4071"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33EFB7" w14:textId="77777777" w:rsidR="00C972CB" w:rsidRDefault="002457F6">
            <w:pPr>
              <w:pStyle w:val="P68B1DB1-Normal5"/>
              <w:jc w:val="center"/>
              <w:rPr>
                <w:noProof/>
              </w:rPr>
            </w:pPr>
            <w:r>
              <w:rPr>
                <w:noProof/>
              </w:rPr>
              <w:t xml:space="preserve">Uzlabot nodokļu administrācijas darbības spējas, kā norādīts Ieņēmumu aģentūras darbības plānā </w:t>
            </w:r>
            <w:r>
              <w:rPr>
                <w:noProof/>
              </w:rPr>
              <w:t>2021.–2023. gadam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00FF4"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F0E0A0" w14:textId="77777777" w:rsidR="00C972CB" w:rsidRDefault="002457F6">
            <w:pPr>
              <w:pStyle w:val="P68B1DB1-Normal5"/>
              <w:jc w:val="center"/>
              <w:rPr>
                <w:noProof/>
              </w:rPr>
            </w:pPr>
            <w:r>
              <w:rPr>
                <w:noProof/>
              </w:rPr>
              <w:t>Nolīgto darbinieku 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E643ED"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C8A0DB" w14:textId="3181B45D" w:rsidR="00C972CB" w:rsidRDefault="002457F6">
            <w:pPr>
              <w:pStyle w:val="P68B1DB1-Normal5"/>
              <w:jc w:val="center"/>
              <w:rPr>
                <w:noProof/>
              </w:rPr>
            </w:pPr>
            <w:r>
              <w:rPr>
                <w:noProof/>
              </w:rPr>
              <w:t>4 113</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FCF85"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F29C"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604DF2" w14:textId="77777777" w:rsidR="00C972CB" w:rsidRDefault="002457F6">
            <w:pPr>
              <w:pStyle w:val="P68B1DB1-Normal5"/>
              <w:spacing w:before="100" w:beforeAutospacing="1" w:after="120"/>
              <w:rPr>
                <w:noProof/>
              </w:rPr>
            </w:pPr>
            <w:r>
              <w:rPr>
                <w:noProof/>
              </w:rPr>
              <w:t>Ieņēmumu aģentūras personālu palielina par 4113 vienībām, kā norādīts “Darbības plānā 2021.–2023. gadam”.</w:t>
            </w:r>
          </w:p>
        </w:tc>
      </w:tr>
      <w:tr w:rsidR="00C972CB" w14:paraId="63A9CFD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DAC58" w14:textId="77777777" w:rsidR="00C972CB" w:rsidRDefault="002457F6">
            <w:pPr>
              <w:pStyle w:val="P68B1DB1-Normal5"/>
              <w:jc w:val="center"/>
              <w:rPr>
                <w:noProof/>
              </w:rPr>
            </w:pPr>
            <w:r>
              <w:rPr>
                <w:noProof/>
              </w:rPr>
              <w:t>M1C1–113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96A2A" w14:textId="77777777" w:rsidR="00C972CB" w:rsidRDefault="002457F6">
            <w:pPr>
              <w:pStyle w:val="P68B1DB1-Normal5"/>
              <w:jc w:val="center"/>
              <w:rPr>
                <w:noProof/>
              </w:rPr>
            </w:pPr>
            <w:r>
              <w:rPr>
                <w:noProof/>
              </w:rPr>
              <w:t>Reforma: Nodokļu administrācijas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1A7797"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6ACDBF" w14:textId="77777777" w:rsidR="00C972CB" w:rsidRDefault="002457F6">
            <w:pPr>
              <w:pStyle w:val="P68B1DB1-Normal5"/>
              <w:jc w:val="center"/>
              <w:rPr>
                <w:noProof/>
              </w:rPr>
            </w:pPr>
            <w:r>
              <w:rPr>
                <w:noProof/>
              </w:rPr>
              <w:t xml:space="preserve">Lielāks </w:t>
            </w:r>
            <w:r>
              <w:rPr>
                <w:noProof/>
              </w:rPr>
              <w:t>“atbilstības burtu” skaits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640436"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24DC7"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EB40C" w14:textId="1C8BC852" w:rsidR="00C972CB" w:rsidRDefault="002457F6">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FDE149" w14:textId="13F3207C" w:rsidR="00C972CB" w:rsidRDefault="002457F6">
            <w:pPr>
              <w:pStyle w:val="P68B1DB1-Normal5"/>
              <w:jc w:val="center"/>
              <w:rPr>
                <w:noProof/>
              </w:rPr>
            </w:pPr>
            <w:r>
              <w:rPr>
                <w:noProof/>
              </w:rPr>
              <w:t>3 011 271</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89ED0"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15D9E"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137E3" w14:textId="77777777" w:rsidR="00C972CB" w:rsidRDefault="002457F6">
            <w:pPr>
              <w:pStyle w:val="P68B1DB1-Normal5"/>
              <w:spacing w:before="100" w:beforeAutospacing="1" w:after="120"/>
              <w:rPr>
                <w:noProof/>
              </w:rPr>
            </w:pPr>
            <w:r>
              <w:rPr>
                <w:noProof/>
              </w:rPr>
              <w:t>“Atbilstības vēstuļu” skaitu, kas nodrošina agrīnu saziņu ar nodokļu maksātājiem, attiecībā uz kuriem ir konstatētas novirzes, palielina vismaz par 40 % salīdzinājumā ar 2019. gad</w:t>
            </w:r>
            <w:r>
              <w:rPr>
                <w:noProof/>
              </w:rPr>
              <w:t>u.</w:t>
            </w:r>
          </w:p>
        </w:tc>
      </w:tr>
      <w:tr w:rsidR="00C972CB" w14:paraId="2E167BF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8274F" w14:textId="77777777" w:rsidR="00C972CB" w:rsidRDefault="002457F6">
            <w:pPr>
              <w:pStyle w:val="P68B1DB1-Normal5"/>
              <w:jc w:val="center"/>
              <w:rPr>
                <w:noProof/>
              </w:rPr>
            </w:pPr>
            <w:r>
              <w:rPr>
                <w:noProof/>
              </w:rPr>
              <w:t>M1C1–114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28A2E4" w14:textId="77777777" w:rsidR="00C972CB" w:rsidRDefault="002457F6">
            <w:pPr>
              <w:pStyle w:val="P68B1DB1-Normal5"/>
              <w:jc w:val="center"/>
              <w:rPr>
                <w:noProof/>
              </w:rPr>
            </w:pPr>
            <w:r>
              <w:rPr>
                <w:noProof/>
              </w:rPr>
              <w:t>Reforma: Nodokļu administrācijas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FDF094"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318E3" w14:textId="77777777" w:rsidR="00C972CB" w:rsidRDefault="002457F6">
            <w:pPr>
              <w:pStyle w:val="P68B1DB1-Normal5"/>
              <w:jc w:val="center"/>
              <w:rPr>
                <w:noProof/>
              </w:rPr>
            </w:pPr>
            <w:r>
              <w:rPr>
                <w:noProof/>
              </w:rPr>
              <w:t>Nodokļu ieņēmumu palielinājums, ko rada “atbilstības vēstules”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E7C01"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480D66" w14:textId="77777777" w:rsidR="00C972CB" w:rsidRDefault="002457F6">
            <w:pPr>
              <w:pStyle w:val="P68B1DB1-Normal5"/>
              <w:jc w:val="center"/>
              <w:rPr>
                <w:noProof/>
              </w:rPr>
            </w:pPr>
            <w:r>
              <w:rPr>
                <w:noProof/>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6F67F" w14:textId="6FEDE554" w:rsidR="00C972CB" w:rsidRDefault="002457F6">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B23F3" w14:textId="2B08698E" w:rsidR="00C972CB" w:rsidRDefault="002457F6">
            <w:pPr>
              <w:pStyle w:val="P68B1DB1-Normal5"/>
              <w:jc w:val="center"/>
              <w:rPr>
                <w:noProof/>
              </w:rPr>
            </w:pPr>
            <w:r>
              <w:rPr>
                <w:noProof/>
              </w:rPr>
              <w:t>2 769 000 000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BF1BDC"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9CA70D" w14:textId="77777777" w:rsidR="00C972CB" w:rsidRDefault="002457F6">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19FA6" w14:textId="77777777" w:rsidR="00C972CB" w:rsidRDefault="002457F6">
            <w:pPr>
              <w:pStyle w:val="P68B1DB1-Normal5"/>
              <w:spacing w:before="100" w:beforeAutospacing="1" w:after="120"/>
              <w:rPr>
                <w:noProof/>
              </w:rPr>
            </w:pPr>
            <w:r>
              <w:rPr>
                <w:noProof/>
              </w:rPr>
              <w:t xml:space="preserve">Nodokļu ieņēmumi, ko rada “atbilstības vēstules”, palielinās par 30 % </w:t>
            </w:r>
            <w:r>
              <w:rPr>
                <w:noProof/>
              </w:rPr>
              <w:t>salīdzinājumā ar 2019. gadu.</w:t>
            </w:r>
          </w:p>
        </w:tc>
      </w:tr>
      <w:tr w:rsidR="00C972CB" w14:paraId="0B804C8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9DC82F" w14:textId="77777777" w:rsidR="00C972CB" w:rsidRDefault="002457F6">
            <w:pPr>
              <w:pStyle w:val="P68B1DB1-Normal5"/>
              <w:jc w:val="center"/>
              <w:rPr>
                <w:noProof/>
              </w:rPr>
            </w:pPr>
            <w:r>
              <w:rPr>
                <w:noProof/>
              </w:rPr>
              <w:t>M1C1–115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581AC" w14:textId="77777777" w:rsidR="00C972CB" w:rsidRDefault="002457F6">
            <w:pPr>
              <w:pStyle w:val="P68B1DB1-Normal5"/>
              <w:jc w:val="center"/>
              <w:rPr>
                <w:noProof/>
              </w:rPr>
            </w:pPr>
            <w:r>
              <w:rPr>
                <w:noProof/>
              </w:rPr>
              <w:t>Reforma Nr. 1.13: Izdevumu pārskatīšanas sistēmas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C9213"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CE701" w14:textId="77777777" w:rsidR="00C972CB" w:rsidRDefault="002457F6">
            <w:pPr>
              <w:pStyle w:val="P68B1DB1-Normal5"/>
              <w:jc w:val="center"/>
              <w:rPr>
                <w:noProof/>
              </w:rPr>
            </w:pPr>
            <w:r>
              <w:rPr>
                <w:noProof/>
              </w:rPr>
              <w:t>2024. gada izdevumu pārskata pabeigšana, atsaucoties uz ietaupījumu mērķi, kas 2024. gadam noteikts 2022. un 2023. gadā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CDD4" w14:textId="77777777" w:rsidR="00C972CB" w:rsidRDefault="002457F6">
            <w:pPr>
              <w:pStyle w:val="P68B1DB1-Normal5"/>
              <w:jc w:val="center"/>
              <w:rPr>
                <w:noProof/>
              </w:rPr>
            </w:pPr>
            <w:r>
              <w:rPr>
                <w:noProof/>
              </w:rPr>
              <w:t xml:space="preserve">Finanšu ministrijas </w:t>
            </w:r>
            <w:r>
              <w:rPr>
                <w:noProof/>
              </w:rPr>
              <w:t>ziņojuma par izdevumu pārskatīšanu pieņemšana 2024. gadā, kas apliecina procesa pabeigšanu un mērķrādītāja sasniegšanu.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32E42"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3277B6"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763DF"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F4B4A"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68113A"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69B283" w14:textId="77777777" w:rsidR="00C972CB" w:rsidRDefault="002457F6">
            <w:pPr>
              <w:pStyle w:val="P68B1DB1-Normal5"/>
              <w:spacing w:after="120"/>
              <w:rPr>
                <w:noProof/>
              </w:rPr>
            </w:pPr>
            <w:r>
              <w:rPr>
                <w:noProof/>
              </w:rPr>
              <w:t>Finanšu ministrijas ziņojums, kas jānosūta Ministru padomei saskaņā ar 2016. gada dekrētlikum</w:t>
            </w:r>
            <w:r>
              <w:rPr>
                <w:noProof/>
              </w:rPr>
              <w:t>u Nr. 90 un Nr. 93 un Likumu Nr. 163/2016:</w:t>
            </w:r>
          </w:p>
          <w:p w14:paraId="39F240A1" w14:textId="77777777" w:rsidR="00C972CB" w:rsidRDefault="002457F6">
            <w:pPr>
              <w:pStyle w:val="P68B1DB1-Normal5"/>
              <w:spacing w:after="120"/>
              <w:rPr>
                <w:noProof/>
              </w:rPr>
            </w:pPr>
            <w:r>
              <w:rPr>
                <w:noProof/>
              </w:rPr>
              <w:t>— aplieciniet, ka ir pabeigts izdevumu pārskatīšanas process 2024. gadam attiecībā uz noteikumu par izdevumu pārskatīšanas satvaru.</w:t>
            </w:r>
          </w:p>
          <w:p w14:paraId="1DA62FB1" w14:textId="77777777" w:rsidR="00C972CB" w:rsidRDefault="002457F6">
            <w:pPr>
              <w:pStyle w:val="P68B1DB1-Normal5"/>
              <w:spacing w:after="120"/>
              <w:rPr>
                <w:noProof/>
              </w:rPr>
            </w:pPr>
            <w:r>
              <w:rPr>
                <w:noProof/>
              </w:rPr>
              <w:t>apliecināt 2022. un 2023. gadā noteiktā mērķrādītāja sasniegšanu.</w:t>
            </w:r>
          </w:p>
        </w:tc>
      </w:tr>
      <w:tr w:rsidR="00C972CB" w14:paraId="1BACA45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05A05A" w14:textId="77777777" w:rsidR="00C972CB" w:rsidRDefault="002457F6">
            <w:pPr>
              <w:pStyle w:val="P68B1DB1-Normal5"/>
              <w:jc w:val="center"/>
              <w:rPr>
                <w:noProof/>
              </w:rPr>
            </w:pPr>
            <w:r>
              <w:rPr>
                <w:noProof/>
              </w:rPr>
              <w:t>M1C1–116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58272" w14:textId="77777777" w:rsidR="00C972CB" w:rsidRDefault="002457F6">
            <w:pPr>
              <w:pStyle w:val="P68B1DB1-Normal5"/>
              <w:jc w:val="center"/>
              <w:rPr>
                <w:noProof/>
              </w:rPr>
            </w:pPr>
            <w:r>
              <w:rPr>
                <w:noProof/>
              </w:rPr>
              <w:t>Reforma: Nodokļu administrācijas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A42E1"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48822" w14:textId="77777777" w:rsidR="00C972CB" w:rsidRDefault="002457F6">
            <w:pPr>
              <w:pStyle w:val="P68B1DB1-Normal5"/>
              <w:jc w:val="center"/>
              <w:rPr>
                <w:noProof/>
              </w:rPr>
            </w:pPr>
            <w:r>
              <w:rPr>
                <w:noProof/>
              </w:rPr>
              <w:t>Nodokļu nemaksāšanas samazināšana, kā noteikts rādītājā “izvairīšanās iespējamība”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974464"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7611A"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52C2A"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C1BB3" w14:textId="77777777" w:rsidR="00C972CB" w:rsidRDefault="002457F6">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FF9712" w14:textId="77777777" w:rsidR="00C972CB" w:rsidRDefault="002457F6">
            <w:pPr>
              <w:pStyle w:val="P68B1DB1-Normal5"/>
              <w:jc w:val="center"/>
              <w:rPr>
                <w:noProof/>
              </w:rPr>
            </w:pPr>
            <w:r>
              <w:rPr>
                <w:noProof/>
              </w:rPr>
              <w:t>4.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533687" w14:textId="77777777" w:rsidR="00C972CB" w:rsidRDefault="002457F6">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F9A3C" w14:textId="12FEC9DB" w:rsidR="00C972CB" w:rsidRDefault="002457F6">
            <w:pPr>
              <w:pStyle w:val="P68B1DB1-Normal5"/>
              <w:spacing w:before="100" w:beforeAutospacing="1" w:after="120"/>
              <w:rPr>
                <w:noProof/>
              </w:rPr>
            </w:pPr>
            <w:r>
              <w:rPr>
                <w:noProof/>
              </w:rPr>
              <w:t>“Izvairīšanās iespējamība” visos nodokļos, izņemot īpašuma nodokļus (Imposta Municipale Unica) un akcīzes nodokļus, 2023. gadā ir mazāka nekā 2019. gadā par 5 % salīdzinājumā ar 2019. gadu. Atsauces aplēsi 2019. gadam iekļauj atjauninātajā valdības ziņojum</w:t>
            </w:r>
            <w:r>
              <w:rPr>
                <w:noProof/>
              </w:rPr>
              <w:t>ā par ēnu ekonomiku, kas jāpublicē 2021. gada novembrī saskaņā ar Leģislatīvā dekrēta Nr. 160/2015 2. panta noteikumiem. 5 % samazinājumu ievēro, atsaucoties uz aplēsēm, kas iekļautas tā paša ziņojuma atjauninātajā periodā, kurš jāpublicē 2025. gada novemb</w:t>
            </w:r>
            <w:r>
              <w:rPr>
                <w:noProof/>
              </w:rPr>
              <w:t>rī, pamatojoties uz datiem par 2023. taksācijas gadu.</w:t>
            </w:r>
          </w:p>
        </w:tc>
      </w:tr>
      <w:tr w:rsidR="00C972CB" w14:paraId="218B16D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8C44A" w14:textId="77777777" w:rsidR="00C972CB" w:rsidRDefault="002457F6">
            <w:pPr>
              <w:pStyle w:val="P68B1DB1-Normal5"/>
              <w:jc w:val="center"/>
              <w:rPr>
                <w:noProof/>
              </w:rPr>
            </w:pPr>
            <w:r>
              <w:rPr>
                <w:noProof/>
              </w:rPr>
              <w:t>M1C1–117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FF374E" w14:textId="77777777" w:rsidR="00C972CB" w:rsidRDefault="002457F6">
            <w:pPr>
              <w:pStyle w:val="P68B1DB1-Normal5"/>
              <w:spacing w:line="276" w:lineRule="auto"/>
              <w:jc w:val="center"/>
              <w:rPr>
                <w:noProof/>
              </w:rPr>
            </w:pPr>
            <w:r>
              <w:rPr>
                <w:noProof/>
              </w:rPr>
              <w:t>Reforma Nr. 1.15:</w:t>
            </w:r>
          </w:p>
          <w:p w14:paraId="48F97ECE" w14:textId="77777777" w:rsidR="00C972CB" w:rsidRDefault="002457F6">
            <w:pPr>
              <w:pStyle w:val="P68B1DB1-Normal5"/>
              <w:spacing w:line="276" w:lineRule="auto"/>
              <w:jc w:val="center"/>
              <w:rPr>
                <w:noProof/>
              </w:rPr>
            </w:pPr>
            <w:r>
              <w:rPr>
                <w:noProof/>
              </w:rPr>
              <w:t>Publiskās uzskaites noteikumu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28C04"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422D7F" w14:textId="77777777" w:rsidR="00C972CB" w:rsidRDefault="002457F6">
            <w:pPr>
              <w:pStyle w:val="P68B1DB1-Normal5"/>
              <w:jc w:val="center"/>
              <w:rPr>
                <w:noProof/>
              </w:rPr>
            </w:pPr>
            <w:r>
              <w:rPr>
                <w:noProof/>
              </w:rPr>
              <w:t>Valsts iestādes, kas apmācītas pārejai uz jauno uzkrājumu grāmatvedības sistēmu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D85C3E"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7A125" w14:textId="77777777" w:rsidR="00C972CB" w:rsidRDefault="002457F6">
            <w:pPr>
              <w:pStyle w:val="P68B1DB1-Normal5"/>
              <w:jc w:val="center"/>
              <w:rPr>
                <w:noProof/>
              </w:rPr>
            </w:pPr>
            <w:r>
              <w:rPr>
                <w:noProof/>
              </w:rPr>
              <w:t>Skaits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CDF491"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2C1646" w14:textId="597DC3D3" w:rsidR="00C972CB" w:rsidRDefault="002457F6">
            <w:pPr>
              <w:pStyle w:val="P68B1DB1-Normal5"/>
              <w:jc w:val="center"/>
              <w:rPr>
                <w:noProof/>
              </w:rPr>
            </w:pPr>
            <w:r>
              <w:rPr>
                <w:noProof/>
              </w:rPr>
              <w:t>18 000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5F4CBB"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0F587C"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24983" w14:textId="4EB75153" w:rsidR="00C972CB" w:rsidRDefault="002457F6">
            <w:pPr>
              <w:pStyle w:val="P68B1DB1-Normal5"/>
              <w:rPr>
                <w:noProof/>
              </w:rPr>
            </w:pPr>
            <w:r>
              <w:rPr>
                <w:noProof/>
              </w:rPr>
              <w:t xml:space="preserve">Apmācības </w:t>
            </w:r>
            <w:r>
              <w:rPr>
                <w:noProof/>
              </w:rPr>
              <w:t>pirmās kārtas beigas pārejai uz jauno uzkrājumu grāmatvedības sistēmu 18000 valsts iestāžu pārstāvjiem.</w:t>
            </w:r>
          </w:p>
        </w:tc>
      </w:tr>
      <w:tr w:rsidR="00C972CB" w14:paraId="345E979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F7C71D" w14:textId="77777777" w:rsidR="00C972CB" w:rsidRDefault="002457F6">
            <w:pPr>
              <w:pStyle w:val="P68B1DB1-Normal5"/>
              <w:jc w:val="center"/>
              <w:rPr>
                <w:noProof/>
              </w:rPr>
            </w:pPr>
            <w:r>
              <w:rPr>
                <w:noProof/>
              </w:rPr>
              <w:t>M1C1–118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9E864B" w14:textId="77777777" w:rsidR="00C972CB" w:rsidRDefault="002457F6">
            <w:pPr>
              <w:pStyle w:val="P68B1DB1-Normal5"/>
              <w:spacing w:line="276" w:lineRule="auto"/>
              <w:jc w:val="center"/>
              <w:rPr>
                <w:noProof/>
              </w:rPr>
            </w:pPr>
            <w:r>
              <w:rPr>
                <w:noProof/>
              </w:rPr>
              <w:t>Reforma Nr. 1.15:</w:t>
            </w:r>
          </w:p>
          <w:p w14:paraId="4F92AE4E" w14:textId="77777777" w:rsidR="00C972CB" w:rsidRDefault="002457F6">
            <w:pPr>
              <w:pStyle w:val="P68B1DB1-Normal5"/>
              <w:spacing w:line="276" w:lineRule="auto"/>
              <w:jc w:val="center"/>
              <w:rPr>
                <w:noProof/>
              </w:rPr>
            </w:pPr>
            <w:r>
              <w:rPr>
                <w:noProof/>
              </w:rPr>
              <w:t>Publiskās uzskaites noteikumu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35D5FB"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ECA63" w14:textId="55E66242" w:rsidR="00C972CB" w:rsidRDefault="002457F6">
            <w:pPr>
              <w:pStyle w:val="P68B1DB1-Normal5"/>
              <w:jc w:val="center"/>
              <w:rPr>
                <w:noProof/>
              </w:rPr>
            </w:pPr>
            <w:r>
              <w:rPr>
                <w:noProof/>
              </w:rPr>
              <w:t xml:space="preserve">Stājas spēkā uzkrājumu reforma, kas aptver vismaz 90 % no visa publiskā sektora.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70764" w14:textId="5D3B545A" w:rsidR="00C972CB" w:rsidRDefault="002457F6">
            <w:pPr>
              <w:pStyle w:val="P68B1DB1-Normal5"/>
              <w:jc w:val="center"/>
              <w:rPr>
                <w:noProof/>
              </w:rPr>
            </w:pPr>
            <w:r>
              <w:rPr>
                <w:noProof/>
              </w:rPr>
              <w:t>Likuma noteikums, kas norāda uz visu uzkrājumu īstenošanas pasākumu (tostarp pamatnostādņu, operatīvo rokasgrāmatu un mācību programmas) stāšanos spēkā, kas veido vismaz 90 %</w:t>
            </w:r>
            <w:r>
              <w:rPr>
                <w:noProof/>
              </w:rPr>
              <w:t xml:space="preserve"> no visa publiskā sektora.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34F7D"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D1ED0"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3F870"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2EE098"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6ADD18"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B0AC34" w14:textId="0D99FA46" w:rsidR="00C972CB" w:rsidRDefault="002457F6">
            <w:pPr>
              <w:pStyle w:val="P68B1DB1-Normal5"/>
              <w:spacing w:after="120"/>
              <w:rPr>
                <w:noProof/>
              </w:rPr>
            </w:pPr>
            <w:r>
              <w:rPr>
                <w:noProof/>
              </w:rPr>
              <w:t>Sagatavo valsts pārvaldes finanšu pārskatus, kas aptver vismaz 90 % no visa publiskā sektora.</w:t>
            </w:r>
          </w:p>
          <w:p w14:paraId="739FF2C5" w14:textId="77777777" w:rsidR="00C972CB" w:rsidRDefault="002457F6">
            <w:pPr>
              <w:pStyle w:val="P68B1DB1-Normal8"/>
              <w:spacing w:after="120"/>
              <w:rPr>
                <w:noProof/>
                <w:color w:val="006100"/>
                <w:sz w:val="20"/>
              </w:rPr>
            </w:pPr>
            <w:r>
              <w:rPr>
                <w:noProof/>
                <w:color w:val="006100"/>
                <w:sz w:val="20"/>
              </w:rPr>
              <w:t>Pieņem tiesību aktu reformu, ar ko paredz no 2027. gada ieviest jauno uzkrājumu grāmatvedība</w:t>
            </w:r>
            <w:r>
              <w:rPr>
                <w:noProof/>
                <w:color w:val="006100"/>
                <w:sz w:val="20"/>
              </w:rPr>
              <w:t>s sistēmu vismaz 90 % publiskās pārvaldes iestāžu.</w:t>
            </w:r>
            <w:r>
              <w:rPr>
                <w:noProof/>
              </w:rPr>
              <w:br/>
            </w:r>
          </w:p>
          <w:p w14:paraId="18957BD6" w14:textId="77777777" w:rsidR="00C972CB" w:rsidRDefault="002457F6">
            <w:pPr>
              <w:pStyle w:val="P68B1DB1-Normal8"/>
              <w:spacing w:after="120"/>
              <w:rPr>
                <w:noProof/>
                <w:color w:val="006100"/>
                <w:sz w:val="20"/>
              </w:rPr>
            </w:pPr>
            <w:r>
              <w:rPr>
                <w:noProof/>
                <w:color w:val="006100"/>
                <w:sz w:val="20"/>
              </w:rPr>
              <w:t>Sekundāros tiesību aktus pieņem, paredzot: Vadlīnijas un darbības rokasgrāmata(-as) grāmatvedības standartu piemērošanai kopā ar piemēriem un praktiskiem apliecinājumiem operatoru atbalstam;</w:t>
            </w:r>
            <w:r>
              <w:rPr>
                <w:noProof/>
              </w:rPr>
              <w:br/>
            </w:r>
          </w:p>
          <w:p w14:paraId="65CAE922" w14:textId="341B5B97" w:rsidR="00C972CB" w:rsidRDefault="002457F6">
            <w:pPr>
              <w:pStyle w:val="P68B1DB1-Normal5"/>
              <w:spacing w:after="120"/>
              <w:rPr>
                <w:noProof/>
              </w:rPr>
            </w:pPr>
            <w:r>
              <w:rPr>
                <w:noProof/>
              </w:rPr>
              <w:t>Mācību progr</w:t>
            </w:r>
            <w:r>
              <w:rPr>
                <w:noProof/>
              </w:rPr>
              <w:t>amma: mācību programmu izveide pārejai uz jauno uzkrājumu grāmatvedības sistēmu.</w:t>
            </w:r>
          </w:p>
        </w:tc>
      </w:tr>
      <w:tr w:rsidR="00C972CB" w14:paraId="68B00B2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963D4" w14:textId="77777777" w:rsidR="00C972CB" w:rsidRDefault="002457F6">
            <w:pPr>
              <w:pStyle w:val="P68B1DB1-Normal5"/>
              <w:jc w:val="center"/>
              <w:rPr>
                <w:noProof/>
              </w:rPr>
            </w:pPr>
            <w:r>
              <w:rPr>
                <w:noProof/>
              </w:rPr>
              <w:t>M1C1–119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780CD" w14:textId="77777777" w:rsidR="00C972CB" w:rsidRDefault="002457F6">
            <w:pPr>
              <w:pStyle w:val="P68B1DB1-Normal5"/>
              <w:spacing w:line="276" w:lineRule="auto"/>
              <w:jc w:val="center"/>
              <w:rPr>
                <w:noProof/>
              </w:rPr>
            </w:pPr>
            <w:r>
              <w:rPr>
                <w:noProof/>
              </w:rPr>
              <w:t>Reforma:</w:t>
            </w:r>
          </w:p>
          <w:p w14:paraId="3C050892" w14:textId="77777777" w:rsidR="00C972CB" w:rsidRDefault="002457F6">
            <w:pPr>
              <w:pStyle w:val="P68B1DB1-Normal5"/>
              <w:spacing w:line="276" w:lineRule="auto"/>
              <w:jc w:val="center"/>
              <w:rPr>
                <w:noProof/>
              </w:rPr>
            </w:pPr>
            <w:r>
              <w:rPr>
                <w:noProof/>
              </w:rPr>
              <w:t>Vietējā un reģionālā līmeņa fiskālās sistēmas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6A98C"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337E6" w14:textId="77777777" w:rsidR="00C972CB" w:rsidRDefault="002457F6">
            <w:pPr>
              <w:pStyle w:val="P68B1DB1-Normal5"/>
              <w:jc w:val="center"/>
              <w:rPr>
                <w:noProof/>
              </w:rPr>
            </w:pPr>
            <w:r>
              <w:rPr>
                <w:noProof/>
              </w:rPr>
              <w:t xml:space="preserve">Primāro un sekundāro tiesību aktu stāšanās spēkā, lai īstenotu reģionālo fiskālo </w:t>
            </w:r>
            <w:r>
              <w:rPr>
                <w:noProof/>
              </w:rPr>
              <w:t>federālismu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45CCE" w14:textId="77777777" w:rsidR="00C972CB" w:rsidRDefault="002457F6">
            <w:pPr>
              <w:pStyle w:val="P68B1DB1-Normal5"/>
              <w:jc w:val="center"/>
              <w:rPr>
                <w:noProof/>
              </w:rPr>
            </w:pPr>
            <w:r>
              <w:rPr>
                <w:noProof/>
              </w:rPr>
              <w:t>Likuma noteikums par fiskālā federālisma stāšanos spēkā attiecībā uz reģioniem ar parasto statusu.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91431"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86EF9"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C611C3"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A42E5F"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93C5C2"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675C0" w14:textId="37DECB41" w:rsidR="00C972CB" w:rsidRDefault="002457F6">
            <w:pPr>
              <w:pStyle w:val="P68B1DB1-Normal5"/>
              <w:spacing w:after="120"/>
              <w:rPr>
                <w:noProof/>
              </w:rPr>
            </w:pPr>
            <w:r>
              <w:rPr>
                <w:noProof/>
              </w:rPr>
              <w:t>“Fiskālā federālisma” (“Federalismo fiscale”) tiesiskā regulējuma stāšanās spēkā, kā paredzēts spēkā e</w:t>
            </w:r>
            <w:r>
              <w:rPr>
                <w:noProof/>
              </w:rPr>
              <w:t>sošajā deleģēšanas likumā Nr. 42/2009. Jo īpaši primārajos un sekundārajos tiesību aktos nosaka attiecīgos parametrus, lai īstenotu fiskālo federālismu reģionos ar parasto statusu, kā noteikts Dekrētlikumā 68/2011 (1.–15. pants), kurā jaunākie grozījumi iz</w:t>
            </w:r>
            <w:r>
              <w:rPr>
                <w:noProof/>
              </w:rPr>
              <w:t>darīti ar Likumu Nr. 176/2020 (31.-exties pants).</w:t>
            </w:r>
          </w:p>
        </w:tc>
      </w:tr>
      <w:tr w:rsidR="00C972CB" w14:paraId="070E5A7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8F784" w14:textId="77777777" w:rsidR="00C972CB" w:rsidRDefault="002457F6">
            <w:pPr>
              <w:pStyle w:val="P68B1DB1-Normal5"/>
              <w:jc w:val="center"/>
              <w:rPr>
                <w:noProof/>
              </w:rPr>
            </w:pPr>
            <w:r>
              <w:rPr>
                <w:noProof/>
              </w:rPr>
              <w:t>M1C1–120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51B4" w14:textId="77777777" w:rsidR="00C972CB" w:rsidRDefault="002457F6">
            <w:pPr>
              <w:pStyle w:val="P68B1DB1-Normal5"/>
              <w:spacing w:line="276" w:lineRule="auto"/>
              <w:jc w:val="center"/>
              <w:rPr>
                <w:noProof/>
              </w:rPr>
            </w:pPr>
            <w:r>
              <w:rPr>
                <w:noProof/>
              </w:rPr>
              <w:t>Reforma:</w:t>
            </w:r>
          </w:p>
          <w:p w14:paraId="3C473C8F" w14:textId="77777777" w:rsidR="00C972CB" w:rsidRDefault="002457F6">
            <w:pPr>
              <w:pStyle w:val="P68B1DB1-Normal5"/>
              <w:spacing w:line="276" w:lineRule="auto"/>
              <w:jc w:val="center"/>
              <w:rPr>
                <w:noProof/>
              </w:rPr>
            </w:pPr>
            <w:r>
              <w:rPr>
                <w:noProof/>
              </w:rPr>
              <w:t>Vietējā un reģionālā līmeņa fiskālās sistēmas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EB0F72"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C458E" w14:textId="77777777" w:rsidR="00C972CB" w:rsidRDefault="002457F6">
            <w:pPr>
              <w:pStyle w:val="P68B1DB1-Normal5"/>
              <w:jc w:val="center"/>
              <w:rPr>
                <w:noProof/>
              </w:rPr>
            </w:pPr>
            <w:r>
              <w:rPr>
                <w:noProof/>
              </w:rPr>
              <w:t>Primāro un sekundāro tiesību aktu stāšanās spēkā, lai īstenotu reģionālo fiskālo federālismu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C53AD1" w14:textId="77777777" w:rsidR="00C972CB" w:rsidRDefault="002457F6">
            <w:pPr>
              <w:pStyle w:val="P68B1DB1-Normal5"/>
              <w:jc w:val="center"/>
              <w:rPr>
                <w:noProof/>
              </w:rPr>
            </w:pPr>
            <w:r>
              <w:rPr>
                <w:noProof/>
              </w:rPr>
              <w:t xml:space="preserve">Likuma noteikums, kas </w:t>
            </w:r>
            <w:r>
              <w:rPr>
                <w:noProof/>
              </w:rPr>
              <w:t>norāda uz fiskālu federālisma stāšanos spēkā provincēs un lielpilsētās.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6E42C8"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4F136"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67670"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A8E03" w14:textId="77777777" w:rsidR="00C972CB" w:rsidRDefault="002457F6">
            <w:pPr>
              <w:pStyle w:val="P68B1DB1-Normal5"/>
              <w:jc w:val="center"/>
              <w:rPr>
                <w:noProof/>
              </w:rPr>
            </w:pPr>
            <w:r>
              <w:rPr>
                <w:noProof/>
              </w:rPr>
              <w:t>1.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6F570"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C29657" w14:textId="6466F39E" w:rsidR="00C972CB" w:rsidRDefault="002457F6">
            <w:pPr>
              <w:pStyle w:val="P68B1DB1-Normal5"/>
              <w:rPr>
                <w:noProof/>
              </w:rPr>
            </w:pPr>
            <w:r>
              <w:rPr>
                <w:noProof/>
              </w:rPr>
              <w:t xml:space="preserve">“Fiskālā federālisma” (“Federalismo fiscale”) tiesiskā regulējuma stāšanās spēkā, kā paredzēts spēkā esošajā deleģēšanas likumā Nr. 42/2009. </w:t>
            </w:r>
            <w:r>
              <w:rPr>
                <w:noProof/>
              </w:rPr>
              <w:t>Jo īpaši primārajos un sekundārajos tiesību aktos nosaka attiecīgos parametrus, lai attiecīgā gadījumā īstenotu fiskālo federālismu provincēs un lielpilsētās, kā noteikts Dekrētlikumā 68/2011 (1.–15. pants), kurā jaunākie grozījumi izdarīti ar Likumu Nr. 1</w:t>
            </w:r>
            <w:r>
              <w:rPr>
                <w:noProof/>
              </w:rPr>
              <w:t>78/2020 (1. pants, komats 783. pants).</w:t>
            </w:r>
          </w:p>
        </w:tc>
      </w:tr>
      <w:tr w:rsidR="00C972CB" w14:paraId="65E5CCB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B1D01D" w14:textId="77777777" w:rsidR="00C972CB" w:rsidRDefault="002457F6">
            <w:pPr>
              <w:pStyle w:val="P68B1DB1-Normal5"/>
              <w:jc w:val="center"/>
              <w:rPr>
                <w:noProof/>
              </w:rPr>
            </w:pPr>
            <w:r>
              <w:rPr>
                <w:noProof/>
              </w:rPr>
              <w:t>M1C1–121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9C18C" w14:textId="77777777" w:rsidR="00C972CB" w:rsidRDefault="002457F6">
            <w:pPr>
              <w:pStyle w:val="P68B1DB1-Normal5"/>
              <w:spacing w:line="276" w:lineRule="auto"/>
              <w:jc w:val="center"/>
              <w:rPr>
                <w:noProof/>
              </w:rPr>
            </w:pPr>
            <w:r>
              <w:rPr>
                <w:noProof/>
              </w:rPr>
              <w:t>Reforma:</w:t>
            </w:r>
          </w:p>
          <w:p w14:paraId="2BD30FF9" w14:textId="77777777" w:rsidR="00C972CB" w:rsidRDefault="002457F6">
            <w:pPr>
              <w:pStyle w:val="P68B1DB1-Normal5"/>
              <w:spacing w:line="276" w:lineRule="auto"/>
              <w:jc w:val="center"/>
              <w:rPr>
                <w:noProof/>
              </w:rPr>
            </w:pPr>
            <w:r>
              <w:rPr>
                <w:noProof/>
              </w:rPr>
              <w:t>Nodokļu administrācijas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87D73" w14:textId="77777777" w:rsidR="00C972CB" w:rsidRDefault="002457F6">
            <w:pPr>
              <w:pStyle w:val="P68B1DB1-Normal5"/>
              <w:jc w:val="center"/>
              <w:rPr>
                <w:noProof/>
              </w:rPr>
            </w:pPr>
            <w:r>
              <w:rPr>
                <w:noProof/>
              </w:rPr>
              <w:t>Mērķa</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1953E" w14:textId="77777777" w:rsidR="00C972CB" w:rsidRDefault="002457F6">
            <w:pPr>
              <w:pStyle w:val="P68B1DB1-Normal5"/>
              <w:jc w:val="center"/>
              <w:rPr>
                <w:noProof/>
              </w:rPr>
            </w:pPr>
            <w:r>
              <w:rPr>
                <w:noProof/>
              </w:rPr>
              <w:t>Nodokļu nemaksāšanas samazināšana, kā noteikts rādītājā “izvairīšanās iespējamība”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75E03" w14:textId="77777777" w:rsidR="00C972CB" w:rsidRDefault="002457F6">
            <w:pPr>
              <w:pStyle w:val="P68B1DB1-Normal5"/>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7E87E9" w14:textId="77777777" w:rsidR="00C972CB" w:rsidRDefault="002457F6">
            <w:pPr>
              <w:pStyle w:val="P68B1DB1-Normal5"/>
              <w:jc w:val="center"/>
              <w:rPr>
                <w:noProof/>
              </w:rPr>
            </w:pPr>
            <w:r>
              <w:rPr>
                <w:noProof/>
              </w:rPr>
              <w:t>Procentuālā daļa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30C1EC" w14:textId="77777777" w:rsidR="00C972CB" w:rsidRDefault="002457F6">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C5120" w14:textId="77777777" w:rsidR="00C972CB" w:rsidRDefault="002457F6">
            <w:pPr>
              <w:pStyle w:val="P68B1DB1-Normal5"/>
              <w:jc w:val="center"/>
              <w:rPr>
                <w:noProof/>
              </w:rPr>
            </w:pPr>
            <w:r>
              <w:rPr>
                <w:noProof/>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12307"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97453"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05124" w14:textId="15BA7ACE" w:rsidR="00C972CB" w:rsidRDefault="002457F6">
            <w:pPr>
              <w:pStyle w:val="P68B1DB1-Normal5"/>
              <w:spacing w:after="120"/>
              <w:rPr>
                <w:noProof/>
              </w:rPr>
            </w:pPr>
            <w:r>
              <w:rPr>
                <w:noProof/>
              </w:rPr>
              <w:t xml:space="preserve">“Izvairīšanās iespējamība” </w:t>
            </w:r>
            <w:r>
              <w:rPr>
                <w:noProof/>
              </w:rPr>
              <w:t>visos nodokļos, izņemot īpašuma nodokļus (Imposta Municipale Unica) un akcīzes nodokļus, 2024. gadā ir mazāka nekā 2019. gadā par 15 % salīdzinājumā ar 2019. gadu. Atsauces aplēsi 2019. gadam iekļauj atjauninātajā valdības ziņojumā par ēnu ekonomiku, kas j</w:t>
            </w:r>
            <w:r>
              <w:rPr>
                <w:noProof/>
              </w:rPr>
              <w:t>āpublicē 2021. gada novembrī saskaņā ar Leģislatīvā dekrēta Nr. 160/2015 2. panta noteikumiem. 15 % samazinājumu ievēro, atsaucoties uz aplēsi par 2024. taksācijas gadu, kas iekļauta īpašā ziņojumā, kurš Finanšu ministrijai jāsagatavo līdz 2026. gada jūnij</w:t>
            </w:r>
            <w:r>
              <w:rPr>
                <w:noProof/>
              </w:rPr>
              <w:t>am, pamatojoties uz to pašu metodiku, kas izmantota ziņojumam, kurš prasīts Leģislatīvā dekrēta Nr. 160/2015 2. pantā.</w:t>
            </w:r>
          </w:p>
        </w:tc>
      </w:tr>
      <w:tr w:rsidR="00C972CB" w14:paraId="75097C3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EC2F79" w14:textId="77777777" w:rsidR="00C972CB" w:rsidRDefault="002457F6">
            <w:pPr>
              <w:pStyle w:val="P68B1DB1-Normal5"/>
              <w:jc w:val="center"/>
              <w:rPr>
                <w:noProof/>
              </w:rPr>
            </w:pPr>
            <w:r>
              <w:rPr>
                <w:noProof/>
              </w:rPr>
              <w:t>M1C1–122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6135D" w14:textId="77777777" w:rsidR="00C972CB" w:rsidRDefault="002457F6">
            <w:pPr>
              <w:pStyle w:val="P68B1DB1-Normal5"/>
              <w:spacing w:line="276" w:lineRule="auto"/>
              <w:jc w:val="center"/>
              <w:rPr>
                <w:noProof/>
              </w:rPr>
            </w:pPr>
            <w:r>
              <w:rPr>
                <w:noProof/>
              </w:rPr>
              <w:t>Reforma Nr. 1.13: Izdevumu pārskatīšanas sistēmas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1D1E5" w14:textId="77777777" w:rsidR="00C972CB" w:rsidRDefault="002457F6">
            <w:pPr>
              <w:pStyle w:val="P68B1DB1-Normal5"/>
              <w:jc w:val="center"/>
              <w:rPr>
                <w:noProof/>
              </w:rPr>
            </w:pPr>
            <w:r>
              <w:rPr>
                <w:noProof/>
              </w:rPr>
              <w:t>Starpposma mērķis</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E0274" w14:textId="77777777" w:rsidR="00C972CB" w:rsidRDefault="002457F6">
            <w:pPr>
              <w:pStyle w:val="P68B1DB1-Normal5"/>
              <w:jc w:val="center"/>
              <w:rPr>
                <w:noProof/>
              </w:rPr>
            </w:pPr>
            <w:r>
              <w:rPr>
                <w:noProof/>
              </w:rPr>
              <w:t>Pabeigt ikgadējo izdevumu pārskatīšanu 2025. gadam,</w:t>
            </w:r>
            <w:r>
              <w:rPr>
                <w:noProof/>
              </w:rPr>
              <w:t xml:space="preserve"> atsaucoties uz 2022., 2023. un 2024. gadam nosprausto ietaupījumu mērķi 2025. gadam.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90E1D3" w14:textId="77777777" w:rsidR="00C972CB" w:rsidRDefault="002457F6">
            <w:pPr>
              <w:pStyle w:val="P68B1DB1-Normal5"/>
              <w:jc w:val="center"/>
              <w:rPr>
                <w:noProof/>
              </w:rPr>
            </w:pPr>
            <w:r>
              <w:rPr>
                <w:noProof/>
              </w:rPr>
              <w:t>Finanšu ministrijas ziņojuma par izdevumu pārskatīšanu pieņemšana 2025. gadā, kas apliecina procesa pabeigšanu un mērķa sasniegšanu.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432A6" w14:textId="77777777" w:rsidR="00C972CB" w:rsidRDefault="002457F6">
            <w:pPr>
              <w:pStyle w:val="P68B1DB1-Normal5"/>
              <w:jc w:val="center"/>
              <w:rPr>
                <w:noProof/>
              </w:rPr>
            </w:pPr>
            <w:r>
              <w:rPr>
                <w:noProof/>
              </w:rPr>
              <w:t>NEPIEMĒRO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7B95D" w14:textId="77777777" w:rsidR="00C972CB" w:rsidRDefault="002457F6">
            <w:pPr>
              <w:pStyle w:val="P68B1DB1-Normal5"/>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DEDAF6" w14:textId="77777777" w:rsidR="00C972CB" w:rsidRDefault="002457F6">
            <w:pPr>
              <w:pStyle w:val="P68B1DB1-Normal5"/>
              <w:jc w:val="center"/>
              <w:rPr>
                <w:noProof/>
              </w:rPr>
            </w:pPr>
            <w:r>
              <w:rPr>
                <w:noProof/>
              </w:rPr>
              <w:t>NEPIEMĒRO</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82CF5B" w14:textId="77777777" w:rsidR="00C972CB" w:rsidRDefault="002457F6">
            <w:pPr>
              <w:pStyle w:val="P68B1DB1-Normal5"/>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59B48A" w14:textId="77777777" w:rsidR="00C972CB" w:rsidRDefault="002457F6">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01435" w14:textId="77777777" w:rsidR="00C972CB" w:rsidRDefault="002457F6">
            <w:pPr>
              <w:pStyle w:val="P68B1DB1-Normal5"/>
              <w:spacing w:after="120"/>
              <w:rPr>
                <w:noProof/>
              </w:rPr>
            </w:pPr>
            <w:r>
              <w:rPr>
                <w:noProof/>
              </w:rPr>
              <w:t>Finanšu ministrijas ziņojums, kas jānosūta Ministru padomei saskaņā ar 2016. gada dekrētlikumu Nr. 90 un Nr. 93 un Likumu Nr. 163/2016:</w:t>
            </w:r>
          </w:p>
          <w:p w14:paraId="45C41BAE" w14:textId="77777777" w:rsidR="00C972CB" w:rsidRDefault="002457F6">
            <w:pPr>
              <w:pStyle w:val="P68B1DB1-Normal5"/>
              <w:spacing w:after="120"/>
              <w:rPr>
                <w:noProof/>
              </w:rPr>
            </w:pPr>
            <w:r>
              <w:rPr>
                <w:noProof/>
              </w:rPr>
              <w:t>— apliecināt, ka ir pabeigts izdevumu pārskatīšanas process 2025. gadam attiecībā uz noteikumu par izdevumu pārska</w:t>
            </w:r>
            <w:r>
              <w:rPr>
                <w:noProof/>
              </w:rPr>
              <w:t>tīšanas satvaru.</w:t>
            </w:r>
          </w:p>
          <w:p w14:paraId="0F66C7BE" w14:textId="77777777" w:rsidR="00C972CB" w:rsidRDefault="002457F6">
            <w:pPr>
              <w:pStyle w:val="P68B1DB1-Normal5"/>
              <w:spacing w:after="120"/>
              <w:rPr>
                <w:noProof/>
              </w:rPr>
            </w:pPr>
            <w:r>
              <w:rPr>
                <w:noProof/>
              </w:rPr>
              <w:t>apliecināt 2022., 2023. un 2024. gadā noteiktā mērķrādītāja sasniegšanu.</w:t>
            </w:r>
          </w:p>
        </w:tc>
      </w:tr>
    </w:tbl>
    <w:p w14:paraId="07EF5307" w14:textId="77777777" w:rsidR="00C972CB" w:rsidRDefault="00C972CB">
      <w:pPr>
        <w:tabs>
          <w:tab w:val="left" w:pos="4252"/>
        </w:tabs>
        <w:rPr>
          <w:i/>
          <w:noProof/>
        </w:rPr>
        <w:sectPr w:rsidR="00C972CB" w:rsidSect="001354D1">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0350EF91" w14:textId="77777777" w:rsidR="00C972CB" w:rsidRDefault="002457F6">
      <w:pPr>
        <w:pStyle w:val="Heading3"/>
        <w:numPr>
          <w:ilvl w:val="0"/>
          <w:numId w:val="0"/>
        </w:numPr>
        <w:ind w:left="850" w:hanging="850"/>
        <w:rPr>
          <w:b/>
          <w:i w:val="0"/>
          <w:noProof/>
          <w:u w:val="single"/>
        </w:rPr>
      </w:pPr>
      <w:r>
        <w:rPr>
          <w:b/>
          <w:i w:val="0"/>
          <w:noProof/>
          <w:u w:val="single"/>
        </w:rPr>
        <w:t xml:space="preserve">A.3. </w:t>
      </w:r>
      <w:r>
        <w:rPr>
          <w:noProof/>
        </w:rPr>
        <w:tab/>
      </w:r>
      <w:r>
        <w:rPr>
          <w:b/>
          <w:i w:val="0"/>
          <w:noProof/>
          <w:u w:val="single"/>
        </w:rPr>
        <w:t xml:space="preserve">Aizdevumam pieteikto reformu un investīciju apraksts </w:t>
      </w:r>
    </w:p>
    <w:p w14:paraId="53032DBF" w14:textId="77777777" w:rsidR="00C972CB" w:rsidRDefault="00C972CB">
      <w:pPr>
        <w:spacing w:before="120" w:after="120"/>
        <w:jc w:val="both"/>
        <w:rPr>
          <w:rFonts w:eastAsiaTheme="minorHAnsi"/>
          <w:b/>
          <w:noProof/>
        </w:rPr>
      </w:pPr>
    </w:p>
    <w:p w14:paraId="3BFEC857" w14:textId="6754B07D" w:rsidR="00C972CB" w:rsidRDefault="002457F6">
      <w:pPr>
        <w:pStyle w:val="P68B1DB1-Normal2"/>
        <w:spacing w:before="120" w:after="120"/>
        <w:jc w:val="both"/>
        <w:rPr>
          <w:rFonts w:eastAsiaTheme="minorHAnsi"/>
          <w:noProof/>
        </w:rPr>
      </w:pPr>
      <w:r>
        <w:rPr>
          <w:noProof/>
        </w:rPr>
        <w:t>Ieguldījums 1.2 — Mākoņdatošanas iespējas</w:t>
      </w:r>
      <w:r>
        <w:rPr>
          <w:noProof/>
        </w:rPr>
        <w:t xml:space="preserve"> vietējai Palestīniešu pašpārvaldei</w:t>
      </w:r>
    </w:p>
    <w:p w14:paraId="385874D1" w14:textId="0ABCD1D6" w:rsidR="00C972CB" w:rsidRDefault="002457F6">
      <w:pPr>
        <w:pStyle w:val="Descriptiontitle"/>
        <w:ind w:left="0"/>
        <w:rPr>
          <w:noProof/>
        </w:rPr>
      </w:pPr>
      <w:r>
        <w:rPr>
          <w:noProof/>
        </w:rPr>
        <w:t>Šā ieguldījuma mērķis ir pārvietot būtiskas vietējās pārvaldes daļas datu kopas un lietojumus uz drošu mākoņdatošanas infrastruktūru, ļaujot katrai administrācijai brīvi izvēlēties sertificētu publisko mākoņdatošanas vid</w:t>
      </w:r>
      <w:r>
        <w:rPr>
          <w:noProof/>
        </w:rPr>
        <w:t xml:space="preserve">i kopumā. </w:t>
      </w:r>
    </w:p>
    <w:p w14:paraId="34864D25" w14:textId="77777777" w:rsidR="00C972CB" w:rsidRDefault="002457F6">
      <w:pPr>
        <w:pStyle w:val="Descriptiontitle"/>
        <w:ind w:left="0"/>
        <w:rPr>
          <w:noProof/>
        </w:rPr>
      </w:pPr>
      <w:r>
        <w:rPr>
          <w:noProof/>
        </w:rPr>
        <w:t xml:space="preserve">Pasākums paredz arī “migrācijas kā pakalpojuma” atbalsta paketi administrācijām, kas ietver: sākotnējais novērtējums, ii) procesuālais/administratīvais atbalsts, kas vajadzīgs, lai uzsāktu centienus, iii) sarunas par vajadzīgo ārējo atbalstu un </w:t>
      </w:r>
      <w:r>
        <w:rPr>
          <w:noProof/>
        </w:rPr>
        <w:t>iv) projekta vispārējā vadība izpildes gaitā. Paredzams, ka Tehniskās inovācijas un digitālās pārkārtošanās ministrijas (MITD) uzraudzītā komanda noteiks un sertificēs plašu kvalificētu pakalpojumu sniedzēju sarakstu un risinās sarunas par standarta atbals</w:t>
      </w:r>
      <w:r>
        <w:rPr>
          <w:noProof/>
        </w:rPr>
        <w:t>ta pakešu kopumu, kas pielāgots administrācijas lielumam un ar migrāciju saistītajiem dienestiem.</w:t>
      </w:r>
    </w:p>
    <w:p w14:paraId="1F4A4867" w14:textId="6CA04898" w:rsidR="00C972CB" w:rsidRDefault="002457F6">
      <w:pPr>
        <w:pStyle w:val="P68B1DB1-Normal2"/>
        <w:spacing w:before="120" w:after="120"/>
        <w:jc w:val="both"/>
        <w:rPr>
          <w:rFonts w:eastAsiaTheme="minorHAnsi"/>
          <w:noProof/>
        </w:rPr>
      </w:pPr>
      <w:r>
        <w:rPr>
          <w:noProof/>
        </w:rPr>
        <w:t>Ieguldījums 1.4. Digitālie pakalpojumi un iedzīvotāju pieredze</w:t>
      </w:r>
    </w:p>
    <w:p w14:paraId="7FC86796" w14:textId="77777777" w:rsidR="00C972CB" w:rsidRDefault="002457F6">
      <w:pPr>
        <w:pStyle w:val="Descriptiontitle"/>
        <w:ind w:left="0"/>
        <w:rPr>
          <w:noProof/>
        </w:rPr>
      </w:pPr>
      <w:r>
        <w:rPr>
          <w:noProof/>
        </w:rPr>
        <w:t xml:space="preserve">Šā ieguldījuma mērķis ir izstrādāt integrētu un saskaņotu mūsdienīgu, uz iedzīvotājiem orientētu digitālo pakalpojumu piedāvājumu, nodrošināt to plašu ieviešanu gan centrālajās, gan vietējās pārvaldes iestādēs un uzlabot lietotāju pieredzi. </w:t>
      </w:r>
    </w:p>
    <w:p w14:paraId="463AF355" w14:textId="77777777" w:rsidR="00C972CB" w:rsidRDefault="002457F6">
      <w:pPr>
        <w:pStyle w:val="Descriptiontitle"/>
        <w:ind w:left="0"/>
        <w:rPr>
          <w:noProof/>
        </w:rPr>
      </w:pPr>
      <w:r>
        <w:rPr>
          <w:noProof/>
        </w:rPr>
        <w:t xml:space="preserve">Pasākums: </w:t>
      </w:r>
    </w:p>
    <w:p w14:paraId="5E95D7DF" w14:textId="77777777" w:rsidR="00C972CB" w:rsidRDefault="002457F6">
      <w:pPr>
        <w:pStyle w:val="Descriptiontitle"/>
        <w:numPr>
          <w:ilvl w:val="0"/>
          <w:numId w:val="82"/>
        </w:numPr>
        <w:ind w:left="578" w:hanging="578"/>
        <w:rPr>
          <w:noProof/>
        </w:rPr>
      </w:pPr>
      <w:r>
        <w:rPr>
          <w:noProof/>
        </w:rPr>
        <w:t>uzl</w:t>
      </w:r>
      <w:r>
        <w:rPr>
          <w:noProof/>
        </w:rPr>
        <w:t>abot digitālo publisko pakalpojumu pieredzi, nosakot atkalizmantojamu pakalpojumu sniegšanas modeļus, kas nodrošina pilnīgas pieejamības prasības (1.4.1. ieguldījums — Pilsoņu pieredze — digitālo publisko pakalpojumu kvalitātes un izmantojamības uzlabošana</w:t>
      </w:r>
      <w:r>
        <w:rPr>
          <w:noProof/>
        </w:rPr>
        <w:t>);</w:t>
      </w:r>
    </w:p>
    <w:p w14:paraId="3587779B" w14:textId="77777777" w:rsidR="00C972CB" w:rsidRDefault="002457F6">
      <w:pPr>
        <w:pStyle w:val="Descriptiontitle"/>
        <w:numPr>
          <w:ilvl w:val="0"/>
          <w:numId w:val="82"/>
        </w:numPr>
        <w:ind w:left="578" w:hanging="578"/>
        <w:rPr>
          <w:noProof/>
        </w:rPr>
      </w:pPr>
      <w:r>
        <w:rPr>
          <w:noProof/>
        </w:rPr>
        <w:t>uzlabot digitālo publisko pakalpojumu pieejamību (Investīcija 1.4.2. — Iedzīvotāju iekļaušana: Digitālo publisko pakalpojumu pieejamības uzlabošana);</w:t>
      </w:r>
    </w:p>
    <w:p w14:paraId="290436DF" w14:textId="77777777" w:rsidR="00C972CB" w:rsidRDefault="002457F6">
      <w:pPr>
        <w:pStyle w:val="Descriptiontitle"/>
        <w:numPr>
          <w:ilvl w:val="0"/>
          <w:numId w:val="82"/>
        </w:numPr>
        <w:ind w:left="578" w:hanging="578"/>
        <w:rPr>
          <w:noProof/>
        </w:rPr>
      </w:pPr>
      <w:r>
        <w:rPr>
          <w:noProof/>
        </w:rPr>
        <w:t>veicināt digitālās lietotnes maksājumiem starp iedzīvotājiem un valsts pārvaldes iestādēm (PagoPA) pieņ</w:t>
      </w:r>
      <w:r>
        <w:rPr>
          <w:noProof/>
        </w:rPr>
        <w:t>emšanu un lietotnes “IO” pieņemšanu, kas ir galvenais digitālais kontaktpunkts starp iedzīvotājiem un administrāciju plašam pakalpojumu klāstam (tostarp paziņojumiem) saskaņā ar “vienas pieturas aģentūras” loģiku (Investīcija 1.4.3. — PagoPA platformas pak</w:t>
      </w:r>
      <w:r>
        <w:rPr>
          <w:noProof/>
        </w:rPr>
        <w:t>alpojumu un lietotnes “IO” pieņemšana);</w:t>
      </w:r>
    </w:p>
    <w:p w14:paraId="21B9E061" w14:textId="77777777" w:rsidR="00C972CB" w:rsidRDefault="002457F6">
      <w:pPr>
        <w:pStyle w:val="Descriptiontitle"/>
        <w:numPr>
          <w:ilvl w:val="0"/>
          <w:numId w:val="82"/>
        </w:numPr>
        <w:ind w:left="578" w:hanging="578"/>
        <w:rPr>
          <w:noProof/>
        </w:rPr>
      </w:pPr>
      <w:r>
        <w:rPr>
          <w:noProof/>
        </w:rPr>
        <w:t xml:space="preserve">veicināt valsts digitālās identitātes platformu (Sistema Pubblico di Identità Digitale, SPID un Carta d’Identità Elettronica, CIE) un valsts reģistra (Anagrafe nazionale della popolazione residente, ANPR) pieņemšanu </w:t>
      </w:r>
      <w:r>
        <w:rPr>
          <w:noProof/>
        </w:rPr>
        <w:t>(ieguldījums 1.4.4. — Valsts digitālās identitātes platformu (SPID, CIE) un valsts reģistra (ANPR) pieņemšanas paplašināšana);</w:t>
      </w:r>
    </w:p>
    <w:p w14:paraId="72E1BB22" w14:textId="77777777" w:rsidR="00C972CB" w:rsidRDefault="002457F6">
      <w:pPr>
        <w:pStyle w:val="Descriptiontitle"/>
        <w:numPr>
          <w:ilvl w:val="0"/>
          <w:numId w:val="82"/>
        </w:numPr>
        <w:ind w:left="578" w:hanging="578"/>
        <w:rPr>
          <w:noProof/>
        </w:rPr>
      </w:pPr>
      <w:r>
        <w:rPr>
          <w:noProof/>
        </w:rPr>
        <w:t>izstrādāt vienotu platformu paziņojumiem (Investīcija 1.4.5. “Publisko paziņojumu digitalizācija”);</w:t>
      </w:r>
    </w:p>
    <w:p w14:paraId="58D4F5A5" w14:textId="77777777" w:rsidR="00C972CB" w:rsidRDefault="002457F6">
      <w:pPr>
        <w:pStyle w:val="Descriptiontitle"/>
        <w:numPr>
          <w:ilvl w:val="0"/>
          <w:numId w:val="82"/>
        </w:numPr>
        <w:ind w:left="578" w:hanging="578"/>
        <w:rPr>
          <w:noProof/>
        </w:rPr>
      </w:pPr>
      <w:r>
        <w:rPr>
          <w:noProof/>
        </w:rPr>
        <w:t>veicināt mobilitātes kā pakal</w:t>
      </w:r>
      <w:r>
        <w:rPr>
          <w:noProof/>
        </w:rPr>
        <w:t>pojumu (MaaS) paradigmu pieņemšanu lielpilsētās, lai digitalizētu vietējo transportu un sniegtu lietotājiem integrētu mobilitātes pieredzi no braucienu plānošanas līdz maksājumiem dažādos transporta veidos (ieguldījums 1.4.6. “Mobilitāte kā pakalpojums Itā</w:t>
      </w:r>
      <w:r>
        <w:rPr>
          <w:noProof/>
        </w:rPr>
        <w:t>lijai, un šis pēdējais pasākums tiek finansēts, pamatojoties uz neatmaksājamu finansiālu atbalstu”).</w:t>
      </w:r>
    </w:p>
    <w:p w14:paraId="7CE0A32A" w14:textId="77777777" w:rsidR="00C972CB" w:rsidRDefault="00C972CB">
      <w:pPr>
        <w:spacing w:before="120" w:after="120"/>
        <w:jc w:val="both"/>
        <w:rPr>
          <w:rFonts w:eastAsiaTheme="minorHAnsi"/>
          <w:b/>
          <w:noProof/>
        </w:rPr>
      </w:pPr>
    </w:p>
    <w:p w14:paraId="50E0757F" w14:textId="5EAB8A7B" w:rsidR="00C972CB" w:rsidRDefault="002457F6">
      <w:pPr>
        <w:pStyle w:val="P68B1DB1-Normal2"/>
        <w:spacing w:before="120" w:after="120"/>
        <w:jc w:val="both"/>
        <w:rPr>
          <w:rFonts w:eastAsiaTheme="minorHAnsi"/>
          <w:noProof/>
        </w:rPr>
      </w:pPr>
      <w:r>
        <w:rPr>
          <w:noProof/>
        </w:rPr>
        <w:t>Ieguldījums 1.6. Lielo centrālo pārvaldes iestāžu digitālā pārveide</w:t>
      </w:r>
    </w:p>
    <w:p w14:paraId="4E087110" w14:textId="77777777" w:rsidR="00C972CB" w:rsidRDefault="002457F6">
      <w:pPr>
        <w:pStyle w:val="Descriptiontitle"/>
        <w:ind w:left="0"/>
        <w:rPr>
          <w:noProof/>
        </w:rPr>
      </w:pPr>
      <w:r>
        <w:rPr>
          <w:noProof/>
        </w:rPr>
        <w:t xml:space="preserve">Šā ieguldījuma mērķis ir pārveidot un digitalizēt prioritāro procesu, darbību un </w:t>
      </w:r>
      <w:r>
        <w:rPr>
          <w:noProof/>
        </w:rPr>
        <w:t>pakalpojumu kopumu galvenajās centrālajās administrācijās, lai palielinātu šo administrāciju efektivitāti un vienkāršotu procedūras. Attiecīgās centrālās administrācijas ir: valsts sociālā nodrošinājuma institūts (INPS) un Valsts institūts apdrošināšanai p</w:t>
      </w:r>
      <w:r>
        <w:rPr>
          <w:noProof/>
        </w:rPr>
        <w:t>ret nelaimes gadījumiem darbā (INAIL), ii) tiesu sistēma, iii) Aizsardzības ministrija, iv) Iekšlietu ministrija, v) Finanšu policija.</w:t>
      </w:r>
    </w:p>
    <w:p w14:paraId="34E64A2E" w14:textId="77777777" w:rsidR="00C972CB" w:rsidRDefault="002457F6">
      <w:pPr>
        <w:pStyle w:val="Descriptiontitle"/>
        <w:ind w:left="0"/>
        <w:rPr>
          <w:noProof/>
        </w:rPr>
      </w:pPr>
      <w:r>
        <w:rPr>
          <w:noProof/>
        </w:rPr>
        <w:t>Attiecībā uz Iekšlietu ministriju projekts paredz i) iedzīvotājiem paredzēto pakalpojumu digitalizāciju un pamatā esošo i</w:t>
      </w:r>
      <w:r>
        <w:rPr>
          <w:noProof/>
        </w:rPr>
        <w:t>ekšējo procesu pārveidošanu; (II) iekšējo lietojumprogrammu un pārvaldības sistēmu izstrāde, lai izstrādātu iekšēju centralizētu fiziskās un digitālās identitātes un saistīto atribūtu pārbaudes sistēmu, kas ļautu valsts amatpersonām (piemēram, policijai) v</w:t>
      </w:r>
      <w:r>
        <w:rPr>
          <w:noProof/>
        </w:rPr>
        <w:t>eikt iedzīvotājiem piederošo un ar HIN saistīto personīgo dokumentu un licenču (piemēram, veselības kartes, autovadītāja apliecības u. c.) tālpārbaudi reāllaikā; III) personāla kvalifikācijas celšana digitālo spēju stiprināšanai (1.6.1. — Iekšlietu ministr</w:t>
      </w:r>
      <w:r>
        <w:rPr>
          <w:noProof/>
        </w:rPr>
        <w:t>ijas digitalizācija).</w:t>
      </w:r>
    </w:p>
    <w:p w14:paraId="01B8989D" w14:textId="7C9D2AAD" w:rsidR="00C972CB" w:rsidRDefault="002457F6">
      <w:pPr>
        <w:pStyle w:val="Descriptiontitle"/>
        <w:ind w:left="0"/>
        <w:rPr>
          <w:noProof/>
        </w:rPr>
      </w:pPr>
      <w:r>
        <w:rPr>
          <w:noProof/>
        </w:rPr>
        <w:t>Attiecībā uz tiesu sistēmu projektā ir paredzēta i) pēdējo divdesmit gadu (01.01.2006.–30.06.2026.) arhīva digitalizācija (7750000 tiesu ieraksti) saistībā ar zemākas instances tiesu (Tribunali ordinari) civilprocesiem, apelācijas tie</w:t>
      </w:r>
      <w:r>
        <w:rPr>
          <w:noProof/>
        </w:rPr>
        <w:t>sām un Augstākās tiesas lietas materiāliem, rajonu galvaspilsētu miertiesnešiem, nepilngadīgo birojiem, tiesu un apelācijas tiesu krimināllietu nodaļām un prokuratūrām; datu ezera (programmatūras slāņa) izveide, kas darbojas kā vienots piekļuves punkts vis</w:t>
      </w:r>
      <w:r>
        <w:rPr>
          <w:noProof/>
        </w:rPr>
        <w:t>am tiesu sistēmas ģenerēto jēldatu kopumam. Datu ezerā glabāto informāciju izmanto, izmantojot mākslīgā intelekta risinājumus, lai: anonimizēt civiltiesiskus sodus un kriminālsodus; cietušā un likumpārkāpēja attiecību automātiska identifikācija; III) pārva</w:t>
      </w:r>
      <w:r>
        <w:rPr>
          <w:noProof/>
        </w:rPr>
        <w:t>ldīt, analizēt un organizēt iepriekšējās judikatūras, lai atvieglotu civillietu tiesnešu un prokuroru apspriešanos; veikt padziļinātu statistisku analīzi par tiesu sistēmas efektivitāti un lietderību; pārvaldīt un uzraudzīt tiesu iestāžu veikto darbību aps</w:t>
      </w:r>
      <w:r>
        <w:rPr>
          <w:noProof/>
        </w:rPr>
        <w:t>trādes laiku (ieguldījumi 1.6.2. — Tieslietu ministrijas digitalizācija un 1.6.5 — Valsts padomes digitalizācija, ko finansē no neatmaksājama finansiālā atbalsta).</w:t>
      </w:r>
    </w:p>
    <w:p w14:paraId="21C3609B" w14:textId="77777777" w:rsidR="00C972CB" w:rsidRDefault="002457F6">
      <w:pPr>
        <w:pStyle w:val="Descriptiontitle"/>
        <w:ind w:left="0"/>
        <w:rPr>
          <w:noProof/>
        </w:rPr>
      </w:pPr>
      <w:r>
        <w:rPr>
          <w:noProof/>
        </w:rPr>
        <w:t>Attiecībā uz INPS un INAIL projekts ietver plašu pārskatu par to iekšējām sistēmām un proced</w:t>
      </w:r>
      <w:r>
        <w:rPr>
          <w:noProof/>
        </w:rPr>
        <w:t>ūrām, kā arī digitālo kontaktpunktu attīstību ar iedzīvotājiem, uzņēmumiem un citām valsts pārvaldes iestādēm, lai nodrošinātu lietotājiem netraucētu digitālo pieredzi (1.6.3. Valsts sociālā nodrošinājuma institūta (INPS) un Valsts apdrošināšanas institūta</w:t>
      </w:r>
      <w:r>
        <w:rPr>
          <w:noProof/>
        </w:rPr>
        <w:t xml:space="preserve"> pret nelaimes gadījumiem darbā (INAIL) digitalizācija).</w:t>
      </w:r>
    </w:p>
    <w:p w14:paraId="5F5DDC2C" w14:textId="1183B056" w:rsidR="00C972CB" w:rsidRDefault="002457F6">
      <w:pPr>
        <w:pStyle w:val="Descriptiontitle"/>
        <w:ind w:left="0"/>
        <w:rPr>
          <w:noProof/>
        </w:rPr>
      </w:pPr>
      <w:r>
        <w:rPr>
          <w:noProof/>
        </w:rPr>
        <w:t>Attiecībā uz Aizsardzības ministriju projekts ietver i) trīs pamata informācijas (personāla, administratīvās dokumentācijas, iekšējās un ārējās saziņas) drošības uzlabošanu un ii) visu sistēmu un lie</w:t>
      </w:r>
      <w:r>
        <w:rPr>
          <w:noProof/>
        </w:rPr>
        <w:t>tojumprogrammu migrāciju uz atklātā pirmkoda paradigmu, kas atbilst drošības politikai, kas noteikta atsauces tiesiskajā regulējumā (Ieguldījums 1.6.4. “Aizsardzības ministrijas digitalizācija”).</w:t>
      </w:r>
    </w:p>
    <w:p w14:paraId="2ED467DD" w14:textId="77777777" w:rsidR="00C972CB" w:rsidRDefault="002457F6">
      <w:pPr>
        <w:pStyle w:val="Descriptiontitle"/>
        <w:ind w:left="0"/>
        <w:rPr>
          <w:noProof/>
        </w:rPr>
      </w:pPr>
      <w:r>
        <w:rPr>
          <w:noProof/>
        </w:rPr>
        <w:t>Attiecībā uz finanšu policiju projekta mērķis jo īpaši ir i)</w:t>
      </w:r>
      <w:r>
        <w:rPr>
          <w:noProof/>
        </w:rPr>
        <w:t xml:space="preserve"> reorganizēt datubāzes; datu zinātnes ieviešana darbības un lēmumu pieņemšanas procesos (1.6.6. ieguldījums — Finanšu policijas digitalizācija, ko finansē, pamatojoties uz neatmaksājamu finansiālu atbalstu).</w:t>
      </w:r>
    </w:p>
    <w:p w14:paraId="25A167FF" w14:textId="77777777" w:rsidR="00C972CB" w:rsidRDefault="00C972CB">
      <w:pPr>
        <w:jc w:val="both"/>
        <w:rPr>
          <w:noProof/>
        </w:rPr>
      </w:pPr>
    </w:p>
    <w:p w14:paraId="3C1F6BE4" w14:textId="77777777" w:rsidR="00C972CB" w:rsidRDefault="00C972CB">
      <w:pPr>
        <w:spacing w:before="120" w:after="120"/>
        <w:ind w:left="709"/>
        <w:jc w:val="both"/>
        <w:rPr>
          <w:b/>
          <w:i/>
          <w:noProof/>
          <w:color w:val="4F81BD" w:themeColor="accent1"/>
        </w:rPr>
      </w:pPr>
    </w:p>
    <w:p w14:paraId="1C7AE3E5" w14:textId="77777777" w:rsidR="00C972CB" w:rsidRDefault="00C972CB">
      <w:pPr>
        <w:spacing w:before="120" w:after="120"/>
        <w:ind w:left="709"/>
        <w:jc w:val="both"/>
        <w:rPr>
          <w:b/>
          <w:i/>
          <w:noProof/>
          <w:color w:val="4F81BD" w:themeColor="accent1"/>
        </w:rPr>
        <w:sectPr w:rsidR="00C972CB" w:rsidSect="001354D1">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31858868" w14:textId="77777777" w:rsidR="00C972CB" w:rsidRDefault="002457F6">
      <w:pPr>
        <w:pStyle w:val="Heading3"/>
        <w:numPr>
          <w:ilvl w:val="0"/>
          <w:numId w:val="0"/>
        </w:numPr>
        <w:ind w:left="850" w:hanging="850"/>
        <w:rPr>
          <w:b/>
          <w:i w:val="0"/>
          <w:noProof/>
          <w:u w:val="single"/>
        </w:rPr>
      </w:pPr>
      <w:r>
        <w:rPr>
          <w:b/>
          <w:i w:val="0"/>
          <w:noProof/>
          <w:u w:val="single"/>
        </w:rPr>
        <w:t xml:space="preserve">A.4. </w:t>
      </w:r>
      <w:r>
        <w:rPr>
          <w:noProof/>
        </w:rPr>
        <w:tab/>
      </w:r>
      <w:r>
        <w:rPr>
          <w:b/>
          <w:i w:val="0"/>
          <w:noProof/>
          <w:u w:val="single"/>
        </w:rPr>
        <w:t xml:space="preserve">Atskaites punkti, mērķrādītāji, citi rādītāji un aizdevuma uzraudzības un īstenošanas grafiks </w:t>
      </w:r>
    </w:p>
    <w:tbl>
      <w:tblPr>
        <w:tblW w:w="1567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992"/>
        <w:gridCol w:w="2126"/>
        <w:gridCol w:w="1701"/>
        <w:gridCol w:w="1134"/>
        <w:gridCol w:w="1276"/>
        <w:gridCol w:w="1417"/>
        <w:gridCol w:w="793"/>
        <w:gridCol w:w="625"/>
        <w:gridCol w:w="2584"/>
      </w:tblGrid>
      <w:tr w:rsidR="00C972CB" w14:paraId="6517F44F" w14:textId="77777777">
        <w:trPr>
          <w:trHeight w:val="774"/>
          <w:tblHeader/>
        </w:trPr>
        <w:tc>
          <w:tcPr>
            <w:tcW w:w="1284" w:type="dxa"/>
            <w:vMerge w:val="restart"/>
            <w:shd w:val="clear" w:color="auto" w:fill="BDD7EE"/>
            <w:vAlign w:val="center"/>
            <w:hideMark/>
          </w:tcPr>
          <w:p w14:paraId="6ACECACE" w14:textId="77777777" w:rsidR="00C972CB" w:rsidRDefault="002457F6">
            <w:pPr>
              <w:pStyle w:val="P68B1DB1-Normal9"/>
              <w:jc w:val="center"/>
              <w:rPr>
                <w:noProof/>
              </w:rPr>
            </w:pPr>
            <w:r>
              <w:rPr>
                <w:noProof/>
              </w:rPr>
              <w:t>Kārtas numurs</w:t>
            </w:r>
          </w:p>
        </w:tc>
        <w:tc>
          <w:tcPr>
            <w:tcW w:w="1746" w:type="dxa"/>
            <w:vMerge w:val="restart"/>
            <w:shd w:val="clear" w:color="auto" w:fill="BDD7EE"/>
            <w:vAlign w:val="center"/>
            <w:hideMark/>
          </w:tcPr>
          <w:p w14:paraId="1A47368D" w14:textId="77777777" w:rsidR="00C972CB" w:rsidRDefault="002457F6">
            <w:pPr>
              <w:pStyle w:val="P68B1DB1-Normal9"/>
              <w:jc w:val="center"/>
              <w:rPr>
                <w:noProof/>
              </w:rPr>
            </w:pPr>
            <w:r>
              <w:rPr>
                <w:noProof/>
              </w:rPr>
              <w:t>Pasākums (reforma vai investīcija)</w:t>
            </w:r>
          </w:p>
        </w:tc>
        <w:tc>
          <w:tcPr>
            <w:tcW w:w="992" w:type="dxa"/>
            <w:vMerge w:val="restart"/>
            <w:shd w:val="clear" w:color="auto" w:fill="BDD7EE"/>
            <w:vAlign w:val="center"/>
            <w:hideMark/>
          </w:tcPr>
          <w:p w14:paraId="3904807C" w14:textId="77777777" w:rsidR="00C972CB" w:rsidRDefault="002457F6">
            <w:pPr>
              <w:pStyle w:val="P68B1DB1-Normal9"/>
              <w:jc w:val="center"/>
              <w:rPr>
                <w:noProof/>
              </w:rPr>
            </w:pPr>
            <w:r>
              <w:rPr>
                <w:noProof/>
              </w:rPr>
              <w:t>Starpposma mērķis</w:t>
            </w:r>
          </w:p>
          <w:p w14:paraId="7CC1F6E6" w14:textId="77777777" w:rsidR="00C972CB" w:rsidRDefault="002457F6">
            <w:pPr>
              <w:pStyle w:val="P68B1DB1-Normal9"/>
              <w:jc w:val="center"/>
              <w:rPr>
                <w:noProof/>
              </w:rPr>
            </w:pPr>
            <w:r>
              <w:rPr>
                <w:noProof/>
              </w:rPr>
              <w:t>/Mērķis</w:t>
            </w:r>
          </w:p>
        </w:tc>
        <w:tc>
          <w:tcPr>
            <w:tcW w:w="2126" w:type="dxa"/>
            <w:vMerge w:val="restart"/>
            <w:shd w:val="clear" w:color="auto" w:fill="BDD7EE"/>
            <w:vAlign w:val="center"/>
            <w:hideMark/>
          </w:tcPr>
          <w:p w14:paraId="3829DE4D" w14:textId="77777777" w:rsidR="00C972CB" w:rsidRDefault="002457F6">
            <w:pPr>
              <w:pStyle w:val="P68B1DB1-Normal9"/>
              <w:jc w:val="center"/>
              <w:rPr>
                <w:noProof/>
              </w:rPr>
            </w:pPr>
            <w:r>
              <w:rPr>
                <w:noProof/>
              </w:rPr>
              <w:t>Uzvārds</w:t>
            </w:r>
          </w:p>
        </w:tc>
        <w:tc>
          <w:tcPr>
            <w:tcW w:w="1701" w:type="dxa"/>
            <w:vMerge w:val="restart"/>
            <w:shd w:val="clear" w:color="auto" w:fill="BDD7EE"/>
            <w:vAlign w:val="center"/>
            <w:hideMark/>
          </w:tcPr>
          <w:p w14:paraId="3941F67B"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 xml:space="preserve">(attiecībā uz starpposma </w:t>
            </w:r>
            <w:r>
              <w:rPr>
                <w:b/>
                <w:noProof/>
                <w:sz w:val="20"/>
              </w:rPr>
              <w:t>mērķiem)</w:t>
            </w:r>
          </w:p>
        </w:tc>
        <w:tc>
          <w:tcPr>
            <w:tcW w:w="3827" w:type="dxa"/>
            <w:gridSpan w:val="3"/>
            <w:shd w:val="clear" w:color="auto" w:fill="BDD7EE"/>
            <w:vAlign w:val="center"/>
            <w:hideMark/>
          </w:tcPr>
          <w:p w14:paraId="3299A39A"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418" w:type="dxa"/>
            <w:gridSpan w:val="2"/>
            <w:shd w:val="clear" w:color="auto" w:fill="BDD7EE"/>
            <w:vAlign w:val="center"/>
            <w:hideMark/>
          </w:tcPr>
          <w:p w14:paraId="4B261965" w14:textId="77777777" w:rsidR="00C972CB" w:rsidRDefault="002457F6">
            <w:pPr>
              <w:pStyle w:val="P68B1DB1-Normal9"/>
              <w:jc w:val="center"/>
              <w:rPr>
                <w:noProof/>
              </w:rPr>
            </w:pPr>
            <w:r>
              <w:rPr>
                <w:noProof/>
              </w:rPr>
              <w:t>Orientējošs pabeigšanas termiņš</w:t>
            </w:r>
          </w:p>
        </w:tc>
        <w:tc>
          <w:tcPr>
            <w:tcW w:w="2584" w:type="dxa"/>
            <w:vMerge w:val="restart"/>
            <w:shd w:val="clear" w:color="auto" w:fill="BDD7EE"/>
            <w:vAlign w:val="center"/>
            <w:hideMark/>
          </w:tcPr>
          <w:p w14:paraId="0FA9185A" w14:textId="77777777" w:rsidR="00C972CB" w:rsidRDefault="002457F6">
            <w:pPr>
              <w:pStyle w:val="P68B1DB1-Normal9"/>
              <w:jc w:val="center"/>
              <w:rPr>
                <w:noProof/>
              </w:rPr>
            </w:pPr>
            <w:r>
              <w:rPr>
                <w:noProof/>
              </w:rPr>
              <w:t>Apraksts par katru atskaites punktu un mērķrādītāju</w:t>
            </w:r>
          </w:p>
        </w:tc>
      </w:tr>
      <w:tr w:rsidR="00C972CB" w14:paraId="5FE3D8DB" w14:textId="77777777">
        <w:trPr>
          <w:trHeight w:val="686"/>
          <w:tblHeader/>
        </w:trPr>
        <w:tc>
          <w:tcPr>
            <w:tcW w:w="1284" w:type="dxa"/>
            <w:vMerge/>
            <w:vAlign w:val="center"/>
            <w:hideMark/>
          </w:tcPr>
          <w:p w14:paraId="63045CB4" w14:textId="77777777" w:rsidR="00C972CB" w:rsidRDefault="00C972CB">
            <w:pPr>
              <w:jc w:val="center"/>
              <w:rPr>
                <w:rFonts w:ascii="Arial Narrow" w:hAnsi="Arial Narrow"/>
                <w:b/>
                <w:noProof/>
                <w:sz w:val="20"/>
              </w:rPr>
            </w:pPr>
          </w:p>
        </w:tc>
        <w:tc>
          <w:tcPr>
            <w:tcW w:w="1746" w:type="dxa"/>
            <w:vMerge/>
            <w:vAlign w:val="center"/>
            <w:hideMark/>
          </w:tcPr>
          <w:p w14:paraId="396555B5" w14:textId="77777777" w:rsidR="00C972CB" w:rsidRDefault="00C972CB">
            <w:pPr>
              <w:jc w:val="center"/>
              <w:rPr>
                <w:rFonts w:ascii="Arial Narrow" w:hAnsi="Arial Narrow"/>
                <w:b/>
                <w:noProof/>
                <w:sz w:val="20"/>
              </w:rPr>
            </w:pPr>
          </w:p>
        </w:tc>
        <w:tc>
          <w:tcPr>
            <w:tcW w:w="992" w:type="dxa"/>
            <w:vMerge/>
            <w:vAlign w:val="center"/>
            <w:hideMark/>
          </w:tcPr>
          <w:p w14:paraId="7F95E54E" w14:textId="77777777" w:rsidR="00C972CB" w:rsidRDefault="00C972CB">
            <w:pPr>
              <w:jc w:val="center"/>
              <w:rPr>
                <w:rFonts w:ascii="Arial Narrow" w:hAnsi="Arial Narrow"/>
                <w:b/>
                <w:noProof/>
                <w:sz w:val="20"/>
              </w:rPr>
            </w:pPr>
          </w:p>
        </w:tc>
        <w:tc>
          <w:tcPr>
            <w:tcW w:w="2126" w:type="dxa"/>
            <w:vMerge/>
            <w:vAlign w:val="center"/>
            <w:hideMark/>
          </w:tcPr>
          <w:p w14:paraId="348AD866" w14:textId="77777777" w:rsidR="00C972CB" w:rsidRDefault="00C972CB">
            <w:pPr>
              <w:jc w:val="center"/>
              <w:rPr>
                <w:rFonts w:ascii="Arial Narrow" w:hAnsi="Arial Narrow"/>
                <w:b/>
                <w:noProof/>
                <w:sz w:val="20"/>
              </w:rPr>
            </w:pPr>
          </w:p>
        </w:tc>
        <w:tc>
          <w:tcPr>
            <w:tcW w:w="1701" w:type="dxa"/>
            <w:vMerge/>
            <w:vAlign w:val="center"/>
            <w:hideMark/>
          </w:tcPr>
          <w:p w14:paraId="4D9C8CA8" w14:textId="77777777" w:rsidR="00C972CB" w:rsidRDefault="00C972CB">
            <w:pPr>
              <w:jc w:val="center"/>
              <w:rPr>
                <w:rFonts w:ascii="Arial Narrow" w:hAnsi="Arial Narrow"/>
                <w:b/>
                <w:noProof/>
                <w:sz w:val="20"/>
              </w:rPr>
            </w:pPr>
          </w:p>
        </w:tc>
        <w:tc>
          <w:tcPr>
            <w:tcW w:w="1134" w:type="dxa"/>
            <w:shd w:val="clear" w:color="auto" w:fill="BDD7EE"/>
            <w:vAlign w:val="center"/>
            <w:hideMark/>
          </w:tcPr>
          <w:p w14:paraId="09CCED70" w14:textId="77777777" w:rsidR="00C972CB" w:rsidRDefault="002457F6">
            <w:pPr>
              <w:pStyle w:val="P68B1DB1-Normal9"/>
              <w:jc w:val="center"/>
              <w:rPr>
                <w:noProof/>
              </w:rPr>
            </w:pPr>
            <w:r>
              <w:rPr>
                <w:noProof/>
              </w:rPr>
              <w:t>Vienības</w:t>
            </w:r>
          </w:p>
          <w:p w14:paraId="15BDA474" w14:textId="77777777" w:rsidR="00C972CB" w:rsidRDefault="002457F6">
            <w:pPr>
              <w:pStyle w:val="P68B1DB1-Normal9"/>
              <w:jc w:val="center"/>
              <w:rPr>
                <w:noProof/>
              </w:rPr>
            </w:pPr>
            <w:r>
              <w:rPr>
                <w:noProof/>
              </w:rPr>
              <w:t>pasākums</w:t>
            </w:r>
          </w:p>
        </w:tc>
        <w:tc>
          <w:tcPr>
            <w:tcW w:w="1276" w:type="dxa"/>
            <w:shd w:val="clear" w:color="auto" w:fill="BDD7EE"/>
            <w:vAlign w:val="center"/>
            <w:hideMark/>
          </w:tcPr>
          <w:p w14:paraId="275AA38D" w14:textId="77777777" w:rsidR="00C972CB" w:rsidRDefault="002457F6">
            <w:pPr>
              <w:pStyle w:val="P68B1DB1-Normal9"/>
              <w:jc w:val="center"/>
              <w:rPr>
                <w:noProof/>
              </w:rPr>
            </w:pPr>
            <w:r>
              <w:rPr>
                <w:noProof/>
              </w:rPr>
              <w:t>Pamatscenārijs</w:t>
            </w:r>
          </w:p>
        </w:tc>
        <w:tc>
          <w:tcPr>
            <w:tcW w:w="1417" w:type="dxa"/>
            <w:shd w:val="clear" w:color="auto" w:fill="BDD7EE"/>
            <w:vAlign w:val="center"/>
            <w:hideMark/>
          </w:tcPr>
          <w:p w14:paraId="5B410E8B" w14:textId="77777777" w:rsidR="00C972CB" w:rsidRDefault="002457F6">
            <w:pPr>
              <w:pStyle w:val="P68B1DB1-Normal9"/>
              <w:jc w:val="center"/>
              <w:rPr>
                <w:noProof/>
              </w:rPr>
            </w:pPr>
            <w:r>
              <w:rPr>
                <w:noProof/>
              </w:rPr>
              <w:t>Mērķis</w:t>
            </w:r>
          </w:p>
        </w:tc>
        <w:tc>
          <w:tcPr>
            <w:tcW w:w="793" w:type="dxa"/>
            <w:shd w:val="clear" w:color="auto" w:fill="BDD7EE"/>
            <w:vAlign w:val="center"/>
            <w:hideMark/>
          </w:tcPr>
          <w:p w14:paraId="69D7DEC8" w14:textId="77777777" w:rsidR="00C972CB" w:rsidRDefault="002457F6">
            <w:pPr>
              <w:pStyle w:val="P68B1DB1-Normal9"/>
              <w:jc w:val="center"/>
              <w:rPr>
                <w:noProof/>
              </w:rPr>
            </w:pPr>
            <w:r>
              <w:rPr>
                <w:noProof/>
              </w:rPr>
              <w:t>Ceturtdaļa</w:t>
            </w:r>
          </w:p>
        </w:tc>
        <w:tc>
          <w:tcPr>
            <w:tcW w:w="625" w:type="dxa"/>
            <w:shd w:val="clear" w:color="auto" w:fill="BDD7EE"/>
            <w:vAlign w:val="center"/>
            <w:hideMark/>
          </w:tcPr>
          <w:p w14:paraId="198A9B44" w14:textId="77777777" w:rsidR="00C972CB" w:rsidRDefault="002457F6">
            <w:pPr>
              <w:pStyle w:val="P68B1DB1-Normal9"/>
              <w:jc w:val="center"/>
              <w:rPr>
                <w:noProof/>
              </w:rPr>
            </w:pPr>
            <w:r>
              <w:rPr>
                <w:noProof/>
              </w:rPr>
              <w:t>Gadā</w:t>
            </w:r>
          </w:p>
        </w:tc>
        <w:tc>
          <w:tcPr>
            <w:tcW w:w="2584" w:type="dxa"/>
            <w:vMerge/>
            <w:vAlign w:val="center"/>
            <w:hideMark/>
          </w:tcPr>
          <w:p w14:paraId="757335CC" w14:textId="77777777" w:rsidR="00C972CB" w:rsidRDefault="00C972CB">
            <w:pPr>
              <w:rPr>
                <w:rFonts w:ascii="Arial Narrow" w:hAnsi="Arial Narrow"/>
                <w:b/>
                <w:noProof/>
                <w:sz w:val="20"/>
              </w:rPr>
            </w:pPr>
          </w:p>
        </w:tc>
      </w:tr>
      <w:tr w:rsidR="00C972CB" w14:paraId="49DA65BD"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59BE6" w14:textId="25E3DA6D" w:rsidR="00C972CB" w:rsidRDefault="002457F6">
            <w:pPr>
              <w:pStyle w:val="P68B1DB1-Normal11"/>
              <w:jc w:val="center"/>
              <w:rPr>
                <w:noProof/>
              </w:rPr>
            </w:pPr>
            <w:r>
              <w:rPr>
                <w:noProof/>
              </w:rPr>
              <w:t>M1C1–14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A9A07" w14:textId="313F3B99" w:rsidR="00C972CB" w:rsidRDefault="002457F6">
            <w:pPr>
              <w:pStyle w:val="P68B1DB1-Normal11"/>
              <w:jc w:val="center"/>
              <w:rPr>
                <w:noProof/>
              </w:rPr>
            </w:pPr>
            <w:r>
              <w:rPr>
                <w:noProof/>
              </w:rPr>
              <w:t>Ieguldījums 1.6.5. Valsts padomes digitalizācija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33BF5A" w14:textId="61DE38AB" w:rsidR="00C972CB" w:rsidRDefault="002457F6">
            <w:pPr>
              <w:pStyle w:val="P68B1DB1-Normal11"/>
              <w:jc w:val="center"/>
              <w:rPr>
                <w:noProof/>
              </w:rPr>
            </w:pPr>
            <w:r>
              <w:rPr>
                <w:noProof/>
              </w:rPr>
              <w:t>Mērķa</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0E479" w14:textId="2530DB07" w:rsidR="00C972CB" w:rsidRDefault="002457F6">
            <w:pPr>
              <w:pStyle w:val="P68B1DB1-Normal11"/>
              <w:jc w:val="center"/>
              <w:rPr>
                <w:noProof/>
              </w:rPr>
            </w:pPr>
            <w:r>
              <w:rPr>
                <w:noProof/>
              </w:rPr>
              <w:t>Valsts padome — Tiesas dokumenti, kas pieejami analīzei datu noliktavā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9A457" w14:textId="5E4F6C64" w:rsidR="00C972CB" w:rsidRDefault="002457F6">
            <w:pPr>
              <w:pStyle w:val="P68B1DB1-Normal11"/>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261CA" w14:textId="27FE11CB" w:rsidR="00C972CB" w:rsidRDefault="002457F6">
            <w:pPr>
              <w:pStyle w:val="P68B1DB1-Normal11"/>
              <w:jc w:val="center"/>
              <w:rPr>
                <w:noProof/>
              </w:rPr>
            </w:pPr>
            <w:r>
              <w:rPr>
                <w:noProof/>
              </w:rPr>
              <w:t>Skaits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E6777" w14:textId="58FD6DF0" w:rsidR="00C972CB" w:rsidRDefault="002457F6">
            <w:pPr>
              <w:pStyle w:val="P68B1DB1-Normal11"/>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3F4FB" w14:textId="0D6F7E30" w:rsidR="00C972CB" w:rsidRDefault="002457F6">
            <w:pPr>
              <w:pStyle w:val="P68B1DB1-Normal11"/>
              <w:jc w:val="center"/>
              <w:rPr>
                <w:noProof/>
              </w:rPr>
            </w:pPr>
            <w:r>
              <w:rPr>
                <w:noProof/>
              </w:rPr>
              <w:t>800 000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A163A" w14:textId="09489D6E" w:rsidR="00C972CB" w:rsidRDefault="002457F6">
            <w:pPr>
              <w:pStyle w:val="P68B1DB1-Normal11"/>
              <w:jc w:val="center"/>
              <w:rPr>
                <w:noProof/>
              </w:rPr>
            </w:pPr>
            <w:r>
              <w:rPr>
                <w:noProof/>
              </w:rPr>
              <w:t>4. CET.</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38F22" w14:textId="41CC3BF5" w:rsidR="00C972CB" w:rsidRDefault="002457F6">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16B994" w14:textId="53250C48" w:rsidR="00C972CB" w:rsidRDefault="002457F6">
            <w:pPr>
              <w:pStyle w:val="P68B1DB1-Normal11"/>
              <w:spacing w:after="120"/>
              <w:rPr>
                <w:noProof/>
              </w:rPr>
            </w:pPr>
            <w:r>
              <w:rPr>
                <w:noProof/>
              </w:rPr>
              <w:t>To tiesas dokumentu skaits, kas saistīti ar administratīvās jurisdikcijas sistēmu (piemēram, spriedumi, atzinumi un dekrēti), kas ir pilnībā p</w:t>
            </w:r>
            <w:r>
              <w:rPr>
                <w:noProof/>
              </w:rPr>
              <w:t>ieejami datu noliktavā.</w:t>
            </w:r>
          </w:p>
        </w:tc>
      </w:tr>
      <w:tr w:rsidR="00C972CB" w14:paraId="259CE2EC"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48742" w14:textId="09A5BAB6" w:rsidR="00C972CB" w:rsidRDefault="002457F6">
            <w:pPr>
              <w:pStyle w:val="P68B1DB1-Normal11"/>
              <w:jc w:val="center"/>
              <w:rPr>
                <w:noProof/>
              </w:rPr>
            </w:pPr>
            <w:r>
              <w:rPr>
                <w:noProof/>
              </w:rPr>
              <w:t>M1C1–16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5C105" w14:textId="35F88E97" w:rsidR="00C972CB" w:rsidRDefault="002457F6">
            <w:pPr>
              <w:pStyle w:val="P68B1DB1-Normal11"/>
              <w:jc w:val="center"/>
              <w:rPr>
                <w:noProof/>
              </w:rPr>
            </w:pPr>
            <w:r>
              <w:rPr>
                <w:noProof/>
              </w:rPr>
              <w:t>Ieguldījums 1.6.5. Valsts padomes digitalizācija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8AD90D" w14:textId="1B8312B8" w:rsidR="00C972CB" w:rsidRDefault="002457F6">
            <w:pPr>
              <w:pStyle w:val="P68B1DB1-Normal11"/>
              <w:jc w:val="center"/>
              <w:rPr>
                <w:noProof/>
              </w:rPr>
            </w:pPr>
            <w:r>
              <w:rPr>
                <w:noProof/>
              </w:rPr>
              <w:t>Mērķa</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58158" w14:textId="0E71EAD9" w:rsidR="00C972CB" w:rsidRDefault="002457F6">
            <w:pPr>
              <w:pStyle w:val="P68B1DB1-Normal11"/>
              <w:jc w:val="center"/>
              <w:rPr>
                <w:noProof/>
              </w:rPr>
            </w:pPr>
            <w:r>
              <w:rPr>
                <w:noProof/>
              </w:rPr>
              <w:t>Valsts padome — Tiesas dokumenti, kas pieejami analīzei datu noliktavā T2</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FDA98" w14:textId="434B3DAE" w:rsidR="00C972CB" w:rsidRDefault="002457F6">
            <w:pPr>
              <w:pStyle w:val="P68B1DB1-Normal11"/>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1D9F3" w14:textId="388A148D" w:rsidR="00C972CB" w:rsidRDefault="002457F6">
            <w:pPr>
              <w:pStyle w:val="P68B1DB1-Normal11"/>
              <w:jc w:val="center"/>
              <w:rPr>
                <w:noProof/>
              </w:rPr>
            </w:pPr>
            <w:r>
              <w:rPr>
                <w:noProof/>
              </w:rPr>
              <w:t>Skaits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2C3A" w14:textId="244344FC" w:rsidR="00C972CB" w:rsidRDefault="002457F6">
            <w:pPr>
              <w:pStyle w:val="P68B1DB1-Normal11"/>
              <w:jc w:val="center"/>
              <w:rPr>
                <w:noProof/>
              </w:rPr>
            </w:pPr>
            <w:r>
              <w:rPr>
                <w:noProof/>
              </w:rPr>
              <w:t>800 000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46498" w14:textId="43BA3045" w:rsidR="00C972CB" w:rsidRDefault="002457F6">
            <w:pPr>
              <w:pStyle w:val="P68B1DB1-Normal11"/>
              <w:jc w:val="center"/>
              <w:rPr>
                <w:noProof/>
              </w:rPr>
            </w:pPr>
            <w:r>
              <w:rPr>
                <w:noProof/>
              </w:rPr>
              <w:t>2 500 000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3E58D" w14:textId="063FD2A1" w:rsidR="00C972CB" w:rsidRDefault="002457F6">
            <w:pPr>
              <w:pStyle w:val="P68B1DB1-Normal11"/>
              <w:jc w:val="center"/>
              <w:rPr>
                <w:noProof/>
              </w:rPr>
            </w:pPr>
            <w:r>
              <w:rPr>
                <w:noProof/>
              </w:rPr>
              <w:t>4. CET.</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0CE4" w14:textId="6399BAF9" w:rsidR="00C972CB" w:rsidRDefault="002457F6">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5D694A" w14:textId="3F3CB0E9" w:rsidR="00C972CB" w:rsidRDefault="002457F6">
            <w:pPr>
              <w:pStyle w:val="P68B1DB1-Normal11"/>
              <w:spacing w:after="120"/>
              <w:rPr>
                <w:noProof/>
              </w:rPr>
            </w:pPr>
            <w:r>
              <w:rPr>
                <w:noProof/>
              </w:rPr>
              <w:t xml:space="preserve">Ar administratīvo jurisdikciju sistēmu </w:t>
            </w:r>
            <w:r>
              <w:rPr>
                <w:noProof/>
              </w:rPr>
              <w:t>saistīto tiesas dokumentu (piemēram, spriedumu, atzinumu un dekrētu) skaits, kas pilnībā pieejami datu noliktavā.</w:t>
            </w:r>
          </w:p>
        </w:tc>
      </w:tr>
      <w:tr w:rsidR="00C972CB" w14:paraId="52DDB9CD"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032C3D" w14:textId="77777777" w:rsidR="00C972CB" w:rsidRDefault="002457F6">
            <w:pPr>
              <w:pStyle w:val="P68B1DB1-Normal11"/>
              <w:jc w:val="center"/>
              <w:rPr>
                <w:noProof/>
              </w:rPr>
            </w:pPr>
            <w:r>
              <w:rPr>
                <w:noProof/>
              </w:rPr>
              <w:t>M1C1–123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50277" w14:textId="77777777" w:rsidR="00C972CB" w:rsidRDefault="002457F6">
            <w:pPr>
              <w:pStyle w:val="P68B1DB1-Normal11"/>
              <w:jc w:val="center"/>
              <w:rPr>
                <w:noProof/>
              </w:rPr>
            </w:pPr>
            <w:r>
              <w:rPr>
                <w:noProof/>
              </w:rPr>
              <w:t>Ieguldījums 1.6.3. — Valsts sociālā nodrošinājuma institūta (INPS) un Valsts apdrošināšanas institūta pret nelaimes gadījumiem darbā</w:t>
            </w:r>
            <w:r>
              <w:rPr>
                <w:noProof/>
              </w:rPr>
              <w:t xml:space="preserve"> (INAIL) digitalizācija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FC750E" w14:textId="77777777" w:rsidR="00C972CB" w:rsidRDefault="002457F6">
            <w:pPr>
              <w:pStyle w:val="P68B1DB1-Normal11"/>
              <w:jc w:val="center"/>
              <w:rPr>
                <w:noProof/>
              </w:rPr>
            </w:pPr>
            <w:r>
              <w:rPr>
                <w:noProof/>
              </w:rPr>
              <w:t>Mērķa</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239499" w14:textId="77777777" w:rsidR="00C972CB" w:rsidRDefault="002457F6">
            <w:pPr>
              <w:pStyle w:val="P68B1DB1-Normal11"/>
              <w:jc w:val="center"/>
              <w:rPr>
                <w:noProof/>
              </w:rPr>
            </w:pPr>
            <w:r>
              <w:rPr>
                <w:noProof/>
              </w:rPr>
              <w:t>INPS — “Viens klikšķis pēc izstrādes” pakalpojumi/saturs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86475" w14:textId="77777777" w:rsidR="00C972CB" w:rsidRDefault="002457F6">
            <w:pPr>
              <w:pStyle w:val="P68B1DB1-Normal11"/>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2C327" w14:textId="77777777" w:rsidR="00C972CB" w:rsidRDefault="002457F6">
            <w:pPr>
              <w:pStyle w:val="P68B1DB1-Normal11"/>
              <w:jc w:val="center"/>
              <w:rPr>
                <w:noProof/>
              </w:rPr>
            </w:pPr>
            <w:r>
              <w:rPr>
                <w:noProof/>
              </w:rPr>
              <w:t>Skaits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5A987" w14:textId="77777777" w:rsidR="00C972CB" w:rsidRDefault="002457F6">
            <w:pPr>
              <w:pStyle w:val="P68B1DB1-Normal11"/>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456B58" w14:textId="77777777" w:rsidR="00C972CB" w:rsidRDefault="002457F6">
            <w:pPr>
              <w:pStyle w:val="P68B1DB1-Normal11"/>
              <w:jc w:val="center"/>
              <w:rPr>
                <w:noProof/>
              </w:rPr>
            </w:pPr>
            <w:r>
              <w:rPr>
                <w:noProof/>
              </w:rPr>
              <w:t>35</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3FDDC" w14:textId="77777777" w:rsidR="00C972CB" w:rsidRDefault="002457F6">
            <w:pPr>
              <w:pStyle w:val="P68B1DB1-Normal11"/>
              <w:jc w:val="center"/>
              <w:rPr>
                <w:noProof/>
              </w:rPr>
            </w:pPr>
            <w:r>
              <w:rPr>
                <w:noProof/>
              </w:rPr>
              <w:t>4. CET.</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EDA88" w14:textId="77777777" w:rsidR="00C972CB" w:rsidRDefault="002457F6">
            <w:pPr>
              <w:pStyle w:val="P68B1DB1-Normal11"/>
              <w:jc w:val="center"/>
              <w:rPr>
                <w:noProof/>
              </w:rPr>
            </w:pPr>
            <w:r>
              <w:rPr>
                <w:noProof/>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265C1" w14:textId="5DA5204D" w:rsidR="00C972CB" w:rsidRDefault="002457F6">
            <w:pPr>
              <w:spacing w:after="120"/>
              <w:rPr>
                <w:rFonts w:ascii="Arial Narrow" w:hAnsi="Arial Narrow"/>
                <w:noProof/>
                <w:color w:val="006100"/>
                <w:sz w:val="20"/>
              </w:rPr>
            </w:pPr>
            <w:r>
              <w:rPr>
                <w:rFonts w:ascii="Arial Narrow" w:hAnsi="Arial Narrow"/>
                <w:noProof/>
                <w:color w:val="006100"/>
                <w:sz w:val="20"/>
              </w:rPr>
              <w:t>35 papildu pakalpojumi ir izvietoti INP iestāžu tīmekļa vietnē (</w:t>
            </w:r>
            <w:hyperlink r:id="rId36" w:history="1">
              <w:r>
                <w:rPr>
                  <w:rStyle w:val="Hyperlink"/>
                  <w:rFonts w:ascii="Arial Narrow" w:hAnsi="Arial Narrow"/>
                  <w:noProof/>
                  <w:sz w:val="20"/>
                </w:rPr>
                <w:t>www.inps.it</w:t>
              </w:r>
            </w:hyperlink>
            <w:r>
              <w:rPr>
                <w:rFonts w:ascii="Arial Narrow" w:hAnsi="Arial Narrow"/>
                <w:noProof/>
                <w:color w:val="006100"/>
                <w:sz w:val="20"/>
              </w:rPr>
              <w:t>).</w:t>
            </w:r>
          </w:p>
          <w:p w14:paraId="3176687E" w14:textId="77777777" w:rsidR="00C972CB" w:rsidRDefault="002457F6">
            <w:pPr>
              <w:pStyle w:val="P68B1DB1-Normal11"/>
              <w:spacing w:after="120"/>
              <w:rPr>
                <w:noProof/>
              </w:rPr>
            </w:pPr>
            <w:r>
              <w:rPr>
                <w:noProof/>
              </w:rPr>
              <w:t xml:space="preserve">Pakalpojumiem </w:t>
            </w:r>
            <w:r>
              <w:rPr>
                <w:noProof/>
              </w:rPr>
              <w:t>jābūt pieejamiem institucionālajā vietnē, izmantojot atbilstošu profilēšanas loģiku (sistēma piedāvās pakalpojumus ar iespējamu interesi, pamatojoties uz vecumu, darba īpašībām, saņemtajiem ieguvumiem un lietotāju vēsturi).</w:t>
            </w:r>
          </w:p>
          <w:p w14:paraId="26937946" w14:textId="77777777" w:rsidR="00C972CB" w:rsidRDefault="002457F6">
            <w:pPr>
              <w:pStyle w:val="P68B1DB1-Normal11"/>
              <w:spacing w:after="120"/>
              <w:rPr>
                <w:noProof/>
              </w:rPr>
            </w:pPr>
            <w:r>
              <w:rPr>
                <w:noProof/>
              </w:rPr>
              <w:t>35 pakalpojumi ir saistīti ar šā</w:t>
            </w:r>
            <w:r>
              <w:rPr>
                <w:noProof/>
              </w:rPr>
              <w:t>dām INPS institucionālajām jomām:</w:t>
            </w:r>
          </w:p>
          <w:p w14:paraId="02A0418F" w14:textId="77777777" w:rsidR="00C972CB" w:rsidRDefault="002457F6">
            <w:pPr>
              <w:pStyle w:val="P68B1DB1-Normal11"/>
              <w:spacing w:after="120"/>
              <w:contextualSpacing/>
              <w:rPr>
                <w:noProof/>
              </w:rPr>
            </w:pPr>
            <w:r>
              <w:rPr>
                <w:noProof/>
              </w:rPr>
              <w:t>•Pensiju pabalsti</w:t>
            </w:r>
          </w:p>
          <w:p w14:paraId="58FFB73B" w14:textId="77777777" w:rsidR="00C972CB" w:rsidRDefault="002457F6">
            <w:pPr>
              <w:pStyle w:val="P68B1DB1-Normal11"/>
              <w:spacing w:after="120"/>
              <w:contextualSpacing/>
              <w:rPr>
                <w:noProof/>
              </w:rPr>
            </w:pPr>
            <w:r>
              <w:rPr>
                <w:noProof/>
              </w:rPr>
              <w:t>•Sociālie šaha absorbētāji</w:t>
            </w:r>
          </w:p>
          <w:p w14:paraId="652539AF" w14:textId="77777777" w:rsidR="00C972CB" w:rsidRDefault="002457F6">
            <w:pPr>
              <w:pStyle w:val="P68B1DB1-Normal11"/>
              <w:spacing w:after="120"/>
              <w:contextualSpacing/>
              <w:rPr>
                <w:noProof/>
              </w:rPr>
            </w:pPr>
            <w:r>
              <w:rPr>
                <w:noProof/>
              </w:rPr>
              <w:t>•Bezdarbnieka pabalsti</w:t>
            </w:r>
          </w:p>
          <w:p w14:paraId="6022EAF4" w14:textId="77777777" w:rsidR="00C972CB" w:rsidRDefault="002457F6">
            <w:pPr>
              <w:pStyle w:val="P68B1DB1-Normal11"/>
              <w:spacing w:after="120"/>
              <w:contextualSpacing/>
              <w:rPr>
                <w:noProof/>
              </w:rPr>
            </w:pPr>
            <w:r>
              <w:rPr>
                <w:noProof/>
              </w:rPr>
              <w:t>•Invaliditātes pabalsti</w:t>
            </w:r>
          </w:p>
          <w:p w14:paraId="369C8090" w14:textId="77777777" w:rsidR="00C972CB" w:rsidRDefault="002457F6">
            <w:pPr>
              <w:pStyle w:val="P68B1DB1-Normal11"/>
              <w:spacing w:after="120"/>
              <w:contextualSpacing/>
              <w:rPr>
                <w:noProof/>
              </w:rPr>
            </w:pPr>
            <w:r>
              <w:rPr>
                <w:noProof/>
              </w:rPr>
              <w:t>•Atbrīvojumi</w:t>
            </w:r>
          </w:p>
          <w:p w14:paraId="2CFCD9B3" w14:textId="77777777" w:rsidR="00C972CB" w:rsidRDefault="002457F6">
            <w:pPr>
              <w:pStyle w:val="P68B1DB1-Normal11"/>
              <w:spacing w:after="120"/>
              <w:contextualSpacing/>
              <w:rPr>
                <w:noProof/>
              </w:rPr>
            </w:pPr>
            <w:r>
              <w:rPr>
                <w:noProof/>
              </w:rPr>
              <w:t>•Uzņēmuma iemaksu iekasēšana</w:t>
            </w:r>
          </w:p>
          <w:p w14:paraId="7B386324" w14:textId="77777777" w:rsidR="00C972CB" w:rsidRDefault="002457F6">
            <w:pPr>
              <w:pStyle w:val="P68B1DB1-Normal11"/>
              <w:spacing w:after="120"/>
              <w:contextualSpacing/>
              <w:rPr>
                <w:noProof/>
              </w:rPr>
            </w:pPr>
            <w:r>
              <w:rPr>
                <w:noProof/>
              </w:rPr>
              <w:t>•Lauksaimniecības darbinieku pakalpojumi</w:t>
            </w:r>
          </w:p>
          <w:p w14:paraId="3D406858" w14:textId="77777777" w:rsidR="00C972CB" w:rsidRDefault="002457F6">
            <w:pPr>
              <w:pStyle w:val="P68B1DB1-Normal11"/>
              <w:spacing w:after="120"/>
              <w:rPr>
                <w:noProof/>
              </w:rPr>
            </w:pPr>
            <w:r>
              <w:rPr>
                <w:noProof/>
              </w:rPr>
              <w:t>•Krāpšanas, korupcijas un pārredzamības pakalpo</w:t>
            </w:r>
            <w:r>
              <w:rPr>
                <w:noProof/>
              </w:rPr>
              <w:t>jumi</w:t>
            </w:r>
          </w:p>
          <w:p w14:paraId="6AEFD301" w14:textId="77777777" w:rsidR="00C972CB" w:rsidRDefault="002457F6">
            <w:pPr>
              <w:pStyle w:val="P68B1DB1-Normal11"/>
              <w:spacing w:before="120" w:after="120"/>
              <w:rPr>
                <w:noProof/>
              </w:rPr>
            </w:pPr>
            <w:r>
              <w:rPr>
                <w:noProof/>
              </w:rPr>
              <w:t>Uzskaitītajās institucionālajās jomās pakalpojumi, kas tiks īstenoti, attieksies uz pakalpojumu pieprasījumu digitālu iesniegšanu, pabalstu prasību pārbaudi, lietotāju veiktās prakses statusa uzraudzību, proaktīvu pakalpojumu piedāvāšanu, pamatojoties</w:t>
            </w:r>
            <w:r>
              <w:rPr>
                <w:noProof/>
              </w:rPr>
              <w:t xml:space="preserve"> uz lietotāju vajadzībām, pabalstu automātisku atjaunošanu bez vajadzības pēc jauniem pieteikumiem.</w:t>
            </w:r>
          </w:p>
          <w:p w14:paraId="0D7EC1CE" w14:textId="77777777" w:rsidR="00C972CB" w:rsidRDefault="002457F6">
            <w:pPr>
              <w:pStyle w:val="P68B1DB1-Normal11"/>
              <w:spacing w:after="120"/>
              <w:rPr>
                <w:noProof/>
              </w:rPr>
            </w:pPr>
            <w:r>
              <w:rPr>
                <w:noProof/>
              </w:rPr>
              <w:t>Visbeidzot, ir uzraudzības infopaneļi, kas ļauj INPS uzraudzīt sniegtos ieguvumus un uz datiem balstītu atbalstu politikas veidotāju lēmumu pieņemšanā.</w:t>
            </w:r>
          </w:p>
        </w:tc>
      </w:tr>
      <w:tr w:rsidR="00C972CB" w14:paraId="2BF47167" w14:textId="77777777">
        <w:trPr>
          <w:trHeight w:val="309"/>
        </w:trPr>
        <w:tc>
          <w:tcPr>
            <w:tcW w:w="1284" w:type="dxa"/>
            <w:shd w:val="clear" w:color="auto" w:fill="C6EFCE"/>
            <w:noWrap/>
            <w:vAlign w:val="center"/>
          </w:tcPr>
          <w:p w14:paraId="1F2DCFA2" w14:textId="77777777" w:rsidR="00C972CB" w:rsidRDefault="002457F6">
            <w:pPr>
              <w:pStyle w:val="P68B1DB1-Normal11"/>
              <w:jc w:val="center"/>
              <w:rPr>
                <w:noProof/>
              </w:rPr>
            </w:pPr>
            <w:r>
              <w:rPr>
                <w:noProof/>
              </w:rPr>
              <w:t>M1C1–124</w:t>
            </w:r>
          </w:p>
        </w:tc>
        <w:tc>
          <w:tcPr>
            <w:tcW w:w="1746" w:type="dxa"/>
            <w:shd w:val="clear" w:color="auto" w:fill="C6EFCE"/>
            <w:noWrap/>
            <w:vAlign w:val="center"/>
          </w:tcPr>
          <w:p w14:paraId="3B832B61" w14:textId="77777777" w:rsidR="00C972CB" w:rsidRDefault="002457F6">
            <w:pPr>
              <w:pStyle w:val="P68B1DB1-Normal11"/>
              <w:jc w:val="center"/>
              <w:rPr>
                <w:noProof/>
              </w:rPr>
            </w:pPr>
            <w:r>
              <w:rPr>
                <w:noProof/>
              </w:rPr>
              <w:t>Ieguldījums 1.6.3. — Valsts sociālā nodrošinājuma institūta (INPS) un Valsts apdrošināšanas institūta pret nelaimes gadījumiem darbā (INAIL) digitalizācija</w:t>
            </w:r>
          </w:p>
        </w:tc>
        <w:tc>
          <w:tcPr>
            <w:tcW w:w="992" w:type="dxa"/>
            <w:shd w:val="clear" w:color="auto" w:fill="C6EFCE"/>
            <w:noWrap/>
            <w:vAlign w:val="center"/>
          </w:tcPr>
          <w:p w14:paraId="3224048D"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2ACF66AC" w14:textId="77777777" w:rsidR="00C972CB" w:rsidRDefault="002457F6">
            <w:pPr>
              <w:pStyle w:val="P68B1DB1-Normal11"/>
              <w:jc w:val="center"/>
              <w:rPr>
                <w:noProof/>
              </w:rPr>
            </w:pPr>
            <w:r>
              <w:rPr>
                <w:noProof/>
              </w:rPr>
              <w:t xml:space="preserve">INPS — Darba ņēmēji ar uzlabotām informācijas un komunikācijas tehnoloģiju (IKT) </w:t>
            </w:r>
            <w:r>
              <w:rPr>
                <w:noProof/>
              </w:rPr>
              <w:t>prasmēm T1</w:t>
            </w:r>
          </w:p>
        </w:tc>
        <w:tc>
          <w:tcPr>
            <w:tcW w:w="1701" w:type="dxa"/>
            <w:shd w:val="clear" w:color="auto" w:fill="C6EFCE"/>
            <w:noWrap/>
            <w:vAlign w:val="center"/>
          </w:tcPr>
          <w:p w14:paraId="71A298F7"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05D33CB0"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13CBD048" w14:textId="77777777" w:rsidR="00C972CB" w:rsidRDefault="002457F6">
            <w:pPr>
              <w:pStyle w:val="P68B1DB1-Normal11"/>
              <w:jc w:val="center"/>
              <w:rPr>
                <w:noProof/>
              </w:rPr>
            </w:pPr>
            <w:r>
              <w:rPr>
                <w:noProof/>
              </w:rPr>
              <w:t>0</w:t>
            </w:r>
          </w:p>
        </w:tc>
        <w:tc>
          <w:tcPr>
            <w:tcW w:w="1417" w:type="dxa"/>
            <w:shd w:val="clear" w:color="auto" w:fill="C6EFCE"/>
            <w:noWrap/>
            <w:vAlign w:val="center"/>
          </w:tcPr>
          <w:p w14:paraId="0D02114F" w14:textId="77777777" w:rsidR="00C972CB" w:rsidRDefault="002457F6">
            <w:pPr>
              <w:pStyle w:val="P68B1DB1-Normal11"/>
              <w:jc w:val="center"/>
              <w:rPr>
                <w:noProof/>
              </w:rPr>
            </w:pPr>
            <w:r>
              <w:rPr>
                <w:noProof/>
              </w:rPr>
              <w:t>4 250</w:t>
            </w:r>
          </w:p>
        </w:tc>
        <w:tc>
          <w:tcPr>
            <w:tcW w:w="793" w:type="dxa"/>
            <w:shd w:val="clear" w:color="auto" w:fill="C6EFCE"/>
            <w:noWrap/>
            <w:vAlign w:val="center"/>
          </w:tcPr>
          <w:p w14:paraId="235EAB30"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01DA1FB7" w14:textId="77777777" w:rsidR="00C972CB" w:rsidRDefault="002457F6">
            <w:pPr>
              <w:pStyle w:val="P68B1DB1-Normal11"/>
              <w:jc w:val="center"/>
              <w:rPr>
                <w:noProof/>
              </w:rPr>
            </w:pPr>
            <w:r>
              <w:rPr>
                <w:noProof/>
              </w:rPr>
              <w:t>2022</w:t>
            </w:r>
          </w:p>
        </w:tc>
        <w:tc>
          <w:tcPr>
            <w:tcW w:w="2584" w:type="dxa"/>
            <w:shd w:val="clear" w:color="auto" w:fill="C6EFCE"/>
            <w:noWrap/>
            <w:vAlign w:val="center"/>
          </w:tcPr>
          <w:p w14:paraId="54818958" w14:textId="77777777" w:rsidR="00C972CB" w:rsidRDefault="002457F6">
            <w:pPr>
              <w:pStyle w:val="P68B1DB1-Normal11"/>
              <w:spacing w:after="120"/>
              <w:rPr>
                <w:noProof/>
              </w:rPr>
            </w:pPr>
            <w:r>
              <w:rPr>
                <w:noProof/>
              </w:rPr>
              <w:t>Vismaz 4250 INPS darbinieki, kas novērtēti pēc viņu informācijas un ar sertificētām uzlabotām prasmēm šādās Eiropas e-kompetences sistēmas jomās: plāns; celt; III) Run (iv) Iespējams; pārvaldība.</w:t>
            </w:r>
          </w:p>
          <w:p w14:paraId="0C86D70B" w14:textId="77777777" w:rsidR="00C972CB" w:rsidRDefault="002457F6">
            <w:pPr>
              <w:pStyle w:val="P68B1DB1-Normal11"/>
              <w:spacing w:after="120"/>
              <w:rPr>
                <w:noProof/>
              </w:rPr>
            </w:pPr>
            <w:r>
              <w:rPr>
                <w:noProof/>
              </w:rPr>
              <w:t>Jomas, kurā</w:t>
            </w:r>
            <w:r>
              <w:rPr>
                <w:noProof/>
              </w:rPr>
              <w:t>s jāuzlabo kompetences, tiks noteiktas atbilstoši izglītojamo mērķgrupai.</w:t>
            </w:r>
          </w:p>
        </w:tc>
      </w:tr>
      <w:tr w:rsidR="00C972CB" w14:paraId="1C14BB81" w14:textId="77777777">
        <w:trPr>
          <w:trHeight w:val="309"/>
        </w:trPr>
        <w:tc>
          <w:tcPr>
            <w:tcW w:w="1284" w:type="dxa"/>
            <w:shd w:val="clear" w:color="auto" w:fill="C6EFCE"/>
            <w:noWrap/>
            <w:vAlign w:val="center"/>
          </w:tcPr>
          <w:p w14:paraId="5BAF3CEE" w14:textId="77777777" w:rsidR="00C972CB" w:rsidRDefault="002457F6">
            <w:pPr>
              <w:pStyle w:val="P68B1DB1-Normal11"/>
              <w:jc w:val="center"/>
              <w:rPr>
                <w:noProof/>
              </w:rPr>
            </w:pPr>
            <w:r>
              <w:rPr>
                <w:noProof/>
              </w:rPr>
              <w:t>M1C1–125</w:t>
            </w:r>
          </w:p>
        </w:tc>
        <w:tc>
          <w:tcPr>
            <w:tcW w:w="1746" w:type="dxa"/>
            <w:shd w:val="clear" w:color="auto" w:fill="C6EFCE"/>
            <w:noWrap/>
            <w:vAlign w:val="center"/>
          </w:tcPr>
          <w:p w14:paraId="6CC15F5C" w14:textId="77777777" w:rsidR="00C972CB" w:rsidRDefault="002457F6">
            <w:pPr>
              <w:pStyle w:val="P68B1DB1-Normal11"/>
              <w:jc w:val="center"/>
              <w:rPr>
                <w:noProof/>
              </w:rPr>
            </w:pPr>
            <w:r>
              <w:rPr>
                <w:noProof/>
              </w:rPr>
              <w:t>Ieguldījums 1.2 — Mākoņdatošanas iespējas vietējai Palestīniešu pašpārvaldei</w:t>
            </w:r>
          </w:p>
        </w:tc>
        <w:tc>
          <w:tcPr>
            <w:tcW w:w="992" w:type="dxa"/>
            <w:shd w:val="clear" w:color="auto" w:fill="C6EFCE"/>
            <w:noWrap/>
            <w:vAlign w:val="center"/>
          </w:tcPr>
          <w:p w14:paraId="517431A6" w14:textId="77777777" w:rsidR="00C972CB" w:rsidRDefault="002457F6">
            <w:pPr>
              <w:pStyle w:val="P68B1DB1-Normal11"/>
              <w:jc w:val="center"/>
              <w:rPr>
                <w:noProof/>
              </w:rPr>
            </w:pPr>
            <w:r>
              <w:rPr>
                <w:noProof/>
              </w:rPr>
              <w:t>Starpposma mērķis</w:t>
            </w:r>
          </w:p>
        </w:tc>
        <w:tc>
          <w:tcPr>
            <w:tcW w:w="2126" w:type="dxa"/>
            <w:shd w:val="clear" w:color="auto" w:fill="C6EFCE"/>
            <w:noWrap/>
            <w:vAlign w:val="center"/>
          </w:tcPr>
          <w:p w14:paraId="71A1966D" w14:textId="77777777" w:rsidR="00C972CB" w:rsidRDefault="002457F6">
            <w:pPr>
              <w:pStyle w:val="P68B1DB1-Normal11"/>
              <w:jc w:val="center"/>
              <w:rPr>
                <w:noProof/>
              </w:rPr>
            </w:pPr>
            <w:r>
              <w:rPr>
                <w:noProof/>
              </w:rPr>
              <w:t>Publiskā iepirkuma līgumu slēgšanas tiesību piešķiršana (visos) konkursos par</w:t>
            </w:r>
            <w:r>
              <w:rPr>
                <w:noProof/>
              </w:rPr>
              <w:t xml:space="preserve"> mākoni</w:t>
            </w:r>
          </w:p>
        </w:tc>
        <w:tc>
          <w:tcPr>
            <w:tcW w:w="1701" w:type="dxa"/>
            <w:shd w:val="clear" w:color="auto" w:fill="C6EFCE"/>
            <w:noWrap/>
            <w:vAlign w:val="center"/>
          </w:tcPr>
          <w:p w14:paraId="5F14CDBB" w14:textId="77777777" w:rsidR="00C972CB" w:rsidRDefault="002457F6">
            <w:pPr>
              <w:pStyle w:val="P68B1DB1-Normal11"/>
              <w:jc w:val="center"/>
              <w:rPr>
                <w:noProof/>
              </w:rPr>
            </w:pPr>
            <w:r>
              <w:rPr>
                <w:noProof/>
              </w:rPr>
              <w:t>Paziņojums par (visu) publiskā iepirkuma līgumu slēgšanas tiesību piešķiršanu pašvaldību publiskā iepirkuma konkursos par mākoni</w:t>
            </w:r>
          </w:p>
        </w:tc>
        <w:tc>
          <w:tcPr>
            <w:tcW w:w="1134" w:type="dxa"/>
            <w:shd w:val="clear" w:color="auto" w:fill="C6EFCE"/>
            <w:noWrap/>
            <w:vAlign w:val="center"/>
          </w:tcPr>
          <w:p w14:paraId="3C255BC5" w14:textId="77777777" w:rsidR="00C972CB" w:rsidRDefault="002457F6">
            <w:pPr>
              <w:pStyle w:val="P68B1DB1-Normal11"/>
              <w:jc w:val="center"/>
              <w:rPr>
                <w:noProof/>
              </w:rPr>
            </w:pPr>
            <w:r>
              <w:rPr>
                <w:noProof/>
              </w:rPr>
              <w:t>NEPIEMĒRO</w:t>
            </w:r>
          </w:p>
        </w:tc>
        <w:tc>
          <w:tcPr>
            <w:tcW w:w="1276" w:type="dxa"/>
            <w:shd w:val="clear" w:color="auto" w:fill="C6EFCE"/>
            <w:noWrap/>
            <w:vAlign w:val="center"/>
          </w:tcPr>
          <w:p w14:paraId="003E706F" w14:textId="77777777" w:rsidR="00C972CB" w:rsidRDefault="002457F6">
            <w:pPr>
              <w:pStyle w:val="P68B1DB1-Normal11"/>
              <w:jc w:val="center"/>
              <w:rPr>
                <w:noProof/>
              </w:rPr>
            </w:pPr>
            <w:r>
              <w:rPr>
                <w:noProof/>
              </w:rPr>
              <w:t>NEPIEMĒRO</w:t>
            </w:r>
          </w:p>
        </w:tc>
        <w:tc>
          <w:tcPr>
            <w:tcW w:w="1417" w:type="dxa"/>
            <w:shd w:val="clear" w:color="auto" w:fill="C6EFCE"/>
            <w:noWrap/>
            <w:vAlign w:val="center"/>
          </w:tcPr>
          <w:p w14:paraId="766BF9F5" w14:textId="77777777" w:rsidR="00C972CB" w:rsidRDefault="002457F6">
            <w:pPr>
              <w:pStyle w:val="P68B1DB1-Normal11"/>
              <w:jc w:val="center"/>
              <w:rPr>
                <w:noProof/>
              </w:rPr>
            </w:pPr>
            <w:r>
              <w:rPr>
                <w:noProof/>
              </w:rPr>
              <w:t>NEPIEMĒRO</w:t>
            </w:r>
          </w:p>
        </w:tc>
        <w:tc>
          <w:tcPr>
            <w:tcW w:w="793" w:type="dxa"/>
            <w:shd w:val="clear" w:color="auto" w:fill="C6EFCE"/>
            <w:noWrap/>
            <w:vAlign w:val="center"/>
          </w:tcPr>
          <w:p w14:paraId="27612F95" w14:textId="77777777" w:rsidR="00C972CB" w:rsidRDefault="002457F6">
            <w:pPr>
              <w:pStyle w:val="P68B1DB1-Normal11"/>
              <w:jc w:val="center"/>
              <w:rPr>
                <w:noProof/>
              </w:rPr>
            </w:pPr>
            <w:r>
              <w:rPr>
                <w:noProof/>
              </w:rPr>
              <w:t>1. CET.</w:t>
            </w:r>
          </w:p>
        </w:tc>
        <w:tc>
          <w:tcPr>
            <w:tcW w:w="625" w:type="dxa"/>
            <w:shd w:val="clear" w:color="auto" w:fill="C6EFCE"/>
            <w:noWrap/>
            <w:vAlign w:val="center"/>
          </w:tcPr>
          <w:p w14:paraId="566B277E"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67D6E7BC" w14:textId="77777777" w:rsidR="00C972CB" w:rsidRDefault="002457F6">
            <w:pPr>
              <w:pStyle w:val="P68B1DB1-Normal11"/>
              <w:spacing w:after="120"/>
              <w:rPr>
                <w:noProof/>
              </w:rPr>
            </w:pPr>
            <w:r>
              <w:rPr>
                <w:noProof/>
              </w:rPr>
              <w:t>Paziņojums par (visu) publisko uzaicinājumu piešķiršanu katram iesaistītajam</w:t>
            </w:r>
            <w:r>
              <w:rPr>
                <w:noProof/>
              </w:rPr>
              <w:t xml:space="preserve"> valsts pārvaldes veidam (pašvaldības, skolas, vietējās veselības aprūpes aģentūras), lai apkopotu un novērtētu migrācijas plānus. Izsludinot trīs īpašus uzaicinājumus, Tehniskās inovācijas un digitālās pārkārtošanās ministrija var novērtēt katra iesaistīt</w:t>
            </w:r>
            <w:r>
              <w:rPr>
                <w:noProof/>
              </w:rPr>
              <w:t>ās valsts pārvaldes veida ļoti īpašās vajadzības.</w:t>
            </w:r>
          </w:p>
          <w:p w14:paraId="3A8504C5" w14:textId="77777777" w:rsidR="00C972CB" w:rsidRDefault="002457F6">
            <w:pPr>
              <w:pStyle w:val="P68B1DB1-Normal11"/>
              <w:spacing w:after="120"/>
              <w:rPr>
                <w:noProof/>
              </w:rPr>
            </w:pPr>
            <w:r>
              <w:rPr>
                <w:noProof/>
              </w:rPr>
              <w:t>Piešķirtie piedāvājumi (t. i., to valsts pārvaldes iestāžu saraksta publicēšana, kurām atļauts saņemt finansējumu) attiecās uz trim publiskiem uzaicinājumiem iesniegt priekšlikumus attiecīgi pašvaldībām, sk</w:t>
            </w:r>
            <w:r>
              <w:rPr>
                <w:noProof/>
              </w:rPr>
              <w:t>olām un vietējām veselības aprūpes aģentūrām, lai vāktu un novērtētu migrācijas plānus saskaņā ar Tehniskajiem norādījumiem “Nenodarīt būtisku kaitējumu” (2021/C58/01), izmantojot izslēgšanas sarakstu un prasību par atbilstību attiecīgajiem ES un valsts ti</w:t>
            </w:r>
            <w:r>
              <w:rPr>
                <w:noProof/>
              </w:rPr>
              <w:t>esību aktiem vides jomā.</w:t>
            </w:r>
          </w:p>
        </w:tc>
      </w:tr>
      <w:tr w:rsidR="00C972CB" w14:paraId="0E7C9058" w14:textId="77777777">
        <w:trPr>
          <w:trHeight w:val="309"/>
        </w:trPr>
        <w:tc>
          <w:tcPr>
            <w:tcW w:w="1284" w:type="dxa"/>
            <w:shd w:val="clear" w:color="auto" w:fill="C6EFCE"/>
            <w:noWrap/>
            <w:vAlign w:val="center"/>
          </w:tcPr>
          <w:p w14:paraId="626A17B5" w14:textId="77777777" w:rsidR="00C972CB" w:rsidRDefault="002457F6">
            <w:pPr>
              <w:pStyle w:val="P68B1DB1-Normal11"/>
              <w:jc w:val="center"/>
              <w:rPr>
                <w:noProof/>
              </w:rPr>
            </w:pPr>
            <w:r>
              <w:rPr>
                <w:noProof/>
              </w:rPr>
              <w:t>M1C1–126</w:t>
            </w:r>
          </w:p>
        </w:tc>
        <w:tc>
          <w:tcPr>
            <w:tcW w:w="1746" w:type="dxa"/>
            <w:shd w:val="clear" w:color="auto" w:fill="C6EFCE"/>
            <w:noWrap/>
            <w:vAlign w:val="center"/>
          </w:tcPr>
          <w:p w14:paraId="1B1C5E69" w14:textId="77777777" w:rsidR="00C972CB" w:rsidRDefault="002457F6">
            <w:pPr>
              <w:pStyle w:val="P68B1DB1-Normal11"/>
              <w:jc w:val="center"/>
              <w:rPr>
                <w:noProof/>
              </w:rPr>
            </w:pPr>
            <w:r>
              <w:rPr>
                <w:noProof/>
              </w:rPr>
              <w:t>Ieguldījums 1.4.3. PagoPA platformas pakalpojumu un lietotnes “IO” pieņemšana</w:t>
            </w:r>
          </w:p>
        </w:tc>
        <w:tc>
          <w:tcPr>
            <w:tcW w:w="992" w:type="dxa"/>
            <w:shd w:val="clear" w:color="auto" w:fill="C6EFCE"/>
            <w:noWrap/>
            <w:vAlign w:val="center"/>
          </w:tcPr>
          <w:p w14:paraId="2A5EABF3"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0CF75FE6" w14:textId="77777777" w:rsidR="00C972CB" w:rsidRDefault="002457F6">
            <w:pPr>
              <w:pStyle w:val="P68B1DB1-Normal11"/>
              <w:jc w:val="center"/>
              <w:rPr>
                <w:noProof/>
              </w:rPr>
            </w:pPr>
            <w:r>
              <w:rPr>
                <w:noProof/>
              </w:rPr>
              <w:t>PagoPA platformas pakalpojumu ieviešana T1</w:t>
            </w:r>
          </w:p>
        </w:tc>
        <w:tc>
          <w:tcPr>
            <w:tcW w:w="1701" w:type="dxa"/>
            <w:shd w:val="clear" w:color="auto" w:fill="C6EFCE"/>
            <w:noWrap/>
            <w:vAlign w:val="center"/>
          </w:tcPr>
          <w:p w14:paraId="0926AD23"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2BCCBC22"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685A2277" w14:textId="77777777" w:rsidR="00C972CB" w:rsidRDefault="002457F6">
            <w:pPr>
              <w:pStyle w:val="P68B1DB1-Normal11"/>
              <w:jc w:val="center"/>
              <w:rPr>
                <w:noProof/>
              </w:rPr>
            </w:pPr>
            <w:r>
              <w:rPr>
                <w:noProof/>
              </w:rPr>
              <w:t>9 000</w:t>
            </w:r>
          </w:p>
        </w:tc>
        <w:tc>
          <w:tcPr>
            <w:tcW w:w="1417" w:type="dxa"/>
            <w:shd w:val="clear" w:color="auto" w:fill="C6EFCE"/>
            <w:noWrap/>
            <w:vAlign w:val="center"/>
          </w:tcPr>
          <w:p w14:paraId="64E91F52" w14:textId="77777777" w:rsidR="00C972CB" w:rsidRDefault="002457F6">
            <w:pPr>
              <w:pStyle w:val="P68B1DB1-Normal11"/>
              <w:jc w:val="center"/>
              <w:rPr>
                <w:noProof/>
              </w:rPr>
            </w:pPr>
            <w:r>
              <w:rPr>
                <w:noProof/>
              </w:rPr>
              <w:t xml:space="preserve">11 450 </w:t>
            </w:r>
          </w:p>
        </w:tc>
        <w:tc>
          <w:tcPr>
            <w:tcW w:w="793" w:type="dxa"/>
            <w:shd w:val="clear" w:color="auto" w:fill="C6EFCE"/>
            <w:noWrap/>
            <w:vAlign w:val="center"/>
          </w:tcPr>
          <w:p w14:paraId="5E6382CD"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2A9DCF89"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032F852D" w14:textId="77777777" w:rsidR="00C972CB" w:rsidRDefault="002457F6">
            <w:pPr>
              <w:pStyle w:val="P68B1DB1-Normal11"/>
              <w:spacing w:after="120"/>
              <w:rPr>
                <w:noProof/>
              </w:rPr>
            </w:pPr>
            <w:r>
              <w:rPr>
                <w:noProof/>
              </w:rPr>
              <w:t xml:space="preserve">Nodrošināt platformā integrēto pakalpojumu skaita </w:t>
            </w:r>
            <w:r>
              <w:rPr>
                <w:noProof/>
              </w:rPr>
              <w:t>palielināšanu, lai:</w:t>
            </w:r>
          </w:p>
          <w:p w14:paraId="5114D0FC" w14:textId="77777777" w:rsidR="00C972CB" w:rsidRDefault="002457F6">
            <w:pPr>
              <w:pStyle w:val="P68B1DB1-Normal11"/>
              <w:rPr>
                <w:noProof/>
              </w:rPr>
            </w:pPr>
            <w:r>
              <w:rPr>
                <w:noProof/>
              </w:rPr>
              <w:t>valsts pārvaldes iestādes, kas jau atrodas pamatscenārijā (9000 vienības)</w:t>
            </w:r>
          </w:p>
          <w:p w14:paraId="26A231E3" w14:textId="77777777" w:rsidR="00C972CB" w:rsidRDefault="002457F6">
            <w:pPr>
              <w:pStyle w:val="P68B1DB1-Normal11"/>
              <w:spacing w:after="120"/>
              <w:rPr>
                <w:noProof/>
              </w:rPr>
            </w:pPr>
            <w:r>
              <w:rPr>
                <w:noProof/>
              </w:rPr>
              <w:t>— platformai pievienojas jaunas publiskās pārvaldes iestādes (2450 jaunas struktūras).</w:t>
            </w:r>
          </w:p>
          <w:p w14:paraId="37608FE2" w14:textId="20BEA91E" w:rsidR="00C972CB" w:rsidRDefault="002457F6">
            <w:pPr>
              <w:pStyle w:val="P68B1DB1-Normal11"/>
              <w:spacing w:before="120" w:after="120"/>
              <w:rPr>
                <w:noProof/>
              </w:rPr>
            </w:pPr>
            <w:r>
              <w:rPr>
                <w:noProof/>
              </w:rPr>
              <w:t>Abos gadījumos to valsts pārvaldes iestāžu pakalpojumu kopējais skaits, kur</w:t>
            </w:r>
            <w:r>
              <w:rPr>
                <w:noProof/>
              </w:rPr>
              <w:t>i pievienojas platformai, ir jāpalielina vismaz par 20 % salīdzinājumā ar 2021. gada pakalpojumu bāzlīniju (31.03.2021.). Integrēto pakalpojumu skaits ir atkarīgs no administrācijas veida (galīgais 2026. gada mērķis ir nodrošināt vidēji 35 pakalpojumus paš</w:t>
            </w:r>
            <w:r>
              <w:rPr>
                <w:noProof/>
              </w:rPr>
              <w:t>valdībām, 15 pakalpojumus reģioniem, 15 pakalpojumus veselības aizsardzības iestādēm, 8 pakalpojumus skolām un universitātēm).</w:t>
            </w:r>
          </w:p>
        </w:tc>
      </w:tr>
      <w:tr w:rsidR="00C972CB" w14:paraId="33AD25EA" w14:textId="77777777">
        <w:trPr>
          <w:trHeight w:val="309"/>
        </w:trPr>
        <w:tc>
          <w:tcPr>
            <w:tcW w:w="1284" w:type="dxa"/>
            <w:shd w:val="clear" w:color="auto" w:fill="C6EFCE"/>
            <w:noWrap/>
            <w:vAlign w:val="center"/>
          </w:tcPr>
          <w:p w14:paraId="5BBA3F22" w14:textId="77777777" w:rsidR="00C972CB" w:rsidRDefault="002457F6">
            <w:pPr>
              <w:pStyle w:val="P68B1DB1-Normal11"/>
              <w:jc w:val="center"/>
              <w:rPr>
                <w:noProof/>
              </w:rPr>
            </w:pPr>
            <w:r>
              <w:rPr>
                <w:noProof/>
              </w:rPr>
              <w:t>M1C1–127</w:t>
            </w:r>
          </w:p>
        </w:tc>
        <w:tc>
          <w:tcPr>
            <w:tcW w:w="1746" w:type="dxa"/>
            <w:shd w:val="clear" w:color="auto" w:fill="C6EFCE"/>
            <w:noWrap/>
            <w:vAlign w:val="center"/>
          </w:tcPr>
          <w:p w14:paraId="1314D9EA" w14:textId="77777777" w:rsidR="00C972CB" w:rsidRDefault="002457F6">
            <w:pPr>
              <w:pStyle w:val="P68B1DB1-Normal11"/>
              <w:jc w:val="center"/>
              <w:rPr>
                <w:noProof/>
              </w:rPr>
            </w:pPr>
            <w:r>
              <w:rPr>
                <w:noProof/>
              </w:rPr>
              <w:t>Ieguldījums 1.4.3. PagoPA platformas pakalpojumu un lietotnes “IO” pieņemšana</w:t>
            </w:r>
          </w:p>
        </w:tc>
        <w:tc>
          <w:tcPr>
            <w:tcW w:w="992" w:type="dxa"/>
            <w:shd w:val="clear" w:color="auto" w:fill="C6EFCE"/>
            <w:noWrap/>
            <w:vAlign w:val="center"/>
          </w:tcPr>
          <w:p w14:paraId="21F8A254"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5A782C75" w14:textId="77777777" w:rsidR="00C972CB" w:rsidRDefault="002457F6">
            <w:pPr>
              <w:pStyle w:val="P68B1DB1-Normal11"/>
              <w:jc w:val="center"/>
              <w:rPr>
                <w:noProof/>
              </w:rPr>
            </w:pPr>
            <w:r>
              <w:rPr>
                <w:noProof/>
              </w:rPr>
              <w:t>“IO” lietotnes T1 pieņemšana</w:t>
            </w:r>
          </w:p>
        </w:tc>
        <w:tc>
          <w:tcPr>
            <w:tcW w:w="1701" w:type="dxa"/>
            <w:shd w:val="clear" w:color="auto" w:fill="C6EFCE"/>
            <w:noWrap/>
            <w:vAlign w:val="center"/>
          </w:tcPr>
          <w:p w14:paraId="4F4E6A55"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0E5212F4"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7DADC678" w14:textId="77777777" w:rsidR="00C972CB" w:rsidRDefault="002457F6">
            <w:pPr>
              <w:pStyle w:val="P68B1DB1-Normal11"/>
              <w:jc w:val="center"/>
              <w:rPr>
                <w:noProof/>
              </w:rPr>
            </w:pPr>
            <w:r>
              <w:rPr>
                <w:noProof/>
              </w:rPr>
              <w:t>2 700</w:t>
            </w:r>
          </w:p>
        </w:tc>
        <w:tc>
          <w:tcPr>
            <w:tcW w:w="1417" w:type="dxa"/>
            <w:shd w:val="clear" w:color="auto" w:fill="C6EFCE"/>
            <w:noWrap/>
            <w:vAlign w:val="center"/>
          </w:tcPr>
          <w:p w14:paraId="0EA3F3C4" w14:textId="7AB74CB6" w:rsidR="00C972CB" w:rsidRDefault="002457F6">
            <w:pPr>
              <w:pStyle w:val="P68B1DB1-Normal11"/>
              <w:jc w:val="center"/>
              <w:rPr>
                <w:noProof/>
              </w:rPr>
            </w:pPr>
            <w:r>
              <w:rPr>
                <w:noProof/>
              </w:rPr>
              <w:t>7 000</w:t>
            </w:r>
          </w:p>
        </w:tc>
        <w:tc>
          <w:tcPr>
            <w:tcW w:w="793" w:type="dxa"/>
            <w:shd w:val="clear" w:color="auto" w:fill="C6EFCE"/>
            <w:noWrap/>
            <w:vAlign w:val="center"/>
          </w:tcPr>
          <w:p w14:paraId="42CB5795"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0DEBBD82"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27D1D78E" w14:textId="77777777" w:rsidR="00C972CB" w:rsidRDefault="002457F6">
            <w:pPr>
              <w:pStyle w:val="P68B1DB1-Normal11"/>
              <w:spacing w:after="120"/>
              <w:rPr>
                <w:noProof/>
              </w:rPr>
            </w:pPr>
            <w:r>
              <w:rPr>
                <w:noProof/>
              </w:rPr>
              <w:t>Nodrošināt, ka tiek palielināts to pakalpojumu skaits, kas integrēti “IO:</w:t>
            </w:r>
          </w:p>
          <w:p w14:paraId="38472652" w14:textId="77777777" w:rsidR="00C972CB" w:rsidRDefault="002457F6">
            <w:pPr>
              <w:pStyle w:val="P68B1DB1-Normal11"/>
              <w:spacing w:before="120" w:after="120"/>
              <w:rPr>
                <w:noProof/>
              </w:rPr>
            </w:pPr>
            <w:r>
              <w:rPr>
                <w:noProof/>
              </w:rPr>
              <w:t>valsts pārvaldes iestādes, kas jau atrodas pamatscenārijā (2700 vienības)</w:t>
            </w:r>
          </w:p>
          <w:p w14:paraId="1C95F96C" w14:textId="77777777" w:rsidR="00C972CB" w:rsidRDefault="002457F6">
            <w:pPr>
              <w:pStyle w:val="P68B1DB1-Normal11"/>
              <w:spacing w:before="120" w:after="120"/>
              <w:rPr>
                <w:noProof/>
              </w:rPr>
            </w:pPr>
            <w:r>
              <w:rPr>
                <w:noProof/>
              </w:rPr>
              <w:t>— platformai pievienojas jaunas publiskās pārvaldes iestādes (4300</w:t>
            </w:r>
            <w:r>
              <w:rPr>
                <w:noProof/>
              </w:rPr>
              <w:t xml:space="preserve"> jaunu struktūru).</w:t>
            </w:r>
          </w:p>
          <w:p w14:paraId="408E71B6" w14:textId="3DCE8CD9" w:rsidR="00C972CB" w:rsidRDefault="002457F6">
            <w:pPr>
              <w:pStyle w:val="P68B1DB1-Normal11"/>
              <w:spacing w:before="120" w:after="120"/>
              <w:rPr>
                <w:noProof/>
              </w:rPr>
            </w:pPr>
            <w:r>
              <w:rPr>
                <w:noProof/>
              </w:rPr>
              <w:t>Abos gadījumos to valsts pārvaldes iestāžu pakalpojumu kopējais skaits, kuri pievienojas platformai, ir jāpalielina vismaz par 20 % salīdzinājumā ar 2021. gada pakalpojumu bāzlīniju (31.03.2021.). Integrēto pakalpojumu skaits ir atkarīgs</w:t>
            </w:r>
            <w:r>
              <w:rPr>
                <w:noProof/>
              </w:rPr>
              <w:t xml:space="preserve"> no administrācijas veida (galīgais 2026. gada mērķis ir nodrošināt vidēji 35 pakalpojumus pašvaldībām, 15 pakalpojumus reģioniem, 15 pakalpojumus veselības aizsardzības iestādēm, 8 pakalpojumus skolām un universitātēm).</w:t>
            </w:r>
          </w:p>
        </w:tc>
      </w:tr>
      <w:tr w:rsidR="00C972CB" w14:paraId="00B6E001" w14:textId="77777777">
        <w:trPr>
          <w:trHeight w:val="309"/>
        </w:trPr>
        <w:tc>
          <w:tcPr>
            <w:tcW w:w="1284" w:type="dxa"/>
            <w:shd w:val="clear" w:color="auto" w:fill="C6EFCE"/>
            <w:noWrap/>
            <w:vAlign w:val="center"/>
          </w:tcPr>
          <w:p w14:paraId="149450D6" w14:textId="77777777" w:rsidR="00C972CB" w:rsidRDefault="002457F6">
            <w:pPr>
              <w:pStyle w:val="P68B1DB1-Normal11"/>
              <w:jc w:val="center"/>
              <w:rPr>
                <w:noProof/>
              </w:rPr>
            </w:pPr>
            <w:r>
              <w:rPr>
                <w:noProof/>
              </w:rPr>
              <w:t>M1C1–128</w:t>
            </w:r>
          </w:p>
        </w:tc>
        <w:tc>
          <w:tcPr>
            <w:tcW w:w="1746" w:type="dxa"/>
            <w:shd w:val="clear" w:color="auto" w:fill="C6EFCE"/>
            <w:noWrap/>
            <w:vAlign w:val="center"/>
          </w:tcPr>
          <w:p w14:paraId="18EDD884" w14:textId="77777777" w:rsidR="00C972CB" w:rsidRDefault="002457F6">
            <w:pPr>
              <w:pStyle w:val="P68B1DB1-Normal11"/>
              <w:jc w:val="center"/>
              <w:rPr>
                <w:noProof/>
              </w:rPr>
            </w:pPr>
            <w:r>
              <w:rPr>
                <w:noProof/>
              </w:rPr>
              <w:t xml:space="preserve">Ieguldījums 1.4.5. </w:t>
            </w:r>
            <w:r>
              <w:rPr>
                <w:noProof/>
              </w:rPr>
              <w:t>Publisko paziņojumu digitalizācija</w:t>
            </w:r>
          </w:p>
        </w:tc>
        <w:tc>
          <w:tcPr>
            <w:tcW w:w="992" w:type="dxa"/>
            <w:shd w:val="clear" w:color="auto" w:fill="C6EFCE"/>
            <w:noWrap/>
            <w:vAlign w:val="center"/>
          </w:tcPr>
          <w:p w14:paraId="77981152"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1FDD8109" w14:textId="77777777" w:rsidR="00C972CB" w:rsidRDefault="002457F6">
            <w:pPr>
              <w:pStyle w:val="P68B1DB1-Normal11"/>
              <w:jc w:val="center"/>
              <w:rPr>
                <w:noProof/>
              </w:rPr>
            </w:pPr>
            <w:r>
              <w:rPr>
                <w:noProof/>
              </w:rPr>
              <w:t>Digitālo publisko paziņojumu T1 pieņemšanas paplašināšana</w:t>
            </w:r>
          </w:p>
        </w:tc>
        <w:tc>
          <w:tcPr>
            <w:tcW w:w="1701" w:type="dxa"/>
            <w:shd w:val="clear" w:color="auto" w:fill="C6EFCE"/>
            <w:noWrap/>
            <w:vAlign w:val="center"/>
          </w:tcPr>
          <w:p w14:paraId="0FABEEB2"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51F0CD86"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1E0963A0" w14:textId="77777777" w:rsidR="00C972CB" w:rsidRDefault="002457F6">
            <w:pPr>
              <w:pStyle w:val="P68B1DB1-Normal11"/>
              <w:jc w:val="center"/>
              <w:rPr>
                <w:noProof/>
              </w:rPr>
            </w:pPr>
            <w:r>
              <w:rPr>
                <w:noProof/>
              </w:rPr>
              <w:t>0</w:t>
            </w:r>
          </w:p>
        </w:tc>
        <w:tc>
          <w:tcPr>
            <w:tcW w:w="1417" w:type="dxa"/>
            <w:shd w:val="clear" w:color="auto" w:fill="C6EFCE"/>
            <w:noWrap/>
            <w:vAlign w:val="center"/>
          </w:tcPr>
          <w:p w14:paraId="693FB1B6" w14:textId="77777777" w:rsidR="00C972CB" w:rsidRDefault="002457F6">
            <w:pPr>
              <w:pStyle w:val="P68B1DB1-Normal11"/>
              <w:jc w:val="center"/>
              <w:rPr>
                <w:noProof/>
              </w:rPr>
            </w:pPr>
            <w:r>
              <w:rPr>
                <w:noProof/>
              </w:rPr>
              <w:t>800</w:t>
            </w:r>
          </w:p>
        </w:tc>
        <w:tc>
          <w:tcPr>
            <w:tcW w:w="793" w:type="dxa"/>
            <w:shd w:val="clear" w:color="auto" w:fill="C6EFCE"/>
            <w:noWrap/>
            <w:vAlign w:val="center"/>
          </w:tcPr>
          <w:p w14:paraId="4B9182FC"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285ADEA8"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411C9618" w14:textId="77777777" w:rsidR="00C972CB" w:rsidRDefault="002457F6">
            <w:pPr>
              <w:pStyle w:val="P68B1DB1-Normal11"/>
              <w:spacing w:after="120"/>
              <w:rPr>
                <w:noProof/>
              </w:rPr>
            </w:pPr>
            <w:r>
              <w:rPr>
                <w:noProof/>
              </w:rPr>
              <w:t xml:space="preserve">Vismaz 800 centrālo valsts pārvaldes iestāžu un pašvaldību attiecībā uz digitālo paziņojumu platformu (DNP) sniedz </w:t>
            </w:r>
            <w:r>
              <w:rPr>
                <w:noProof/>
              </w:rPr>
              <w:t>digitālus juridiski saistošus paziņojumus iedzīvotājiem, juridiskām personām, apvienībām un jebkurām citām publiskām vai privātām struktūrām.</w:t>
            </w:r>
          </w:p>
        </w:tc>
      </w:tr>
      <w:tr w:rsidR="00C972CB" w14:paraId="27E292D6" w14:textId="77777777">
        <w:trPr>
          <w:trHeight w:val="309"/>
        </w:trPr>
        <w:tc>
          <w:tcPr>
            <w:tcW w:w="1284" w:type="dxa"/>
            <w:shd w:val="clear" w:color="auto" w:fill="C6EFCE"/>
            <w:noWrap/>
            <w:vAlign w:val="center"/>
          </w:tcPr>
          <w:p w14:paraId="02BC2C35" w14:textId="77777777" w:rsidR="00C972CB" w:rsidRDefault="002457F6">
            <w:pPr>
              <w:pStyle w:val="P68B1DB1-Normal11"/>
              <w:jc w:val="center"/>
              <w:rPr>
                <w:noProof/>
              </w:rPr>
            </w:pPr>
            <w:r>
              <w:rPr>
                <w:noProof/>
              </w:rPr>
              <w:t>M1C1–129</w:t>
            </w:r>
          </w:p>
        </w:tc>
        <w:tc>
          <w:tcPr>
            <w:tcW w:w="1746" w:type="dxa"/>
            <w:shd w:val="clear" w:color="auto" w:fill="C6EFCE"/>
            <w:noWrap/>
            <w:vAlign w:val="center"/>
          </w:tcPr>
          <w:p w14:paraId="07F89652" w14:textId="77777777" w:rsidR="00C972CB" w:rsidRDefault="002457F6">
            <w:pPr>
              <w:pStyle w:val="P68B1DB1-Normal11"/>
              <w:jc w:val="center"/>
              <w:rPr>
                <w:noProof/>
              </w:rPr>
            </w:pPr>
            <w:r>
              <w:rPr>
                <w:noProof/>
              </w:rPr>
              <w:t>Ieguldījums 1.6.1. — Iekšlietu ministrijas digitalizācija</w:t>
            </w:r>
          </w:p>
        </w:tc>
        <w:tc>
          <w:tcPr>
            <w:tcW w:w="992" w:type="dxa"/>
            <w:shd w:val="clear" w:color="auto" w:fill="C6EFCE"/>
            <w:noWrap/>
            <w:vAlign w:val="center"/>
          </w:tcPr>
          <w:p w14:paraId="66AB7514"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5AB7750D" w14:textId="77777777" w:rsidR="00C972CB" w:rsidRDefault="002457F6">
            <w:pPr>
              <w:pStyle w:val="P68B1DB1-Normal11"/>
              <w:jc w:val="center"/>
              <w:rPr>
                <w:noProof/>
              </w:rPr>
            </w:pPr>
            <w:r>
              <w:rPr>
                <w:noProof/>
              </w:rPr>
              <w:t>Iekšlietu ministrija — pilnīgi pārbūvēti</w:t>
            </w:r>
            <w:r>
              <w:rPr>
                <w:noProof/>
              </w:rPr>
              <w:t xml:space="preserve"> un digitalizēti procesi T1</w:t>
            </w:r>
          </w:p>
        </w:tc>
        <w:tc>
          <w:tcPr>
            <w:tcW w:w="1701" w:type="dxa"/>
            <w:shd w:val="clear" w:color="auto" w:fill="C6EFCE"/>
            <w:noWrap/>
            <w:vAlign w:val="center"/>
          </w:tcPr>
          <w:p w14:paraId="4B124CF6"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181F6006"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06B373D1" w14:textId="77777777" w:rsidR="00C972CB" w:rsidRDefault="002457F6">
            <w:pPr>
              <w:pStyle w:val="P68B1DB1-Normal11"/>
              <w:jc w:val="center"/>
              <w:rPr>
                <w:noProof/>
              </w:rPr>
            </w:pPr>
            <w:r>
              <w:rPr>
                <w:noProof/>
              </w:rPr>
              <w:t>0</w:t>
            </w:r>
          </w:p>
        </w:tc>
        <w:tc>
          <w:tcPr>
            <w:tcW w:w="1417" w:type="dxa"/>
            <w:shd w:val="clear" w:color="auto" w:fill="C6EFCE"/>
            <w:noWrap/>
            <w:vAlign w:val="center"/>
          </w:tcPr>
          <w:p w14:paraId="2D6EBDCB" w14:textId="77777777" w:rsidR="00C972CB" w:rsidRDefault="002457F6">
            <w:pPr>
              <w:pStyle w:val="P68B1DB1-Normal11"/>
              <w:jc w:val="center"/>
              <w:rPr>
                <w:noProof/>
              </w:rPr>
            </w:pPr>
            <w:r>
              <w:rPr>
                <w:noProof/>
              </w:rPr>
              <w:t>7</w:t>
            </w:r>
          </w:p>
        </w:tc>
        <w:tc>
          <w:tcPr>
            <w:tcW w:w="793" w:type="dxa"/>
            <w:shd w:val="clear" w:color="auto" w:fill="C6EFCE"/>
            <w:noWrap/>
            <w:vAlign w:val="center"/>
          </w:tcPr>
          <w:p w14:paraId="0C73D650"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52F16C11"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12CB9A13" w14:textId="77777777" w:rsidR="00C972CB" w:rsidRDefault="002457F6">
            <w:pPr>
              <w:pStyle w:val="P68B1DB1-Normal11"/>
              <w:spacing w:after="120"/>
              <w:rPr>
                <w:noProof/>
              </w:rPr>
            </w:pPr>
            <w:r>
              <w:rPr>
                <w:noProof/>
              </w:rPr>
              <w:t xml:space="preserve">Iekšējās procedūras un procesi ir pilnībā pārveidoti (kopumā 7 procesi līdz 2023. gada 31. decembrim) un kurus var pilnībā pabeigt tiešsaistē (piemēram, biroja automatizācija, mobilitātes </w:t>
            </w:r>
            <w:r>
              <w:rPr>
                <w:noProof/>
              </w:rPr>
              <w:t>pakalpojumi un e-mācības).</w:t>
            </w:r>
          </w:p>
        </w:tc>
      </w:tr>
      <w:tr w:rsidR="00C972CB" w14:paraId="64DB2BAA" w14:textId="77777777">
        <w:trPr>
          <w:trHeight w:val="309"/>
        </w:trPr>
        <w:tc>
          <w:tcPr>
            <w:tcW w:w="1284" w:type="dxa"/>
            <w:shd w:val="clear" w:color="auto" w:fill="C6EFCE"/>
            <w:noWrap/>
            <w:vAlign w:val="center"/>
          </w:tcPr>
          <w:p w14:paraId="3A27DD9B" w14:textId="77777777" w:rsidR="00C972CB" w:rsidRDefault="002457F6">
            <w:pPr>
              <w:pStyle w:val="P68B1DB1-Normal11"/>
              <w:jc w:val="center"/>
              <w:rPr>
                <w:noProof/>
              </w:rPr>
            </w:pPr>
            <w:r>
              <w:rPr>
                <w:noProof/>
              </w:rPr>
              <w:t>M1C1–130</w:t>
            </w:r>
          </w:p>
        </w:tc>
        <w:tc>
          <w:tcPr>
            <w:tcW w:w="1746" w:type="dxa"/>
            <w:shd w:val="clear" w:color="auto" w:fill="C6EFCE"/>
            <w:noWrap/>
            <w:vAlign w:val="center"/>
          </w:tcPr>
          <w:p w14:paraId="266D5030" w14:textId="77777777" w:rsidR="00C972CB" w:rsidRDefault="002457F6">
            <w:pPr>
              <w:pStyle w:val="P68B1DB1-Normal11"/>
              <w:jc w:val="center"/>
              <w:rPr>
                <w:noProof/>
              </w:rPr>
            </w:pPr>
            <w:r>
              <w:rPr>
                <w:noProof/>
              </w:rPr>
              <w:t>Ieguldījums 1.6.2. — Tieslietu ministrijas digitalizācija</w:t>
            </w:r>
          </w:p>
        </w:tc>
        <w:tc>
          <w:tcPr>
            <w:tcW w:w="992" w:type="dxa"/>
            <w:shd w:val="clear" w:color="auto" w:fill="C6EFCE"/>
            <w:noWrap/>
            <w:vAlign w:val="center"/>
          </w:tcPr>
          <w:p w14:paraId="4AAA02D9"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773C2E9F" w14:textId="77777777" w:rsidR="00C972CB" w:rsidRDefault="002457F6">
            <w:pPr>
              <w:pStyle w:val="P68B1DB1-Normal11"/>
              <w:jc w:val="center"/>
              <w:rPr>
                <w:noProof/>
              </w:rPr>
            </w:pPr>
            <w:r>
              <w:rPr>
                <w:noProof/>
              </w:rPr>
              <w:t>Digitalizētas tiesu lietas T1</w:t>
            </w:r>
          </w:p>
        </w:tc>
        <w:tc>
          <w:tcPr>
            <w:tcW w:w="1701" w:type="dxa"/>
            <w:shd w:val="clear" w:color="auto" w:fill="C6EFCE"/>
            <w:noWrap/>
            <w:vAlign w:val="center"/>
          </w:tcPr>
          <w:p w14:paraId="5AD58A43"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4D2619F6"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49BEC23E" w14:textId="77777777" w:rsidR="00C972CB" w:rsidRDefault="002457F6">
            <w:pPr>
              <w:pStyle w:val="P68B1DB1-Normal11"/>
              <w:jc w:val="center"/>
              <w:rPr>
                <w:noProof/>
              </w:rPr>
            </w:pPr>
            <w:r>
              <w:rPr>
                <w:noProof/>
              </w:rPr>
              <w:t>0</w:t>
            </w:r>
          </w:p>
        </w:tc>
        <w:tc>
          <w:tcPr>
            <w:tcW w:w="1417" w:type="dxa"/>
            <w:shd w:val="clear" w:color="auto" w:fill="C6EFCE"/>
            <w:noWrap/>
            <w:vAlign w:val="center"/>
          </w:tcPr>
          <w:p w14:paraId="362E9021" w14:textId="339F791C" w:rsidR="00C972CB" w:rsidRDefault="002457F6">
            <w:pPr>
              <w:pStyle w:val="P68B1DB1-Normal12"/>
              <w:jc w:val="center"/>
              <w:rPr>
                <w:rFonts w:ascii="Arial Narrow" w:hAnsi="Arial Narrow"/>
                <w:noProof/>
              </w:rPr>
            </w:pPr>
            <w:r>
              <w:rPr>
                <w:rFonts w:ascii="Arial Narrow" w:hAnsi="Arial Narrow"/>
                <w:noProof/>
              </w:rPr>
              <w:t>3 500</w:t>
            </w:r>
            <w:r>
              <w:rPr>
                <w:noProof/>
              </w:rPr>
              <w:t xml:space="preserve"> </w:t>
            </w:r>
            <w:r>
              <w:rPr>
                <w:rFonts w:ascii="Arial Narrow" w:hAnsi="Arial Narrow"/>
                <w:noProof/>
              </w:rPr>
              <w:t>000</w:t>
            </w:r>
          </w:p>
        </w:tc>
        <w:tc>
          <w:tcPr>
            <w:tcW w:w="793" w:type="dxa"/>
            <w:shd w:val="clear" w:color="auto" w:fill="C6EFCE"/>
            <w:noWrap/>
            <w:vAlign w:val="center"/>
          </w:tcPr>
          <w:p w14:paraId="335C0008"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6B79F5AA"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40D274E4" w14:textId="0241B772" w:rsidR="00C972CB" w:rsidRDefault="002457F6">
            <w:pPr>
              <w:pStyle w:val="P68B1DB1-Normal12"/>
              <w:spacing w:after="120"/>
              <w:rPr>
                <w:rFonts w:ascii="Arial Narrow" w:hAnsi="Arial Narrow"/>
                <w:noProof/>
              </w:rPr>
            </w:pPr>
            <w:r>
              <w:rPr>
                <w:noProof/>
              </w:rPr>
              <w:t xml:space="preserve">3500000 </w:t>
            </w:r>
            <w:r>
              <w:rPr>
                <w:rFonts w:ascii="Arial Narrow" w:hAnsi="Arial Narrow"/>
                <w:noProof/>
              </w:rPr>
              <w:t xml:space="preserve">tiesvedības lietu, kas attiecas uz pēdējiem 20 gadiem </w:t>
            </w:r>
            <w:r>
              <w:rPr>
                <w:rFonts w:ascii="Arial Narrow" w:hAnsi="Arial Narrow"/>
                <w:noProof/>
              </w:rPr>
              <w:t>(01.01.2006.–30.06.2026.), digitalizācija saistībā ar pabeigtām vai notiekošām tiesas prāvām.</w:t>
            </w:r>
          </w:p>
        </w:tc>
      </w:tr>
      <w:tr w:rsidR="00C972CB" w14:paraId="23B3FE24" w14:textId="77777777">
        <w:trPr>
          <w:trHeight w:val="309"/>
        </w:trPr>
        <w:tc>
          <w:tcPr>
            <w:tcW w:w="1284" w:type="dxa"/>
            <w:shd w:val="clear" w:color="auto" w:fill="C6EFCE"/>
            <w:noWrap/>
            <w:vAlign w:val="center"/>
          </w:tcPr>
          <w:p w14:paraId="4726F49F" w14:textId="77777777" w:rsidR="00C972CB" w:rsidRDefault="002457F6">
            <w:pPr>
              <w:pStyle w:val="P68B1DB1-Normal11"/>
              <w:jc w:val="center"/>
              <w:rPr>
                <w:noProof/>
              </w:rPr>
            </w:pPr>
            <w:r>
              <w:rPr>
                <w:noProof/>
              </w:rPr>
              <w:t>M1C1–131</w:t>
            </w:r>
          </w:p>
        </w:tc>
        <w:tc>
          <w:tcPr>
            <w:tcW w:w="1746" w:type="dxa"/>
            <w:shd w:val="clear" w:color="auto" w:fill="C6EFCE"/>
            <w:noWrap/>
            <w:vAlign w:val="center"/>
          </w:tcPr>
          <w:p w14:paraId="3C8345C3" w14:textId="77777777" w:rsidR="00C972CB" w:rsidRDefault="002457F6">
            <w:pPr>
              <w:pStyle w:val="P68B1DB1-Normal11"/>
              <w:jc w:val="center"/>
              <w:rPr>
                <w:noProof/>
              </w:rPr>
            </w:pPr>
            <w:r>
              <w:rPr>
                <w:noProof/>
              </w:rPr>
              <w:t>Ieguldījums 1.6.2. — Tieslietu ministrijas digitalizācija</w:t>
            </w:r>
          </w:p>
        </w:tc>
        <w:tc>
          <w:tcPr>
            <w:tcW w:w="992" w:type="dxa"/>
            <w:shd w:val="clear" w:color="auto" w:fill="C6EFCE"/>
            <w:noWrap/>
            <w:vAlign w:val="center"/>
          </w:tcPr>
          <w:p w14:paraId="1318270E" w14:textId="77777777" w:rsidR="00C972CB" w:rsidRDefault="002457F6">
            <w:pPr>
              <w:pStyle w:val="P68B1DB1-Normal11"/>
              <w:jc w:val="center"/>
              <w:rPr>
                <w:noProof/>
              </w:rPr>
            </w:pPr>
            <w:r>
              <w:rPr>
                <w:noProof/>
              </w:rPr>
              <w:t>Starpposma mērķis</w:t>
            </w:r>
          </w:p>
        </w:tc>
        <w:tc>
          <w:tcPr>
            <w:tcW w:w="2126" w:type="dxa"/>
            <w:shd w:val="clear" w:color="auto" w:fill="C6EFCE"/>
            <w:noWrap/>
            <w:vAlign w:val="center"/>
          </w:tcPr>
          <w:p w14:paraId="209EF611" w14:textId="77777777" w:rsidR="00C972CB" w:rsidRDefault="002457F6">
            <w:pPr>
              <w:pStyle w:val="P68B1DB1-Normal11"/>
              <w:jc w:val="center"/>
              <w:rPr>
                <w:noProof/>
              </w:rPr>
            </w:pPr>
            <w:r>
              <w:rPr>
                <w:noProof/>
              </w:rPr>
              <w:t>Tiesu datu ezera zināšanu sistēmas T1</w:t>
            </w:r>
          </w:p>
        </w:tc>
        <w:tc>
          <w:tcPr>
            <w:tcW w:w="1701" w:type="dxa"/>
            <w:shd w:val="clear" w:color="auto" w:fill="C6EFCE"/>
            <w:noWrap/>
            <w:vAlign w:val="center"/>
          </w:tcPr>
          <w:p w14:paraId="0D52A393" w14:textId="77777777" w:rsidR="00C972CB" w:rsidRDefault="002457F6">
            <w:pPr>
              <w:pStyle w:val="P68B1DB1-Normal11"/>
              <w:jc w:val="center"/>
              <w:rPr>
                <w:noProof/>
              </w:rPr>
            </w:pPr>
            <w:r>
              <w:rPr>
                <w:noProof/>
              </w:rPr>
              <w:t xml:space="preserve">Ziņojums, kas apliecina līguma </w:t>
            </w:r>
            <w:r>
              <w:rPr>
                <w:noProof/>
              </w:rPr>
              <w:t>izpildes sākumu</w:t>
            </w:r>
          </w:p>
        </w:tc>
        <w:tc>
          <w:tcPr>
            <w:tcW w:w="1134" w:type="dxa"/>
            <w:shd w:val="clear" w:color="auto" w:fill="C6EFCE"/>
            <w:noWrap/>
            <w:vAlign w:val="center"/>
          </w:tcPr>
          <w:p w14:paraId="3659F720" w14:textId="77777777" w:rsidR="00C972CB" w:rsidRDefault="002457F6">
            <w:pPr>
              <w:pStyle w:val="P68B1DB1-Normal11"/>
              <w:jc w:val="center"/>
              <w:rPr>
                <w:noProof/>
              </w:rPr>
            </w:pPr>
            <w:r>
              <w:rPr>
                <w:noProof/>
              </w:rPr>
              <w:t>NEPIEMĒRO</w:t>
            </w:r>
          </w:p>
        </w:tc>
        <w:tc>
          <w:tcPr>
            <w:tcW w:w="1276" w:type="dxa"/>
            <w:shd w:val="clear" w:color="auto" w:fill="C6EFCE"/>
            <w:noWrap/>
            <w:vAlign w:val="center"/>
          </w:tcPr>
          <w:p w14:paraId="346A4D5C" w14:textId="77777777" w:rsidR="00C972CB" w:rsidRDefault="002457F6">
            <w:pPr>
              <w:pStyle w:val="P68B1DB1-Normal11"/>
              <w:jc w:val="center"/>
              <w:rPr>
                <w:noProof/>
              </w:rPr>
            </w:pPr>
            <w:r>
              <w:rPr>
                <w:noProof/>
              </w:rPr>
              <w:t>NEPIEMĒRO</w:t>
            </w:r>
          </w:p>
        </w:tc>
        <w:tc>
          <w:tcPr>
            <w:tcW w:w="1417" w:type="dxa"/>
            <w:shd w:val="clear" w:color="auto" w:fill="C6EFCE"/>
            <w:noWrap/>
            <w:vAlign w:val="center"/>
          </w:tcPr>
          <w:p w14:paraId="6D2687E1" w14:textId="77777777" w:rsidR="00C972CB" w:rsidRDefault="002457F6">
            <w:pPr>
              <w:pStyle w:val="P68B1DB1-Normal11"/>
              <w:jc w:val="center"/>
              <w:rPr>
                <w:noProof/>
              </w:rPr>
            </w:pPr>
            <w:r>
              <w:rPr>
                <w:noProof/>
              </w:rPr>
              <w:t>NEPIEMĒRO</w:t>
            </w:r>
          </w:p>
        </w:tc>
        <w:tc>
          <w:tcPr>
            <w:tcW w:w="793" w:type="dxa"/>
            <w:shd w:val="clear" w:color="auto" w:fill="C6EFCE"/>
            <w:noWrap/>
            <w:vAlign w:val="center"/>
          </w:tcPr>
          <w:p w14:paraId="7A37AB2F"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44AF325E"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102C2993" w14:textId="77777777" w:rsidR="00C972CB" w:rsidRDefault="002457F6">
            <w:pPr>
              <w:pStyle w:val="P68B1DB1-Normal11"/>
              <w:spacing w:after="120"/>
              <w:rPr>
                <w:noProof/>
              </w:rPr>
            </w:pPr>
            <w:r>
              <w:rPr>
                <w:noProof/>
              </w:rPr>
              <w:t>Līguma izpildes sākums par sešu jaunu “Datu ezera zināšanu sistēmu” ieviešanu:</w:t>
            </w:r>
          </w:p>
          <w:p w14:paraId="0943B5B0" w14:textId="77777777" w:rsidR="00C972CB" w:rsidRDefault="002457F6">
            <w:pPr>
              <w:pStyle w:val="P68B1DB1-ListParagraph13"/>
              <w:numPr>
                <w:ilvl w:val="0"/>
                <w:numId w:val="79"/>
              </w:numPr>
              <w:spacing w:before="0"/>
              <w:ind w:left="357" w:hanging="357"/>
              <w:jc w:val="left"/>
              <w:rPr>
                <w:noProof/>
              </w:rPr>
            </w:pPr>
            <w:r>
              <w:rPr>
                <w:noProof/>
              </w:rPr>
              <w:t>Civiltiesisku sodu un kriminālsodu anonimizācijas sistēma</w:t>
            </w:r>
          </w:p>
          <w:p w14:paraId="059DC6C8" w14:textId="77777777" w:rsidR="00C972CB" w:rsidRDefault="002457F6">
            <w:pPr>
              <w:pStyle w:val="P68B1DB1-ListParagraph13"/>
              <w:numPr>
                <w:ilvl w:val="0"/>
                <w:numId w:val="79"/>
              </w:numPr>
              <w:spacing w:before="0"/>
              <w:ind w:left="357" w:hanging="357"/>
              <w:jc w:val="left"/>
              <w:rPr>
                <w:noProof/>
              </w:rPr>
            </w:pPr>
            <w:r>
              <w:rPr>
                <w:noProof/>
              </w:rPr>
              <w:t>Integrēta pārvaldības sistēma</w:t>
            </w:r>
          </w:p>
          <w:p w14:paraId="10DF8FB8" w14:textId="77777777" w:rsidR="00C972CB" w:rsidRDefault="002457F6">
            <w:pPr>
              <w:pStyle w:val="P68B1DB1-ListParagraph13"/>
              <w:numPr>
                <w:ilvl w:val="0"/>
                <w:numId w:val="79"/>
              </w:numPr>
              <w:spacing w:before="0"/>
              <w:ind w:left="357" w:hanging="357"/>
              <w:jc w:val="left"/>
              <w:rPr>
                <w:noProof/>
              </w:rPr>
            </w:pPr>
            <w:r>
              <w:rPr>
                <w:noProof/>
              </w:rPr>
              <w:t>Civilprocesu pārvaldības un an</w:t>
            </w:r>
            <w:r>
              <w:rPr>
                <w:noProof/>
              </w:rPr>
              <w:t>alīzes sistēma</w:t>
            </w:r>
          </w:p>
          <w:p w14:paraId="6B994DFF" w14:textId="77777777" w:rsidR="00C972CB" w:rsidRDefault="002457F6">
            <w:pPr>
              <w:pStyle w:val="P68B1DB1-ListParagraph13"/>
              <w:numPr>
                <w:ilvl w:val="0"/>
                <w:numId w:val="79"/>
              </w:numPr>
              <w:spacing w:before="0"/>
              <w:ind w:left="357" w:hanging="357"/>
              <w:jc w:val="left"/>
              <w:rPr>
                <w:noProof/>
              </w:rPr>
            </w:pPr>
            <w:r>
              <w:rPr>
                <w:noProof/>
              </w:rPr>
              <w:t>Krimināllietu pārvaldības un analīzes sistēma</w:t>
            </w:r>
          </w:p>
          <w:p w14:paraId="73522CC4" w14:textId="77777777" w:rsidR="00C972CB" w:rsidRDefault="002457F6">
            <w:pPr>
              <w:pStyle w:val="P68B1DB1-ListParagraph13"/>
              <w:numPr>
                <w:ilvl w:val="0"/>
                <w:numId w:val="79"/>
              </w:numPr>
              <w:spacing w:before="0"/>
              <w:ind w:left="357" w:hanging="357"/>
              <w:jc w:val="left"/>
              <w:rPr>
                <w:noProof/>
              </w:rPr>
            </w:pPr>
            <w:r>
              <w:rPr>
                <w:noProof/>
              </w:rPr>
              <w:t>Uzlabota civillietu un krimināllietu statistikas sistēma</w:t>
            </w:r>
          </w:p>
          <w:p w14:paraId="328C423B" w14:textId="77777777" w:rsidR="00C972CB" w:rsidRDefault="002457F6">
            <w:pPr>
              <w:pStyle w:val="P68B1DB1-ListParagraph13"/>
              <w:numPr>
                <w:ilvl w:val="0"/>
                <w:numId w:val="79"/>
              </w:numPr>
              <w:spacing w:before="0"/>
              <w:ind w:left="357" w:hanging="357"/>
              <w:jc w:val="left"/>
              <w:rPr>
                <w:noProof/>
              </w:rPr>
            </w:pPr>
            <w:r>
              <w:rPr>
                <w:noProof/>
              </w:rPr>
              <w:t xml:space="preserve">Automatizēta sistēma cietušo un apsūdzības attiecību identificēšanai. </w:t>
            </w:r>
          </w:p>
          <w:p w14:paraId="49D5A1FB" w14:textId="77777777" w:rsidR="00C972CB" w:rsidRDefault="002457F6">
            <w:pPr>
              <w:pStyle w:val="P68B1DB1-Normal11"/>
              <w:spacing w:after="120"/>
              <w:rPr>
                <w:noProof/>
              </w:rPr>
            </w:pPr>
            <w:r>
              <w:rPr>
                <w:noProof/>
              </w:rPr>
              <w:t>Katra publiskā iepirkuma līguma izpilde sākas ar procedūras atbildī</w:t>
            </w:r>
            <w:r>
              <w:rPr>
                <w:noProof/>
              </w:rPr>
              <w:t>gās personas īpašu administratīvu aktu, ko sauc par “izpildes sākumu”.</w:t>
            </w:r>
          </w:p>
        </w:tc>
      </w:tr>
      <w:tr w:rsidR="00C972CB" w14:paraId="6A9D850D" w14:textId="77777777">
        <w:trPr>
          <w:trHeight w:val="309"/>
        </w:trPr>
        <w:tc>
          <w:tcPr>
            <w:tcW w:w="1284" w:type="dxa"/>
            <w:shd w:val="clear" w:color="auto" w:fill="C6EFCE"/>
            <w:noWrap/>
            <w:vAlign w:val="center"/>
          </w:tcPr>
          <w:p w14:paraId="4B296A64" w14:textId="77777777" w:rsidR="00C972CB" w:rsidRDefault="002457F6">
            <w:pPr>
              <w:pStyle w:val="P68B1DB1-Normal11"/>
              <w:jc w:val="center"/>
              <w:rPr>
                <w:noProof/>
              </w:rPr>
            </w:pPr>
            <w:r>
              <w:rPr>
                <w:noProof/>
              </w:rPr>
              <w:t>M1C1–132</w:t>
            </w:r>
          </w:p>
        </w:tc>
        <w:tc>
          <w:tcPr>
            <w:tcW w:w="1746" w:type="dxa"/>
            <w:shd w:val="clear" w:color="auto" w:fill="C6EFCE"/>
            <w:noWrap/>
            <w:vAlign w:val="center"/>
          </w:tcPr>
          <w:p w14:paraId="0EE36AD4" w14:textId="77777777" w:rsidR="00C972CB" w:rsidRDefault="002457F6">
            <w:pPr>
              <w:pStyle w:val="P68B1DB1-Normal11"/>
              <w:jc w:val="center"/>
              <w:rPr>
                <w:noProof/>
              </w:rPr>
            </w:pPr>
            <w:r>
              <w:rPr>
                <w:noProof/>
              </w:rPr>
              <w:t>Ieguldījums 1.6.3. — Valsts sociālā nodrošinājuma institūta (INPS) un Valsts apdrošināšanas institūta pret nelaimes gadījumiem darbā (INAIL) digitalizācija</w:t>
            </w:r>
          </w:p>
        </w:tc>
        <w:tc>
          <w:tcPr>
            <w:tcW w:w="992" w:type="dxa"/>
            <w:shd w:val="clear" w:color="auto" w:fill="C6EFCE"/>
            <w:noWrap/>
            <w:vAlign w:val="center"/>
          </w:tcPr>
          <w:p w14:paraId="4585FB17"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3FFE8469" w14:textId="77777777" w:rsidR="00C972CB" w:rsidRDefault="002457F6">
            <w:pPr>
              <w:pStyle w:val="P68B1DB1-Normal11"/>
              <w:jc w:val="center"/>
              <w:rPr>
                <w:noProof/>
              </w:rPr>
            </w:pPr>
            <w:r>
              <w:rPr>
                <w:noProof/>
              </w:rPr>
              <w:t>INPS — “Viens</w:t>
            </w:r>
            <w:r>
              <w:rPr>
                <w:noProof/>
              </w:rPr>
              <w:t xml:space="preserve"> klikšķis pēc izstrādes” pakalpojumi/saturs T2</w:t>
            </w:r>
          </w:p>
        </w:tc>
        <w:tc>
          <w:tcPr>
            <w:tcW w:w="1701" w:type="dxa"/>
            <w:shd w:val="clear" w:color="auto" w:fill="C6EFCE"/>
            <w:noWrap/>
            <w:vAlign w:val="center"/>
          </w:tcPr>
          <w:p w14:paraId="222A8EEE"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55BA11AF"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5E453C84" w14:textId="77777777" w:rsidR="00C972CB" w:rsidRDefault="002457F6">
            <w:pPr>
              <w:pStyle w:val="P68B1DB1-Normal11"/>
              <w:jc w:val="center"/>
              <w:rPr>
                <w:noProof/>
              </w:rPr>
            </w:pPr>
            <w:r>
              <w:rPr>
                <w:noProof/>
              </w:rPr>
              <w:t>35</w:t>
            </w:r>
          </w:p>
        </w:tc>
        <w:tc>
          <w:tcPr>
            <w:tcW w:w="1417" w:type="dxa"/>
            <w:shd w:val="clear" w:color="auto" w:fill="C6EFCE"/>
            <w:noWrap/>
            <w:vAlign w:val="center"/>
          </w:tcPr>
          <w:p w14:paraId="212F7AE8" w14:textId="77777777" w:rsidR="00C972CB" w:rsidRDefault="002457F6">
            <w:pPr>
              <w:pStyle w:val="P68B1DB1-Normal11"/>
              <w:jc w:val="center"/>
              <w:rPr>
                <w:noProof/>
              </w:rPr>
            </w:pPr>
            <w:r>
              <w:rPr>
                <w:noProof/>
              </w:rPr>
              <w:t>70</w:t>
            </w:r>
          </w:p>
        </w:tc>
        <w:tc>
          <w:tcPr>
            <w:tcW w:w="793" w:type="dxa"/>
            <w:shd w:val="clear" w:color="auto" w:fill="C6EFCE"/>
            <w:noWrap/>
            <w:vAlign w:val="center"/>
          </w:tcPr>
          <w:p w14:paraId="358ADFC9"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2BB80321"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4D5CCC0C" w14:textId="77777777" w:rsidR="00C972CB" w:rsidRDefault="002457F6">
            <w:pPr>
              <w:spacing w:after="120"/>
              <w:rPr>
                <w:rFonts w:ascii="Arial Narrow" w:hAnsi="Arial Narrow"/>
                <w:noProof/>
                <w:color w:val="006100"/>
                <w:sz w:val="20"/>
              </w:rPr>
            </w:pPr>
            <w:r>
              <w:rPr>
                <w:rFonts w:ascii="Arial Narrow" w:hAnsi="Arial Narrow"/>
                <w:noProof/>
                <w:color w:val="006100"/>
                <w:sz w:val="20"/>
              </w:rPr>
              <w:t>35 papildu pakalpojumi ir izvietoti Inps iestāžu tīmekļa vietnē (</w:t>
            </w:r>
            <w:hyperlink r:id="rId37" w:history="1">
              <w:r>
                <w:rPr>
                  <w:rStyle w:val="Hyperlink"/>
                  <w:rFonts w:ascii="Arial Narrow" w:hAnsi="Arial Narrow"/>
                  <w:noProof/>
                  <w:sz w:val="20"/>
                </w:rPr>
                <w:t>www.inps.it</w:t>
              </w:r>
            </w:hyperlink>
            <w:r>
              <w:rPr>
                <w:rFonts w:ascii="Arial Narrow" w:hAnsi="Arial Narrow"/>
                <w:noProof/>
                <w:color w:val="006100"/>
                <w:sz w:val="20"/>
              </w:rPr>
              <w:t>).</w:t>
            </w:r>
          </w:p>
          <w:p w14:paraId="7C0CD800" w14:textId="77777777" w:rsidR="00C972CB" w:rsidRDefault="002457F6">
            <w:pPr>
              <w:pStyle w:val="P68B1DB1-Normal11"/>
              <w:rPr>
                <w:noProof/>
              </w:rPr>
            </w:pPr>
            <w:r>
              <w:rPr>
                <w:noProof/>
              </w:rPr>
              <w:t>Pakalpojumi ir pieejami institucionālajā vietnē, izmantojot</w:t>
            </w:r>
            <w:r>
              <w:rPr>
                <w:noProof/>
              </w:rPr>
              <w:t xml:space="preserve"> atbilstošu profilēšanas loģiku (sistēma piedāvā pakalpojumus, kas varētu interesēties, pamatojoties uz vecumu, darba īpašībām, saņemtajiem ieguvumiem un lietotāju vēsturi).</w:t>
            </w:r>
          </w:p>
          <w:p w14:paraId="13C76A92" w14:textId="77777777" w:rsidR="00C972CB" w:rsidRDefault="002457F6">
            <w:pPr>
              <w:pStyle w:val="P68B1DB1-Normal11"/>
              <w:spacing w:before="120"/>
              <w:rPr>
                <w:noProof/>
              </w:rPr>
            </w:pPr>
            <w:r>
              <w:rPr>
                <w:noProof/>
              </w:rPr>
              <w:t>35 pakalpojumi ir saistīti ar šādām INPS institucionālajām jomām:</w:t>
            </w:r>
          </w:p>
          <w:p w14:paraId="64500C2C" w14:textId="77777777" w:rsidR="00C972CB" w:rsidRDefault="002457F6">
            <w:pPr>
              <w:pStyle w:val="P68B1DB1-Normal11"/>
              <w:ind w:left="292" w:hanging="76"/>
              <w:rPr>
                <w:noProof/>
              </w:rPr>
            </w:pPr>
            <w:r>
              <w:rPr>
                <w:noProof/>
              </w:rPr>
              <w:t xml:space="preserve">•Pensiju </w:t>
            </w:r>
            <w:r>
              <w:rPr>
                <w:noProof/>
              </w:rPr>
              <w:t>pabalsti</w:t>
            </w:r>
          </w:p>
          <w:p w14:paraId="6DEFE978" w14:textId="77777777" w:rsidR="00C972CB" w:rsidRDefault="002457F6">
            <w:pPr>
              <w:pStyle w:val="P68B1DB1-Normal11"/>
              <w:ind w:left="292" w:hanging="76"/>
              <w:rPr>
                <w:noProof/>
              </w:rPr>
            </w:pPr>
            <w:r>
              <w:rPr>
                <w:noProof/>
              </w:rPr>
              <w:t>•Sociālie šaha absorbētāji</w:t>
            </w:r>
          </w:p>
          <w:p w14:paraId="27DC999B" w14:textId="77777777" w:rsidR="00C972CB" w:rsidRDefault="002457F6">
            <w:pPr>
              <w:pStyle w:val="P68B1DB1-Normal11"/>
              <w:ind w:left="292" w:hanging="76"/>
              <w:rPr>
                <w:noProof/>
              </w:rPr>
            </w:pPr>
            <w:r>
              <w:rPr>
                <w:noProof/>
              </w:rPr>
              <w:t>•Bezdarbnieka pabalsti</w:t>
            </w:r>
          </w:p>
          <w:p w14:paraId="54FD9045" w14:textId="77777777" w:rsidR="00C972CB" w:rsidRDefault="002457F6">
            <w:pPr>
              <w:pStyle w:val="P68B1DB1-Normal11"/>
              <w:ind w:left="292" w:hanging="76"/>
              <w:rPr>
                <w:noProof/>
              </w:rPr>
            </w:pPr>
            <w:r>
              <w:rPr>
                <w:noProof/>
              </w:rPr>
              <w:t>•Invaliditātes pabalsti</w:t>
            </w:r>
          </w:p>
          <w:p w14:paraId="1E94936A" w14:textId="77777777" w:rsidR="00C972CB" w:rsidRDefault="002457F6">
            <w:pPr>
              <w:pStyle w:val="P68B1DB1-Normal11"/>
              <w:ind w:left="292" w:hanging="76"/>
              <w:rPr>
                <w:noProof/>
              </w:rPr>
            </w:pPr>
            <w:r>
              <w:rPr>
                <w:noProof/>
              </w:rPr>
              <w:t>•Atbrīvojumi</w:t>
            </w:r>
          </w:p>
          <w:p w14:paraId="44E81602" w14:textId="77777777" w:rsidR="00C972CB" w:rsidRDefault="002457F6">
            <w:pPr>
              <w:pStyle w:val="P68B1DB1-Normal11"/>
              <w:ind w:left="292" w:hanging="76"/>
              <w:rPr>
                <w:noProof/>
              </w:rPr>
            </w:pPr>
            <w:r>
              <w:rPr>
                <w:noProof/>
              </w:rPr>
              <w:t>•Uzņēmuma iemaksu iekasēšana</w:t>
            </w:r>
          </w:p>
          <w:p w14:paraId="16A13607" w14:textId="77777777" w:rsidR="00C972CB" w:rsidRDefault="002457F6">
            <w:pPr>
              <w:pStyle w:val="P68B1DB1-Normal11"/>
              <w:ind w:left="292" w:hanging="76"/>
              <w:rPr>
                <w:noProof/>
              </w:rPr>
            </w:pPr>
            <w:r>
              <w:rPr>
                <w:noProof/>
              </w:rPr>
              <w:t>•Lauksaimniecības darbinieku pakalpojumi</w:t>
            </w:r>
          </w:p>
          <w:p w14:paraId="41A26237" w14:textId="77777777" w:rsidR="00C972CB" w:rsidRDefault="002457F6">
            <w:pPr>
              <w:pStyle w:val="P68B1DB1-Normal11"/>
              <w:ind w:left="292" w:hanging="76"/>
              <w:rPr>
                <w:noProof/>
              </w:rPr>
            </w:pPr>
            <w:r>
              <w:rPr>
                <w:noProof/>
              </w:rPr>
              <w:t>•Krāpšanas, korupcijas un pārredzamības pakalpojumi</w:t>
            </w:r>
          </w:p>
          <w:p w14:paraId="0D9EB040" w14:textId="77777777" w:rsidR="00C972CB" w:rsidRDefault="002457F6">
            <w:pPr>
              <w:pStyle w:val="P68B1DB1-Normal11"/>
              <w:spacing w:before="120"/>
              <w:rPr>
                <w:noProof/>
              </w:rPr>
            </w:pPr>
            <w:r>
              <w:rPr>
                <w:noProof/>
              </w:rPr>
              <w:t xml:space="preserve">Uzskaitītajās institucionālajās jomās </w:t>
            </w:r>
            <w:r>
              <w:rPr>
                <w:noProof/>
              </w:rPr>
              <w:t>īstenojamie pakalpojumi attiecas uz pakalpojumu pieprasījumu digitālu iesniegšanu, pabalstu prasību pārbaudi, lietotāju veiktās prakses statusa uzraudzību, proaktīvu pakalpojumu piedāvāšanu, pamatojoties uz lietotāju vajadzībām, pabalstu automātisku atjaun</w:t>
            </w:r>
            <w:r>
              <w:rPr>
                <w:noProof/>
              </w:rPr>
              <w:t>ošanu bez vajadzības pēc jauniem pieteikumiem.</w:t>
            </w:r>
          </w:p>
          <w:p w14:paraId="1BDC39AE" w14:textId="77777777" w:rsidR="00C972CB" w:rsidRDefault="002457F6">
            <w:pPr>
              <w:pStyle w:val="P68B1DB1-Normal11"/>
              <w:spacing w:before="120" w:after="120"/>
              <w:rPr>
                <w:noProof/>
              </w:rPr>
            </w:pPr>
            <w:r>
              <w:rPr>
                <w:noProof/>
              </w:rPr>
              <w:t>Visbeidzot, ir uzraudzības infopaneļi, kas ļauj INPS uzraudzīt sniegtos ieguvumus un uz datiem balstītu atbalstu politikas veidotāju lēmumu pieņemšanā.</w:t>
            </w:r>
          </w:p>
        </w:tc>
      </w:tr>
      <w:tr w:rsidR="00C972CB" w14:paraId="6C2F823A" w14:textId="77777777">
        <w:trPr>
          <w:trHeight w:val="4119"/>
        </w:trPr>
        <w:tc>
          <w:tcPr>
            <w:tcW w:w="1284" w:type="dxa"/>
            <w:shd w:val="clear" w:color="auto" w:fill="C6EFCE"/>
            <w:noWrap/>
            <w:vAlign w:val="center"/>
          </w:tcPr>
          <w:p w14:paraId="38063072" w14:textId="77777777" w:rsidR="00C972CB" w:rsidRDefault="002457F6">
            <w:pPr>
              <w:pStyle w:val="P68B1DB1-Normal11"/>
              <w:jc w:val="center"/>
              <w:rPr>
                <w:noProof/>
              </w:rPr>
            </w:pPr>
            <w:r>
              <w:rPr>
                <w:noProof/>
              </w:rPr>
              <w:t>M1C1–133</w:t>
            </w:r>
          </w:p>
        </w:tc>
        <w:tc>
          <w:tcPr>
            <w:tcW w:w="1746" w:type="dxa"/>
            <w:shd w:val="clear" w:color="auto" w:fill="C6EFCE"/>
            <w:noWrap/>
            <w:vAlign w:val="center"/>
          </w:tcPr>
          <w:p w14:paraId="607D4E64" w14:textId="77777777" w:rsidR="00C972CB" w:rsidRDefault="002457F6">
            <w:pPr>
              <w:pStyle w:val="P68B1DB1-Normal11"/>
              <w:jc w:val="center"/>
              <w:rPr>
                <w:noProof/>
              </w:rPr>
            </w:pPr>
            <w:r>
              <w:rPr>
                <w:noProof/>
              </w:rPr>
              <w:t xml:space="preserve">Ieguldījums 1.6.3. — Valsts sociālā </w:t>
            </w:r>
            <w:r>
              <w:rPr>
                <w:noProof/>
              </w:rPr>
              <w:t>nodrošinājuma institūta (INPS) un Valsts apdrošināšanas institūta pret nelaimes gadījumiem darbā (INAIL) digitalizācija</w:t>
            </w:r>
          </w:p>
        </w:tc>
        <w:tc>
          <w:tcPr>
            <w:tcW w:w="992" w:type="dxa"/>
            <w:shd w:val="clear" w:color="auto" w:fill="C6EFCE"/>
            <w:noWrap/>
            <w:vAlign w:val="center"/>
          </w:tcPr>
          <w:p w14:paraId="42354F62"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12334283" w14:textId="77777777" w:rsidR="00C972CB" w:rsidRDefault="002457F6">
            <w:pPr>
              <w:pStyle w:val="P68B1DB1-Normal11"/>
              <w:jc w:val="center"/>
              <w:rPr>
                <w:noProof/>
              </w:rPr>
            </w:pPr>
            <w:r>
              <w:rPr>
                <w:noProof/>
              </w:rPr>
              <w:t>INPS — Darba ņēmēji ar uzlabotām informācijas un komunikācijas tehnoloģiju (IKT) prasmēm T2</w:t>
            </w:r>
          </w:p>
        </w:tc>
        <w:tc>
          <w:tcPr>
            <w:tcW w:w="1701" w:type="dxa"/>
            <w:shd w:val="clear" w:color="auto" w:fill="C6EFCE"/>
            <w:noWrap/>
            <w:vAlign w:val="center"/>
          </w:tcPr>
          <w:p w14:paraId="538B623F"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2544EFBE"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60AE123B" w14:textId="77777777" w:rsidR="00C972CB" w:rsidRDefault="002457F6">
            <w:pPr>
              <w:pStyle w:val="P68B1DB1-Normal11"/>
              <w:jc w:val="center"/>
              <w:rPr>
                <w:noProof/>
              </w:rPr>
            </w:pPr>
            <w:r>
              <w:rPr>
                <w:noProof/>
              </w:rPr>
              <w:t>4 250</w:t>
            </w:r>
          </w:p>
        </w:tc>
        <w:tc>
          <w:tcPr>
            <w:tcW w:w="1417" w:type="dxa"/>
            <w:shd w:val="clear" w:color="auto" w:fill="C6EFCE"/>
            <w:noWrap/>
            <w:vAlign w:val="center"/>
          </w:tcPr>
          <w:p w14:paraId="10FE42D8" w14:textId="77777777" w:rsidR="00C972CB" w:rsidRDefault="002457F6">
            <w:pPr>
              <w:pStyle w:val="P68B1DB1-Normal11"/>
              <w:jc w:val="center"/>
              <w:rPr>
                <w:noProof/>
              </w:rPr>
            </w:pPr>
            <w:r>
              <w:rPr>
                <w:noProof/>
              </w:rPr>
              <w:t>8 500</w:t>
            </w:r>
          </w:p>
        </w:tc>
        <w:tc>
          <w:tcPr>
            <w:tcW w:w="793" w:type="dxa"/>
            <w:shd w:val="clear" w:color="auto" w:fill="C6EFCE"/>
            <w:noWrap/>
            <w:vAlign w:val="center"/>
          </w:tcPr>
          <w:p w14:paraId="0557110B"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78358BCA"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3940B873" w14:textId="77777777" w:rsidR="00C972CB" w:rsidRDefault="002457F6">
            <w:pPr>
              <w:pStyle w:val="P68B1DB1-Normal11"/>
              <w:spacing w:after="120"/>
              <w:rPr>
                <w:noProof/>
              </w:rPr>
            </w:pPr>
            <w:r>
              <w:rPr>
                <w:noProof/>
              </w:rPr>
              <w:t>Papildu 4250 INPS darbinieki, kas novērtēti ar sertificētām uzlabotām prasmēm šādās Eiropas e-kompetences sistēmas jomās: plāns; celt; III) Run (iv) Iespējams; pārvaldība.</w:t>
            </w:r>
          </w:p>
          <w:p w14:paraId="02F0D532" w14:textId="77777777" w:rsidR="00C972CB" w:rsidRDefault="002457F6">
            <w:pPr>
              <w:pStyle w:val="P68B1DB1-Normal11"/>
              <w:spacing w:after="120"/>
              <w:rPr>
                <w:noProof/>
              </w:rPr>
            </w:pPr>
            <w:r>
              <w:rPr>
                <w:noProof/>
              </w:rPr>
              <w:t>Kompetences uzlabošanas jomas nosaka atbilstoši izglītojamo mērķgrupai.</w:t>
            </w:r>
          </w:p>
        </w:tc>
      </w:tr>
      <w:tr w:rsidR="00C972CB" w14:paraId="51073374" w14:textId="77777777">
        <w:trPr>
          <w:trHeight w:val="3086"/>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EB92" w14:textId="77777777" w:rsidR="00C972CB" w:rsidRDefault="002457F6">
            <w:pPr>
              <w:pStyle w:val="P68B1DB1-Normal11"/>
              <w:jc w:val="center"/>
              <w:rPr>
                <w:noProof/>
              </w:rPr>
            </w:pPr>
            <w:r>
              <w:rPr>
                <w:noProof/>
              </w:rPr>
              <w:t>M1C1–134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14497" w14:textId="77777777" w:rsidR="00C972CB" w:rsidRDefault="002457F6">
            <w:pPr>
              <w:pStyle w:val="P68B1DB1-Normal11"/>
              <w:jc w:val="center"/>
              <w:rPr>
                <w:noProof/>
              </w:rPr>
            </w:pPr>
            <w:r>
              <w:rPr>
                <w:noProof/>
              </w:rPr>
              <w:t>Ieguldījums 1.6.3. — Valsts sociālā nodrošinājuma institūta (INPS) un Valsts apdrošināšanas institūta pret nelaimes gadījumiem darbā (INAIL) digitalizācija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114C5" w14:textId="77777777" w:rsidR="00C972CB" w:rsidRDefault="002457F6">
            <w:pPr>
              <w:pStyle w:val="P68B1DB1-Normal11"/>
              <w:jc w:val="center"/>
              <w:rPr>
                <w:noProof/>
              </w:rPr>
            </w:pPr>
            <w:r>
              <w:rPr>
                <w:noProof/>
              </w:rPr>
              <w:t>Mērķa</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86A115" w14:textId="77777777" w:rsidR="00C972CB" w:rsidRDefault="002457F6">
            <w:pPr>
              <w:pStyle w:val="P68B1DB1-Normal11"/>
              <w:jc w:val="center"/>
              <w:rPr>
                <w:noProof/>
              </w:rPr>
            </w:pPr>
            <w:r>
              <w:rPr>
                <w:noProof/>
              </w:rPr>
              <w:t>INAIL — pilnīgi pārbūvēti un digitalizēti procesi/pakalpojumi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E8277" w14:textId="77777777" w:rsidR="00C972CB" w:rsidRDefault="002457F6">
            <w:pPr>
              <w:pStyle w:val="P68B1DB1-Normal11"/>
              <w:jc w:val="center"/>
              <w:rPr>
                <w:noProof/>
              </w:rPr>
            </w:pPr>
            <w:r>
              <w:rPr>
                <w:noProof/>
              </w:rPr>
              <w:t>NEPIEMĒRO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FCEEB" w14:textId="77777777" w:rsidR="00C972CB" w:rsidRDefault="002457F6">
            <w:pPr>
              <w:pStyle w:val="P68B1DB1-Normal11"/>
              <w:jc w:val="center"/>
              <w:rPr>
                <w:noProof/>
              </w:rPr>
            </w:pPr>
            <w:r>
              <w:rPr>
                <w:noProof/>
              </w:rPr>
              <w:t>Skaits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1F659" w14:textId="77777777" w:rsidR="00C972CB" w:rsidRDefault="002457F6">
            <w:pPr>
              <w:pStyle w:val="P68B1DB1-Normal11"/>
              <w:jc w:val="center"/>
              <w:rPr>
                <w:noProof/>
              </w:rPr>
            </w:pPr>
            <w:r>
              <w:rPr>
                <w:noProof/>
              </w:rPr>
              <w:t>29</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847A3D" w14:textId="77777777" w:rsidR="00C972CB" w:rsidRDefault="002457F6">
            <w:pPr>
              <w:pStyle w:val="P68B1DB1-Normal11"/>
              <w:jc w:val="center"/>
              <w:rPr>
                <w:noProof/>
              </w:rPr>
            </w:pPr>
            <w:r>
              <w:rPr>
                <w:noProof/>
              </w:rPr>
              <w:t>53</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52620E" w14:textId="77777777" w:rsidR="00C972CB" w:rsidRDefault="002457F6">
            <w:pPr>
              <w:pStyle w:val="P68B1DB1-Normal11"/>
              <w:jc w:val="center"/>
              <w:rPr>
                <w:noProof/>
              </w:rPr>
            </w:pPr>
            <w:r>
              <w:rPr>
                <w:noProof/>
              </w:rPr>
              <w:t>4. CET.</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A282" w14:textId="77777777" w:rsidR="00C972CB" w:rsidRDefault="002457F6">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0C86" w14:textId="77777777" w:rsidR="00C972CB" w:rsidRDefault="002457F6">
            <w:pPr>
              <w:pStyle w:val="P68B1DB1-Normal11"/>
              <w:spacing w:after="120"/>
              <w:rPr>
                <w:noProof/>
              </w:rPr>
            </w:pPr>
            <w:r>
              <w:rPr>
                <w:noProof/>
              </w:rPr>
              <w:t xml:space="preserve">Mērķis ir panākt 53 (52 %) pārveidotus institucionālos procesus un pakalpojumus, lai padarītu tos pilnībā digitalizētus. </w:t>
            </w:r>
          </w:p>
          <w:p w14:paraId="07204C78" w14:textId="77777777" w:rsidR="00C972CB" w:rsidRDefault="002457F6">
            <w:pPr>
              <w:pStyle w:val="P68B1DB1-Normal11"/>
              <w:spacing w:after="120"/>
              <w:rPr>
                <w:noProof/>
              </w:rPr>
            </w:pPr>
            <w:r>
              <w:rPr>
                <w:noProof/>
              </w:rPr>
              <w:t>INAIL iesaistītās jomas ir šādas: Apdrošināšana, sociālie un veselības aprūpes pakalpojumi, profilakses un drošības da</w:t>
            </w:r>
            <w:r>
              <w:rPr>
                <w:noProof/>
              </w:rPr>
              <w:t>rbs, sertifikācija un verifikācija.</w:t>
            </w:r>
          </w:p>
          <w:p w14:paraId="7D225E9F" w14:textId="77777777" w:rsidR="00C972CB" w:rsidRDefault="002457F6">
            <w:pPr>
              <w:pStyle w:val="P68B1DB1-Normal11"/>
              <w:spacing w:after="120"/>
              <w:rPr>
                <w:noProof/>
              </w:rPr>
            </w:pPr>
            <w:r>
              <w:rPr>
                <w:noProof/>
              </w:rPr>
              <w:t xml:space="preserve">Konkrēti, paredzamais mērķis katrai teritorijai ir izteikts iepriekš: </w:t>
            </w:r>
          </w:p>
          <w:p w14:paraId="2A950175" w14:textId="77777777" w:rsidR="00C972CB" w:rsidRDefault="002457F6">
            <w:pPr>
              <w:pStyle w:val="P68B1DB1-ListParagraph13"/>
              <w:numPr>
                <w:ilvl w:val="0"/>
                <w:numId w:val="84"/>
              </w:numPr>
              <w:ind w:left="377" w:hanging="283"/>
              <w:jc w:val="left"/>
              <w:rPr>
                <w:noProof/>
              </w:rPr>
            </w:pPr>
            <w:r>
              <w:rPr>
                <w:noProof/>
              </w:rPr>
              <w:t xml:space="preserve">Apdrošināšana: 8 (25 %); </w:t>
            </w:r>
          </w:p>
          <w:p w14:paraId="3165BD8C" w14:textId="77777777" w:rsidR="00C972CB" w:rsidRDefault="002457F6">
            <w:pPr>
              <w:pStyle w:val="P68B1DB1-ListParagraph13"/>
              <w:numPr>
                <w:ilvl w:val="0"/>
                <w:numId w:val="84"/>
              </w:numPr>
              <w:ind w:left="377" w:hanging="283"/>
              <w:jc w:val="left"/>
              <w:rPr>
                <w:noProof/>
              </w:rPr>
            </w:pPr>
            <w:r>
              <w:rPr>
                <w:noProof/>
              </w:rPr>
              <w:t>Sociālie un veselības aprūpes pakalpojumi: 18 (50 %);</w:t>
            </w:r>
          </w:p>
          <w:p w14:paraId="272567BF" w14:textId="77777777" w:rsidR="00C972CB" w:rsidRDefault="002457F6">
            <w:pPr>
              <w:pStyle w:val="P68B1DB1-ListParagraph13"/>
              <w:numPr>
                <w:ilvl w:val="0"/>
                <w:numId w:val="84"/>
              </w:numPr>
              <w:ind w:left="377" w:hanging="283"/>
              <w:jc w:val="left"/>
              <w:rPr>
                <w:noProof/>
              </w:rPr>
            </w:pPr>
            <w:r>
              <w:rPr>
                <w:noProof/>
              </w:rPr>
              <w:t>Profilakses un drošības darbs: 9 (80 %);</w:t>
            </w:r>
          </w:p>
          <w:p w14:paraId="6109D397" w14:textId="77777777" w:rsidR="00C972CB" w:rsidRDefault="002457F6">
            <w:pPr>
              <w:pStyle w:val="P68B1DB1-ListParagraph13"/>
              <w:numPr>
                <w:ilvl w:val="0"/>
                <w:numId w:val="84"/>
              </w:numPr>
              <w:ind w:left="377" w:hanging="283"/>
              <w:jc w:val="left"/>
              <w:rPr>
                <w:noProof/>
              </w:rPr>
            </w:pPr>
            <w:r>
              <w:rPr>
                <w:noProof/>
              </w:rPr>
              <w:t>Sertifikācija un verifikācij</w:t>
            </w:r>
            <w:r>
              <w:rPr>
                <w:noProof/>
              </w:rPr>
              <w:t>a: 18 (80 %).</w:t>
            </w:r>
          </w:p>
        </w:tc>
      </w:tr>
      <w:tr w:rsidR="00C972CB" w14:paraId="343029C7" w14:textId="77777777">
        <w:trPr>
          <w:trHeight w:val="309"/>
        </w:trPr>
        <w:tc>
          <w:tcPr>
            <w:tcW w:w="1284" w:type="dxa"/>
            <w:shd w:val="clear" w:color="auto" w:fill="C6EFCE"/>
            <w:noWrap/>
            <w:vAlign w:val="center"/>
          </w:tcPr>
          <w:p w14:paraId="1C4DBCB0" w14:textId="77777777" w:rsidR="00C972CB" w:rsidRDefault="002457F6">
            <w:pPr>
              <w:pStyle w:val="P68B1DB1-Normal11"/>
              <w:jc w:val="center"/>
              <w:rPr>
                <w:noProof/>
              </w:rPr>
            </w:pPr>
            <w:r>
              <w:rPr>
                <w:noProof/>
              </w:rPr>
              <w:t>M1C1–135</w:t>
            </w:r>
          </w:p>
        </w:tc>
        <w:tc>
          <w:tcPr>
            <w:tcW w:w="1746" w:type="dxa"/>
            <w:shd w:val="clear" w:color="auto" w:fill="C6EFCE"/>
            <w:noWrap/>
            <w:vAlign w:val="center"/>
          </w:tcPr>
          <w:p w14:paraId="6D4C73B7" w14:textId="77777777" w:rsidR="00C972CB" w:rsidRDefault="002457F6">
            <w:pPr>
              <w:pStyle w:val="P68B1DB1-Normal11"/>
              <w:jc w:val="center"/>
              <w:rPr>
                <w:noProof/>
              </w:rPr>
            </w:pPr>
            <w:r>
              <w:rPr>
                <w:noProof/>
              </w:rPr>
              <w:t>Ieguldījums 1.6.4. — Aizsardzības ministrijas digitalizācija</w:t>
            </w:r>
          </w:p>
        </w:tc>
        <w:tc>
          <w:tcPr>
            <w:tcW w:w="992" w:type="dxa"/>
            <w:shd w:val="clear" w:color="auto" w:fill="C6EFCE"/>
            <w:noWrap/>
            <w:vAlign w:val="center"/>
          </w:tcPr>
          <w:p w14:paraId="29003422"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07DCD18C" w14:textId="77777777" w:rsidR="00C972CB" w:rsidRDefault="002457F6">
            <w:pPr>
              <w:pStyle w:val="P68B1DB1-Normal11"/>
              <w:jc w:val="center"/>
              <w:rPr>
                <w:noProof/>
              </w:rPr>
            </w:pPr>
            <w:r>
              <w:rPr>
                <w:noProof/>
              </w:rPr>
              <w:t>Aizsardzības ministrija — procedūru digitalizācija T1</w:t>
            </w:r>
          </w:p>
        </w:tc>
        <w:tc>
          <w:tcPr>
            <w:tcW w:w="1701" w:type="dxa"/>
            <w:shd w:val="clear" w:color="auto" w:fill="C6EFCE"/>
            <w:noWrap/>
            <w:vAlign w:val="center"/>
          </w:tcPr>
          <w:p w14:paraId="3D5FAF7E"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1ADC4121"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0EBB45FD" w14:textId="77777777" w:rsidR="00C972CB" w:rsidRDefault="002457F6">
            <w:pPr>
              <w:pStyle w:val="P68B1DB1-Normal11"/>
              <w:jc w:val="center"/>
              <w:rPr>
                <w:noProof/>
              </w:rPr>
            </w:pPr>
            <w:r>
              <w:rPr>
                <w:noProof/>
              </w:rPr>
              <w:t>4</w:t>
            </w:r>
          </w:p>
        </w:tc>
        <w:tc>
          <w:tcPr>
            <w:tcW w:w="1417" w:type="dxa"/>
            <w:shd w:val="clear" w:color="auto" w:fill="C6EFCE"/>
            <w:noWrap/>
            <w:vAlign w:val="center"/>
          </w:tcPr>
          <w:p w14:paraId="4178BAD3" w14:textId="77777777" w:rsidR="00C972CB" w:rsidRDefault="002457F6">
            <w:pPr>
              <w:pStyle w:val="P68B1DB1-Normal11"/>
              <w:jc w:val="center"/>
              <w:rPr>
                <w:noProof/>
              </w:rPr>
            </w:pPr>
            <w:r>
              <w:rPr>
                <w:noProof/>
              </w:rPr>
              <w:t>15</w:t>
            </w:r>
          </w:p>
        </w:tc>
        <w:tc>
          <w:tcPr>
            <w:tcW w:w="793" w:type="dxa"/>
            <w:shd w:val="clear" w:color="auto" w:fill="C6EFCE"/>
            <w:noWrap/>
            <w:vAlign w:val="center"/>
          </w:tcPr>
          <w:p w14:paraId="4FA4082B"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62DA3974"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68DAFD31" w14:textId="77777777" w:rsidR="00C972CB" w:rsidRDefault="002457F6">
            <w:pPr>
              <w:pStyle w:val="P68B1DB1-Normal11"/>
              <w:spacing w:after="120"/>
              <w:rPr>
                <w:noProof/>
              </w:rPr>
            </w:pPr>
            <w:r>
              <w:rPr>
                <w:noProof/>
              </w:rPr>
              <w:t xml:space="preserve">15 procedūru digitalizācija, pārskatīšana un automatizācija saistībā ar </w:t>
            </w:r>
            <w:r>
              <w:rPr>
                <w:noProof/>
              </w:rPr>
              <w:t>aizsardzības personāla pārvaldību (piemēram, pieņemšana darbā, nodarbinātība un pensionēšanās, darbinieku veselība), sākot no četru jau digitalizētu procedūru bāzes līnijas.</w:t>
            </w:r>
          </w:p>
        </w:tc>
      </w:tr>
      <w:tr w:rsidR="00C972CB" w14:paraId="73256F26" w14:textId="77777777">
        <w:trPr>
          <w:trHeight w:val="309"/>
        </w:trPr>
        <w:tc>
          <w:tcPr>
            <w:tcW w:w="1284" w:type="dxa"/>
            <w:shd w:val="clear" w:color="auto" w:fill="C6EFCE"/>
            <w:noWrap/>
            <w:vAlign w:val="center"/>
          </w:tcPr>
          <w:p w14:paraId="36BF7D21" w14:textId="77777777" w:rsidR="00C972CB" w:rsidRDefault="002457F6">
            <w:pPr>
              <w:pStyle w:val="P68B1DB1-Normal11"/>
              <w:jc w:val="center"/>
              <w:rPr>
                <w:noProof/>
              </w:rPr>
            </w:pPr>
            <w:r>
              <w:rPr>
                <w:noProof/>
              </w:rPr>
              <w:t>M1C1–136</w:t>
            </w:r>
          </w:p>
        </w:tc>
        <w:tc>
          <w:tcPr>
            <w:tcW w:w="1746" w:type="dxa"/>
            <w:shd w:val="clear" w:color="auto" w:fill="C6EFCE"/>
            <w:noWrap/>
            <w:vAlign w:val="center"/>
          </w:tcPr>
          <w:p w14:paraId="6B30198D" w14:textId="77777777" w:rsidR="00C972CB" w:rsidRDefault="002457F6">
            <w:pPr>
              <w:pStyle w:val="P68B1DB1-Normal11"/>
              <w:jc w:val="center"/>
              <w:rPr>
                <w:noProof/>
              </w:rPr>
            </w:pPr>
            <w:r>
              <w:rPr>
                <w:noProof/>
              </w:rPr>
              <w:t>Ieguldījums 1.6.4. — Aizsardzības ministrijas digitalizācija</w:t>
            </w:r>
          </w:p>
        </w:tc>
        <w:tc>
          <w:tcPr>
            <w:tcW w:w="992" w:type="dxa"/>
            <w:shd w:val="clear" w:color="auto" w:fill="C6EFCE"/>
            <w:noWrap/>
            <w:vAlign w:val="center"/>
          </w:tcPr>
          <w:p w14:paraId="2F5129C3"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57BBFB46" w14:textId="77777777" w:rsidR="00C972CB" w:rsidRDefault="002457F6">
            <w:pPr>
              <w:pStyle w:val="P68B1DB1-Normal11"/>
              <w:jc w:val="center"/>
              <w:rPr>
                <w:noProof/>
              </w:rPr>
            </w:pPr>
            <w:r>
              <w:rPr>
                <w:noProof/>
              </w:rPr>
              <w:t>Aizsardzības ministrija — sertifikātu digitalizācija T1</w:t>
            </w:r>
          </w:p>
        </w:tc>
        <w:tc>
          <w:tcPr>
            <w:tcW w:w="1701" w:type="dxa"/>
            <w:shd w:val="clear" w:color="auto" w:fill="C6EFCE"/>
            <w:noWrap/>
            <w:vAlign w:val="center"/>
          </w:tcPr>
          <w:p w14:paraId="61A399AC"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5C4B553E" w14:textId="77777777" w:rsidR="00C972CB" w:rsidRDefault="002457F6">
            <w:pPr>
              <w:pStyle w:val="P68B1DB1-Normal11"/>
              <w:jc w:val="center"/>
              <w:rPr>
                <w:noProof/>
              </w:rPr>
            </w:pPr>
            <w:r>
              <w:rPr>
                <w:noProof/>
              </w:rPr>
              <w:t>Digitalizēto sertifikātu skaits</w:t>
            </w:r>
          </w:p>
        </w:tc>
        <w:tc>
          <w:tcPr>
            <w:tcW w:w="1276" w:type="dxa"/>
            <w:shd w:val="clear" w:color="auto" w:fill="C6EFCE"/>
            <w:noWrap/>
            <w:vAlign w:val="center"/>
          </w:tcPr>
          <w:p w14:paraId="51120BBB" w14:textId="77777777" w:rsidR="00C972CB" w:rsidRDefault="002457F6">
            <w:pPr>
              <w:pStyle w:val="P68B1DB1-Normal11"/>
              <w:jc w:val="center"/>
              <w:rPr>
                <w:noProof/>
              </w:rPr>
            </w:pPr>
            <w:r>
              <w:rPr>
                <w:noProof/>
              </w:rPr>
              <w:t>190 000</w:t>
            </w:r>
          </w:p>
        </w:tc>
        <w:tc>
          <w:tcPr>
            <w:tcW w:w="1417" w:type="dxa"/>
            <w:shd w:val="clear" w:color="auto" w:fill="C6EFCE"/>
            <w:noWrap/>
            <w:vAlign w:val="center"/>
          </w:tcPr>
          <w:p w14:paraId="3C58E777" w14:textId="77777777" w:rsidR="00C972CB" w:rsidRDefault="002457F6">
            <w:pPr>
              <w:pStyle w:val="P68B1DB1-Normal11"/>
              <w:jc w:val="center"/>
              <w:rPr>
                <w:noProof/>
              </w:rPr>
            </w:pPr>
            <w:r>
              <w:rPr>
                <w:noProof/>
              </w:rPr>
              <w:t>450 000</w:t>
            </w:r>
          </w:p>
        </w:tc>
        <w:tc>
          <w:tcPr>
            <w:tcW w:w="793" w:type="dxa"/>
            <w:shd w:val="clear" w:color="auto" w:fill="C6EFCE"/>
            <w:noWrap/>
            <w:vAlign w:val="center"/>
          </w:tcPr>
          <w:p w14:paraId="39B4949A"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5FB59FA6"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55BA9CFD" w14:textId="77777777" w:rsidR="00C972CB" w:rsidRDefault="002457F6">
            <w:pPr>
              <w:pStyle w:val="P68B1DB1-Normal11"/>
              <w:spacing w:after="120"/>
              <w:rPr>
                <w:noProof/>
              </w:rPr>
            </w:pPr>
            <w:r>
              <w:rPr>
                <w:noProof/>
              </w:rPr>
              <w:t xml:space="preserve">Aizsardzības ministrijas izdoto digitalizēto personas apliecību (450000) skaits, kas darbojas infrastruktūrā un ko papildina </w:t>
            </w:r>
            <w:r>
              <w:rPr>
                <w:noProof/>
              </w:rPr>
              <w:t>negadījuma seku novēršanas vieta, sākot no 190000 jau digitalizētu sertifikātu bāzes līnijas.</w:t>
            </w:r>
          </w:p>
        </w:tc>
      </w:tr>
      <w:tr w:rsidR="00C972CB" w14:paraId="338C8004" w14:textId="77777777">
        <w:trPr>
          <w:trHeight w:val="309"/>
        </w:trPr>
        <w:tc>
          <w:tcPr>
            <w:tcW w:w="1284" w:type="dxa"/>
            <w:shd w:val="clear" w:color="auto" w:fill="C6EFCE"/>
            <w:noWrap/>
            <w:vAlign w:val="center"/>
          </w:tcPr>
          <w:p w14:paraId="7E25EB74" w14:textId="77777777" w:rsidR="00C972CB" w:rsidRDefault="002457F6">
            <w:pPr>
              <w:pStyle w:val="P68B1DB1-Normal11"/>
              <w:jc w:val="center"/>
              <w:rPr>
                <w:noProof/>
              </w:rPr>
            </w:pPr>
            <w:r>
              <w:rPr>
                <w:noProof/>
              </w:rPr>
              <w:t>M1C1–137</w:t>
            </w:r>
          </w:p>
        </w:tc>
        <w:tc>
          <w:tcPr>
            <w:tcW w:w="1746" w:type="dxa"/>
            <w:shd w:val="clear" w:color="auto" w:fill="C6EFCE"/>
            <w:noWrap/>
            <w:vAlign w:val="center"/>
          </w:tcPr>
          <w:p w14:paraId="0FC6BBA7" w14:textId="77777777" w:rsidR="00C972CB" w:rsidRDefault="002457F6">
            <w:pPr>
              <w:pStyle w:val="P68B1DB1-Normal11"/>
              <w:jc w:val="center"/>
              <w:rPr>
                <w:noProof/>
              </w:rPr>
            </w:pPr>
            <w:r>
              <w:rPr>
                <w:noProof/>
              </w:rPr>
              <w:t>Ieguldījums 1.6.4. — Aizsardzības ministrijas digitalizācija</w:t>
            </w:r>
          </w:p>
        </w:tc>
        <w:tc>
          <w:tcPr>
            <w:tcW w:w="992" w:type="dxa"/>
            <w:shd w:val="clear" w:color="auto" w:fill="C6EFCE"/>
            <w:noWrap/>
            <w:vAlign w:val="center"/>
          </w:tcPr>
          <w:p w14:paraId="5619A88B" w14:textId="77777777" w:rsidR="00C972CB" w:rsidRDefault="002457F6">
            <w:pPr>
              <w:pStyle w:val="P68B1DB1-Normal11"/>
              <w:jc w:val="center"/>
              <w:rPr>
                <w:noProof/>
              </w:rPr>
            </w:pPr>
            <w:r>
              <w:rPr>
                <w:noProof/>
              </w:rPr>
              <w:t>Starpposma mērķis</w:t>
            </w:r>
          </w:p>
        </w:tc>
        <w:tc>
          <w:tcPr>
            <w:tcW w:w="2126" w:type="dxa"/>
            <w:shd w:val="clear" w:color="auto" w:fill="C6EFCE"/>
            <w:noWrap/>
            <w:vAlign w:val="center"/>
          </w:tcPr>
          <w:p w14:paraId="3163C326" w14:textId="77777777" w:rsidR="00C972CB" w:rsidRDefault="002457F6">
            <w:pPr>
              <w:pStyle w:val="P68B1DB1-Normal11"/>
              <w:jc w:val="center"/>
              <w:rPr>
                <w:noProof/>
              </w:rPr>
            </w:pPr>
            <w:r>
              <w:rPr>
                <w:noProof/>
              </w:rPr>
              <w:t xml:space="preserve">Aizsardzības ministrija — institucionālo tīmekļa portālu un iekštīkla </w:t>
            </w:r>
            <w:r>
              <w:rPr>
                <w:noProof/>
              </w:rPr>
              <w:t>portālu nodošana ekspluatācijā</w:t>
            </w:r>
          </w:p>
        </w:tc>
        <w:tc>
          <w:tcPr>
            <w:tcW w:w="1701" w:type="dxa"/>
            <w:shd w:val="clear" w:color="auto" w:fill="C6EFCE"/>
            <w:noWrap/>
            <w:vAlign w:val="center"/>
          </w:tcPr>
          <w:p w14:paraId="5B425CCC" w14:textId="77777777" w:rsidR="00C972CB" w:rsidRDefault="002457F6">
            <w:pPr>
              <w:pStyle w:val="P68B1DB1-Normal11"/>
              <w:jc w:val="center"/>
              <w:rPr>
                <w:noProof/>
              </w:rPr>
            </w:pPr>
            <w:r>
              <w:rPr>
                <w:noProof/>
              </w:rPr>
              <w:t>Iestāžu tīmekļa portāli un iekštīkla portāli darbojas pilnībā</w:t>
            </w:r>
          </w:p>
        </w:tc>
        <w:tc>
          <w:tcPr>
            <w:tcW w:w="1134" w:type="dxa"/>
            <w:shd w:val="clear" w:color="auto" w:fill="C6EFCE"/>
            <w:noWrap/>
            <w:vAlign w:val="center"/>
          </w:tcPr>
          <w:p w14:paraId="1BEEEFB4" w14:textId="77777777" w:rsidR="00C972CB" w:rsidRDefault="002457F6">
            <w:pPr>
              <w:pStyle w:val="P68B1DB1-Normal11"/>
              <w:jc w:val="center"/>
              <w:rPr>
                <w:noProof/>
              </w:rPr>
            </w:pPr>
            <w:r>
              <w:rPr>
                <w:noProof/>
              </w:rPr>
              <w:t>NEPIEMĒRO</w:t>
            </w:r>
          </w:p>
        </w:tc>
        <w:tc>
          <w:tcPr>
            <w:tcW w:w="1276" w:type="dxa"/>
            <w:shd w:val="clear" w:color="auto" w:fill="C6EFCE"/>
            <w:noWrap/>
            <w:vAlign w:val="center"/>
          </w:tcPr>
          <w:p w14:paraId="386E8DF4" w14:textId="77777777" w:rsidR="00C972CB" w:rsidRDefault="002457F6">
            <w:pPr>
              <w:pStyle w:val="P68B1DB1-Normal11"/>
              <w:jc w:val="center"/>
              <w:rPr>
                <w:noProof/>
              </w:rPr>
            </w:pPr>
            <w:r>
              <w:rPr>
                <w:noProof/>
              </w:rPr>
              <w:t>NEPIEMĒRO</w:t>
            </w:r>
          </w:p>
        </w:tc>
        <w:tc>
          <w:tcPr>
            <w:tcW w:w="1417" w:type="dxa"/>
            <w:shd w:val="clear" w:color="auto" w:fill="C6EFCE"/>
            <w:noWrap/>
            <w:vAlign w:val="center"/>
          </w:tcPr>
          <w:p w14:paraId="0448A103" w14:textId="77777777" w:rsidR="00C972CB" w:rsidRDefault="002457F6">
            <w:pPr>
              <w:pStyle w:val="P68B1DB1-Normal11"/>
              <w:jc w:val="center"/>
              <w:rPr>
                <w:noProof/>
              </w:rPr>
            </w:pPr>
            <w:r>
              <w:rPr>
                <w:noProof/>
              </w:rPr>
              <w:t>NEPIEMĒRO</w:t>
            </w:r>
          </w:p>
        </w:tc>
        <w:tc>
          <w:tcPr>
            <w:tcW w:w="793" w:type="dxa"/>
            <w:shd w:val="clear" w:color="auto" w:fill="C6EFCE"/>
            <w:noWrap/>
            <w:vAlign w:val="center"/>
          </w:tcPr>
          <w:p w14:paraId="71559B9F"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7C40110E"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40DB2E50" w14:textId="77777777" w:rsidR="00C972CB" w:rsidRDefault="002457F6">
            <w:pPr>
              <w:pStyle w:val="P68B1DB1-Normal11"/>
              <w:spacing w:after="120"/>
              <w:rPr>
                <w:noProof/>
              </w:rPr>
            </w:pPr>
            <w:r>
              <w:rPr>
                <w:noProof/>
              </w:rPr>
              <w:t>Izstrādāt un ieviest i) iestāžu tīmekļa portālus un ii) iekštīkla portālus īpašām iekšējās komunikācijas vajadzībām.</w:t>
            </w:r>
          </w:p>
        </w:tc>
      </w:tr>
      <w:tr w:rsidR="00C972CB" w14:paraId="4493EB78" w14:textId="77777777">
        <w:trPr>
          <w:trHeight w:val="309"/>
        </w:trPr>
        <w:tc>
          <w:tcPr>
            <w:tcW w:w="1284" w:type="dxa"/>
            <w:shd w:val="clear" w:color="auto" w:fill="C6EFCE"/>
            <w:noWrap/>
            <w:vAlign w:val="center"/>
          </w:tcPr>
          <w:p w14:paraId="3017E1D6" w14:textId="77777777" w:rsidR="00C972CB" w:rsidRDefault="002457F6">
            <w:pPr>
              <w:pStyle w:val="P68B1DB1-Normal11"/>
              <w:jc w:val="center"/>
              <w:rPr>
                <w:noProof/>
              </w:rPr>
            </w:pPr>
            <w:r>
              <w:rPr>
                <w:noProof/>
              </w:rPr>
              <w:t>M1C1–138</w:t>
            </w:r>
          </w:p>
        </w:tc>
        <w:tc>
          <w:tcPr>
            <w:tcW w:w="1746" w:type="dxa"/>
            <w:shd w:val="clear" w:color="auto" w:fill="C6EFCE"/>
            <w:noWrap/>
            <w:vAlign w:val="center"/>
          </w:tcPr>
          <w:p w14:paraId="1F3F940E" w14:textId="77777777" w:rsidR="00C972CB" w:rsidRDefault="002457F6">
            <w:pPr>
              <w:pStyle w:val="P68B1DB1-Normal11"/>
              <w:jc w:val="center"/>
              <w:rPr>
                <w:noProof/>
              </w:rPr>
            </w:pPr>
            <w:r>
              <w:rPr>
                <w:noProof/>
              </w:rPr>
              <w:t>Ieguldījums 1.6.4. — Aizsardzības ministrijas digitalizācija</w:t>
            </w:r>
          </w:p>
        </w:tc>
        <w:tc>
          <w:tcPr>
            <w:tcW w:w="992" w:type="dxa"/>
            <w:shd w:val="clear" w:color="auto" w:fill="C6EFCE"/>
            <w:noWrap/>
            <w:vAlign w:val="center"/>
          </w:tcPr>
          <w:p w14:paraId="651F913C"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071394D3" w14:textId="77777777" w:rsidR="00C972CB" w:rsidRDefault="002457F6">
            <w:pPr>
              <w:pStyle w:val="P68B1DB1-Normal11"/>
              <w:jc w:val="center"/>
              <w:rPr>
                <w:noProof/>
              </w:rPr>
            </w:pPr>
            <w:r>
              <w:rPr>
                <w:noProof/>
              </w:rPr>
              <w:t>Aizsardzības ministrija — Nemisijas kritiski svarīgu lietotņu migrācija uz risinājumu informācijas aizsardzības pabeigšanai, izmantojot infrastruktūras atklātību (S.C.I.P.I.I.O.) T</w:t>
            </w:r>
            <w:r>
              <w:rPr>
                <w:noProof/>
              </w:rPr>
              <w:t>1</w:t>
            </w:r>
          </w:p>
        </w:tc>
        <w:tc>
          <w:tcPr>
            <w:tcW w:w="1701" w:type="dxa"/>
            <w:shd w:val="clear" w:color="auto" w:fill="C6EFCE"/>
            <w:noWrap/>
            <w:vAlign w:val="center"/>
          </w:tcPr>
          <w:p w14:paraId="154116F5"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7D1A603C"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77EAD694" w14:textId="77777777" w:rsidR="00C972CB" w:rsidRDefault="002457F6">
            <w:pPr>
              <w:pStyle w:val="P68B1DB1-Normal11"/>
              <w:jc w:val="center"/>
              <w:rPr>
                <w:noProof/>
              </w:rPr>
            </w:pPr>
            <w:r>
              <w:rPr>
                <w:noProof/>
              </w:rPr>
              <w:t>0</w:t>
            </w:r>
          </w:p>
        </w:tc>
        <w:tc>
          <w:tcPr>
            <w:tcW w:w="1417" w:type="dxa"/>
            <w:shd w:val="clear" w:color="auto" w:fill="C6EFCE"/>
            <w:noWrap/>
            <w:vAlign w:val="center"/>
          </w:tcPr>
          <w:p w14:paraId="0736E47B" w14:textId="77777777" w:rsidR="00C972CB" w:rsidRDefault="002457F6">
            <w:pPr>
              <w:pStyle w:val="P68B1DB1-Normal11"/>
              <w:jc w:val="center"/>
              <w:rPr>
                <w:noProof/>
              </w:rPr>
            </w:pPr>
            <w:r>
              <w:rPr>
                <w:noProof/>
              </w:rPr>
              <w:t>10</w:t>
            </w:r>
          </w:p>
        </w:tc>
        <w:tc>
          <w:tcPr>
            <w:tcW w:w="793" w:type="dxa"/>
            <w:shd w:val="clear" w:color="auto" w:fill="C6EFCE"/>
            <w:noWrap/>
            <w:vAlign w:val="center"/>
          </w:tcPr>
          <w:p w14:paraId="5FE7E7C5"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5EB36D65" w14:textId="77777777" w:rsidR="00C972CB" w:rsidRDefault="002457F6">
            <w:pPr>
              <w:pStyle w:val="P68B1DB1-Normal11"/>
              <w:jc w:val="center"/>
              <w:rPr>
                <w:noProof/>
              </w:rPr>
            </w:pPr>
            <w:r>
              <w:rPr>
                <w:noProof/>
              </w:rPr>
              <w:t>2023</w:t>
            </w:r>
          </w:p>
        </w:tc>
        <w:tc>
          <w:tcPr>
            <w:tcW w:w="2584" w:type="dxa"/>
            <w:shd w:val="clear" w:color="auto" w:fill="C6EFCE"/>
            <w:noWrap/>
            <w:vAlign w:val="center"/>
          </w:tcPr>
          <w:p w14:paraId="2478AD0F" w14:textId="2D96C4CE" w:rsidR="00C972CB" w:rsidRDefault="002457F6">
            <w:pPr>
              <w:pStyle w:val="P68B1DB1-Normal11"/>
              <w:spacing w:after="120"/>
              <w:rPr>
                <w:noProof/>
              </w:rPr>
            </w:pPr>
            <w:r>
              <w:rPr>
                <w:noProof/>
              </w:rPr>
              <w:t xml:space="preserve">Bezmisijas kritiski svarīgu lietotņu sākotnējā migrācija un operatīvā pieejamība uz jaunu atklātā pirmkoda infrastruktūru. Tas ietver aparatūras vides ieviešanu, starpprogrammatūras atklātā pirmkoda komponentu </w:t>
            </w:r>
            <w:r>
              <w:rPr>
                <w:noProof/>
              </w:rPr>
              <w:t>uzstādīšanu un lietojumprogrammu pārbūvi.</w:t>
            </w:r>
          </w:p>
        </w:tc>
      </w:tr>
      <w:tr w:rsidR="00C972CB" w14:paraId="719AAC2A" w14:textId="77777777">
        <w:trPr>
          <w:trHeight w:val="309"/>
        </w:trPr>
        <w:tc>
          <w:tcPr>
            <w:tcW w:w="1284" w:type="dxa"/>
            <w:shd w:val="clear" w:color="auto" w:fill="C6EFCE"/>
            <w:noWrap/>
            <w:vAlign w:val="center"/>
          </w:tcPr>
          <w:p w14:paraId="79BD3E52" w14:textId="77777777" w:rsidR="00C972CB" w:rsidRDefault="002457F6">
            <w:pPr>
              <w:pStyle w:val="P68B1DB1-Normal11"/>
              <w:jc w:val="center"/>
              <w:rPr>
                <w:noProof/>
              </w:rPr>
            </w:pPr>
            <w:r>
              <w:rPr>
                <w:noProof/>
              </w:rPr>
              <w:t>M1C1–139</w:t>
            </w:r>
          </w:p>
        </w:tc>
        <w:tc>
          <w:tcPr>
            <w:tcW w:w="1746" w:type="dxa"/>
            <w:shd w:val="clear" w:color="auto" w:fill="C6EFCE"/>
            <w:noWrap/>
            <w:vAlign w:val="center"/>
          </w:tcPr>
          <w:p w14:paraId="6C0CC6EC" w14:textId="77777777" w:rsidR="00C972CB" w:rsidRDefault="002457F6">
            <w:pPr>
              <w:pStyle w:val="P68B1DB1-Normal11"/>
              <w:jc w:val="center"/>
              <w:rPr>
                <w:noProof/>
              </w:rPr>
            </w:pPr>
            <w:r>
              <w:rPr>
                <w:noProof/>
              </w:rPr>
              <w:t>Ieguldījums 1.2 — Mākoņdatošanas iespējas vietējai Palestīniešu pašpārvaldei</w:t>
            </w:r>
          </w:p>
        </w:tc>
        <w:tc>
          <w:tcPr>
            <w:tcW w:w="992" w:type="dxa"/>
            <w:shd w:val="clear" w:color="auto" w:fill="C6EFCE"/>
            <w:noWrap/>
            <w:vAlign w:val="center"/>
          </w:tcPr>
          <w:p w14:paraId="413844BE"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26B2145A" w14:textId="77777777" w:rsidR="00C972CB" w:rsidRDefault="002457F6">
            <w:pPr>
              <w:pStyle w:val="P68B1DB1-Normal11"/>
              <w:jc w:val="center"/>
              <w:rPr>
                <w:noProof/>
              </w:rPr>
            </w:pPr>
            <w:r>
              <w:rPr>
                <w:noProof/>
              </w:rPr>
              <w:t>Mākoņa iespējošana vietējai valsts pārvaldei T1</w:t>
            </w:r>
          </w:p>
        </w:tc>
        <w:tc>
          <w:tcPr>
            <w:tcW w:w="1701" w:type="dxa"/>
            <w:shd w:val="clear" w:color="auto" w:fill="C6EFCE"/>
            <w:noWrap/>
            <w:vAlign w:val="center"/>
          </w:tcPr>
          <w:p w14:paraId="18C386AE"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20128DB7"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02D36A6B" w14:textId="77777777" w:rsidR="00C972CB" w:rsidRDefault="002457F6">
            <w:pPr>
              <w:pStyle w:val="P68B1DB1-Normal11"/>
              <w:jc w:val="center"/>
              <w:rPr>
                <w:noProof/>
              </w:rPr>
            </w:pPr>
            <w:r>
              <w:rPr>
                <w:noProof/>
              </w:rPr>
              <w:t>0</w:t>
            </w:r>
          </w:p>
        </w:tc>
        <w:tc>
          <w:tcPr>
            <w:tcW w:w="1417" w:type="dxa"/>
            <w:shd w:val="clear" w:color="auto" w:fill="C6EFCE"/>
            <w:noWrap/>
            <w:vAlign w:val="center"/>
          </w:tcPr>
          <w:p w14:paraId="03A6428C" w14:textId="77777777" w:rsidR="00C972CB" w:rsidRDefault="002457F6">
            <w:pPr>
              <w:pStyle w:val="P68B1DB1-Normal11"/>
              <w:jc w:val="center"/>
              <w:rPr>
                <w:noProof/>
              </w:rPr>
            </w:pPr>
            <w:r>
              <w:rPr>
                <w:noProof/>
              </w:rPr>
              <w:t>4 083</w:t>
            </w:r>
          </w:p>
        </w:tc>
        <w:tc>
          <w:tcPr>
            <w:tcW w:w="793" w:type="dxa"/>
            <w:shd w:val="clear" w:color="auto" w:fill="C6EFCE"/>
            <w:noWrap/>
            <w:vAlign w:val="center"/>
          </w:tcPr>
          <w:p w14:paraId="1C53A6C4" w14:textId="77777777" w:rsidR="00C972CB" w:rsidRDefault="002457F6">
            <w:pPr>
              <w:pStyle w:val="P68B1DB1-Normal11"/>
              <w:jc w:val="center"/>
              <w:rPr>
                <w:noProof/>
              </w:rPr>
            </w:pPr>
            <w:r>
              <w:rPr>
                <w:noProof/>
              </w:rPr>
              <w:t>3. CET.</w:t>
            </w:r>
          </w:p>
        </w:tc>
        <w:tc>
          <w:tcPr>
            <w:tcW w:w="625" w:type="dxa"/>
            <w:shd w:val="clear" w:color="auto" w:fill="C6EFCE"/>
            <w:noWrap/>
            <w:vAlign w:val="center"/>
          </w:tcPr>
          <w:p w14:paraId="5031769F" w14:textId="77777777" w:rsidR="00C972CB" w:rsidRDefault="002457F6">
            <w:pPr>
              <w:pStyle w:val="P68B1DB1-Normal11"/>
              <w:jc w:val="center"/>
              <w:rPr>
                <w:noProof/>
              </w:rPr>
            </w:pPr>
            <w:r>
              <w:rPr>
                <w:noProof/>
              </w:rPr>
              <w:t>2024</w:t>
            </w:r>
          </w:p>
        </w:tc>
        <w:tc>
          <w:tcPr>
            <w:tcW w:w="2584" w:type="dxa"/>
            <w:shd w:val="clear" w:color="auto" w:fill="C6EFCE"/>
            <w:noWrap/>
            <w:vAlign w:val="center"/>
          </w:tcPr>
          <w:p w14:paraId="14A0A305" w14:textId="0F42F1BF" w:rsidR="00C972CB" w:rsidRDefault="002457F6">
            <w:pPr>
              <w:pStyle w:val="P68B1DB1-Normal12"/>
              <w:spacing w:after="120"/>
              <w:rPr>
                <w:rFonts w:ascii="Arial Narrow" w:hAnsi="Arial Narrow"/>
                <w:noProof/>
              </w:rPr>
            </w:pPr>
            <w:r>
              <w:rPr>
                <w:rFonts w:ascii="Arial Narrow" w:hAnsi="Arial Narrow"/>
                <w:noProof/>
              </w:rPr>
              <w:t>Uzskata, ka 4083</w:t>
            </w:r>
            <w:r>
              <w:rPr>
                <w:noProof/>
              </w:rPr>
              <w:t xml:space="preserve"> </w:t>
            </w:r>
            <w:r>
              <w:rPr>
                <w:rFonts w:ascii="Arial Narrow" w:hAnsi="Arial Narrow"/>
                <w:noProof/>
              </w:rPr>
              <w:t xml:space="preserve">vietējo valsts </w:t>
            </w:r>
            <w:r>
              <w:rPr>
                <w:rFonts w:ascii="Arial Narrow" w:hAnsi="Arial Narrow"/>
                <w:noProof/>
              </w:rPr>
              <w:t>pārvaldes iestāžu migrācija uz sertificētu mākoņu vidi ir panākta, ja visu katrā migrācijas plānā iekļauto sistēmu, datu kopu un lietojumprogrammu migrācijas testēšana ir sekmīga.</w:t>
            </w:r>
          </w:p>
        </w:tc>
      </w:tr>
      <w:tr w:rsidR="00C972CB" w14:paraId="003659B2" w14:textId="77777777">
        <w:trPr>
          <w:trHeight w:val="309"/>
        </w:trPr>
        <w:tc>
          <w:tcPr>
            <w:tcW w:w="1284" w:type="dxa"/>
            <w:shd w:val="clear" w:color="auto" w:fill="C6EFCE"/>
            <w:noWrap/>
            <w:vAlign w:val="center"/>
          </w:tcPr>
          <w:p w14:paraId="55CBADAF" w14:textId="77777777" w:rsidR="00C972CB" w:rsidRDefault="002457F6">
            <w:pPr>
              <w:pStyle w:val="P68B1DB1-Normal11"/>
              <w:jc w:val="center"/>
              <w:rPr>
                <w:noProof/>
              </w:rPr>
            </w:pPr>
            <w:r>
              <w:rPr>
                <w:noProof/>
              </w:rPr>
              <w:t>M1C1–140</w:t>
            </w:r>
          </w:p>
        </w:tc>
        <w:tc>
          <w:tcPr>
            <w:tcW w:w="1746" w:type="dxa"/>
            <w:shd w:val="clear" w:color="auto" w:fill="C6EFCE"/>
            <w:noWrap/>
            <w:vAlign w:val="center"/>
          </w:tcPr>
          <w:p w14:paraId="01D2F81B" w14:textId="77777777" w:rsidR="00C972CB" w:rsidRDefault="002457F6">
            <w:pPr>
              <w:pStyle w:val="P68B1DB1-Normal11"/>
              <w:jc w:val="center"/>
              <w:rPr>
                <w:noProof/>
              </w:rPr>
            </w:pPr>
            <w:r>
              <w:rPr>
                <w:noProof/>
              </w:rPr>
              <w:t xml:space="preserve">Ieguldījums 1.4.1. Pilsoņu pieredze — digitālo publisko </w:t>
            </w:r>
            <w:r>
              <w:rPr>
                <w:noProof/>
              </w:rPr>
              <w:t>pakalpojumu kvalitātes un lietojamības uzlabošana</w:t>
            </w:r>
          </w:p>
        </w:tc>
        <w:tc>
          <w:tcPr>
            <w:tcW w:w="992" w:type="dxa"/>
            <w:shd w:val="clear" w:color="auto" w:fill="C6EFCE"/>
            <w:noWrap/>
            <w:vAlign w:val="center"/>
          </w:tcPr>
          <w:p w14:paraId="1584DC02"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24F8F50C" w14:textId="77777777" w:rsidR="00C972CB" w:rsidRDefault="002457F6">
            <w:pPr>
              <w:pStyle w:val="P68B1DB1-Normal11"/>
              <w:jc w:val="center"/>
              <w:rPr>
                <w:noProof/>
              </w:rPr>
            </w:pPr>
            <w:r>
              <w:rPr>
                <w:noProof/>
              </w:rPr>
              <w:t>Digitālo publisko pakalpojumu kvalitātes un lietojamības uzlabošana T1</w:t>
            </w:r>
          </w:p>
        </w:tc>
        <w:tc>
          <w:tcPr>
            <w:tcW w:w="1701" w:type="dxa"/>
            <w:shd w:val="clear" w:color="auto" w:fill="C6EFCE"/>
            <w:noWrap/>
            <w:vAlign w:val="center"/>
          </w:tcPr>
          <w:p w14:paraId="7DDDA04D"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3A5BAD19" w14:textId="77777777" w:rsidR="00C972CB" w:rsidRDefault="002457F6">
            <w:pPr>
              <w:pStyle w:val="P68B1DB1-Normal11"/>
              <w:jc w:val="center"/>
              <w:rPr>
                <w:noProof/>
              </w:rPr>
            </w:pPr>
            <w:r>
              <w:rPr>
                <w:noProof/>
              </w:rPr>
              <w:t>Procentuālā daļa</w:t>
            </w:r>
          </w:p>
        </w:tc>
        <w:tc>
          <w:tcPr>
            <w:tcW w:w="1276" w:type="dxa"/>
            <w:shd w:val="clear" w:color="auto" w:fill="C6EFCE"/>
            <w:noWrap/>
            <w:vAlign w:val="center"/>
          </w:tcPr>
          <w:p w14:paraId="6A0C6D20" w14:textId="77777777" w:rsidR="00C972CB" w:rsidRDefault="002457F6">
            <w:pPr>
              <w:pStyle w:val="P68B1DB1-Normal11"/>
              <w:jc w:val="center"/>
              <w:rPr>
                <w:noProof/>
              </w:rPr>
            </w:pPr>
            <w:r>
              <w:rPr>
                <w:noProof/>
              </w:rPr>
              <w:t>0,1</w:t>
            </w:r>
          </w:p>
        </w:tc>
        <w:tc>
          <w:tcPr>
            <w:tcW w:w="1417" w:type="dxa"/>
            <w:shd w:val="clear" w:color="auto" w:fill="C6EFCE"/>
            <w:noWrap/>
            <w:vAlign w:val="center"/>
          </w:tcPr>
          <w:p w14:paraId="79C344AE" w14:textId="77777777" w:rsidR="00C972CB" w:rsidRDefault="002457F6">
            <w:pPr>
              <w:pStyle w:val="P68B1DB1-Normal11"/>
              <w:jc w:val="center"/>
              <w:rPr>
                <w:noProof/>
              </w:rPr>
            </w:pPr>
            <w:r>
              <w:rPr>
                <w:noProof/>
              </w:rPr>
              <w:t>40</w:t>
            </w:r>
          </w:p>
        </w:tc>
        <w:tc>
          <w:tcPr>
            <w:tcW w:w="793" w:type="dxa"/>
            <w:shd w:val="clear" w:color="auto" w:fill="C6EFCE"/>
            <w:noWrap/>
            <w:vAlign w:val="center"/>
          </w:tcPr>
          <w:p w14:paraId="532EC22B"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43DBC84F" w14:textId="77777777" w:rsidR="00C972CB" w:rsidRDefault="002457F6">
            <w:pPr>
              <w:pStyle w:val="P68B1DB1-Normal11"/>
              <w:jc w:val="center"/>
              <w:rPr>
                <w:noProof/>
              </w:rPr>
            </w:pPr>
            <w:r>
              <w:rPr>
                <w:noProof/>
              </w:rPr>
              <w:t>2024</w:t>
            </w:r>
          </w:p>
        </w:tc>
        <w:tc>
          <w:tcPr>
            <w:tcW w:w="2584" w:type="dxa"/>
            <w:shd w:val="clear" w:color="auto" w:fill="C6EFCE"/>
            <w:noWrap/>
            <w:vAlign w:val="center"/>
          </w:tcPr>
          <w:p w14:paraId="61A04C9F" w14:textId="77777777" w:rsidR="00C972CB" w:rsidRDefault="002457F6">
            <w:pPr>
              <w:pStyle w:val="P68B1DB1-Normal11"/>
              <w:spacing w:after="120"/>
              <w:rPr>
                <w:noProof/>
              </w:rPr>
            </w:pPr>
            <w:r>
              <w:rPr>
                <w:noProof/>
              </w:rPr>
              <w:t>Pārvaldes iestādes (pašvaldības, pirmās un otrās pakāpes izglītības iestāžu pamatizglītības un vidējās izglītības iestādes un īpašas eksperimentālas veselības aprūpes un kultūras mantojuma vienības) ievēro vienotu modeļu un dizaina sistēmu, vienkāršojot li</w:t>
            </w:r>
            <w:r>
              <w:rPr>
                <w:noProof/>
              </w:rPr>
              <w:t xml:space="preserve">etotāju mijiedarbību un atvieglojot uzturēšanu turpmākajos gados. </w:t>
            </w:r>
          </w:p>
          <w:p w14:paraId="5DA86C5E" w14:textId="77777777" w:rsidR="00C972CB" w:rsidRDefault="002457F6">
            <w:pPr>
              <w:pStyle w:val="P68B1DB1-Normal11"/>
              <w:spacing w:after="120"/>
              <w:rPr>
                <w:noProof/>
              </w:rPr>
            </w:pPr>
            <w:r>
              <w:rPr>
                <w:noProof/>
              </w:rPr>
              <w:t xml:space="preserve">Tīmekļa vietņu/pakalpojumu komponentu kopīgā dizaina/modeļa ievērošanu veido: </w:t>
            </w:r>
          </w:p>
          <w:p w14:paraId="21522E9D" w14:textId="77777777" w:rsidR="00C972CB" w:rsidRDefault="002457F6">
            <w:pPr>
              <w:pStyle w:val="P68B1DB1-Normal11"/>
              <w:spacing w:after="120"/>
              <w:rPr>
                <w:noProof/>
              </w:rPr>
            </w:pPr>
            <w:r>
              <w:rPr>
                <w:noProof/>
              </w:rPr>
              <w:t>(1) Iesniegto projektu novērtēšana;</w:t>
            </w:r>
          </w:p>
          <w:p w14:paraId="68D2F60E" w14:textId="77777777" w:rsidR="00C972CB" w:rsidRDefault="002457F6">
            <w:pPr>
              <w:pStyle w:val="P68B1DB1-Normal11"/>
              <w:spacing w:after="120"/>
              <w:rPr>
                <w:noProof/>
              </w:rPr>
            </w:pPr>
            <w:r>
              <w:rPr>
                <w:noProof/>
              </w:rPr>
              <w:t>(2) Projekta pabeigšanas novērtējums attiecībā uz galvenajiem lietojamības</w:t>
            </w:r>
            <w:r>
              <w:rPr>
                <w:noProof/>
              </w:rPr>
              <w:t xml:space="preserve"> rādītājiem (digitālās izmantojamības rādītāji), izmantojot īpašu platformu, kas jau ir pieejama.</w:t>
            </w:r>
          </w:p>
        </w:tc>
      </w:tr>
      <w:tr w:rsidR="00C972CB" w14:paraId="2D55F0F0" w14:textId="77777777">
        <w:trPr>
          <w:trHeight w:val="309"/>
        </w:trPr>
        <w:tc>
          <w:tcPr>
            <w:tcW w:w="1284" w:type="dxa"/>
            <w:shd w:val="clear" w:color="auto" w:fill="C6EFCE"/>
            <w:noWrap/>
            <w:vAlign w:val="center"/>
          </w:tcPr>
          <w:p w14:paraId="401BB6A4" w14:textId="77777777" w:rsidR="00C972CB" w:rsidRDefault="002457F6">
            <w:pPr>
              <w:pStyle w:val="P68B1DB1-Normal11"/>
              <w:jc w:val="center"/>
              <w:rPr>
                <w:noProof/>
              </w:rPr>
            </w:pPr>
            <w:r>
              <w:rPr>
                <w:noProof/>
              </w:rPr>
              <w:t>M1C1–141</w:t>
            </w:r>
          </w:p>
        </w:tc>
        <w:tc>
          <w:tcPr>
            <w:tcW w:w="1746" w:type="dxa"/>
            <w:shd w:val="clear" w:color="auto" w:fill="C6EFCE"/>
            <w:noWrap/>
            <w:vAlign w:val="center"/>
          </w:tcPr>
          <w:p w14:paraId="023A752B" w14:textId="77777777" w:rsidR="00C972CB" w:rsidRDefault="002457F6">
            <w:pPr>
              <w:pStyle w:val="P68B1DB1-Normal11"/>
              <w:jc w:val="center"/>
              <w:rPr>
                <w:noProof/>
              </w:rPr>
            </w:pPr>
            <w:r>
              <w:rPr>
                <w:noProof/>
              </w:rPr>
              <w:t>Ieguldījums 1.6.4. — Aizsardzības ministrijas digitalizācija</w:t>
            </w:r>
          </w:p>
        </w:tc>
        <w:tc>
          <w:tcPr>
            <w:tcW w:w="992" w:type="dxa"/>
            <w:shd w:val="clear" w:color="auto" w:fill="C6EFCE"/>
            <w:noWrap/>
            <w:vAlign w:val="center"/>
          </w:tcPr>
          <w:p w14:paraId="17ADAE57"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7D061087" w14:textId="77777777" w:rsidR="00C972CB" w:rsidRDefault="002457F6">
            <w:pPr>
              <w:pStyle w:val="P68B1DB1-Normal11"/>
              <w:jc w:val="center"/>
              <w:rPr>
                <w:noProof/>
              </w:rPr>
            </w:pPr>
            <w:r>
              <w:rPr>
                <w:noProof/>
              </w:rPr>
              <w:t>Aizsardzības ministrijas procedūru digitalizācija T2</w:t>
            </w:r>
          </w:p>
        </w:tc>
        <w:tc>
          <w:tcPr>
            <w:tcW w:w="1701" w:type="dxa"/>
            <w:shd w:val="clear" w:color="auto" w:fill="C6EFCE"/>
            <w:noWrap/>
            <w:vAlign w:val="center"/>
          </w:tcPr>
          <w:p w14:paraId="6CB5027A"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772CF0D6"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12203EF3" w14:textId="77777777" w:rsidR="00C972CB" w:rsidRDefault="002457F6">
            <w:pPr>
              <w:pStyle w:val="P68B1DB1-Normal11"/>
              <w:jc w:val="center"/>
              <w:rPr>
                <w:noProof/>
              </w:rPr>
            </w:pPr>
            <w:r>
              <w:rPr>
                <w:noProof/>
              </w:rPr>
              <w:t>15</w:t>
            </w:r>
          </w:p>
        </w:tc>
        <w:tc>
          <w:tcPr>
            <w:tcW w:w="1417" w:type="dxa"/>
            <w:shd w:val="clear" w:color="auto" w:fill="C6EFCE"/>
            <w:noWrap/>
            <w:vAlign w:val="center"/>
          </w:tcPr>
          <w:p w14:paraId="7A1BB7D5" w14:textId="77777777" w:rsidR="00C972CB" w:rsidRDefault="002457F6">
            <w:pPr>
              <w:pStyle w:val="P68B1DB1-Normal11"/>
              <w:jc w:val="center"/>
              <w:rPr>
                <w:noProof/>
              </w:rPr>
            </w:pPr>
            <w:r>
              <w:rPr>
                <w:noProof/>
              </w:rPr>
              <w:t>20</w:t>
            </w:r>
          </w:p>
        </w:tc>
        <w:tc>
          <w:tcPr>
            <w:tcW w:w="793" w:type="dxa"/>
            <w:shd w:val="clear" w:color="auto" w:fill="C6EFCE"/>
            <w:noWrap/>
            <w:vAlign w:val="center"/>
          </w:tcPr>
          <w:p w14:paraId="14685221" w14:textId="77777777" w:rsidR="00C972CB" w:rsidRDefault="002457F6">
            <w:pPr>
              <w:pStyle w:val="P68B1DB1-Normal11"/>
              <w:jc w:val="center"/>
              <w:rPr>
                <w:noProof/>
              </w:rPr>
            </w:pPr>
            <w:r>
              <w:rPr>
                <w:noProof/>
              </w:rPr>
              <w:t xml:space="preserve">4. </w:t>
            </w:r>
            <w:r>
              <w:rPr>
                <w:noProof/>
              </w:rPr>
              <w:t>CET.</w:t>
            </w:r>
          </w:p>
        </w:tc>
        <w:tc>
          <w:tcPr>
            <w:tcW w:w="625" w:type="dxa"/>
            <w:shd w:val="clear" w:color="auto" w:fill="C6EFCE"/>
            <w:noWrap/>
            <w:vAlign w:val="center"/>
          </w:tcPr>
          <w:p w14:paraId="01237743" w14:textId="77777777" w:rsidR="00C972CB" w:rsidRDefault="002457F6">
            <w:pPr>
              <w:pStyle w:val="P68B1DB1-Normal11"/>
              <w:jc w:val="center"/>
              <w:rPr>
                <w:noProof/>
              </w:rPr>
            </w:pPr>
            <w:r>
              <w:rPr>
                <w:noProof/>
              </w:rPr>
              <w:t>2024</w:t>
            </w:r>
          </w:p>
        </w:tc>
        <w:tc>
          <w:tcPr>
            <w:tcW w:w="2584" w:type="dxa"/>
            <w:shd w:val="clear" w:color="auto" w:fill="C6EFCE"/>
            <w:noWrap/>
            <w:vAlign w:val="center"/>
          </w:tcPr>
          <w:p w14:paraId="48A2EC74" w14:textId="77777777" w:rsidR="00C972CB" w:rsidRDefault="002457F6">
            <w:pPr>
              <w:pStyle w:val="P68B1DB1-Normal11"/>
              <w:spacing w:after="120"/>
              <w:rPr>
                <w:noProof/>
              </w:rPr>
            </w:pPr>
            <w:r>
              <w:rPr>
                <w:noProof/>
              </w:rPr>
              <w:t>20 procedūru digitalizācija, pārskatīšana un automatizācija saistībā ar aizsardzības personāla pārvaldību (piemēram, pieņemšana darbā, nodarbinātība un pensionēšanās, darbinieku veselība), sākot no piecpadsmit jau digitalizētām procedūrām ar 1. m</w:t>
            </w:r>
            <w:r>
              <w:rPr>
                <w:noProof/>
              </w:rPr>
              <w:t>ērķi.</w:t>
            </w:r>
          </w:p>
        </w:tc>
      </w:tr>
      <w:tr w:rsidR="00C972CB" w14:paraId="0120E029" w14:textId="77777777">
        <w:trPr>
          <w:trHeight w:val="309"/>
        </w:trPr>
        <w:tc>
          <w:tcPr>
            <w:tcW w:w="1284" w:type="dxa"/>
            <w:shd w:val="clear" w:color="auto" w:fill="C6EFCE"/>
            <w:noWrap/>
            <w:vAlign w:val="center"/>
          </w:tcPr>
          <w:p w14:paraId="5509017A" w14:textId="77777777" w:rsidR="00C972CB" w:rsidRDefault="002457F6">
            <w:pPr>
              <w:pStyle w:val="P68B1DB1-Normal11"/>
              <w:jc w:val="center"/>
              <w:rPr>
                <w:noProof/>
              </w:rPr>
            </w:pPr>
            <w:r>
              <w:rPr>
                <w:noProof/>
              </w:rPr>
              <w:t>M1C1–142</w:t>
            </w:r>
          </w:p>
        </w:tc>
        <w:tc>
          <w:tcPr>
            <w:tcW w:w="1746" w:type="dxa"/>
            <w:shd w:val="clear" w:color="auto" w:fill="C6EFCE"/>
            <w:noWrap/>
            <w:vAlign w:val="center"/>
          </w:tcPr>
          <w:p w14:paraId="558A7A70" w14:textId="77777777" w:rsidR="00C972CB" w:rsidRDefault="002457F6">
            <w:pPr>
              <w:pStyle w:val="P68B1DB1-Normal11"/>
              <w:jc w:val="center"/>
              <w:rPr>
                <w:noProof/>
              </w:rPr>
            </w:pPr>
            <w:r>
              <w:rPr>
                <w:noProof/>
              </w:rPr>
              <w:t>Ieguldījums 1.6.4. — Aizsardzības ministrijas digitalizācija</w:t>
            </w:r>
          </w:p>
        </w:tc>
        <w:tc>
          <w:tcPr>
            <w:tcW w:w="992" w:type="dxa"/>
            <w:shd w:val="clear" w:color="auto" w:fill="C6EFCE"/>
            <w:noWrap/>
            <w:vAlign w:val="center"/>
          </w:tcPr>
          <w:p w14:paraId="3C8801B7"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48B699F4" w14:textId="77777777" w:rsidR="00C972CB" w:rsidRDefault="002457F6">
            <w:pPr>
              <w:pStyle w:val="P68B1DB1-Normal11"/>
              <w:jc w:val="center"/>
              <w:rPr>
                <w:noProof/>
              </w:rPr>
            </w:pPr>
            <w:r>
              <w:rPr>
                <w:noProof/>
              </w:rPr>
              <w:t>Aizsardzības ministrijas sertifikātu digitalizācija T2</w:t>
            </w:r>
          </w:p>
        </w:tc>
        <w:tc>
          <w:tcPr>
            <w:tcW w:w="1701" w:type="dxa"/>
            <w:shd w:val="clear" w:color="auto" w:fill="C6EFCE"/>
            <w:noWrap/>
            <w:vAlign w:val="center"/>
          </w:tcPr>
          <w:p w14:paraId="203D02A1"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5F9A9DEC" w14:textId="77777777" w:rsidR="00C972CB" w:rsidRDefault="002457F6">
            <w:pPr>
              <w:pStyle w:val="P68B1DB1-Normal11"/>
              <w:jc w:val="center"/>
              <w:rPr>
                <w:noProof/>
              </w:rPr>
            </w:pPr>
            <w:r>
              <w:rPr>
                <w:noProof/>
              </w:rPr>
              <w:t>Digitalizēto sertifikātu skaits</w:t>
            </w:r>
          </w:p>
        </w:tc>
        <w:tc>
          <w:tcPr>
            <w:tcW w:w="1276" w:type="dxa"/>
            <w:shd w:val="clear" w:color="auto" w:fill="C6EFCE"/>
            <w:noWrap/>
            <w:vAlign w:val="center"/>
          </w:tcPr>
          <w:p w14:paraId="49A952DB" w14:textId="77777777" w:rsidR="00C972CB" w:rsidRDefault="002457F6">
            <w:pPr>
              <w:pStyle w:val="P68B1DB1-Normal11"/>
              <w:jc w:val="center"/>
              <w:rPr>
                <w:noProof/>
              </w:rPr>
            </w:pPr>
            <w:r>
              <w:rPr>
                <w:noProof/>
              </w:rPr>
              <w:t>450 000</w:t>
            </w:r>
          </w:p>
        </w:tc>
        <w:tc>
          <w:tcPr>
            <w:tcW w:w="1417" w:type="dxa"/>
            <w:shd w:val="clear" w:color="auto" w:fill="C6EFCE"/>
            <w:noWrap/>
            <w:vAlign w:val="center"/>
          </w:tcPr>
          <w:p w14:paraId="7FDC7984" w14:textId="77777777" w:rsidR="00C972CB" w:rsidRDefault="002457F6">
            <w:pPr>
              <w:pStyle w:val="P68B1DB1-Normal11"/>
              <w:jc w:val="center"/>
              <w:rPr>
                <w:noProof/>
              </w:rPr>
            </w:pPr>
            <w:r>
              <w:rPr>
                <w:noProof/>
              </w:rPr>
              <w:t>750 000</w:t>
            </w:r>
          </w:p>
        </w:tc>
        <w:tc>
          <w:tcPr>
            <w:tcW w:w="793" w:type="dxa"/>
            <w:shd w:val="clear" w:color="auto" w:fill="C6EFCE"/>
            <w:noWrap/>
            <w:vAlign w:val="center"/>
          </w:tcPr>
          <w:p w14:paraId="482EB49D"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42D3C805" w14:textId="77777777" w:rsidR="00C972CB" w:rsidRDefault="002457F6">
            <w:pPr>
              <w:pStyle w:val="P68B1DB1-Normal11"/>
              <w:jc w:val="center"/>
              <w:rPr>
                <w:noProof/>
              </w:rPr>
            </w:pPr>
            <w:r>
              <w:rPr>
                <w:noProof/>
              </w:rPr>
              <w:t>2024</w:t>
            </w:r>
          </w:p>
        </w:tc>
        <w:tc>
          <w:tcPr>
            <w:tcW w:w="2584" w:type="dxa"/>
            <w:shd w:val="clear" w:color="auto" w:fill="C6EFCE"/>
            <w:noWrap/>
            <w:vAlign w:val="center"/>
          </w:tcPr>
          <w:p w14:paraId="51AD519D" w14:textId="77777777" w:rsidR="00C972CB" w:rsidRDefault="002457F6">
            <w:pPr>
              <w:pStyle w:val="P68B1DB1-Normal11"/>
              <w:spacing w:after="120"/>
              <w:rPr>
                <w:noProof/>
              </w:rPr>
            </w:pPr>
            <w:r>
              <w:rPr>
                <w:noProof/>
              </w:rPr>
              <w:t xml:space="preserve">Aizsardzības ministrijas izdoto digitalizēto </w:t>
            </w:r>
            <w:r>
              <w:rPr>
                <w:noProof/>
              </w:rPr>
              <w:t>personas apliecību (750000) skaits, kas darbojas infrastruktūrā un ko papildina negadījuma seku novēršanas vieta, sākot no bāzlīnijas ar 450000 jau digitalizētiem sertifikātiem ar mērķi Nr. 1.</w:t>
            </w:r>
          </w:p>
        </w:tc>
      </w:tr>
      <w:tr w:rsidR="00C972CB" w14:paraId="6077FB90" w14:textId="77777777">
        <w:trPr>
          <w:trHeight w:val="309"/>
        </w:trPr>
        <w:tc>
          <w:tcPr>
            <w:tcW w:w="1284" w:type="dxa"/>
            <w:shd w:val="clear" w:color="auto" w:fill="C6EFCE"/>
            <w:noWrap/>
            <w:vAlign w:val="center"/>
          </w:tcPr>
          <w:p w14:paraId="65443C7D" w14:textId="77777777" w:rsidR="00C972CB" w:rsidRDefault="002457F6">
            <w:pPr>
              <w:pStyle w:val="P68B1DB1-Normal11"/>
              <w:jc w:val="center"/>
              <w:rPr>
                <w:noProof/>
              </w:rPr>
            </w:pPr>
            <w:r>
              <w:rPr>
                <w:noProof/>
              </w:rPr>
              <w:t>M1C1–143</w:t>
            </w:r>
          </w:p>
        </w:tc>
        <w:tc>
          <w:tcPr>
            <w:tcW w:w="1746" w:type="dxa"/>
            <w:shd w:val="clear" w:color="auto" w:fill="C6EFCE"/>
            <w:noWrap/>
            <w:vAlign w:val="center"/>
          </w:tcPr>
          <w:p w14:paraId="05D17F13" w14:textId="77777777" w:rsidR="00C972CB" w:rsidRDefault="002457F6">
            <w:pPr>
              <w:pStyle w:val="P68B1DB1-Normal11"/>
              <w:jc w:val="center"/>
              <w:rPr>
                <w:noProof/>
              </w:rPr>
            </w:pPr>
            <w:r>
              <w:rPr>
                <w:noProof/>
              </w:rPr>
              <w:t xml:space="preserve">Ieguldījums 1.6.4. — Aizsardzības ministrijas </w:t>
            </w:r>
            <w:r>
              <w:rPr>
                <w:noProof/>
              </w:rPr>
              <w:t>digitalizācija</w:t>
            </w:r>
          </w:p>
        </w:tc>
        <w:tc>
          <w:tcPr>
            <w:tcW w:w="992" w:type="dxa"/>
            <w:shd w:val="clear" w:color="auto" w:fill="C6EFCE"/>
            <w:noWrap/>
            <w:vAlign w:val="center"/>
          </w:tcPr>
          <w:p w14:paraId="5104BDEA"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3DF694D2" w14:textId="77777777" w:rsidR="00C972CB" w:rsidRDefault="002457F6">
            <w:pPr>
              <w:pStyle w:val="P68B1DB1-Normal11"/>
              <w:jc w:val="center"/>
              <w:rPr>
                <w:noProof/>
              </w:rPr>
            </w:pPr>
            <w:r>
              <w:rPr>
                <w:noProof/>
              </w:rPr>
              <w:t>Aizsardzības ministrija — Nemisijas kritiski svarīgu lietotņu migrācija uz risinājumu informācijas aizsardzības pabeigšanai, izmantojot infrastruktūras atklātību (S.C.I.P.I.I.O.) T2</w:t>
            </w:r>
          </w:p>
        </w:tc>
        <w:tc>
          <w:tcPr>
            <w:tcW w:w="1701" w:type="dxa"/>
            <w:shd w:val="clear" w:color="auto" w:fill="C6EFCE"/>
            <w:noWrap/>
            <w:vAlign w:val="center"/>
          </w:tcPr>
          <w:p w14:paraId="37B81BD3"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2D1037D5"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623AB979" w14:textId="77777777" w:rsidR="00C972CB" w:rsidRDefault="002457F6">
            <w:pPr>
              <w:pStyle w:val="P68B1DB1-Normal11"/>
              <w:jc w:val="center"/>
              <w:rPr>
                <w:noProof/>
              </w:rPr>
            </w:pPr>
            <w:r>
              <w:rPr>
                <w:noProof/>
              </w:rPr>
              <w:t>10</w:t>
            </w:r>
          </w:p>
        </w:tc>
        <w:tc>
          <w:tcPr>
            <w:tcW w:w="1417" w:type="dxa"/>
            <w:shd w:val="clear" w:color="auto" w:fill="C6EFCE"/>
            <w:noWrap/>
            <w:vAlign w:val="center"/>
          </w:tcPr>
          <w:p w14:paraId="01EA41A9" w14:textId="77777777" w:rsidR="00C972CB" w:rsidRDefault="002457F6">
            <w:pPr>
              <w:pStyle w:val="P68B1DB1-Normal11"/>
              <w:jc w:val="center"/>
              <w:rPr>
                <w:noProof/>
              </w:rPr>
            </w:pPr>
            <w:r>
              <w:rPr>
                <w:noProof/>
              </w:rPr>
              <w:t>15</w:t>
            </w:r>
          </w:p>
        </w:tc>
        <w:tc>
          <w:tcPr>
            <w:tcW w:w="793" w:type="dxa"/>
            <w:shd w:val="clear" w:color="auto" w:fill="C6EFCE"/>
            <w:noWrap/>
            <w:vAlign w:val="center"/>
          </w:tcPr>
          <w:p w14:paraId="12E596B0"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0CD28A73" w14:textId="77777777" w:rsidR="00C972CB" w:rsidRDefault="002457F6">
            <w:pPr>
              <w:pStyle w:val="P68B1DB1-Normal11"/>
              <w:jc w:val="center"/>
              <w:rPr>
                <w:noProof/>
              </w:rPr>
            </w:pPr>
            <w:r>
              <w:rPr>
                <w:noProof/>
              </w:rPr>
              <w:t>2024</w:t>
            </w:r>
          </w:p>
        </w:tc>
        <w:tc>
          <w:tcPr>
            <w:tcW w:w="2584" w:type="dxa"/>
            <w:shd w:val="clear" w:color="auto" w:fill="C6EFCE"/>
            <w:noWrap/>
            <w:vAlign w:val="center"/>
          </w:tcPr>
          <w:p w14:paraId="04162437" w14:textId="495EC935" w:rsidR="00C972CB" w:rsidRDefault="002457F6">
            <w:pPr>
              <w:pStyle w:val="P68B1DB1-Normal11"/>
              <w:spacing w:after="120"/>
              <w:rPr>
                <w:noProof/>
              </w:rPr>
            </w:pPr>
            <w:r>
              <w:rPr>
                <w:noProof/>
              </w:rPr>
              <w:t xml:space="preserve">Četru misiju </w:t>
            </w:r>
            <w:r>
              <w:rPr>
                <w:noProof/>
              </w:rPr>
              <w:t>kritiski svarīgu un vienpadsmit bezmisijas kritiski svarīgu lietotņu galīgā migrācija uz jaunu atklātā pirmkoda infrastruktūru, kas ietver aparatūras vides ieviešanu, starpprogrammatūras atklātā pirmkoda komponentu uzstādīšanu, lietojumprogrammu pārveidoša</w:t>
            </w:r>
            <w:r>
              <w:rPr>
                <w:noProof/>
              </w:rPr>
              <w:t>nu, sākot no desmit bāzes līnijas, kas jau ir migrēta ar 1. mērķi.</w:t>
            </w:r>
          </w:p>
        </w:tc>
      </w:tr>
      <w:tr w:rsidR="00C972CB" w14:paraId="30C34615" w14:textId="77777777">
        <w:trPr>
          <w:trHeight w:val="309"/>
        </w:trPr>
        <w:tc>
          <w:tcPr>
            <w:tcW w:w="1284" w:type="dxa"/>
            <w:shd w:val="clear" w:color="auto" w:fill="C6EFCE"/>
            <w:noWrap/>
            <w:vAlign w:val="center"/>
          </w:tcPr>
          <w:p w14:paraId="75FABC3E" w14:textId="77777777" w:rsidR="00C972CB" w:rsidRDefault="002457F6">
            <w:pPr>
              <w:pStyle w:val="P68B1DB1-Normal11"/>
              <w:jc w:val="center"/>
              <w:rPr>
                <w:noProof/>
              </w:rPr>
            </w:pPr>
            <w:r>
              <w:rPr>
                <w:noProof/>
              </w:rPr>
              <w:t>M1C1–144</w:t>
            </w:r>
          </w:p>
        </w:tc>
        <w:tc>
          <w:tcPr>
            <w:tcW w:w="1746" w:type="dxa"/>
            <w:shd w:val="clear" w:color="auto" w:fill="C6EFCE"/>
            <w:noWrap/>
            <w:vAlign w:val="center"/>
          </w:tcPr>
          <w:p w14:paraId="2F149D2C" w14:textId="77777777" w:rsidR="00C972CB" w:rsidRDefault="002457F6">
            <w:pPr>
              <w:pStyle w:val="P68B1DB1-Normal11"/>
              <w:jc w:val="center"/>
              <w:rPr>
                <w:noProof/>
              </w:rPr>
            </w:pPr>
            <w:r>
              <w:rPr>
                <w:noProof/>
              </w:rPr>
              <w:t>Ieguldījums 1.4.2. — Iedzīvotāju iekļaušana — digitālo publisko pakalpojumu pieejamības uzlabošana</w:t>
            </w:r>
          </w:p>
        </w:tc>
        <w:tc>
          <w:tcPr>
            <w:tcW w:w="992" w:type="dxa"/>
            <w:shd w:val="clear" w:color="auto" w:fill="C6EFCE"/>
            <w:noWrap/>
            <w:vAlign w:val="center"/>
          </w:tcPr>
          <w:p w14:paraId="44DE6432"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22B6A962" w14:textId="77777777" w:rsidR="00C972CB" w:rsidRDefault="002457F6">
            <w:pPr>
              <w:pStyle w:val="P68B1DB1-Normal11"/>
              <w:jc w:val="center"/>
              <w:rPr>
                <w:noProof/>
              </w:rPr>
            </w:pPr>
            <w:r>
              <w:rPr>
                <w:noProof/>
              </w:rPr>
              <w:t>Digitālo publisko pakalpojumu pieejamības uzlabošana</w:t>
            </w:r>
          </w:p>
        </w:tc>
        <w:tc>
          <w:tcPr>
            <w:tcW w:w="1701" w:type="dxa"/>
            <w:shd w:val="clear" w:color="auto" w:fill="C6EFCE"/>
            <w:noWrap/>
            <w:vAlign w:val="center"/>
          </w:tcPr>
          <w:p w14:paraId="548CD890"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3A5CDC7D"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17836887" w14:textId="77777777" w:rsidR="00C972CB" w:rsidRDefault="002457F6">
            <w:pPr>
              <w:pStyle w:val="P68B1DB1-Normal11"/>
              <w:jc w:val="center"/>
              <w:rPr>
                <w:noProof/>
              </w:rPr>
            </w:pPr>
            <w:r>
              <w:rPr>
                <w:noProof/>
              </w:rPr>
              <w:t>0</w:t>
            </w:r>
          </w:p>
        </w:tc>
        <w:tc>
          <w:tcPr>
            <w:tcW w:w="1417" w:type="dxa"/>
            <w:shd w:val="clear" w:color="auto" w:fill="C6EFCE"/>
            <w:noWrap/>
            <w:vAlign w:val="center"/>
          </w:tcPr>
          <w:p w14:paraId="274DB09A" w14:textId="77777777" w:rsidR="00C972CB" w:rsidRDefault="002457F6">
            <w:pPr>
              <w:pStyle w:val="P68B1DB1-Normal11"/>
              <w:jc w:val="center"/>
              <w:rPr>
                <w:noProof/>
              </w:rPr>
            </w:pPr>
            <w:r>
              <w:rPr>
                <w:noProof/>
              </w:rPr>
              <w:t>55</w:t>
            </w:r>
          </w:p>
        </w:tc>
        <w:tc>
          <w:tcPr>
            <w:tcW w:w="793" w:type="dxa"/>
            <w:shd w:val="clear" w:color="auto" w:fill="C6EFCE"/>
            <w:noWrap/>
            <w:vAlign w:val="center"/>
          </w:tcPr>
          <w:p w14:paraId="6A7CC834" w14:textId="77777777" w:rsidR="00C972CB" w:rsidRDefault="002457F6">
            <w:pPr>
              <w:pStyle w:val="P68B1DB1-Normal11"/>
              <w:jc w:val="center"/>
              <w:rPr>
                <w:noProof/>
              </w:rPr>
            </w:pPr>
            <w:r>
              <w:rPr>
                <w:noProof/>
              </w:rPr>
              <w:t>2. CET.</w:t>
            </w:r>
          </w:p>
        </w:tc>
        <w:tc>
          <w:tcPr>
            <w:tcW w:w="625" w:type="dxa"/>
            <w:shd w:val="clear" w:color="auto" w:fill="C6EFCE"/>
            <w:noWrap/>
            <w:vAlign w:val="center"/>
          </w:tcPr>
          <w:p w14:paraId="50195EF0" w14:textId="77777777" w:rsidR="00C972CB" w:rsidRDefault="002457F6">
            <w:pPr>
              <w:pStyle w:val="P68B1DB1-Normal11"/>
              <w:jc w:val="center"/>
              <w:rPr>
                <w:noProof/>
              </w:rPr>
            </w:pPr>
            <w:r>
              <w:rPr>
                <w:noProof/>
              </w:rPr>
              <w:t>2025</w:t>
            </w:r>
          </w:p>
        </w:tc>
        <w:tc>
          <w:tcPr>
            <w:tcW w:w="2584" w:type="dxa"/>
            <w:shd w:val="clear" w:color="auto" w:fill="C6EFCE"/>
            <w:noWrap/>
            <w:vAlign w:val="center"/>
          </w:tcPr>
          <w:p w14:paraId="785BF42D" w14:textId="77777777" w:rsidR="00C972CB" w:rsidRDefault="002457F6">
            <w:pPr>
              <w:pStyle w:val="P68B1DB1-Normal11"/>
              <w:spacing w:after="120"/>
              <w:rPr>
                <w:noProof/>
              </w:rPr>
            </w:pPr>
            <w:r>
              <w:rPr>
                <w:noProof/>
              </w:rPr>
              <w:t>Līdz 2025. gada 2. ceturksnim AgID sniedz atbalstu 55 vietējai valsts pārvaldei, lai:</w:t>
            </w:r>
          </w:p>
          <w:p w14:paraId="7AB35E20" w14:textId="77777777" w:rsidR="00C972CB" w:rsidRDefault="002457F6">
            <w:pPr>
              <w:pStyle w:val="P68B1DB1-Normal11"/>
              <w:spacing w:after="120"/>
              <w:rPr>
                <w:noProof/>
              </w:rPr>
            </w:pPr>
            <w:r>
              <w:rPr>
                <w:noProof/>
              </w:rPr>
              <w:t>Nodrošināt 28 tehniskos un profesionālos ekspertus</w:t>
            </w:r>
          </w:p>
          <w:p w14:paraId="4E2EF486" w14:textId="77777777" w:rsidR="00C972CB" w:rsidRDefault="002457F6">
            <w:pPr>
              <w:pStyle w:val="P68B1DB1-Normal11"/>
              <w:spacing w:after="120"/>
              <w:rPr>
                <w:noProof/>
              </w:rPr>
            </w:pPr>
            <w:r>
              <w:rPr>
                <w:noProof/>
              </w:rPr>
              <w:t>Samazināt kļūdu skaitu par 50 % vismaz diviem digitālajiem pakalpojumiem, ko sniedz katra administrācija;</w:t>
            </w:r>
          </w:p>
          <w:p w14:paraId="7A679F1A" w14:textId="77777777" w:rsidR="00C972CB" w:rsidRDefault="002457F6">
            <w:pPr>
              <w:pStyle w:val="P68B1DB1-Normal11"/>
              <w:spacing w:after="120"/>
              <w:rPr>
                <w:noProof/>
              </w:rPr>
            </w:pPr>
            <w:r>
              <w:rPr>
                <w:noProof/>
              </w:rPr>
              <w:t>Izplatīt un apmācīt vismaz 3 rīkus, kuru mērķis ir pārveidot un attīstīt visvairāk izmantotos digitālos pakalpojumus, kas pieder katrai administrācijai;</w:t>
            </w:r>
          </w:p>
          <w:p w14:paraId="744FB442" w14:textId="77777777" w:rsidR="00C972CB" w:rsidRDefault="002457F6">
            <w:pPr>
              <w:pStyle w:val="P68B1DB1-Normal11"/>
              <w:spacing w:before="120" w:after="120"/>
              <w:rPr>
                <w:noProof/>
              </w:rPr>
            </w:pPr>
            <w:r>
              <w:rPr>
                <w:noProof/>
              </w:rPr>
              <w:t>Nodrošināt, ka vismaz 50 % no vajadzīgajām palīgtehnoloģijām un programmatūrām tiek veltīti darba ņēmē</w:t>
            </w:r>
            <w:r>
              <w:rPr>
                <w:noProof/>
              </w:rPr>
              <w:t>jiem ar invaliditāti.</w:t>
            </w:r>
          </w:p>
        </w:tc>
      </w:tr>
      <w:tr w:rsidR="00C972CB" w14:paraId="5809D984" w14:textId="77777777">
        <w:trPr>
          <w:trHeight w:val="309"/>
        </w:trPr>
        <w:tc>
          <w:tcPr>
            <w:tcW w:w="1284" w:type="dxa"/>
            <w:shd w:val="clear" w:color="auto" w:fill="C6EFCE"/>
            <w:noWrap/>
            <w:vAlign w:val="center"/>
          </w:tcPr>
          <w:p w14:paraId="4E646214" w14:textId="77777777" w:rsidR="00C972CB" w:rsidRDefault="002457F6">
            <w:pPr>
              <w:pStyle w:val="P68B1DB1-Normal11"/>
              <w:jc w:val="center"/>
              <w:rPr>
                <w:noProof/>
              </w:rPr>
            </w:pPr>
            <w:r>
              <w:rPr>
                <w:noProof/>
              </w:rPr>
              <w:t>M1C1–145</w:t>
            </w:r>
          </w:p>
        </w:tc>
        <w:tc>
          <w:tcPr>
            <w:tcW w:w="1746" w:type="dxa"/>
            <w:shd w:val="clear" w:color="auto" w:fill="C6EFCE"/>
            <w:noWrap/>
            <w:vAlign w:val="center"/>
          </w:tcPr>
          <w:p w14:paraId="7C1379EB" w14:textId="77777777" w:rsidR="00C972CB" w:rsidRDefault="002457F6">
            <w:pPr>
              <w:pStyle w:val="P68B1DB1-Normal11"/>
              <w:jc w:val="center"/>
              <w:rPr>
                <w:noProof/>
              </w:rPr>
            </w:pPr>
            <w:r>
              <w:rPr>
                <w:noProof/>
              </w:rPr>
              <w:t>Ieguldījums 1.4.4. — Valsts digitālās identitātes platformu (SPID, CIE) un valsts reģistra (ANPR) iespēju paplašināšana</w:t>
            </w:r>
          </w:p>
        </w:tc>
        <w:tc>
          <w:tcPr>
            <w:tcW w:w="992" w:type="dxa"/>
            <w:shd w:val="clear" w:color="auto" w:fill="C6EFCE"/>
            <w:noWrap/>
            <w:vAlign w:val="center"/>
          </w:tcPr>
          <w:p w14:paraId="123938B7"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38418033" w14:textId="77777777" w:rsidR="00C972CB" w:rsidRDefault="002457F6">
            <w:pPr>
              <w:pStyle w:val="P68B1DB1-Normal11"/>
              <w:jc w:val="center"/>
              <w:rPr>
                <w:noProof/>
              </w:rPr>
            </w:pPr>
            <w:r>
              <w:rPr>
                <w:noProof/>
              </w:rPr>
              <w:t>Valsts digitālās identitātes platformas (SPID, CIE) un valsts reģistrs (ANPR)</w:t>
            </w:r>
          </w:p>
        </w:tc>
        <w:tc>
          <w:tcPr>
            <w:tcW w:w="1701" w:type="dxa"/>
            <w:shd w:val="clear" w:color="auto" w:fill="C6EFCE"/>
            <w:noWrap/>
            <w:vAlign w:val="center"/>
          </w:tcPr>
          <w:p w14:paraId="43DFF573"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01D81D37" w14:textId="77777777" w:rsidR="00C972CB" w:rsidRDefault="002457F6">
            <w:pPr>
              <w:pStyle w:val="P68B1DB1-Normal11"/>
              <w:jc w:val="center"/>
              <w:rPr>
                <w:noProof/>
              </w:rPr>
            </w:pPr>
            <w:r>
              <w:rPr>
                <w:noProof/>
              </w:rPr>
              <w:t>To pilsoņu</w:t>
            </w:r>
            <w:r>
              <w:rPr>
                <w:noProof/>
              </w:rPr>
              <w:t xml:space="preserve"> skaits, kuriem ir eID</w:t>
            </w:r>
          </w:p>
        </w:tc>
        <w:tc>
          <w:tcPr>
            <w:tcW w:w="1276" w:type="dxa"/>
            <w:shd w:val="clear" w:color="auto" w:fill="C6EFCE"/>
            <w:noWrap/>
            <w:vAlign w:val="center"/>
          </w:tcPr>
          <w:p w14:paraId="5AE571B0" w14:textId="24C3F8F7" w:rsidR="00C972CB" w:rsidRDefault="002457F6">
            <w:pPr>
              <w:pStyle w:val="P68B1DB1-Normal11"/>
              <w:jc w:val="center"/>
              <w:rPr>
                <w:noProof/>
              </w:rPr>
            </w:pPr>
            <w:r>
              <w:rPr>
                <w:noProof/>
              </w:rPr>
              <w:t>17 500 000</w:t>
            </w:r>
          </w:p>
        </w:tc>
        <w:tc>
          <w:tcPr>
            <w:tcW w:w="1417" w:type="dxa"/>
            <w:shd w:val="clear" w:color="auto" w:fill="C6EFCE"/>
            <w:noWrap/>
            <w:vAlign w:val="center"/>
          </w:tcPr>
          <w:p w14:paraId="2F475B50" w14:textId="39455118" w:rsidR="00C972CB" w:rsidRDefault="002457F6">
            <w:pPr>
              <w:pStyle w:val="P68B1DB1-Normal11"/>
              <w:jc w:val="center"/>
              <w:rPr>
                <w:noProof/>
              </w:rPr>
            </w:pPr>
            <w:r>
              <w:rPr>
                <w:noProof/>
              </w:rPr>
              <w:t>42 300 000</w:t>
            </w:r>
          </w:p>
        </w:tc>
        <w:tc>
          <w:tcPr>
            <w:tcW w:w="793" w:type="dxa"/>
            <w:shd w:val="clear" w:color="auto" w:fill="C6EFCE"/>
            <w:noWrap/>
            <w:vAlign w:val="center"/>
          </w:tcPr>
          <w:p w14:paraId="5F86C588" w14:textId="77777777" w:rsidR="00C972CB" w:rsidRDefault="002457F6">
            <w:pPr>
              <w:pStyle w:val="P68B1DB1-Normal11"/>
              <w:jc w:val="center"/>
              <w:rPr>
                <w:noProof/>
              </w:rPr>
            </w:pPr>
            <w:r>
              <w:rPr>
                <w:noProof/>
              </w:rPr>
              <w:t>4. CET.</w:t>
            </w:r>
          </w:p>
        </w:tc>
        <w:tc>
          <w:tcPr>
            <w:tcW w:w="625" w:type="dxa"/>
            <w:shd w:val="clear" w:color="auto" w:fill="C6EFCE"/>
            <w:noWrap/>
            <w:vAlign w:val="center"/>
          </w:tcPr>
          <w:p w14:paraId="5054D875" w14:textId="77777777" w:rsidR="00C972CB" w:rsidRDefault="002457F6">
            <w:pPr>
              <w:pStyle w:val="P68B1DB1-Normal11"/>
              <w:jc w:val="center"/>
              <w:rPr>
                <w:noProof/>
              </w:rPr>
            </w:pPr>
            <w:r>
              <w:rPr>
                <w:noProof/>
              </w:rPr>
              <w:t>2025</w:t>
            </w:r>
          </w:p>
        </w:tc>
        <w:tc>
          <w:tcPr>
            <w:tcW w:w="2584" w:type="dxa"/>
            <w:shd w:val="clear" w:color="auto" w:fill="C6EFCE"/>
            <w:noWrap/>
            <w:vAlign w:val="center"/>
          </w:tcPr>
          <w:p w14:paraId="6200E97A" w14:textId="77777777" w:rsidR="00C972CB" w:rsidRDefault="002457F6">
            <w:pPr>
              <w:pStyle w:val="P68B1DB1-Normal11"/>
              <w:spacing w:after="120"/>
              <w:rPr>
                <w:noProof/>
              </w:rPr>
            </w:pPr>
            <w:r>
              <w:rPr>
                <w:noProof/>
              </w:rPr>
              <w:t>To Itālijas pilsoņu skaits, kuriem ir derīga digitālā identitāte valsts digitālās identitātes platformā.</w:t>
            </w:r>
          </w:p>
        </w:tc>
      </w:tr>
      <w:tr w:rsidR="00C972CB" w14:paraId="480062A5" w14:textId="77777777">
        <w:trPr>
          <w:trHeight w:val="309"/>
        </w:trPr>
        <w:tc>
          <w:tcPr>
            <w:tcW w:w="1284" w:type="dxa"/>
            <w:shd w:val="clear" w:color="auto" w:fill="C6EFCE"/>
            <w:noWrap/>
            <w:vAlign w:val="center"/>
          </w:tcPr>
          <w:p w14:paraId="0CEA81E3" w14:textId="77777777" w:rsidR="00C972CB" w:rsidRDefault="002457F6">
            <w:pPr>
              <w:pStyle w:val="P68B1DB1-Normal11"/>
              <w:jc w:val="center"/>
              <w:rPr>
                <w:noProof/>
              </w:rPr>
            </w:pPr>
            <w:r>
              <w:rPr>
                <w:noProof/>
              </w:rPr>
              <w:t>M1C1–146</w:t>
            </w:r>
          </w:p>
        </w:tc>
        <w:tc>
          <w:tcPr>
            <w:tcW w:w="1746" w:type="dxa"/>
            <w:shd w:val="clear" w:color="auto" w:fill="C6EFCE"/>
            <w:noWrap/>
            <w:vAlign w:val="center"/>
          </w:tcPr>
          <w:p w14:paraId="1B858848" w14:textId="77777777" w:rsidR="00C972CB" w:rsidRDefault="002457F6">
            <w:pPr>
              <w:pStyle w:val="P68B1DB1-Normal11"/>
              <w:jc w:val="center"/>
              <w:rPr>
                <w:noProof/>
              </w:rPr>
            </w:pPr>
            <w:r>
              <w:rPr>
                <w:noProof/>
              </w:rPr>
              <w:t xml:space="preserve">Ieguldījums 1.4.4. — Valsts digitālās identitātes platformu (SPID, CIE) un valsts </w:t>
            </w:r>
            <w:r>
              <w:rPr>
                <w:noProof/>
              </w:rPr>
              <w:t>reģistra (ANPR) pieņemšanas paplašināšana</w:t>
            </w:r>
          </w:p>
        </w:tc>
        <w:tc>
          <w:tcPr>
            <w:tcW w:w="992" w:type="dxa"/>
            <w:shd w:val="clear" w:color="auto" w:fill="C6EFCE"/>
            <w:noWrap/>
            <w:vAlign w:val="center"/>
          </w:tcPr>
          <w:p w14:paraId="6CC9E914"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18FF8394" w14:textId="77777777" w:rsidR="00C972CB" w:rsidRDefault="002457F6">
            <w:pPr>
              <w:pStyle w:val="P68B1DB1-Normal11"/>
              <w:jc w:val="center"/>
              <w:rPr>
                <w:noProof/>
              </w:rPr>
            </w:pPr>
            <w:r>
              <w:rPr>
                <w:noProof/>
              </w:rPr>
              <w:t>Valsts digitālās identitātes platformas (SPID, CIE) un valsts reģistrs (ANPR)</w:t>
            </w:r>
          </w:p>
        </w:tc>
        <w:tc>
          <w:tcPr>
            <w:tcW w:w="1701" w:type="dxa"/>
            <w:shd w:val="clear" w:color="auto" w:fill="C6EFCE"/>
            <w:noWrap/>
            <w:vAlign w:val="center"/>
          </w:tcPr>
          <w:p w14:paraId="1D677A0B"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25C1B118"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12B3A8EF" w14:textId="77777777" w:rsidR="00C972CB" w:rsidRDefault="002457F6">
            <w:pPr>
              <w:pStyle w:val="P68B1DB1-Normal11"/>
              <w:jc w:val="center"/>
              <w:rPr>
                <w:noProof/>
              </w:rPr>
            </w:pPr>
            <w:r>
              <w:rPr>
                <w:noProof/>
              </w:rPr>
              <w:t>6 283</w:t>
            </w:r>
          </w:p>
        </w:tc>
        <w:tc>
          <w:tcPr>
            <w:tcW w:w="1417" w:type="dxa"/>
            <w:shd w:val="clear" w:color="auto" w:fill="C6EFCE"/>
            <w:noWrap/>
            <w:vAlign w:val="center"/>
          </w:tcPr>
          <w:p w14:paraId="116489AE" w14:textId="77777777" w:rsidR="00C972CB" w:rsidRDefault="002457F6">
            <w:pPr>
              <w:pStyle w:val="P68B1DB1-Normal11"/>
              <w:jc w:val="center"/>
              <w:rPr>
                <w:noProof/>
              </w:rPr>
            </w:pPr>
            <w:r>
              <w:rPr>
                <w:noProof/>
              </w:rPr>
              <w:t>16 500</w:t>
            </w:r>
          </w:p>
        </w:tc>
        <w:tc>
          <w:tcPr>
            <w:tcW w:w="793" w:type="dxa"/>
            <w:shd w:val="clear" w:color="auto" w:fill="C6EFCE"/>
            <w:noWrap/>
            <w:vAlign w:val="center"/>
          </w:tcPr>
          <w:p w14:paraId="59029C2B" w14:textId="77777777" w:rsidR="00C972CB" w:rsidRDefault="002457F6">
            <w:pPr>
              <w:pStyle w:val="P68B1DB1-Normal11"/>
              <w:jc w:val="center"/>
              <w:rPr>
                <w:noProof/>
              </w:rPr>
            </w:pPr>
            <w:r>
              <w:rPr>
                <w:noProof/>
              </w:rPr>
              <w:t>1. CET.</w:t>
            </w:r>
          </w:p>
        </w:tc>
        <w:tc>
          <w:tcPr>
            <w:tcW w:w="625" w:type="dxa"/>
            <w:shd w:val="clear" w:color="auto" w:fill="C6EFCE"/>
            <w:noWrap/>
            <w:vAlign w:val="center"/>
          </w:tcPr>
          <w:p w14:paraId="542E1428" w14:textId="77777777" w:rsidR="00C972CB" w:rsidRDefault="002457F6">
            <w:pPr>
              <w:pStyle w:val="P68B1DB1-Normal11"/>
              <w:jc w:val="center"/>
              <w:rPr>
                <w:noProof/>
              </w:rPr>
            </w:pPr>
            <w:r>
              <w:rPr>
                <w:noProof/>
              </w:rPr>
              <w:t>2026</w:t>
            </w:r>
          </w:p>
        </w:tc>
        <w:tc>
          <w:tcPr>
            <w:tcW w:w="2584" w:type="dxa"/>
            <w:shd w:val="clear" w:color="auto" w:fill="C6EFCE"/>
            <w:noWrap/>
            <w:vAlign w:val="center"/>
          </w:tcPr>
          <w:p w14:paraId="06C82A03" w14:textId="77777777" w:rsidR="00C972CB" w:rsidRDefault="002457F6">
            <w:pPr>
              <w:pStyle w:val="P68B1DB1-Normal11"/>
              <w:spacing w:after="120"/>
              <w:rPr>
                <w:noProof/>
              </w:rPr>
            </w:pPr>
            <w:r>
              <w:rPr>
                <w:noProof/>
              </w:rPr>
              <w:t xml:space="preserve">To valsts pārvaldes iestāžu skaits (no kopskaita 16500), kuras pieņem elektronisko </w:t>
            </w:r>
            <w:r>
              <w:rPr>
                <w:noProof/>
              </w:rPr>
              <w:t>identifikāciju (eID) (SPID vai CIE).</w:t>
            </w:r>
          </w:p>
        </w:tc>
      </w:tr>
      <w:tr w:rsidR="00C972CB" w14:paraId="3222B5FF" w14:textId="77777777">
        <w:trPr>
          <w:trHeight w:val="309"/>
        </w:trPr>
        <w:tc>
          <w:tcPr>
            <w:tcW w:w="1284" w:type="dxa"/>
            <w:shd w:val="clear" w:color="auto" w:fill="C6EFCE"/>
            <w:noWrap/>
            <w:vAlign w:val="center"/>
          </w:tcPr>
          <w:p w14:paraId="51D53E90" w14:textId="77777777" w:rsidR="00C972CB" w:rsidRDefault="002457F6">
            <w:pPr>
              <w:pStyle w:val="P68B1DB1-Normal11"/>
              <w:jc w:val="center"/>
              <w:rPr>
                <w:noProof/>
              </w:rPr>
            </w:pPr>
            <w:r>
              <w:rPr>
                <w:noProof/>
              </w:rPr>
              <w:t>M1C1–147</w:t>
            </w:r>
          </w:p>
        </w:tc>
        <w:tc>
          <w:tcPr>
            <w:tcW w:w="1746" w:type="dxa"/>
            <w:shd w:val="clear" w:color="auto" w:fill="C6EFCE"/>
            <w:noWrap/>
            <w:vAlign w:val="center"/>
          </w:tcPr>
          <w:p w14:paraId="7CCE065B" w14:textId="77777777" w:rsidR="00C972CB" w:rsidRDefault="002457F6">
            <w:pPr>
              <w:pStyle w:val="P68B1DB1-Normal11"/>
              <w:jc w:val="center"/>
              <w:rPr>
                <w:noProof/>
              </w:rPr>
            </w:pPr>
            <w:r>
              <w:rPr>
                <w:noProof/>
              </w:rPr>
              <w:t>Ieguldījums 1.2 — Mākoņdatošanas iespējas vietējai Palestīniešu pašpārvaldei</w:t>
            </w:r>
          </w:p>
        </w:tc>
        <w:tc>
          <w:tcPr>
            <w:tcW w:w="992" w:type="dxa"/>
            <w:shd w:val="clear" w:color="auto" w:fill="C6EFCE"/>
            <w:noWrap/>
            <w:vAlign w:val="center"/>
          </w:tcPr>
          <w:p w14:paraId="06D6CE6B"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79B98DFF" w14:textId="77777777" w:rsidR="00C972CB" w:rsidRDefault="002457F6">
            <w:pPr>
              <w:pStyle w:val="P68B1DB1-Normal11"/>
              <w:jc w:val="center"/>
              <w:rPr>
                <w:noProof/>
              </w:rPr>
            </w:pPr>
            <w:r>
              <w:rPr>
                <w:noProof/>
              </w:rPr>
              <w:t>Mākoņa iespējošana vietējai valsts pārvaldei T2</w:t>
            </w:r>
          </w:p>
        </w:tc>
        <w:tc>
          <w:tcPr>
            <w:tcW w:w="1701" w:type="dxa"/>
            <w:shd w:val="clear" w:color="auto" w:fill="C6EFCE"/>
            <w:noWrap/>
            <w:vAlign w:val="center"/>
          </w:tcPr>
          <w:p w14:paraId="5E897981"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5B072C18"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3D337394" w14:textId="77777777" w:rsidR="00C972CB" w:rsidRDefault="002457F6">
            <w:pPr>
              <w:pStyle w:val="P68B1DB1-Normal11"/>
              <w:jc w:val="center"/>
              <w:rPr>
                <w:noProof/>
              </w:rPr>
            </w:pPr>
            <w:r>
              <w:rPr>
                <w:noProof/>
              </w:rPr>
              <w:t>4 083</w:t>
            </w:r>
          </w:p>
        </w:tc>
        <w:tc>
          <w:tcPr>
            <w:tcW w:w="1417" w:type="dxa"/>
            <w:shd w:val="clear" w:color="auto" w:fill="C6EFCE"/>
            <w:noWrap/>
            <w:vAlign w:val="center"/>
          </w:tcPr>
          <w:p w14:paraId="79E5CCF4" w14:textId="77777777" w:rsidR="00C972CB" w:rsidRDefault="002457F6">
            <w:pPr>
              <w:pStyle w:val="P68B1DB1-Normal11"/>
              <w:jc w:val="center"/>
              <w:rPr>
                <w:noProof/>
              </w:rPr>
            </w:pPr>
            <w:r>
              <w:rPr>
                <w:noProof/>
              </w:rPr>
              <w:t>12 464</w:t>
            </w:r>
          </w:p>
        </w:tc>
        <w:tc>
          <w:tcPr>
            <w:tcW w:w="793" w:type="dxa"/>
            <w:shd w:val="clear" w:color="auto" w:fill="C6EFCE"/>
            <w:noWrap/>
            <w:vAlign w:val="center"/>
          </w:tcPr>
          <w:p w14:paraId="7FF4A4D2" w14:textId="77777777" w:rsidR="00C972CB" w:rsidRDefault="002457F6">
            <w:pPr>
              <w:pStyle w:val="P68B1DB1-Normal11"/>
              <w:jc w:val="center"/>
              <w:rPr>
                <w:noProof/>
              </w:rPr>
            </w:pPr>
            <w:r>
              <w:rPr>
                <w:noProof/>
              </w:rPr>
              <w:t>2. CET.</w:t>
            </w:r>
          </w:p>
        </w:tc>
        <w:tc>
          <w:tcPr>
            <w:tcW w:w="625" w:type="dxa"/>
            <w:shd w:val="clear" w:color="auto" w:fill="C6EFCE"/>
            <w:noWrap/>
            <w:vAlign w:val="center"/>
          </w:tcPr>
          <w:p w14:paraId="676419FA" w14:textId="77777777" w:rsidR="00C972CB" w:rsidRDefault="002457F6">
            <w:pPr>
              <w:pStyle w:val="P68B1DB1-Normal11"/>
              <w:jc w:val="center"/>
              <w:rPr>
                <w:noProof/>
              </w:rPr>
            </w:pPr>
            <w:r>
              <w:rPr>
                <w:noProof/>
              </w:rPr>
              <w:t>2026</w:t>
            </w:r>
          </w:p>
        </w:tc>
        <w:tc>
          <w:tcPr>
            <w:tcW w:w="2584" w:type="dxa"/>
            <w:shd w:val="clear" w:color="auto" w:fill="C6EFCE"/>
            <w:noWrap/>
            <w:vAlign w:val="center"/>
          </w:tcPr>
          <w:p w14:paraId="0645783F" w14:textId="77777777" w:rsidR="00C972CB" w:rsidRDefault="002457F6">
            <w:pPr>
              <w:pStyle w:val="P68B1DB1-Normal11"/>
              <w:spacing w:after="120"/>
              <w:rPr>
                <w:noProof/>
              </w:rPr>
            </w:pPr>
            <w:r>
              <w:rPr>
                <w:noProof/>
              </w:rPr>
              <w:t xml:space="preserve">Uzskata, ka 12464 vietējo valsts </w:t>
            </w:r>
            <w:r>
              <w:rPr>
                <w:noProof/>
              </w:rPr>
              <w:t>pārvaldes iestāžu migrācija uz sertificētu mākoņvidi ir panākta, ja visu katrā migrācijas plānā iekļauto sistēmu, datu kopu un lietojumprogrammu migrācijas testēšana ir sekmīga.</w:t>
            </w:r>
          </w:p>
        </w:tc>
      </w:tr>
      <w:tr w:rsidR="00C972CB" w14:paraId="72830464" w14:textId="77777777">
        <w:trPr>
          <w:trHeight w:val="309"/>
        </w:trPr>
        <w:tc>
          <w:tcPr>
            <w:tcW w:w="1284" w:type="dxa"/>
            <w:shd w:val="clear" w:color="auto" w:fill="C6EFCE"/>
            <w:noWrap/>
            <w:vAlign w:val="center"/>
          </w:tcPr>
          <w:p w14:paraId="78ACB872" w14:textId="77777777" w:rsidR="00C972CB" w:rsidRDefault="002457F6">
            <w:pPr>
              <w:pStyle w:val="P68B1DB1-Normal11"/>
              <w:jc w:val="center"/>
              <w:rPr>
                <w:noProof/>
              </w:rPr>
            </w:pPr>
            <w:r>
              <w:rPr>
                <w:noProof/>
              </w:rPr>
              <w:t>M1C1–148</w:t>
            </w:r>
          </w:p>
        </w:tc>
        <w:tc>
          <w:tcPr>
            <w:tcW w:w="1746" w:type="dxa"/>
            <w:shd w:val="clear" w:color="auto" w:fill="C6EFCE"/>
            <w:noWrap/>
            <w:vAlign w:val="center"/>
          </w:tcPr>
          <w:p w14:paraId="152CF231" w14:textId="77777777" w:rsidR="00C972CB" w:rsidRDefault="002457F6">
            <w:pPr>
              <w:pStyle w:val="P68B1DB1-Normal11"/>
              <w:jc w:val="center"/>
              <w:rPr>
                <w:noProof/>
              </w:rPr>
            </w:pPr>
            <w:r>
              <w:rPr>
                <w:noProof/>
              </w:rPr>
              <w:t xml:space="preserve">Ieguldījums 1.4.1. Pilsoņu pieredze — digitālo publisko pakalpojumu </w:t>
            </w:r>
            <w:r>
              <w:rPr>
                <w:noProof/>
              </w:rPr>
              <w:t>kvalitātes un lietojamības uzlabošana</w:t>
            </w:r>
          </w:p>
        </w:tc>
        <w:tc>
          <w:tcPr>
            <w:tcW w:w="992" w:type="dxa"/>
            <w:shd w:val="clear" w:color="auto" w:fill="C6EFCE"/>
            <w:noWrap/>
            <w:vAlign w:val="center"/>
          </w:tcPr>
          <w:p w14:paraId="7853F02E"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4731FF42" w14:textId="77777777" w:rsidR="00C972CB" w:rsidRDefault="002457F6">
            <w:pPr>
              <w:pStyle w:val="P68B1DB1-Normal11"/>
              <w:jc w:val="center"/>
              <w:rPr>
                <w:noProof/>
              </w:rPr>
            </w:pPr>
            <w:r>
              <w:rPr>
                <w:noProof/>
              </w:rPr>
              <w:t>Digitālo publisko pakalpojumu kvalitātes un lietojamības uzlabošana T2</w:t>
            </w:r>
          </w:p>
        </w:tc>
        <w:tc>
          <w:tcPr>
            <w:tcW w:w="1701" w:type="dxa"/>
            <w:shd w:val="clear" w:color="auto" w:fill="C6EFCE"/>
            <w:noWrap/>
            <w:vAlign w:val="center"/>
          </w:tcPr>
          <w:p w14:paraId="641A6C34"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64B5EFF0" w14:textId="77777777" w:rsidR="00C972CB" w:rsidRDefault="002457F6">
            <w:pPr>
              <w:pStyle w:val="P68B1DB1-Normal11"/>
              <w:jc w:val="center"/>
              <w:rPr>
                <w:noProof/>
              </w:rPr>
            </w:pPr>
            <w:r>
              <w:rPr>
                <w:noProof/>
              </w:rPr>
              <w:t>Procentuālā daļa</w:t>
            </w:r>
          </w:p>
        </w:tc>
        <w:tc>
          <w:tcPr>
            <w:tcW w:w="1276" w:type="dxa"/>
            <w:shd w:val="clear" w:color="auto" w:fill="C6EFCE"/>
            <w:noWrap/>
            <w:vAlign w:val="center"/>
          </w:tcPr>
          <w:p w14:paraId="32C2BD5A" w14:textId="77777777" w:rsidR="00C972CB" w:rsidRDefault="002457F6">
            <w:pPr>
              <w:pStyle w:val="P68B1DB1-Normal11"/>
              <w:jc w:val="center"/>
              <w:rPr>
                <w:noProof/>
              </w:rPr>
            </w:pPr>
            <w:r>
              <w:rPr>
                <w:noProof/>
              </w:rPr>
              <w:t>40</w:t>
            </w:r>
          </w:p>
        </w:tc>
        <w:tc>
          <w:tcPr>
            <w:tcW w:w="1417" w:type="dxa"/>
            <w:shd w:val="clear" w:color="auto" w:fill="C6EFCE"/>
            <w:noWrap/>
            <w:vAlign w:val="center"/>
          </w:tcPr>
          <w:p w14:paraId="73E70680" w14:textId="77777777" w:rsidR="00C972CB" w:rsidRDefault="002457F6">
            <w:pPr>
              <w:pStyle w:val="P68B1DB1-Normal11"/>
              <w:jc w:val="center"/>
              <w:rPr>
                <w:noProof/>
              </w:rPr>
            </w:pPr>
            <w:r>
              <w:rPr>
                <w:noProof/>
              </w:rPr>
              <w:t>80</w:t>
            </w:r>
          </w:p>
        </w:tc>
        <w:tc>
          <w:tcPr>
            <w:tcW w:w="793" w:type="dxa"/>
            <w:shd w:val="clear" w:color="auto" w:fill="C6EFCE"/>
            <w:noWrap/>
            <w:vAlign w:val="center"/>
          </w:tcPr>
          <w:p w14:paraId="00F1506B" w14:textId="77777777" w:rsidR="00C972CB" w:rsidRDefault="002457F6">
            <w:pPr>
              <w:pStyle w:val="P68B1DB1-Normal11"/>
              <w:jc w:val="center"/>
              <w:rPr>
                <w:noProof/>
              </w:rPr>
            </w:pPr>
            <w:r>
              <w:rPr>
                <w:noProof/>
              </w:rPr>
              <w:t>2. CET.</w:t>
            </w:r>
          </w:p>
        </w:tc>
        <w:tc>
          <w:tcPr>
            <w:tcW w:w="625" w:type="dxa"/>
            <w:shd w:val="clear" w:color="auto" w:fill="C6EFCE"/>
            <w:noWrap/>
            <w:vAlign w:val="center"/>
          </w:tcPr>
          <w:p w14:paraId="44A6CC59" w14:textId="77777777" w:rsidR="00C972CB" w:rsidRDefault="002457F6">
            <w:pPr>
              <w:pStyle w:val="P68B1DB1-Normal11"/>
              <w:jc w:val="center"/>
              <w:rPr>
                <w:noProof/>
              </w:rPr>
            </w:pPr>
            <w:r>
              <w:rPr>
                <w:noProof/>
              </w:rPr>
              <w:t>2026</w:t>
            </w:r>
          </w:p>
        </w:tc>
        <w:tc>
          <w:tcPr>
            <w:tcW w:w="2584" w:type="dxa"/>
            <w:shd w:val="clear" w:color="auto" w:fill="C6EFCE"/>
            <w:noWrap/>
            <w:vAlign w:val="center"/>
          </w:tcPr>
          <w:p w14:paraId="4DFA4401" w14:textId="369D4FBF" w:rsidR="00C972CB" w:rsidRDefault="002457F6">
            <w:pPr>
              <w:pStyle w:val="P68B1DB1-Normal11"/>
              <w:spacing w:after="120"/>
              <w:rPr>
                <w:noProof/>
              </w:rPr>
            </w:pPr>
            <w:r>
              <w:rPr>
                <w:noProof/>
              </w:rPr>
              <w:t>Pārvaldes iestādes (pašvaldības, pirmās un</w:t>
            </w:r>
            <w:r>
              <w:rPr>
                <w:noProof/>
                <w:vertAlign w:val="superscript"/>
              </w:rPr>
              <w:t>sekundārās</w:t>
            </w:r>
            <w:r>
              <w:rPr>
                <w:noProof/>
              </w:rPr>
              <w:t xml:space="preserve"> </w:t>
            </w:r>
            <w:r>
              <w:rPr>
                <w:noProof/>
                <w:vertAlign w:val="superscript"/>
              </w:rPr>
              <w:t>izglītības</w:t>
            </w:r>
            <w:r>
              <w:rPr>
                <w:noProof/>
              </w:rPr>
              <w:t xml:space="preserve"> iestādes un īpašas eksperimentālas veselības aprūpes un kultūras mantojuma vienības) ievēro vienotu modeļu un dizaina sistēmu, vienkāršojot lietotāju mijiedarbību un atvieglojot uzturēšanu turpmākajos gados.</w:t>
            </w:r>
          </w:p>
          <w:p w14:paraId="150FBF38" w14:textId="77777777" w:rsidR="00C972CB" w:rsidRDefault="002457F6">
            <w:pPr>
              <w:pStyle w:val="P68B1DB1-Normal11"/>
              <w:spacing w:after="120"/>
              <w:rPr>
                <w:noProof/>
              </w:rPr>
            </w:pPr>
            <w:r>
              <w:rPr>
                <w:noProof/>
              </w:rPr>
              <w:t>Tīmekļa vietņu/pakalpojumu komponentu kopīgā di</w:t>
            </w:r>
            <w:r>
              <w:rPr>
                <w:noProof/>
              </w:rPr>
              <w:t xml:space="preserve">zaina/modeļa ievērošanu veido: </w:t>
            </w:r>
          </w:p>
          <w:p w14:paraId="18278D8E" w14:textId="77777777" w:rsidR="00C972CB" w:rsidRDefault="002457F6">
            <w:pPr>
              <w:pStyle w:val="P68B1DB1-Normal11"/>
              <w:spacing w:after="120"/>
              <w:rPr>
                <w:noProof/>
              </w:rPr>
            </w:pPr>
            <w:r>
              <w:rPr>
                <w:noProof/>
              </w:rPr>
              <w:t>(1) Iesniegto projektu novērtēšana;</w:t>
            </w:r>
          </w:p>
          <w:p w14:paraId="406E3BA1" w14:textId="77777777" w:rsidR="00C972CB" w:rsidRDefault="002457F6">
            <w:pPr>
              <w:pStyle w:val="P68B1DB1-Normal11"/>
              <w:spacing w:after="120"/>
              <w:rPr>
                <w:noProof/>
              </w:rPr>
            </w:pPr>
            <w:r>
              <w:rPr>
                <w:noProof/>
              </w:rPr>
              <w:t>(2) Projekta pabeigšanas novērtējums attiecībā uz galvenajiem lietojamības rādītājiem (digitālās izmantojamības rādītāji), izmantojot īpašu platformu, kas jau ir pieejama.</w:t>
            </w:r>
          </w:p>
          <w:p w14:paraId="5FF26E6C" w14:textId="77777777" w:rsidR="00C972CB" w:rsidRDefault="002457F6">
            <w:pPr>
              <w:pStyle w:val="P68B1DB1-Normal11"/>
              <w:spacing w:after="120"/>
              <w:rPr>
                <w:noProof/>
              </w:rPr>
            </w:pPr>
            <w:r>
              <w:rPr>
                <w:noProof/>
              </w:rPr>
              <w:t>Pašvaldībām ir j</w:t>
            </w:r>
            <w:r>
              <w:rPr>
                <w:noProof/>
              </w:rPr>
              <w:t>āgarantē kopējā dizaina pakalpojumu modeļa ievērošana vidēji vismaz 3,5 pakalpojumiem visās pašvaldībās, kas sniedz ieguldījumu mērķa sasniegšanā.</w:t>
            </w:r>
          </w:p>
        </w:tc>
      </w:tr>
      <w:tr w:rsidR="00C972CB" w14:paraId="61EF54D4" w14:textId="77777777">
        <w:trPr>
          <w:trHeight w:val="309"/>
        </w:trPr>
        <w:tc>
          <w:tcPr>
            <w:tcW w:w="1284" w:type="dxa"/>
            <w:shd w:val="clear" w:color="auto" w:fill="C6EFCE"/>
            <w:noWrap/>
            <w:vAlign w:val="center"/>
          </w:tcPr>
          <w:p w14:paraId="274C6465" w14:textId="77777777" w:rsidR="00C972CB" w:rsidRDefault="002457F6">
            <w:pPr>
              <w:pStyle w:val="P68B1DB1-Normal11"/>
              <w:jc w:val="center"/>
              <w:rPr>
                <w:noProof/>
              </w:rPr>
            </w:pPr>
            <w:r>
              <w:rPr>
                <w:noProof/>
              </w:rPr>
              <w:t>M1C1–149</w:t>
            </w:r>
          </w:p>
        </w:tc>
        <w:tc>
          <w:tcPr>
            <w:tcW w:w="1746" w:type="dxa"/>
            <w:shd w:val="clear" w:color="auto" w:fill="C6EFCE"/>
            <w:noWrap/>
            <w:vAlign w:val="center"/>
          </w:tcPr>
          <w:p w14:paraId="38B4381B" w14:textId="77777777" w:rsidR="00C972CB" w:rsidRDefault="002457F6">
            <w:pPr>
              <w:pStyle w:val="P68B1DB1-Normal11"/>
              <w:jc w:val="center"/>
              <w:rPr>
                <w:noProof/>
              </w:rPr>
            </w:pPr>
            <w:r>
              <w:rPr>
                <w:noProof/>
              </w:rPr>
              <w:t>Ieguldījums 1.4.3. PagoPA platformas pakalpojumu un lietotnes “IO” pieņemšana</w:t>
            </w:r>
          </w:p>
        </w:tc>
        <w:tc>
          <w:tcPr>
            <w:tcW w:w="992" w:type="dxa"/>
            <w:shd w:val="clear" w:color="auto" w:fill="C6EFCE"/>
            <w:noWrap/>
            <w:vAlign w:val="center"/>
          </w:tcPr>
          <w:p w14:paraId="74D92D3C"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4AA9574C" w14:textId="77777777" w:rsidR="00C972CB" w:rsidRDefault="002457F6">
            <w:pPr>
              <w:pStyle w:val="P68B1DB1-Normal11"/>
              <w:jc w:val="center"/>
              <w:rPr>
                <w:noProof/>
              </w:rPr>
            </w:pPr>
            <w:r>
              <w:rPr>
                <w:noProof/>
              </w:rPr>
              <w:t xml:space="preserve">PagoPA </w:t>
            </w:r>
            <w:r>
              <w:rPr>
                <w:noProof/>
              </w:rPr>
              <w:t>platformas pakalpojumu ieviešanas paplašināšana T2</w:t>
            </w:r>
          </w:p>
        </w:tc>
        <w:tc>
          <w:tcPr>
            <w:tcW w:w="1701" w:type="dxa"/>
            <w:shd w:val="clear" w:color="auto" w:fill="C6EFCE"/>
            <w:noWrap/>
            <w:vAlign w:val="center"/>
          </w:tcPr>
          <w:p w14:paraId="5D86EC3A"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1C21634F"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47EB994D" w14:textId="77777777" w:rsidR="00C972CB" w:rsidRDefault="002457F6">
            <w:pPr>
              <w:pStyle w:val="P68B1DB1-Normal11"/>
              <w:jc w:val="center"/>
              <w:rPr>
                <w:noProof/>
              </w:rPr>
            </w:pPr>
            <w:r>
              <w:rPr>
                <w:noProof/>
              </w:rPr>
              <w:t>11 450</w:t>
            </w:r>
          </w:p>
        </w:tc>
        <w:tc>
          <w:tcPr>
            <w:tcW w:w="1417" w:type="dxa"/>
            <w:shd w:val="clear" w:color="auto" w:fill="C6EFCE"/>
            <w:noWrap/>
            <w:vAlign w:val="center"/>
          </w:tcPr>
          <w:p w14:paraId="34650361" w14:textId="77777777" w:rsidR="00C972CB" w:rsidRDefault="002457F6">
            <w:pPr>
              <w:pStyle w:val="P68B1DB1-Normal11"/>
              <w:jc w:val="center"/>
              <w:rPr>
                <w:noProof/>
              </w:rPr>
            </w:pPr>
            <w:r>
              <w:rPr>
                <w:noProof/>
              </w:rPr>
              <w:t>14 100</w:t>
            </w:r>
          </w:p>
        </w:tc>
        <w:tc>
          <w:tcPr>
            <w:tcW w:w="793" w:type="dxa"/>
            <w:shd w:val="clear" w:color="auto" w:fill="C6EFCE"/>
            <w:noWrap/>
            <w:vAlign w:val="center"/>
          </w:tcPr>
          <w:p w14:paraId="223F6300" w14:textId="77777777" w:rsidR="00C972CB" w:rsidRDefault="002457F6">
            <w:pPr>
              <w:pStyle w:val="P68B1DB1-Normal11"/>
              <w:jc w:val="center"/>
              <w:rPr>
                <w:noProof/>
              </w:rPr>
            </w:pPr>
            <w:r>
              <w:rPr>
                <w:noProof/>
              </w:rPr>
              <w:t>2. CET.</w:t>
            </w:r>
          </w:p>
        </w:tc>
        <w:tc>
          <w:tcPr>
            <w:tcW w:w="625" w:type="dxa"/>
            <w:shd w:val="clear" w:color="auto" w:fill="C6EFCE"/>
            <w:noWrap/>
            <w:vAlign w:val="center"/>
          </w:tcPr>
          <w:p w14:paraId="74C5CAC4" w14:textId="77777777" w:rsidR="00C972CB" w:rsidRDefault="002457F6">
            <w:pPr>
              <w:pStyle w:val="P68B1DB1-Normal11"/>
              <w:jc w:val="center"/>
              <w:rPr>
                <w:noProof/>
              </w:rPr>
            </w:pPr>
            <w:r>
              <w:rPr>
                <w:noProof/>
              </w:rPr>
              <w:t>2026</w:t>
            </w:r>
          </w:p>
        </w:tc>
        <w:tc>
          <w:tcPr>
            <w:tcW w:w="2584" w:type="dxa"/>
            <w:shd w:val="clear" w:color="auto" w:fill="C6EFCE"/>
            <w:noWrap/>
            <w:vAlign w:val="center"/>
          </w:tcPr>
          <w:p w14:paraId="6300C440" w14:textId="77777777" w:rsidR="00C972CB" w:rsidRDefault="002457F6">
            <w:pPr>
              <w:pStyle w:val="P68B1DB1-Normal11"/>
              <w:spacing w:after="120"/>
              <w:rPr>
                <w:noProof/>
              </w:rPr>
            </w:pPr>
            <w:r>
              <w:rPr>
                <w:noProof/>
              </w:rPr>
              <w:t>Nodrošināt platformā integrēto pakalpojumu skaita palielināšanu, lai:</w:t>
            </w:r>
          </w:p>
          <w:p w14:paraId="2F75BF9D" w14:textId="77777777" w:rsidR="00C972CB" w:rsidRDefault="002457F6">
            <w:pPr>
              <w:pStyle w:val="P68B1DB1-Normal11"/>
              <w:spacing w:after="120"/>
              <w:rPr>
                <w:noProof/>
              </w:rPr>
            </w:pPr>
            <w:r>
              <w:rPr>
                <w:noProof/>
              </w:rPr>
              <w:t>valsts pārvaldes iestādes, kas jau pievienojas platformai (11450 struktūras);</w:t>
            </w:r>
          </w:p>
          <w:p w14:paraId="5344C73F" w14:textId="77777777" w:rsidR="00C972CB" w:rsidRDefault="002457F6">
            <w:pPr>
              <w:pStyle w:val="P68B1DB1-Normal11"/>
              <w:spacing w:after="120"/>
              <w:rPr>
                <w:noProof/>
              </w:rPr>
            </w:pPr>
            <w:r>
              <w:rPr>
                <w:noProof/>
              </w:rPr>
              <w:t xml:space="preserve">jaunas </w:t>
            </w:r>
            <w:r>
              <w:rPr>
                <w:noProof/>
              </w:rPr>
              <w:t>publiskās pārvaldes iestādes, kas pievienojas platformai (2650 jaunas struktūras).</w:t>
            </w:r>
          </w:p>
          <w:p w14:paraId="109C943B" w14:textId="77777777" w:rsidR="00C972CB" w:rsidRDefault="002457F6">
            <w:pPr>
              <w:pStyle w:val="P68B1DB1-Normal11"/>
              <w:spacing w:after="120"/>
              <w:rPr>
                <w:noProof/>
              </w:rPr>
            </w:pPr>
            <w:r>
              <w:rPr>
                <w:noProof/>
              </w:rPr>
              <w:t>Integrēto pakalpojumu skaits ir atkarīgs no administrācijas veida (galīgais mērķis ir nodrošināt vidēji 35 pakalpojumus pašvaldībām, 15 pakalpojumus reģioniem, 15 pakalpojum</w:t>
            </w:r>
            <w:r>
              <w:rPr>
                <w:noProof/>
              </w:rPr>
              <w:t>us veselības aizsardzības iestādēm, 8 pakalpojumus skolām un universitātēm).</w:t>
            </w:r>
          </w:p>
        </w:tc>
      </w:tr>
      <w:tr w:rsidR="00C972CB" w14:paraId="5A3A7C45" w14:textId="77777777">
        <w:trPr>
          <w:trHeight w:val="309"/>
        </w:trPr>
        <w:tc>
          <w:tcPr>
            <w:tcW w:w="1284" w:type="dxa"/>
            <w:shd w:val="clear" w:color="auto" w:fill="C6EFCE"/>
            <w:noWrap/>
            <w:vAlign w:val="center"/>
          </w:tcPr>
          <w:p w14:paraId="3596281A" w14:textId="77777777" w:rsidR="00C972CB" w:rsidRDefault="002457F6">
            <w:pPr>
              <w:pStyle w:val="P68B1DB1-Normal11"/>
              <w:jc w:val="center"/>
              <w:rPr>
                <w:noProof/>
              </w:rPr>
            </w:pPr>
            <w:r>
              <w:rPr>
                <w:noProof/>
              </w:rPr>
              <w:t>M1C1–150</w:t>
            </w:r>
          </w:p>
        </w:tc>
        <w:tc>
          <w:tcPr>
            <w:tcW w:w="1746" w:type="dxa"/>
            <w:shd w:val="clear" w:color="auto" w:fill="C6EFCE"/>
            <w:noWrap/>
            <w:vAlign w:val="center"/>
          </w:tcPr>
          <w:p w14:paraId="5C8D342D" w14:textId="77777777" w:rsidR="00C972CB" w:rsidRDefault="002457F6">
            <w:pPr>
              <w:pStyle w:val="P68B1DB1-Normal11"/>
              <w:jc w:val="center"/>
              <w:rPr>
                <w:noProof/>
              </w:rPr>
            </w:pPr>
            <w:r>
              <w:rPr>
                <w:noProof/>
              </w:rPr>
              <w:t>Ieguldījums 1.4.3. PagoPA platformas pakalpojumu un lietotnes “IO” pieņemšana</w:t>
            </w:r>
          </w:p>
        </w:tc>
        <w:tc>
          <w:tcPr>
            <w:tcW w:w="992" w:type="dxa"/>
            <w:shd w:val="clear" w:color="auto" w:fill="C6EFCE"/>
            <w:noWrap/>
            <w:vAlign w:val="center"/>
          </w:tcPr>
          <w:p w14:paraId="30178E2C"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12B5F013" w14:textId="77777777" w:rsidR="00C972CB" w:rsidRDefault="002457F6">
            <w:pPr>
              <w:pStyle w:val="P68B1DB1-Normal11"/>
              <w:jc w:val="center"/>
              <w:rPr>
                <w:noProof/>
              </w:rPr>
            </w:pPr>
            <w:r>
              <w:rPr>
                <w:noProof/>
              </w:rPr>
              <w:t>“IO” lietotnes T2 pieņemšana</w:t>
            </w:r>
          </w:p>
        </w:tc>
        <w:tc>
          <w:tcPr>
            <w:tcW w:w="1701" w:type="dxa"/>
            <w:shd w:val="clear" w:color="auto" w:fill="C6EFCE"/>
            <w:noWrap/>
            <w:vAlign w:val="center"/>
          </w:tcPr>
          <w:p w14:paraId="68C7C451"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52C35933"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2B41EA72" w14:textId="77777777" w:rsidR="00C972CB" w:rsidRDefault="002457F6">
            <w:pPr>
              <w:pStyle w:val="P68B1DB1-Normal11"/>
              <w:jc w:val="center"/>
              <w:rPr>
                <w:noProof/>
              </w:rPr>
            </w:pPr>
            <w:r>
              <w:rPr>
                <w:noProof/>
              </w:rPr>
              <w:t>7 000</w:t>
            </w:r>
          </w:p>
        </w:tc>
        <w:tc>
          <w:tcPr>
            <w:tcW w:w="1417" w:type="dxa"/>
            <w:shd w:val="clear" w:color="auto" w:fill="C6EFCE"/>
            <w:noWrap/>
            <w:vAlign w:val="center"/>
          </w:tcPr>
          <w:p w14:paraId="1ACBE6FE" w14:textId="77777777" w:rsidR="00C972CB" w:rsidRDefault="002457F6">
            <w:pPr>
              <w:pStyle w:val="P68B1DB1-Normal11"/>
              <w:jc w:val="center"/>
              <w:rPr>
                <w:noProof/>
              </w:rPr>
            </w:pPr>
            <w:r>
              <w:rPr>
                <w:noProof/>
              </w:rPr>
              <w:t>14 100</w:t>
            </w:r>
          </w:p>
        </w:tc>
        <w:tc>
          <w:tcPr>
            <w:tcW w:w="793" w:type="dxa"/>
            <w:shd w:val="clear" w:color="auto" w:fill="C6EFCE"/>
            <w:noWrap/>
            <w:vAlign w:val="center"/>
          </w:tcPr>
          <w:p w14:paraId="1B694E01" w14:textId="77777777" w:rsidR="00C972CB" w:rsidRDefault="002457F6">
            <w:pPr>
              <w:pStyle w:val="P68B1DB1-Normal11"/>
              <w:jc w:val="center"/>
              <w:rPr>
                <w:noProof/>
              </w:rPr>
            </w:pPr>
            <w:r>
              <w:rPr>
                <w:noProof/>
              </w:rPr>
              <w:t>2. CET.</w:t>
            </w:r>
          </w:p>
        </w:tc>
        <w:tc>
          <w:tcPr>
            <w:tcW w:w="625" w:type="dxa"/>
            <w:shd w:val="clear" w:color="auto" w:fill="C6EFCE"/>
            <w:noWrap/>
            <w:vAlign w:val="center"/>
          </w:tcPr>
          <w:p w14:paraId="31E24AE4" w14:textId="77777777" w:rsidR="00C972CB" w:rsidRDefault="002457F6">
            <w:pPr>
              <w:pStyle w:val="P68B1DB1-Normal11"/>
              <w:jc w:val="center"/>
              <w:rPr>
                <w:noProof/>
              </w:rPr>
            </w:pPr>
            <w:r>
              <w:rPr>
                <w:noProof/>
              </w:rPr>
              <w:t>2026</w:t>
            </w:r>
          </w:p>
        </w:tc>
        <w:tc>
          <w:tcPr>
            <w:tcW w:w="2584" w:type="dxa"/>
            <w:shd w:val="clear" w:color="auto" w:fill="C6EFCE"/>
            <w:noWrap/>
            <w:vAlign w:val="center"/>
          </w:tcPr>
          <w:p w14:paraId="515FCE17" w14:textId="77777777" w:rsidR="00C972CB" w:rsidRDefault="002457F6">
            <w:pPr>
              <w:pStyle w:val="P68B1DB1-Normal11"/>
              <w:spacing w:after="120"/>
              <w:rPr>
                <w:noProof/>
              </w:rPr>
            </w:pPr>
            <w:r>
              <w:rPr>
                <w:noProof/>
              </w:rPr>
              <w:t xml:space="preserve">Nodrošināt, </w:t>
            </w:r>
            <w:r>
              <w:rPr>
                <w:noProof/>
              </w:rPr>
              <w:t>ka tiek palielināts to pakalpojumu skaits, kas integrēti “IO:</w:t>
            </w:r>
          </w:p>
          <w:p w14:paraId="63722A36" w14:textId="77777777" w:rsidR="00C972CB" w:rsidRDefault="002457F6">
            <w:pPr>
              <w:pStyle w:val="P68B1DB1-Normal11"/>
              <w:spacing w:after="120"/>
              <w:rPr>
                <w:noProof/>
              </w:rPr>
            </w:pPr>
            <w:r>
              <w:rPr>
                <w:noProof/>
              </w:rPr>
              <w:t>valsts pārvaldes iestādes, kas jau izmanto NU (7000 struktūras);</w:t>
            </w:r>
          </w:p>
          <w:p w14:paraId="2DCA3C00" w14:textId="77777777" w:rsidR="00C972CB" w:rsidRDefault="002457F6">
            <w:pPr>
              <w:pStyle w:val="P68B1DB1-Normal11"/>
              <w:spacing w:after="120"/>
              <w:rPr>
                <w:noProof/>
              </w:rPr>
            </w:pPr>
            <w:r>
              <w:rPr>
                <w:noProof/>
              </w:rPr>
              <w:t>— platformai pievienojas jaunas publiskās pārvaldes iestādes (aptuveni 7100 jaunu struktūru).</w:t>
            </w:r>
          </w:p>
          <w:p w14:paraId="426C926F" w14:textId="77777777" w:rsidR="00C972CB" w:rsidRDefault="002457F6">
            <w:pPr>
              <w:pStyle w:val="P68B1DB1-Normal11"/>
              <w:spacing w:after="120"/>
              <w:rPr>
                <w:noProof/>
              </w:rPr>
            </w:pPr>
            <w:r>
              <w:rPr>
                <w:noProof/>
              </w:rPr>
              <w:t>Integrēto pakalpojumu skaits ir atk</w:t>
            </w:r>
            <w:r>
              <w:rPr>
                <w:noProof/>
              </w:rPr>
              <w:t>arīgs no administrācijas veida (galīgais mērķis ir nodrošināt vidēji 35 pakalpojumus pašvaldībām, 15 pakalpojumus reģioniem, 15 pakalpojumus veselības aizsardzības iestādēm, 8 pakalpojumus skolām un universitātēm).</w:t>
            </w:r>
          </w:p>
        </w:tc>
      </w:tr>
      <w:tr w:rsidR="00C972CB" w14:paraId="7D7B3BBF" w14:textId="77777777">
        <w:trPr>
          <w:trHeight w:val="309"/>
        </w:trPr>
        <w:tc>
          <w:tcPr>
            <w:tcW w:w="1284" w:type="dxa"/>
            <w:shd w:val="clear" w:color="auto" w:fill="C6EFCE"/>
            <w:noWrap/>
            <w:vAlign w:val="center"/>
          </w:tcPr>
          <w:p w14:paraId="10BE5C01" w14:textId="77777777" w:rsidR="00C972CB" w:rsidRDefault="002457F6">
            <w:pPr>
              <w:pStyle w:val="P68B1DB1-Normal11"/>
              <w:jc w:val="center"/>
              <w:rPr>
                <w:noProof/>
              </w:rPr>
            </w:pPr>
            <w:r>
              <w:rPr>
                <w:noProof/>
              </w:rPr>
              <w:t>M1C1–151</w:t>
            </w:r>
          </w:p>
        </w:tc>
        <w:tc>
          <w:tcPr>
            <w:tcW w:w="1746" w:type="dxa"/>
            <w:shd w:val="clear" w:color="auto" w:fill="C6EFCE"/>
            <w:noWrap/>
            <w:vAlign w:val="center"/>
          </w:tcPr>
          <w:p w14:paraId="71DC4C48" w14:textId="77777777" w:rsidR="00C972CB" w:rsidRDefault="002457F6">
            <w:pPr>
              <w:pStyle w:val="P68B1DB1-Normal11"/>
              <w:jc w:val="center"/>
              <w:rPr>
                <w:noProof/>
              </w:rPr>
            </w:pPr>
            <w:r>
              <w:rPr>
                <w:noProof/>
              </w:rPr>
              <w:t xml:space="preserve">Ieguldījums 1.4.5. Publisko </w:t>
            </w:r>
            <w:r>
              <w:rPr>
                <w:noProof/>
              </w:rPr>
              <w:t>paziņojumu digitalizācija</w:t>
            </w:r>
          </w:p>
        </w:tc>
        <w:tc>
          <w:tcPr>
            <w:tcW w:w="992" w:type="dxa"/>
            <w:shd w:val="clear" w:color="auto" w:fill="C6EFCE"/>
            <w:noWrap/>
            <w:vAlign w:val="center"/>
          </w:tcPr>
          <w:p w14:paraId="2B674FA8"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3567B048" w14:textId="77777777" w:rsidR="00C972CB" w:rsidRDefault="002457F6">
            <w:pPr>
              <w:pStyle w:val="P68B1DB1-Normal11"/>
              <w:jc w:val="center"/>
              <w:rPr>
                <w:noProof/>
              </w:rPr>
            </w:pPr>
            <w:r>
              <w:rPr>
                <w:noProof/>
              </w:rPr>
              <w:t>Digitālo publisko paziņojumu T2 pieņemšanas paplašināšana</w:t>
            </w:r>
          </w:p>
        </w:tc>
        <w:tc>
          <w:tcPr>
            <w:tcW w:w="1701" w:type="dxa"/>
            <w:shd w:val="clear" w:color="auto" w:fill="C6EFCE"/>
            <w:noWrap/>
            <w:vAlign w:val="center"/>
          </w:tcPr>
          <w:p w14:paraId="65E2823C"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3DAB2DF6"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6B0EFB00" w14:textId="77777777" w:rsidR="00C972CB" w:rsidRDefault="002457F6">
            <w:pPr>
              <w:pStyle w:val="P68B1DB1-Normal11"/>
              <w:jc w:val="center"/>
              <w:rPr>
                <w:noProof/>
              </w:rPr>
            </w:pPr>
            <w:r>
              <w:rPr>
                <w:noProof/>
              </w:rPr>
              <w:t>800</w:t>
            </w:r>
          </w:p>
        </w:tc>
        <w:tc>
          <w:tcPr>
            <w:tcW w:w="1417" w:type="dxa"/>
            <w:shd w:val="clear" w:color="auto" w:fill="C6EFCE"/>
            <w:noWrap/>
            <w:vAlign w:val="center"/>
          </w:tcPr>
          <w:p w14:paraId="38C01787" w14:textId="77777777" w:rsidR="00C972CB" w:rsidRDefault="002457F6">
            <w:pPr>
              <w:pStyle w:val="P68B1DB1-Normal11"/>
              <w:jc w:val="center"/>
              <w:rPr>
                <w:noProof/>
              </w:rPr>
            </w:pPr>
            <w:r>
              <w:rPr>
                <w:noProof/>
              </w:rPr>
              <w:t>6 400</w:t>
            </w:r>
          </w:p>
        </w:tc>
        <w:tc>
          <w:tcPr>
            <w:tcW w:w="793" w:type="dxa"/>
            <w:shd w:val="clear" w:color="auto" w:fill="C6EFCE"/>
            <w:noWrap/>
            <w:vAlign w:val="center"/>
          </w:tcPr>
          <w:p w14:paraId="3C535881" w14:textId="77777777" w:rsidR="00C972CB" w:rsidRDefault="002457F6">
            <w:pPr>
              <w:pStyle w:val="P68B1DB1-Normal11"/>
              <w:jc w:val="center"/>
              <w:rPr>
                <w:noProof/>
              </w:rPr>
            </w:pPr>
            <w:r>
              <w:rPr>
                <w:noProof/>
              </w:rPr>
              <w:t>2. CET.</w:t>
            </w:r>
          </w:p>
        </w:tc>
        <w:tc>
          <w:tcPr>
            <w:tcW w:w="625" w:type="dxa"/>
            <w:shd w:val="clear" w:color="auto" w:fill="C6EFCE"/>
            <w:noWrap/>
            <w:vAlign w:val="center"/>
          </w:tcPr>
          <w:p w14:paraId="64772B1F" w14:textId="77777777" w:rsidR="00C972CB" w:rsidRDefault="002457F6">
            <w:pPr>
              <w:pStyle w:val="P68B1DB1-Normal11"/>
              <w:jc w:val="center"/>
              <w:rPr>
                <w:noProof/>
              </w:rPr>
            </w:pPr>
            <w:r>
              <w:rPr>
                <w:noProof/>
              </w:rPr>
              <w:t>2026</w:t>
            </w:r>
          </w:p>
        </w:tc>
        <w:tc>
          <w:tcPr>
            <w:tcW w:w="2584" w:type="dxa"/>
            <w:shd w:val="clear" w:color="auto" w:fill="C6EFCE"/>
            <w:noWrap/>
            <w:vAlign w:val="center"/>
          </w:tcPr>
          <w:p w14:paraId="4ABE316F" w14:textId="77777777" w:rsidR="00C972CB" w:rsidRDefault="002457F6">
            <w:pPr>
              <w:pStyle w:val="P68B1DB1-Normal11"/>
              <w:spacing w:after="120"/>
              <w:rPr>
                <w:noProof/>
              </w:rPr>
            </w:pPr>
            <w:r>
              <w:rPr>
                <w:noProof/>
              </w:rPr>
              <w:t xml:space="preserve">Vismaz 6400 centrālo valsts pārvaldes iestāžu un pašvaldību attiecībā uz digitālo paziņojumu platformu (DNP) sniedz digitālus </w:t>
            </w:r>
            <w:r>
              <w:rPr>
                <w:noProof/>
              </w:rPr>
              <w:t>juridiski saistošus paziņojumus iedzīvotājiem, juridiskām personām, apvienībām un jebkurām citām publiskām vai privātām struktūrām.</w:t>
            </w:r>
          </w:p>
        </w:tc>
      </w:tr>
      <w:tr w:rsidR="00C972CB" w14:paraId="53515213" w14:textId="77777777">
        <w:trPr>
          <w:trHeight w:val="309"/>
        </w:trPr>
        <w:tc>
          <w:tcPr>
            <w:tcW w:w="1284" w:type="dxa"/>
            <w:shd w:val="clear" w:color="auto" w:fill="C6EFCE"/>
            <w:noWrap/>
            <w:vAlign w:val="center"/>
            <w:hideMark/>
          </w:tcPr>
          <w:p w14:paraId="7BB01913" w14:textId="77777777" w:rsidR="00C972CB" w:rsidRDefault="002457F6">
            <w:pPr>
              <w:pStyle w:val="P68B1DB1-Normal11"/>
              <w:jc w:val="center"/>
              <w:rPr>
                <w:noProof/>
              </w:rPr>
            </w:pPr>
            <w:r>
              <w:rPr>
                <w:noProof/>
              </w:rPr>
              <w:t>M1C1–152</w:t>
            </w:r>
          </w:p>
        </w:tc>
        <w:tc>
          <w:tcPr>
            <w:tcW w:w="1746" w:type="dxa"/>
            <w:shd w:val="clear" w:color="auto" w:fill="C6EFCE"/>
            <w:noWrap/>
            <w:vAlign w:val="center"/>
            <w:hideMark/>
          </w:tcPr>
          <w:p w14:paraId="2DBEF680" w14:textId="77777777" w:rsidR="00C972CB" w:rsidRDefault="002457F6">
            <w:pPr>
              <w:pStyle w:val="P68B1DB1-Normal11"/>
              <w:jc w:val="center"/>
              <w:rPr>
                <w:noProof/>
              </w:rPr>
            </w:pPr>
            <w:r>
              <w:rPr>
                <w:noProof/>
              </w:rPr>
              <w:t>Ieguldījums 1.6.1. — Iekšlietu ministrijas digitalizācija</w:t>
            </w:r>
          </w:p>
        </w:tc>
        <w:tc>
          <w:tcPr>
            <w:tcW w:w="992" w:type="dxa"/>
            <w:shd w:val="clear" w:color="auto" w:fill="C6EFCE"/>
            <w:noWrap/>
            <w:vAlign w:val="center"/>
            <w:hideMark/>
          </w:tcPr>
          <w:p w14:paraId="12034513" w14:textId="77777777" w:rsidR="00C972CB" w:rsidRDefault="002457F6">
            <w:pPr>
              <w:pStyle w:val="P68B1DB1-Normal11"/>
              <w:jc w:val="center"/>
              <w:rPr>
                <w:noProof/>
              </w:rPr>
            </w:pPr>
            <w:r>
              <w:rPr>
                <w:noProof/>
              </w:rPr>
              <w:t>Mērķa</w:t>
            </w:r>
          </w:p>
        </w:tc>
        <w:tc>
          <w:tcPr>
            <w:tcW w:w="2126" w:type="dxa"/>
            <w:shd w:val="clear" w:color="auto" w:fill="C6EFCE"/>
            <w:noWrap/>
            <w:vAlign w:val="center"/>
            <w:hideMark/>
          </w:tcPr>
          <w:p w14:paraId="227DA2B3" w14:textId="77777777" w:rsidR="00C972CB" w:rsidRDefault="002457F6">
            <w:pPr>
              <w:pStyle w:val="P68B1DB1-Normal11"/>
              <w:jc w:val="center"/>
              <w:rPr>
                <w:noProof/>
              </w:rPr>
            </w:pPr>
            <w:r>
              <w:rPr>
                <w:noProof/>
              </w:rPr>
              <w:t xml:space="preserve">Iekšlietu ministrija — pilnīgi pārbūvēti un </w:t>
            </w:r>
            <w:r>
              <w:rPr>
                <w:noProof/>
              </w:rPr>
              <w:t>digitalizēti procesi T2</w:t>
            </w:r>
          </w:p>
        </w:tc>
        <w:tc>
          <w:tcPr>
            <w:tcW w:w="1701" w:type="dxa"/>
            <w:shd w:val="clear" w:color="auto" w:fill="C6EFCE"/>
            <w:noWrap/>
            <w:vAlign w:val="center"/>
            <w:hideMark/>
          </w:tcPr>
          <w:p w14:paraId="48D77ABA"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0D8C1946" w14:textId="77777777" w:rsidR="00C972CB" w:rsidRDefault="002457F6">
            <w:pPr>
              <w:pStyle w:val="P68B1DB1-Normal11"/>
              <w:jc w:val="center"/>
              <w:rPr>
                <w:noProof/>
              </w:rPr>
            </w:pPr>
            <w:r>
              <w:rPr>
                <w:noProof/>
              </w:rPr>
              <w:t>Skaits</w:t>
            </w:r>
          </w:p>
        </w:tc>
        <w:tc>
          <w:tcPr>
            <w:tcW w:w="1276" w:type="dxa"/>
            <w:shd w:val="clear" w:color="auto" w:fill="C6EFCE"/>
            <w:noWrap/>
            <w:vAlign w:val="center"/>
            <w:hideMark/>
          </w:tcPr>
          <w:p w14:paraId="52B254E4" w14:textId="77777777" w:rsidR="00C972CB" w:rsidRDefault="002457F6">
            <w:pPr>
              <w:pStyle w:val="P68B1DB1-Normal11"/>
              <w:jc w:val="center"/>
              <w:rPr>
                <w:noProof/>
              </w:rPr>
            </w:pPr>
            <w:r>
              <w:rPr>
                <w:noProof/>
              </w:rPr>
              <w:t>7</w:t>
            </w:r>
          </w:p>
        </w:tc>
        <w:tc>
          <w:tcPr>
            <w:tcW w:w="1417" w:type="dxa"/>
            <w:shd w:val="clear" w:color="auto" w:fill="C6EFCE"/>
            <w:noWrap/>
            <w:vAlign w:val="center"/>
            <w:hideMark/>
          </w:tcPr>
          <w:p w14:paraId="1E6F8D17" w14:textId="77777777" w:rsidR="00C972CB" w:rsidRDefault="002457F6">
            <w:pPr>
              <w:pStyle w:val="P68B1DB1-Normal11"/>
              <w:jc w:val="center"/>
              <w:rPr>
                <w:noProof/>
              </w:rPr>
            </w:pPr>
            <w:r>
              <w:rPr>
                <w:noProof/>
              </w:rPr>
              <w:t>45</w:t>
            </w:r>
          </w:p>
        </w:tc>
        <w:tc>
          <w:tcPr>
            <w:tcW w:w="793" w:type="dxa"/>
            <w:shd w:val="clear" w:color="auto" w:fill="C6EFCE"/>
            <w:noWrap/>
            <w:vAlign w:val="center"/>
            <w:hideMark/>
          </w:tcPr>
          <w:p w14:paraId="3884722A" w14:textId="77777777" w:rsidR="00C972CB" w:rsidRDefault="002457F6">
            <w:pPr>
              <w:pStyle w:val="P68B1DB1-Normal11"/>
              <w:jc w:val="center"/>
              <w:rPr>
                <w:noProof/>
              </w:rPr>
            </w:pPr>
            <w:r>
              <w:rPr>
                <w:noProof/>
              </w:rPr>
              <w:t>2. CET.</w:t>
            </w:r>
          </w:p>
        </w:tc>
        <w:tc>
          <w:tcPr>
            <w:tcW w:w="625" w:type="dxa"/>
            <w:shd w:val="clear" w:color="auto" w:fill="C6EFCE"/>
            <w:noWrap/>
            <w:vAlign w:val="center"/>
            <w:hideMark/>
          </w:tcPr>
          <w:p w14:paraId="4C1C81AF" w14:textId="77777777" w:rsidR="00C972CB" w:rsidRDefault="002457F6">
            <w:pPr>
              <w:pStyle w:val="P68B1DB1-Normal11"/>
              <w:jc w:val="center"/>
              <w:rPr>
                <w:noProof/>
              </w:rPr>
            </w:pPr>
            <w:r>
              <w:rPr>
                <w:noProof/>
              </w:rPr>
              <w:t>2026</w:t>
            </w:r>
          </w:p>
        </w:tc>
        <w:tc>
          <w:tcPr>
            <w:tcW w:w="2584" w:type="dxa"/>
            <w:shd w:val="clear" w:color="auto" w:fill="C6EFCE"/>
            <w:noWrap/>
            <w:vAlign w:val="center"/>
            <w:hideMark/>
          </w:tcPr>
          <w:p w14:paraId="7CA7FAE6" w14:textId="77777777" w:rsidR="00C972CB" w:rsidRDefault="002457F6">
            <w:pPr>
              <w:pStyle w:val="P68B1DB1-Normal11"/>
              <w:spacing w:after="120"/>
              <w:rPr>
                <w:noProof/>
              </w:rPr>
            </w:pPr>
            <w:r>
              <w:rPr>
                <w:noProof/>
              </w:rPr>
              <w:t>Iekšējās procedūras un procesi ir pilnībā pārveidoti (līdz 2026. gada 31. augustam kopā 45 procesi) un kurus var pilnībā pabeigt tiešsaistē (piemēram, biroja automatizācija, mobilitātes pakalpojumi</w:t>
            </w:r>
            <w:r>
              <w:rPr>
                <w:noProof/>
              </w:rPr>
              <w:t xml:space="preserve"> un e-mācības).</w:t>
            </w:r>
          </w:p>
        </w:tc>
      </w:tr>
      <w:tr w:rsidR="00C972CB" w14:paraId="594C6B5C" w14:textId="77777777">
        <w:trPr>
          <w:trHeight w:val="309"/>
        </w:trPr>
        <w:tc>
          <w:tcPr>
            <w:tcW w:w="1284" w:type="dxa"/>
            <w:shd w:val="clear" w:color="auto" w:fill="C6EFCE"/>
            <w:noWrap/>
            <w:vAlign w:val="center"/>
            <w:hideMark/>
          </w:tcPr>
          <w:p w14:paraId="71C67AF1" w14:textId="77777777" w:rsidR="00C972CB" w:rsidRDefault="002457F6">
            <w:pPr>
              <w:pStyle w:val="P68B1DB1-Normal11"/>
              <w:jc w:val="center"/>
              <w:rPr>
                <w:noProof/>
              </w:rPr>
            </w:pPr>
            <w:r>
              <w:rPr>
                <w:noProof/>
              </w:rPr>
              <w:t>M1C1–153</w:t>
            </w:r>
          </w:p>
        </w:tc>
        <w:tc>
          <w:tcPr>
            <w:tcW w:w="1746" w:type="dxa"/>
            <w:shd w:val="clear" w:color="auto" w:fill="C6EFCE"/>
            <w:noWrap/>
            <w:vAlign w:val="center"/>
            <w:hideMark/>
          </w:tcPr>
          <w:p w14:paraId="666759CC" w14:textId="77777777" w:rsidR="00C972CB" w:rsidRDefault="002457F6">
            <w:pPr>
              <w:pStyle w:val="P68B1DB1-Normal11"/>
              <w:jc w:val="center"/>
              <w:rPr>
                <w:noProof/>
              </w:rPr>
            </w:pPr>
            <w:r>
              <w:rPr>
                <w:noProof/>
              </w:rPr>
              <w:t>Ieguldījums 1.6.2. — Tieslietu ministrijas digitalizācija</w:t>
            </w:r>
          </w:p>
        </w:tc>
        <w:tc>
          <w:tcPr>
            <w:tcW w:w="992" w:type="dxa"/>
            <w:shd w:val="clear" w:color="auto" w:fill="C6EFCE"/>
            <w:noWrap/>
            <w:vAlign w:val="center"/>
            <w:hideMark/>
          </w:tcPr>
          <w:p w14:paraId="25ECD6D4" w14:textId="77777777" w:rsidR="00C972CB" w:rsidRDefault="002457F6">
            <w:pPr>
              <w:pStyle w:val="P68B1DB1-Normal11"/>
              <w:jc w:val="center"/>
              <w:rPr>
                <w:noProof/>
              </w:rPr>
            </w:pPr>
            <w:r>
              <w:rPr>
                <w:noProof/>
              </w:rPr>
              <w:t>Mērķa</w:t>
            </w:r>
          </w:p>
        </w:tc>
        <w:tc>
          <w:tcPr>
            <w:tcW w:w="2126" w:type="dxa"/>
            <w:shd w:val="clear" w:color="auto" w:fill="C6EFCE"/>
            <w:noWrap/>
            <w:vAlign w:val="center"/>
            <w:hideMark/>
          </w:tcPr>
          <w:p w14:paraId="09FA5631" w14:textId="77777777" w:rsidR="00C972CB" w:rsidRDefault="002457F6">
            <w:pPr>
              <w:pStyle w:val="P68B1DB1-Normal11"/>
              <w:jc w:val="center"/>
              <w:rPr>
                <w:noProof/>
              </w:rPr>
            </w:pPr>
            <w:r>
              <w:rPr>
                <w:noProof/>
              </w:rPr>
              <w:t>Digitalizētas tiesu lietas T2</w:t>
            </w:r>
          </w:p>
        </w:tc>
        <w:tc>
          <w:tcPr>
            <w:tcW w:w="1701" w:type="dxa"/>
            <w:shd w:val="clear" w:color="auto" w:fill="C6EFCE"/>
            <w:noWrap/>
            <w:vAlign w:val="center"/>
            <w:hideMark/>
          </w:tcPr>
          <w:p w14:paraId="63C93ABD"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39DF538E" w14:textId="77777777" w:rsidR="00C972CB" w:rsidRDefault="002457F6">
            <w:pPr>
              <w:pStyle w:val="P68B1DB1-Normal11"/>
              <w:jc w:val="center"/>
              <w:rPr>
                <w:noProof/>
              </w:rPr>
            </w:pPr>
            <w:r>
              <w:rPr>
                <w:noProof/>
              </w:rPr>
              <w:t>Skaits</w:t>
            </w:r>
          </w:p>
        </w:tc>
        <w:tc>
          <w:tcPr>
            <w:tcW w:w="1276" w:type="dxa"/>
            <w:shd w:val="clear" w:color="auto" w:fill="C6EFCE"/>
            <w:noWrap/>
            <w:vAlign w:val="center"/>
            <w:hideMark/>
          </w:tcPr>
          <w:p w14:paraId="479541D5" w14:textId="77777777" w:rsidR="00C972CB" w:rsidRDefault="002457F6">
            <w:pPr>
              <w:pStyle w:val="P68B1DB1-Normal11"/>
              <w:jc w:val="center"/>
              <w:rPr>
                <w:noProof/>
              </w:rPr>
            </w:pPr>
            <w:r>
              <w:rPr>
                <w:noProof/>
              </w:rPr>
              <w:t>3 500 000</w:t>
            </w:r>
          </w:p>
        </w:tc>
        <w:tc>
          <w:tcPr>
            <w:tcW w:w="1417" w:type="dxa"/>
            <w:shd w:val="clear" w:color="auto" w:fill="C6EFCE"/>
            <w:noWrap/>
            <w:vAlign w:val="center"/>
            <w:hideMark/>
          </w:tcPr>
          <w:p w14:paraId="08483BE4" w14:textId="26F3D5ED" w:rsidR="00C972CB" w:rsidRDefault="002457F6">
            <w:pPr>
              <w:pStyle w:val="P68B1DB1-Normal11"/>
              <w:jc w:val="center"/>
              <w:rPr>
                <w:noProof/>
              </w:rPr>
            </w:pPr>
            <w:r>
              <w:rPr>
                <w:noProof/>
              </w:rPr>
              <w:t>7 750 000</w:t>
            </w:r>
          </w:p>
        </w:tc>
        <w:tc>
          <w:tcPr>
            <w:tcW w:w="793" w:type="dxa"/>
            <w:shd w:val="clear" w:color="auto" w:fill="C6EFCE"/>
            <w:noWrap/>
            <w:vAlign w:val="center"/>
            <w:hideMark/>
          </w:tcPr>
          <w:p w14:paraId="562E4237" w14:textId="77777777" w:rsidR="00C972CB" w:rsidRDefault="002457F6">
            <w:pPr>
              <w:pStyle w:val="P68B1DB1-Normal11"/>
              <w:jc w:val="center"/>
              <w:rPr>
                <w:noProof/>
              </w:rPr>
            </w:pPr>
            <w:r>
              <w:rPr>
                <w:noProof/>
              </w:rPr>
              <w:t>2. CET.</w:t>
            </w:r>
          </w:p>
        </w:tc>
        <w:tc>
          <w:tcPr>
            <w:tcW w:w="625" w:type="dxa"/>
            <w:shd w:val="clear" w:color="auto" w:fill="C6EFCE"/>
            <w:noWrap/>
            <w:vAlign w:val="center"/>
            <w:hideMark/>
          </w:tcPr>
          <w:p w14:paraId="47AF2524" w14:textId="77777777" w:rsidR="00C972CB" w:rsidRDefault="002457F6">
            <w:pPr>
              <w:pStyle w:val="P68B1DB1-Normal11"/>
              <w:jc w:val="center"/>
              <w:rPr>
                <w:noProof/>
              </w:rPr>
            </w:pPr>
            <w:r>
              <w:rPr>
                <w:noProof/>
              </w:rPr>
              <w:t>2026</w:t>
            </w:r>
          </w:p>
        </w:tc>
        <w:tc>
          <w:tcPr>
            <w:tcW w:w="2584" w:type="dxa"/>
            <w:shd w:val="clear" w:color="auto" w:fill="C6EFCE"/>
            <w:noWrap/>
            <w:vAlign w:val="center"/>
            <w:hideMark/>
          </w:tcPr>
          <w:p w14:paraId="2530B996" w14:textId="26D5C103" w:rsidR="00C972CB" w:rsidRDefault="002457F6">
            <w:pPr>
              <w:pStyle w:val="P68B1DB1-Normal12"/>
              <w:spacing w:after="120"/>
              <w:rPr>
                <w:rFonts w:ascii="Arial Narrow" w:hAnsi="Arial Narrow"/>
                <w:noProof/>
              </w:rPr>
            </w:pPr>
            <w:r>
              <w:rPr>
                <w:noProof/>
              </w:rPr>
              <w:t xml:space="preserve">7750000 </w:t>
            </w:r>
            <w:r>
              <w:rPr>
                <w:rFonts w:ascii="Arial Narrow" w:hAnsi="Arial Narrow"/>
                <w:noProof/>
              </w:rPr>
              <w:t xml:space="preserve">tiesvedības lietu, kas attiecas uz pēdējiem 20 gadiem </w:t>
            </w:r>
            <w:r>
              <w:rPr>
                <w:rFonts w:ascii="Arial Narrow" w:hAnsi="Arial Narrow"/>
                <w:noProof/>
              </w:rPr>
              <w:t>(01.01.2006.–30.06.2026.), digitalizācija saistībā ar pabeigtām vai notiekošām tiesas prāvām.</w:t>
            </w:r>
          </w:p>
        </w:tc>
      </w:tr>
      <w:tr w:rsidR="00C972CB" w14:paraId="74DD238B" w14:textId="77777777">
        <w:trPr>
          <w:trHeight w:val="309"/>
        </w:trPr>
        <w:tc>
          <w:tcPr>
            <w:tcW w:w="1284" w:type="dxa"/>
            <w:shd w:val="clear" w:color="auto" w:fill="C6EFCE"/>
            <w:noWrap/>
            <w:vAlign w:val="center"/>
          </w:tcPr>
          <w:p w14:paraId="63BF8747" w14:textId="77777777" w:rsidR="00C972CB" w:rsidRDefault="002457F6">
            <w:pPr>
              <w:pStyle w:val="P68B1DB1-Normal11"/>
              <w:jc w:val="center"/>
              <w:rPr>
                <w:noProof/>
              </w:rPr>
            </w:pPr>
            <w:r>
              <w:rPr>
                <w:noProof/>
              </w:rPr>
              <w:t>M1C1–154</w:t>
            </w:r>
          </w:p>
        </w:tc>
        <w:tc>
          <w:tcPr>
            <w:tcW w:w="1746" w:type="dxa"/>
            <w:shd w:val="clear" w:color="auto" w:fill="C6EFCE"/>
            <w:noWrap/>
            <w:vAlign w:val="center"/>
          </w:tcPr>
          <w:p w14:paraId="45B5AD59" w14:textId="77777777" w:rsidR="00C972CB" w:rsidRDefault="002457F6">
            <w:pPr>
              <w:pStyle w:val="P68B1DB1-Normal11"/>
              <w:jc w:val="center"/>
              <w:rPr>
                <w:noProof/>
              </w:rPr>
            </w:pPr>
            <w:r>
              <w:rPr>
                <w:noProof/>
              </w:rPr>
              <w:t>Ieguldījums 1.6.2. — Tieslietu ministrijas digitalizācija</w:t>
            </w:r>
          </w:p>
        </w:tc>
        <w:tc>
          <w:tcPr>
            <w:tcW w:w="992" w:type="dxa"/>
            <w:shd w:val="clear" w:color="auto" w:fill="C6EFCE"/>
            <w:noWrap/>
            <w:vAlign w:val="center"/>
          </w:tcPr>
          <w:p w14:paraId="65C80127"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44E11C7E" w14:textId="77777777" w:rsidR="00C972CB" w:rsidRDefault="002457F6">
            <w:pPr>
              <w:pStyle w:val="P68B1DB1-Normal11"/>
              <w:jc w:val="center"/>
              <w:rPr>
                <w:noProof/>
              </w:rPr>
            </w:pPr>
            <w:r>
              <w:rPr>
                <w:noProof/>
              </w:rPr>
              <w:t>Tiesu datu ezera zināšanu sistēmas T2</w:t>
            </w:r>
          </w:p>
        </w:tc>
        <w:tc>
          <w:tcPr>
            <w:tcW w:w="1701" w:type="dxa"/>
            <w:shd w:val="clear" w:color="auto" w:fill="C6EFCE"/>
            <w:noWrap/>
            <w:vAlign w:val="center"/>
          </w:tcPr>
          <w:p w14:paraId="0B0EFA20"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589E43C3"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4A9A7B23" w14:textId="77777777" w:rsidR="00C972CB" w:rsidRDefault="002457F6">
            <w:pPr>
              <w:pStyle w:val="P68B1DB1-Normal11"/>
              <w:jc w:val="center"/>
              <w:rPr>
                <w:noProof/>
              </w:rPr>
            </w:pPr>
            <w:r>
              <w:rPr>
                <w:noProof/>
              </w:rPr>
              <w:t>0</w:t>
            </w:r>
          </w:p>
        </w:tc>
        <w:tc>
          <w:tcPr>
            <w:tcW w:w="1417" w:type="dxa"/>
            <w:shd w:val="clear" w:color="auto" w:fill="C6EFCE"/>
            <w:noWrap/>
            <w:vAlign w:val="center"/>
          </w:tcPr>
          <w:p w14:paraId="2372CBC0" w14:textId="77777777" w:rsidR="00C972CB" w:rsidRDefault="002457F6">
            <w:pPr>
              <w:pStyle w:val="P68B1DB1-Normal11"/>
              <w:jc w:val="center"/>
              <w:rPr>
                <w:noProof/>
              </w:rPr>
            </w:pPr>
            <w:r>
              <w:rPr>
                <w:noProof/>
              </w:rPr>
              <w:t>6</w:t>
            </w:r>
          </w:p>
        </w:tc>
        <w:tc>
          <w:tcPr>
            <w:tcW w:w="793" w:type="dxa"/>
            <w:shd w:val="clear" w:color="auto" w:fill="C6EFCE"/>
            <w:noWrap/>
            <w:vAlign w:val="center"/>
          </w:tcPr>
          <w:p w14:paraId="05FF5D05" w14:textId="77777777" w:rsidR="00C972CB" w:rsidRDefault="002457F6">
            <w:pPr>
              <w:pStyle w:val="P68B1DB1-Normal11"/>
              <w:jc w:val="center"/>
              <w:rPr>
                <w:noProof/>
              </w:rPr>
            </w:pPr>
            <w:r>
              <w:rPr>
                <w:noProof/>
              </w:rPr>
              <w:t>2. CET.</w:t>
            </w:r>
          </w:p>
        </w:tc>
        <w:tc>
          <w:tcPr>
            <w:tcW w:w="625" w:type="dxa"/>
            <w:shd w:val="clear" w:color="auto" w:fill="C6EFCE"/>
            <w:noWrap/>
            <w:vAlign w:val="center"/>
          </w:tcPr>
          <w:p w14:paraId="30A03B3F" w14:textId="77777777" w:rsidR="00C972CB" w:rsidRDefault="002457F6">
            <w:pPr>
              <w:pStyle w:val="P68B1DB1-Normal11"/>
              <w:jc w:val="center"/>
              <w:rPr>
                <w:noProof/>
              </w:rPr>
            </w:pPr>
            <w:r>
              <w:rPr>
                <w:noProof/>
              </w:rPr>
              <w:t>2026</w:t>
            </w:r>
          </w:p>
        </w:tc>
        <w:tc>
          <w:tcPr>
            <w:tcW w:w="2584" w:type="dxa"/>
            <w:shd w:val="clear" w:color="auto" w:fill="C6EFCE"/>
            <w:noWrap/>
            <w:vAlign w:val="center"/>
          </w:tcPr>
          <w:p w14:paraId="0E0D9CBB" w14:textId="77777777" w:rsidR="00C972CB" w:rsidRDefault="002457F6">
            <w:pPr>
              <w:pStyle w:val="P68B1DB1-Normal11"/>
              <w:spacing w:after="120"/>
              <w:rPr>
                <w:noProof/>
              </w:rPr>
            </w:pPr>
            <w:r>
              <w:rPr>
                <w:noProof/>
              </w:rPr>
              <w:t xml:space="preserve">Sešu jaunu datu </w:t>
            </w:r>
            <w:r>
              <w:rPr>
                <w:noProof/>
              </w:rPr>
              <w:t>ezeru zināšanu sistēmu ieviešana.</w:t>
            </w:r>
          </w:p>
          <w:p w14:paraId="3B42784B" w14:textId="77777777" w:rsidR="00C972CB" w:rsidRDefault="002457F6">
            <w:pPr>
              <w:pStyle w:val="P68B1DB1-ListParagraph13"/>
              <w:numPr>
                <w:ilvl w:val="0"/>
                <w:numId w:val="81"/>
              </w:numPr>
              <w:spacing w:before="0" w:after="0"/>
              <w:ind w:left="357" w:hanging="357"/>
              <w:contextualSpacing w:val="0"/>
              <w:jc w:val="left"/>
              <w:rPr>
                <w:noProof/>
              </w:rPr>
            </w:pPr>
            <w:r>
              <w:rPr>
                <w:noProof/>
              </w:rPr>
              <w:t>Civiltiesisku sodu un kriminālsodu anonimizācijas sistēma</w:t>
            </w:r>
          </w:p>
          <w:p w14:paraId="000D9E3B" w14:textId="77777777" w:rsidR="00C972CB" w:rsidRDefault="002457F6">
            <w:pPr>
              <w:pStyle w:val="P68B1DB1-ListParagraph13"/>
              <w:numPr>
                <w:ilvl w:val="0"/>
                <w:numId w:val="81"/>
              </w:numPr>
              <w:spacing w:before="0" w:after="0"/>
              <w:ind w:left="357" w:hanging="357"/>
              <w:contextualSpacing w:val="0"/>
              <w:jc w:val="left"/>
              <w:rPr>
                <w:noProof/>
              </w:rPr>
            </w:pPr>
            <w:r>
              <w:rPr>
                <w:noProof/>
              </w:rPr>
              <w:t>Integrēta pārvaldības sistēma</w:t>
            </w:r>
          </w:p>
          <w:p w14:paraId="257BEDC4" w14:textId="77777777" w:rsidR="00C972CB" w:rsidRDefault="002457F6">
            <w:pPr>
              <w:pStyle w:val="P68B1DB1-ListParagraph13"/>
              <w:numPr>
                <w:ilvl w:val="0"/>
                <w:numId w:val="81"/>
              </w:numPr>
              <w:spacing w:before="0" w:after="0"/>
              <w:ind w:left="357" w:hanging="357"/>
              <w:contextualSpacing w:val="0"/>
              <w:jc w:val="left"/>
              <w:rPr>
                <w:noProof/>
              </w:rPr>
            </w:pPr>
            <w:r>
              <w:rPr>
                <w:noProof/>
              </w:rPr>
              <w:t>Civilprocesu pārvaldības un analīzes sistēma</w:t>
            </w:r>
          </w:p>
          <w:p w14:paraId="1E5D31C0" w14:textId="77777777" w:rsidR="00C972CB" w:rsidRDefault="002457F6">
            <w:pPr>
              <w:pStyle w:val="P68B1DB1-ListParagraph13"/>
              <w:numPr>
                <w:ilvl w:val="0"/>
                <w:numId w:val="81"/>
              </w:numPr>
              <w:spacing w:before="0" w:after="0"/>
              <w:ind w:left="357" w:hanging="357"/>
              <w:contextualSpacing w:val="0"/>
              <w:jc w:val="left"/>
              <w:rPr>
                <w:noProof/>
              </w:rPr>
            </w:pPr>
            <w:r>
              <w:rPr>
                <w:noProof/>
              </w:rPr>
              <w:t>Krimināllietu pārvaldības un analīzes sistēma</w:t>
            </w:r>
          </w:p>
          <w:p w14:paraId="784A670B" w14:textId="77777777" w:rsidR="00C972CB" w:rsidRDefault="002457F6">
            <w:pPr>
              <w:pStyle w:val="P68B1DB1-ListParagraph13"/>
              <w:numPr>
                <w:ilvl w:val="0"/>
                <w:numId w:val="81"/>
              </w:numPr>
              <w:spacing w:before="0" w:after="0"/>
              <w:ind w:left="357" w:hanging="357"/>
              <w:contextualSpacing w:val="0"/>
              <w:jc w:val="left"/>
              <w:rPr>
                <w:noProof/>
              </w:rPr>
            </w:pPr>
            <w:r>
              <w:rPr>
                <w:noProof/>
              </w:rPr>
              <w:t>Uzlabota civillietu un krimināllietu statis</w:t>
            </w:r>
            <w:r>
              <w:rPr>
                <w:noProof/>
              </w:rPr>
              <w:t>tikas sistēma</w:t>
            </w:r>
          </w:p>
          <w:p w14:paraId="595FF819" w14:textId="77777777" w:rsidR="00C972CB" w:rsidRDefault="002457F6">
            <w:pPr>
              <w:pStyle w:val="P68B1DB1-ListParagraph13"/>
              <w:numPr>
                <w:ilvl w:val="0"/>
                <w:numId w:val="81"/>
              </w:numPr>
              <w:spacing w:before="0" w:after="0"/>
              <w:ind w:left="357" w:hanging="357"/>
              <w:contextualSpacing w:val="0"/>
              <w:jc w:val="left"/>
              <w:rPr>
                <w:noProof/>
              </w:rPr>
            </w:pPr>
            <w:r>
              <w:rPr>
                <w:noProof/>
              </w:rPr>
              <w:t xml:space="preserve">Automatizēta sistēma cietušo un apsūdzības attiecību identificēšanai. </w:t>
            </w:r>
          </w:p>
          <w:p w14:paraId="51BDAE86" w14:textId="32A6CD85" w:rsidR="00C972CB" w:rsidRDefault="002457F6">
            <w:pPr>
              <w:pStyle w:val="P68B1DB1-Normal11"/>
              <w:spacing w:before="120"/>
              <w:rPr>
                <w:noProof/>
              </w:rPr>
            </w:pPr>
            <w:r>
              <w:rPr>
                <w:noProof/>
              </w:rPr>
              <w:t>Šīs sešas vienības ir atsevišķas sistēmas, kurās izmanto līdzīgas tehnoloģijas. Sistēmu sistēma ir tāda pati: savienot datus un dokumentus no iekšējiem un ārējiem avotiem;</w:t>
            </w:r>
            <w:r>
              <w:rPr>
                <w:noProof/>
              </w:rPr>
              <w:t xml:space="preserve"> sistēmu modeļi atšķiras atkarībā no lietotājiem (piemēram, civiltiesnešiem un krimināltiesnešiem) un mērķiem (piemēram, statistikai un spriedumiem).</w:t>
            </w:r>
          </w:p>
        </w:tc>
      </w:tr>
      <w:tr w:rsidR="00C972CB" w14:paraId="3470DAE8" w14:textId="77777777">
        <w:trPr>
          <w:trHeight w:val="309"/>
        </w:trPr>
        <w:tc>
          <w:tcPr>
            <w:tcW w:w="1284" w:type="dxa"/>
            <w:shd w:val="clear" w:color="auto" w:fill="C6EFCE"/>
            <w:noWrap/>
            <w:vAlign w:val="center"/>
          </w:tcPr>
          <w:p w14:paraId="62A975AB" w14:textId="77777777" w:rsidR="00C972CB" w:rsidRDefault="002457F6">
            <w:pPr>
              <w:pStyle w:val="P68B1DB1-Normal11"/>
              <w:jc w:val="center"/>
              <w:rPr>
                <w:noProof/>
              </w:rPr>
            </w:pPr>
            <w:r>
              <w:rPr>
                <w:noProof/>
              </w:rPr>
              <w:t>M1C1–155</w:t>
            </w:r>
          </w:p>
        </w:tc>
        <w:tc>
          <w:tcPr>
            <w:tcW w:w="1746" w:type="dxa"/>
            <w:shd w:val="clear" w:color="auto" w:fill="C6EFCE"/>
            <w:noWrap/>
            <w:vAlign w:val="center"/>
          </w:tcPr>
          <w:p w14:paraId="1A1409CC" w14:textId="77777777" w:rsidR="00C972CB" w:rsidRDefault="002457F6">
            <w:pPr>
              <w:pStyle w:val="P68B1DB1-Normal11"/>
              <w:jc w:val="center"/>
              <w:rPr>
                <w:noProof/>
              </w:rPr>
            </w:pPr>
            <w:r>
              <w:rPr>
                <w:noProof/>
              </w:rPr>
              <w:t xml:space="preserve">Ieguldījums 1.6.3. — Valsts sociālā nodrošinājuma institūta (INPS) un Valsts apdrošināšanas </w:t>
            </w:r>
            <w:r>
              <w:rPr>
                <w:noProof/>
              </w:rPr>
              <w:t>institūta pret nelaimes gadījumiem darbā (INAIL) digitalizācija</w:t>
            </w:r>
          </w:p>
        </w:tc>
        <w:tc>
          <w:tcPr>
            <w:tcW w:w="992" w:type="dxa"/>
            <w:shd w:val="clear" w:color="auto" w:fill="C6EFCE"/>
            <w:noWrap/>
            <w:vAlign w:val="center"/>
          </w:tcPr>
          <w:p w14:paraId="0DC8A770" w14:textId="77777777" w:rsidR="00C972CB" w:rsidRDefault="002457F6">
            <w:pPr>
              <w:pStyle w:val="P68B1DB1-Normal11"/>
              <w:jc w:val="center"/>
              <w:rPr>
                <w:noProof/>
              </w:rPr>
            </w:pPr>
            <w:r>
              <w:rPr>
                <w:noProof/>
              </w:rPr>
              <w:t>Mērķa</w:t>
            </w:r>
          </w:p>
        </w:tc>
        <w:tc>
          <w:tcPr>
            <w:tcW w:w="2126" w:type="dxa"/>
            <w:shd w:val="clear" w:color="auto" w:fill="C6EFCE"/>
            <w:noWrap/>
            <w:vAlign w:val="center"/>
          </w:tcPr>
          <w:p w14:paraId="65CC1C5F" w14:textId="77777777" w:rsidR="00C972CB" w:rsidRDefault="002457F6">
            <w:pPr>
              <w:pStyle w:val="P68B1DB1-Normal11"/>
              <w:jc w:val="center"/>
              <w:rPr>
                <w:noProof/>
              </w:rPr>
            </w:pPr>
            <w:r>
              <w:rPr>
                <w:noProof/>
              </w:rPr>
              <w:t>INAIL — pilnīgi pārbūvēti un digitalizēti procesi/pakalpojumi T2</w:t>
            </w:r>
          </w:p>
        </w:tc>
        <w:tc>
          <w:tcPr>
            <w:tcW w:w="1701" w:type="dxa"/>
            <w:shd w:val="clear" w:color="auto" w:fill="C6EFCE"/>
            <w:noWrap/>
            <w:vAlign w:val="center"/>
          </w:tcPr>
          <w:p w14:paraId="62695A8D"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7EC3BE97"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3673B239" w14:textId="77777777" w:rsidR="00C972CB" w:rsidRDefault="002457F6">
            <w:pPr>
              <w:pStyle w:val="P68B1DB1-Normal11"/>
              <w:jc w:val="center"/>
              <w:rPr>
                <w:noProof/>
              </w:rPr>
            </w:pPr>
            <w:r>
              <w:rPr>
                <w:noProof/>
              </w:rPr>
              <w:t>53</w:t>
            </w:r>
          </w:p>
        </w:tc>
        <w:tc>
          <w:tcPr>
            <w:tcW w:w="1417" w:type="dxa"/>
            <w:shd w:val="clear" w:color="auto" w:fill="C6EFCE"/>
            <w:noWrap/>
            <w:vAlign w:val="center"/>
          </w:tcPr>
          <w:p w14:paraId="0F8908DB" w14:textId="77777777" w:rsidR="00C972CB" w:rsidRDefault="002457F6">
            <w:pPr>
              <w:pStyle w:val="P68B1DB1-Normal11"/>
              <w:jc w:val="center"/>
              <w:rPr>
                <w:noProof/>
              </w:rPr>
            </w:pPr>
            <w:r>
              <w:rPr>
                <w:noProof/>
              </w:rPr>
              <w:t>82</w:t>
            </w:r>
          </w:p>
        </w:tc>
        <w:tc>
          <w:tcPr>
            <w:tcW w:w="793" w:type="dxa"/>
            <w:shd w:val="clear" w:color="auto" w:fill="C6EFCE"/>
            <w:noWrap/>
            <w:vAlign w:val="center"/>
          </w:tcPr>
          <w:p w14:paraId="17256C5D" w14:textId="77777777" w:rsidR="00C972CB" w:rsidRDefault="002457F6">
            <w:pPr>
              <w:pStyle w:val="P68B1DB1-Normal11"/>
              <w:jc w:val="center"/>
              <w:rPr>
                <w:noProof/>
              </w:rPr>
            </w:pPr>
            <w:r>
              <w:rPr>
                <w:noProof/>
              </w:rPr>
              <w:t>2. CET.</w:t>
            </w:r>
          </w:p>
        </w:tc>
        <w:tc>
          <w:tcPr>
            <w:tcW w:w="625" w:type="dxa"/>
            <w:shd w:val="clear" w:color="auto" w:fill="C6EFCE"/>
            <w:noWrap/>
            <w:vAlign w:val="center"/>
          </w:tcPr>
          <w:p w14:paraId="11BAE51C" w14:textId="77777777" w:rsidR="00C972CB" w:rsidRDefault="002457F6">
            <w:pPr>
              <w:pStyle w:val="P68B1DB1-Normal11"/>
              <w:jc w:val="center"/>
              <w:rPr>
                <w:noProof/>
              </w:rPr>
            </w:pPr>
            <w:r>
              <w:rPr>
                <w:noProof/>
              </w:rPr>
              <w:t>2026</w:t>
            </w:r>
          </w:p>
        </w:tc>
        <w:tc>
          <w:tcPr>
            <w:tcW w:w="2584" w:type="dxa"/>
            <w:shd w:val="clear" w:color="auto" w:fill="C6EFCE"/>
            <w:noWrap/>
            <w:vAlign w:val="center"/>
          </w:tcPr>
          <w:p w14:paraId="49F414ED" w14:textId="77777777" w:rsidR="00C972CB" w:rsidRDefault="002457F6">
            <w:pPr>
              <w:pStyle w:val="P68B1DB1-Normal11"/>
              <w:spacing w:after="120"/>
              <w:rPr>
                <w:noProof/>
              </w:rPr>
            </w:pPr>
            <w:r>
              <w:rPr>
                <w:noProof/>
              </w:rPr>
              <w:t xml:space="preserve">Mērķis ir panākt 82 (80 %) pārveidotus institucionālos procesus un pakalpojumus, lai </w:t>
            </w:r>
            <w:r>
              <w:rPr>
                <w:noProof/>
              </w:rPr>
              <w:t>padarītu tos pilnībā digitalizētus. INAIL iesaistītās jomas ir šādas: Apdrošināšana, sociālie un veselības aprūpes pakalpojumi, profilakses un drošības darbs, sertifikācija un verifikācija.</w:t>
            </w:r>
          </w:p>
          <w:p w14:paraId="33D392F4" w14:textId="77777777" w:rsidR="00C972CB" w:rsidRDefault="002457F6">
            <w:pPr>
              <w:pStyle w:val="P68B1DB1-Normal11"/>
              <w:rPr>
                <w:noProof/>
              </w:rPr>
            </w:pPr>
            <w:r>
              <w:rPr>
                <w:noProof/>
              </w:rPr>
              <w:t>Konkrēti, paredzamais mērķis katrai teritorijai ir izteikts ieprie</w:t>
            </w:r>
            <w:r>
              <w:rPr>
                <w:noProof/>
              </w:rPr>
              <w:t xml:space="preserve">kš: </w:t>
            </w:r>
          </w:p>
          <w:p w14:paraId="56B95FB9" w14:textId="77777777" w:rsidR="00C972CB" w:rsidRDefault="002457F6">
            <w:pPr>
              <w:pStyle w:val="P68B1DB1-ListParagraph13"/>
              <w:numPr>
                <w:ilvl w:val="0"/>
                <w:numId w:val="80"/>
              </w:numPr>
              <w:spacing w:after="0"/>
              <w:ind w:left="399" w:hanging="283"/>
              <w:jc w:val="left"/>
              <w:rPr>
                <w:noProof/>
              </w:rPr>
            </w:pPr>
            <w:r>
              <w:rPr>
                <w:noProof/>
              </w:rPr>
              <w:t>Apdrošināšana: 26 (80 %);</w:t>
            </w:r>
          </w:p>
          <w:p w14:paraId="209A282E" w14:textId="77777777" w:rsidR="00C972CB" w:rsidRDefault="002457F6">
            <w:pPr>
              <w:pStyle w:val="P68B1DB1-ListParagraph13"/>
              <w:numPr>
                <w:ilvl w:val="0"/>
                <w:numId w:val="80"/>
              </w:numPr>
              <w:spacing w:after="0"/>
              <w:ind w:left="399" w:hanging="283"/>
              <w:jc w:val="left"/>
              <w:rPr>
                <w:noProof/>
              </w:rPr>
            </w:pPr>
            <w:r>
              <w:rPr>
                <w:noProof/>
              </w:rPr>
              <w:t>Sociālie un veselības aprūpes pakalpojumi: 29 (80 %);</w:t>
            </w:r>
          </w:p>
          <w:p w14:paraId="55043CBC" w14:textId="77777777" w:rsidR="00C972CB" w:rsidRDefault="002457F6">
            <w:pPr>
              <w:pStyle w:val="P68B1DB1-ListParagraph13"/>
              <w:numPr>
                <w:ilvl w:val="0"/>
                <w:numId w:val="80"/>
              </w:numPr>
              <w:spacing w:after="0"/>
              <w:ind w:left="399" w:hanging="283"/>
              <w:jc w:val="left"/>
              <w:rPr>
                <w:noProof/>
              </w:rPr>
            </w:pPr>
            <w:r>
              <w:rPr>
                <w:noProof/>
              </w:rPr>
              <w:t>Profilakses un drošības darbs: 9 (80 %);</w:t>
            </w:r>
          </w:p>
          <w:p w14:paraId="1E9AD1D7" w14:textId="77777777" w:rsidR="00C972CB" w:rsidRDefault="002457F6">
            <w:pPr>
              <w:pStyle w:val="P68B1DB1-ListParagraph13"/>
              <w:numPr>
                <w:ilvl w:val="0"/>
                <w:numId w:val="80"/>
              </w:numPr>
              <w:ind w:left="397" w:hanging="284"/>
              <w:jc w:val="left"/>
              <w:rPr>
                <w:noProof/>
              </w:rPr>
            </w:pPr>
            <w:r>
              <w:rPr>
                <w:noProof/>
              </w:rPr>
              <w:t>Sertifikācija un verifikācija: 18 (80 %).</w:t>
            </w:r>
          </w:p>
        </w:tc>
      </w:tr>
    </w:tbl>
    <w:p w14:paraId="688AB9CA" w14:textId="77777777" w:rsidR="00C972CB" w:rsidRDefault="00C972CB">
      <w:pPr>
        <w:spacing w:before="120" w:after="120"/>
        <w:jc w:val="both"/>
        <w:rPr>
          <w:noProof/>
        </w:rPr>
      </w:pPr>
    </w:p>
    <w:p w14:paraId="2D066D79" w14:textId="77777777" w:rsidR="00C972CB" w:rsidRDefault="00C972CB">
      <w:pPr>
        <w:spacing w:before="120" w:after="120"/>
        <w:jc w:val="both"/>
        <w:rPr>
          <w:noProof/>
        </w:rPr>
      </w:pPr>
    </w:p>
    <w:p w14:paraId="6AA294CB" w14:textId="77777777" w:rsidR="00C972CB" w:rsidRDefault="00C972CB">
      <w:pPr>
        <w:spacing w:before="120" w:after="120"/>
        <w:jc w:val="both"/>
        <w:rPr>
          <w:noProof/>
        </w:rPr>
        <w:sectPr w:rsidR="00C972CB" w:rsidSect="001354D1">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6A195D33" w14:textId="0616DCBC" w:rsidR="00C972CB" w:rsidRDefault="002457F6">
      <w:pPr>
        <w:pStyle w:val="Heading2"/>
        <w:numPr>
          <w:ilvl w:val="1"/>
          <w:numId w:val="0"/>
        </w:numPr>
        <w:ind w:left="850" w:hanging="850"/>
        <w:rPr>
          <w:noProof/>
        </w:rPr>
      </w:pPr>
      <w:r>
        <w:rPr>
          <w:noProof/>
        </w:rPr>
        <w:t xml:space="preserve">B. 1. MISIJAS 2. </w:t>
      </w:r>
      <w:r>
        <w:rPr>
          <w:noProof/>
        </w:rPr>
        <w:t>KOMPONENTS:</w:t>
      </w:r>
    </w:p>
    <w:p w14:paraId="6A195886" w14:textId="77777777" w:rsidR="00C972CB" w:rsidRDefault="002457F6">
      <w:pPr>
        <w:pStyle w:val="P68B1DB1-Normal14"/>
        <w:spacing w:before="120" w:after="120"/>
        <w:jc w:val="both"/>
        <w:rPr>
          <w:noProof/>
        </w:rPr>
      </w:pPr>
      <w:r>
        <w:rPr>
          <w:noProof/>
        </w:rPr>
        <w:t>Ass — Ražošanas sistēmas digitalizācija, inovācija un konkurētspēja</w:t>
      </w:r>
    </w:p>
    <w:p w14:paraId="6965F534" w14:textId="77777777" w:rsidR="00C972CB" w:rsidRDefault="002457F6">
      <w:pPr>
        <w:spacing w:before="120" w:after="120"/>
        <w:jc w:val="both"/>
        <w:rPr>
          <w:noProof/>
        </w:rPr>
      </w:pPr>
      <w:r>
        <w:rPr>
          <w:noProof/>
        </w:rPr>
        <w:t xml:space="preserve">Itālijas atveseļošanas un noturības plāna 1. misijas 2. komponenta 1. ass attiecas uz investīcijām un reformām, kuru galvenais mērķis ir i) atbalstīt digitālo pārkārtošanos un </w:t>
      </w:r>
      <w:r>
        <w:rPr>
          <w:noProof/>
        </w:rPr>
        <w:t>ražošanas sistēmas inovāciju, stimulējot investīcijas tehnoloģijās, pētniecībā, izstrādē un inovācijā; īpaši ātrdarbīgu platjoslas un 5G tīklu izvēršana, lai mazinātu digitālo plaisu, kā arī satelītu konstelācijas un pakalpojumus; veicināt stratēģisku vērt</w:t>
      </w:r>
      <w:r>
        <w:rPr>
          <w:noProof/>
        </w:rPr>
        <w:t>ības ķēžu attīstību un atbalstīt uzņēmumu konkurētspēju, īpašu uzmanību pievēršot MVU.</w:t>
      </w:r>
    </w:p>
    <w:p w14:paraId="077CB4A5" w14:textId="77777777" w:rsidR="00C972CB" w:rsidRDefault="002457F6">
      <w:pPr>
        <w:spacing w:before="120" w:after="120"/>
        <w:jc w:val="both"/>
        <w:rPr>
          <w:noProof/>
        </w:rPr>
      </w:pPr>
      <w:r>
        <w:rPr>
          <w:noProof/>
        </w:rPr>
        <w:t>Šā komponenta pasākumu mērķis ir novērst nepilnības, kas izriet no Digitālās ekonomikas un sabiedrības indeksa (DESI) 2020 attiecībā uz uzņēmumu digitālo pārveidi un sav</w:t>
      </w:r>
      <w:r>
        <w:rPr>
          <w:noProof/>
        </w:rPr>
        <w:t>ienojamības trūkumiem, lai stiprinātu valsts sociālo un ekonomisko noturību.</w:t>
      </w:r>
    </w:p>
    <w:p w14:paraId="562ACEDE" w14:textId="77777777" w:rsidR="00C972CB" w:rsidRDefault="002457F6">
      <w:pPr>
        <w:spacing w:before="120" w:after="120"/>
        <w:jc w:val="both"/>
        <w:rPr>
          <w:noProof/>
        </w:rPr>
      </w:pPr>
      <w:r>
        <w:rPr>
          <w:noProof/>
        </w:rPr>
        <w:t>Šajā komponentā paredzētās investīcijas un reformas palīdzēs īstenot Itālijai 2020. un 2019. gadā adresētos konkrētai valstij adresētos ieteikumus par nepieciešamību “stiprināt tā</w:t>
      </w:r>
      <w:r>
        <w:rPr>
          <w:noProof/>
        </w:rPr>
        <w:t>lmācību un prasmes, tostarp digitālās prasmes” (valsts īpašais ieteikums Nr. 2, 2020), “veicināt privātās investīcijas ekonomikas atveseļošanas veicināšanai” (3. un 2020. gada konkrētai valstij adresētais ieteikums), “koncentrēt investīcijas uz zaļo un dig</w:t>
      </w:r>
      <w:r>
        <w:rPr>
          <w:noProof/>
        </w:rPr>
        <w:t>itālo pārkārtošanos, jo īpaši uz [...] pastiprinātu digitālo infrastruktūru, lai nodrošinātu pamatpakalpojumu sniegšanu” (3. konkrētais ieteikums, 2020. gads), “veicināt prasmju pilnveidi, tostarp stiprinot digitālās prasmes (valsts īpašais ieteikums Nr. 2</w:t>
      </w:r>
      <w:r>
        <w:rPr>
          <w:noProof/>
        </w:rPr>
        <w:t>, 2019), “koncentrēt ar ieguldījumiem saistīto ekonomikas politiku uz pētniecību un inovāciju un infrastruktūras kvalitāti, ņemot vērā arī reģionālās atšķirības” (valsts īpašais ieteikums Nr. 3, 2019) un zināmā mērā “atbalstīt nebanku piekļuvi finansējumam</w:t>
      </w:r>
      <w:r>
        <w:rPr>
          <w:noProof/>
        </w:rPr>
        <w:t xml:space="preserve"> inovatīviem un mazākiem uzņēmumiem” (konkrētais ieteikums Nr. 5, 2019. gads). </w:t>
      </w:r>
    </w:p>
    <w:p w14:paraId="434F0BF1" w14:textId="77777777" w:rsidR="00C972CB" w:rsidRDefault="002457F6">
      <w:pPr>
        <w:spacing w:before="120" w:after="120"/>
        <w:jc w:val="both"/>
        <w:rPr>
          <w:noProof/>
        </w:rPr>
      </w:pPr>
      <w:r>
        <w:rPr>
          <w:noProof/>
        </w:rPr>
        <w:t>Paredzams, ka neviens pasākums šajā komponentā nenodarīs būtisku kaitējumu vides mērķiem Regulas (ES) 2020/852 17. panta nozīmē, ņemot vērā pasākumu aprakstu un mazināšanas pas</w:t>
      </w:r>
      <w:r>
        <w:rPr>
          <w:noProof/>
        </w:rPr>
        <w:t>ākumus, kas izklāstīti atveseļošanas un noturības plānā saskaņā ar Tehniskajiem norādījumiem “nenodari būtisku kaitējumu” (2021/C58/01).</w:t>
      </w:r>
    </w:p>
    <w:p w14:paraId="4A89E89A" w14:textId="77777777" w:rsidR="00C972CB" w:rsidRDefault="002457F6">
      <w:pPr>
        <w:pStyle w:val="P68B1DB1-Normal14"/>
        <w:spacing w:before="120" w:after="120"/>
        <w:jc w:val="both"/>
        <w:rPr>
          <w:noProof/>
        </w:rPr>
      </w:pPr>
      <w:r>
        <w:rPr>
          <w:noProof/>
        </w:rPr>
        <w:t>Ass. Uzņēmējdarbības vides un konkurences uzlabošana</w:t>
      </w:r>
    </w:p>
    <w:p w14:paraId="27AD43CC" w14:textId="77777777" w:rsidR="00C972CB" w:rsidRDefault="002457F6">
      <w:pPr>
        <w:spacing w:before="120" w:after="120"/>
        <w:jc w:val="both"/>
        <w:rPr>
          <w:noProof/>
        </w:rPr>
      </w:pPr>
      <w:r>
        <w:rPr>
          <w:noProof/>
        </w:rPr>
        <w:t>Galvenais 1. uzdevuma 2. komponenta 2. ass mērķis ir uzlabot uzņēm</w:t>
      </w:r>
      <w:r>
        <w:rPr>
          <w:noProof/>
        </w:rPr>
        <w:t xml:space="preserve">ējdarbības vidi, lai veicinātu uzņēmējdarbību, un konkurences pamatnosacījumus, lai veicinātu resursu efektīvāku sadali un produktivitātes pieaugumu. Galvenais instruments šo mērķu sasniegšanai ir ikgadējais konkurences likums, kas jāpieņem katru gadu. </w:t>
      </w:r>
    </w:p>
    <w:p w14:paraId="3D0EB982" w14:textId="77777777" w:rsidR="00C972CB" w:rsidRDefault="002457F6">
      <w:pPr>
        <w:spacing w:before="120" w:after="120"/>
        <w:jc w:val="both"/>
        <w:rPr>
          <w:noProof/>
        </w:rPr>
      </w:pPr>
      <w:r>
        <w:rPr>
          <w:noProof/>
        </w:rPr>
        <w:t>In</w:t>
      </w:r>
      <w:r>
        <w:rPr>
          <w:noProof/>
        </w:rPr>
        <w:t>vestīcijas un reformas saskaņā ar šo komponentu palīdzēs īstenot Itālijai 2019. gadā adresētos konkrētai valstij adresētos ieteikumus par nepieciešamību “novērst konkurences ierobežojumus [...), arī izmantojot jaunu ikgadējo konkurences likumu” (3. konkrēt</w:t>
      </w:r>
      <w:r>
        <w:rPr>
          <w:noProof/>
        </w:rPr>
        <w:t>ai valstij adresētais ieteikums, 2019. gads).</w:t>
      </w:r>
    </w:p>
    <w:p w14:paraId="78EF863E" w14:textId="77777777" w:rsidR="00C972CB" w:rsidRDefault="002457F6">
      <w:pPr>
        <w:pStyle w:val="Heading3"/>
        <w:numPr>
          <w:ilvl w:val="2"/>
          <w:numId w:val="0"/>
        </w:numPr>
        <w:ind w:left="850" w:hanging="850"/>
        <w:rPr>
          <w:b/>
          <w:i w:val="0"/>
          <w:noProof/>
          <w:u w:val="single"/>
        </w:rPr>
      </w:pPr>
      <w:r>
        <w:rPr>
          <w:b/>
          <w:i w:val="0"/>
          <w:noProof/>
          <w:u w:val="single"/>
        </w:rPr>
        <w:t xml:space="preserve">B.1. </w:t>
      </w:r>
      <w:r>
        <w:rPr>
          <w:noProof/>
        </w:rPr>
        <w:tab/>
      </w:r>
      <w:r>
        <w:rPr>
          <w:b/>
          <w:i w:val="0"/>
          <w:noProof/>
          <w:u w:val="single"/>
        </w:rPr>
        <w:t>Neatmaksājamam finansiālajam atbalstam pieteikto reformu un investīciju apraksts</w:t>
      </w:r>
    </w:p>
    <w:p w14:paraId="17FDE672" w14:textId="77777777" w:rsidR="00C972CB" w:rsidRDefault="002457F6">
      <w:pPr>
        <w:pStyle w:val="P68B1DB1-Normal15"/>
        <w:spacing w:before="120" w:after="120"/>
        <w:jc w:val="both"/>
        <w:rPr>
          <w:noProof/>
          <w:color w:val="4F81BD" w:themeColor="accent1"/>
        </w:rPr>
      </w:pPr>
      <w:r>
        <w:rPr>
          <w:noProof/>
        </w:rPr>
        <w:t xml:space="preserve">Ass — </w:t>
      </w:r>
      <w:r>
        <w:rPr>
          <w:noProof/>
          <w:u w:val="single"/>
        </w:rPr>
        <w:t>Ražošanas sistēmas digitalizācija, inovācija un konkurētspēja</w:t>
      </w:r>
    </w:p>
    <w:p w14:paraId="027E68E0" w14:textId="77777777" w:rsidR="00C972CB" w:rsidRDefault="002457F6">
      <w:pPr>
        <w:pStyle w:val="P68B1DB1-Normal2"/>
        <w:spacing w:before="120" w:after="120"/>
        <w:jc w:val="both"/>
        <w:rPr>
          <w:i/>
          <w:noProof/>
        </w:rPr>
      </w:pPr>
      <w:r>
        <w:rPr>
          <w:noProof/>
        </w:rPr>
        <w:t>Ieguldījums: Pāreja 4.0</w:t>
      </w:r>
    </w:p>
    <w:p w14:paraId="468A1B76" w14:textId="77777777" w:rsidR="00C972CB" w:rsidRDefault="002457F6">
      <w:pPr>
        <w:spacing w:before="120" w:after="120"/>
        <w:jc w:val="both"/>
        <w:rPr>
          <w:i/>
          <w:noProof/>
          <w:u w:val="single"/>
        </w:rPr>
      </w:pPr>
      <w:r>
        <w:rPr>
          <w:noProof/>
        </w:rPr>
        <w:t>Pasākuma mērķis ir atbalstīt uz</w:t>
      </w:r>
      <w:r>
        <w:rPr>
          <w:noProof/>
        </w:rPr>
        <w:t>ņēmumu digitālo pārveidi, stimulējot privātās investīcijas digitalizācijas atbalsta aktīvos un darbībās. Pasākums, ko finansē saskaņā ar Itālijas atveseļošanas un noturības plānu, ir daļa no plašāka “Pārejas 4.0 plāna”, kas ietver citus atbalsta pasākumus,</w:t>
      </w:r>
      <w:r>
        <w:rPr>
          <w:noProof/>
        </w:rPr>
        <w:t xml:space="preserve"> kurus valsts līmenī finansē uzņēmumu digitālās pārveides veicināšanai.</w:t>
      </w:r>
    </w:p>
    <w:p w14:paraId="3B4C5FA7" w14:textId="77777777" w:rsidR="00C972CB" w:rsidRDefault="002457F6">
      <w:pPr>
        <w:spacing w:before="120" w:after="120"/>
        <w:jc w:val="both"/>
        <w:rPr>
          <w:noProof/>
        </w:rPr>
      </w:pPr>
      <w:r>
        <w:rPr>
          <w:noProof/>
        </w:rPr>
        <w:t>Pasākumu veido nodokļu kredītu shēma, un tas attiecas uz izdevumiem, kas jānorāda nodokļu deklarācijās, kuras iesniegtas laikposmā no 2021. gada 1. janvāra līdz 2023. gada 31. decembri</w:t>
      </w:r>
      <w:r>
        <w:rPr>
          <w:noProof/>
        </w:rPr>
        <w:t>m (2024. gada 30. novembris uzņēmumiem, kuru taksācijas gads neatbilst kalendārajam gadam). Pasākums ietver arī nodokļu kredītu kodu definīciju, ko identificē ar Ieņēmumu aģentūras lēmumu, lai saņēmēji varētu izmantot nodokļu kredītus ar F24 maksājumu mode</w:t>
      </w:r>
      <w:r>
        <w:rPr>
          <w:noProof/>
        </w:rPr>
        <w:t xml:space="preserve">li. </w:t>
      </w:r>
    </w:p>
    <w:p w14:paraId="7BFE55B8" w14:textId="77777777" w:rsidR="00C972CB" w:rsidRDefault="002457F6">
      <w:pPr>
        <w:spacing w:before="120" w:after="120"/>
        <w:jc w:val="both"/>
        <w:rPr>
          <w:noProof/>
        </w:rPr>
      </w:pPr>
      <w:r>
        <w:rPr>
          <w:noProof/>
        </w:rPr>
        <w:t>Atbalstītie nodokļu kredīti attiecas uz šādiem aktīviem un darbībām:</w:t>
      </w:r>
    </w:p>
    <w:p w14:paraId="672B5BB1" w14:textId="3CA53F9F" w:rsidR="00C972CB" w:rsidRDefault="002457F6">
      <w:pPr>
        <w:pStyle w:val="ListParagraph"/>
        <w:numPr>
          <w:ilvl w:val="0"/>
          <w:numId w:val="72"/>
        </w:numPr>
        <w:ind w:left="360"/>
        <w:rPr>
          <w:rFonts w:eastAsiaTheme="minorEastAsia"/>
          <w:noProof/>
        </w:rPr>
      </w:pPr>
      <w:r>
        <w:rPr>
          <w:noProof/>
        </w:rPr>
        <w:t xml:space="preserve">ražošanas līdzekļi, ko veido: 4.0. (t. i., tehnoloģiski progresīvi) materiālie ražošanas līdzekļi, piemēram, ražošanas iekārtas, kuru darbību kontrolē datorizētas sistēmas vai sensori/drēji, iekārtas un sistēmas, ko izmanto produktu vai procesu kontrolei, </w:t>
      </w:r>
      <w:r>
        <w:rPr>
          <w:noProof/>
        </w:rPr>
        <w:t>un interaktīvas sistēmas; tie visi ir jāraksturo ar digitāliem elementiem, piemēram, automatizētu integrāciju un cilvēka un mašīnas saskarni; nemateriālas kapitālieguldījumu preces, piemēram, 3D modelēšana, ražotnes iekšējās komunikācijas sistēmas un māksl</w:t>
      </w:r>
      <w:r>
        <w:rPr>
          <w:noProof/>
        </w:rPr>
        <w:t>īgā intelekta un mašīnmācīšanās programmatūra, sistēmas, platformas un lietotnes; standarta nemateriālie ražošanas līdzekļi, piemēram, programmatūra, kas attiecas uz uzņēmējdarbības vadību. Tas attiecas uz nodokļu atlaidēm, kas nodokļu deklarācijās uzrādīt</w:t>
      </w:r>
      <w:r>
        <w:rPr>
          <w:noProof/>
        </w:rPr>
        <w:t xml:space="preserve">as laikposmā no 2021. gada 1. janvāra līdz 2023. gada 31. decembrim (2024. gada 30. novembris uzņēmumiem, kuru taksācijas gads neatbilst kalendārajam gadam). </w:t>
      </w:r>
    </w:p>
    <w:p w14:paraId="05698C37" w14:textId="77777777" w:rsidR="00C972CB" w:rsidRDefault="002457F6">
      <w:pPr>
        <w:pStyle w:val="ListParagraph"/>
        <w:numPr>
          <w:ilvl w:val="0"/>
          <w:numId w:val="72"/>
        </w:numPr>
        <w:ind w:left="360"/>
        <w:rPr>
          <w:rFonts w:eastAsiaTheme="minorEastAsia"/>
          <w:noProof/>
        </w:rPr>
      </w:pPr>
      <w:r>
        <w:rPr>
          <w:noProof/>
        </w:rPr>
        <w:t>pētniecības, izstrādes un inovācijas darbības, kas ietver pētniecību un izstrādi, tehnoloģisko in</w:t>
      </w:r>
      <w:r>
        <w:rPr>
          <w:noProof/>
        </w:rPr>
        <w:t xml:space="preserve">ovāciju, zaļo un digitālo inovāciju un projektēšanas darbības. Tas attiecas uz nodokļu atlaidēm, kas nodokļu deklarācijās uzrādītas laikposmā no 2022. gada 1. janvāra līdz 2023. gada 31. decembrim (2024. gada 30. novembris uzņēmumiem, kuru taksācijas gads </w:t>
      </w:r>
      <w:r>
        <w:rPr>
          <w:noProof/>
        </w:rPr>
        <w:t xml:space="preserve">neatbilst kalendārajam gadam). </w:t>
      </w:r>
    </w:p>
    <w:p w14:paraId="3D34D792" w14:textId="77777777" w:rsidR="00C972CB" w:rsidRDefault="002457F6">
      <w:pPr>
        <w:pStyle w:val="ListParagraph"/>
        <w:numPr>
          <w:ilvl w:val="0"/>
          <w:numId w:val="72"/>
        </w:numPr>
        <w:ind w:left="360"/>
        <w:rPr>
          <w:rFonts w:eastAsiaTheme="minorEastAsia"/>
          <w:noProof/>
        </w:rPr>
      </w:pPr>
      <w:r>
        <w:rPr>
          <w:noProof/>
        </w:rPr>
        <w:t>apmācības pasākumi, ko veic, lai iegūtu vai konsolidētu zināšanas par attiecīgām tehnoloģijām, piemēram, lielajiem datiem un datu analīzi, cilvēka un mašīnas saskarni, lietu internetu, uzņēmējdarbības procesu digitālo integr</w:t>
      </w:r>
      <w:r>
        <w:rPr>
          <w:noProof/>
        </w:rPr>
        <w:t xml:space="preserve">āciju, kiberdrošību. Tas attiecas uz nodokļu atlaidēm, kas nodokļu deklarācijās uzrādītas laikposmā no 2022. gada 1. janvāra līdz 2023. gada 31. decembrim (2024. gada 30. novembris uzņēmumiem, kuru taksācijas gads neatbilst kalendārajam gadam). </w:t>
      </w:r>
    </w:p>
    <w:p w14:paraId="2F3EE1B8" w14:textId="77777777" w:rsidR="00C972CB" w:rsidRDefault="002457F6">
      <w:pPr>
        <w:spacing w:before="120" w:after="120"/>
        <w:jc w:val="both"/>
        <w:rPr>
          <w:noProof/>
        </w:rPr>
      </w:pPr>
      <w:r>
        <w:rPr>
          <w:noProof/>
        </w:rPr>
        <w:t>Pasākums i</w:t>
      </w:r>
      <w:r>
        <w:rPr>
          <w:noProof/>
        </w:rPr>
        <w:t>etver Zinātniskās komitejas izveidi, kurā ir eksperti no Ekonomikas un finanšu ministrijas, Ekonomikas attīstības ministrijas un Itālijas Bankas, lai novērtētu shēmas ekonomisko ietekmi.</w:t>
      </w:r>
    </w:p>
    <w:p w14:paraId="1A6615FB" w14:textId="77777777" w:rsidR="00C972CB" w:rsidRDefault="002457F6">
      <w:pPr>
        <w:pStyle w:val="P68B1DB1-Normal2"/>
        <w:spacing w:before="120" w:after="120"/>
        <w:jc w:val="both"/>
        <w:rPr>
          <w:noProof/>
        </w:rPr>
      </w:pPr>
      <w:r>
        <w:rPr>
          <w:noProof/>
        </w:rPr>
        <w:t xml:space="preserve">Reforma: Rūpnieciskā īpašuma sistēmas reforma </w:t>
      </w:r>
    </w:p>
    <w:p w14:paraId="5965F242" w14:textId="77777777" w:rsidR="00C972CB" w:rsidRDefault="002457F6">
      <w:pPr>
        <w:pStyle w:val="P68B1DB1-Normal16"/>
        <w:spacing w:before="120" w:after="120"/>
        <w:jc w:val="both"/>
        <w:rPr>
          <w:noProof/>
        </w:rPr>
      </w:pPr>
      <w:r>
        <w:rPr>
          <w:noProof/>
        </w:rPr>
        <w:t>Reformas galvenais mēr</w:t>
      </w:r>
      <w:r>
        <w:rPr>
          <w:noProof/>
        </w:rPr>
        <w:t>ķis ir pielāgot rūpnieciskā īpašuma sistēmu mūsdienu problēmām un nodrošināt, ka inovācijas potenciāls efektīvi veicina valsts atveseļošanu un noturību. Konkrētāk, tās mērķis ir sasniegt šādus mērķus: rūpnieciskā īpašuma aizsardzības sistēmas uzlabošana; v</w:t>
      </w:r>
      <w:r>
        <w:rPr>
          <w:noProof/>
        </w:rPr>
        <w:t>eicināt rūpnieciskā īpašuma izmantošanu un izplatīšanu, jo īpaši MVU; atvieglot piekļuvi nemateriālajiem aktīviem un to kopīgošanu, vienlaikus nodrošinot taisnīgu peļņu no ieguldījumiem; rūpīgāk ievērot rūpniecisko īpašumu; un stiprināt Itālijas lomu Eirop</w:t>
      </w:r>
      <w:r>
        <w:rPr>
          <w:noProof/>
        </w:rPr>
        <w:t>as un starptautiskos forumos par rūpniecisko īpašumu.</w:t>
      </w:r>
    </w:p>
    <w:p w14:paraId="370BB108" w14:textId="77777777" w:rsidR="00C972CB" w:rsidRDefault="002457F6">
      <w:pPr>
        <w:pStyle w:val="P68B1DB1-Normal16"/>
        <w:spacing w:before="120" w:after="120"/>
        <w:jc w:val="both"/>
        <w:rPr>
          <w:noProof/>
        </w:rPr>
      </w:pPr>
      <w:r>
        <w:rPr>
          <w:noProof/>
        </w:rPr>
        <w:t>Pasākums attiecas uz Itālijas rūpnieciskā īpašuma kodeksa reformu, kas aptver vismaz šādas jomas: pārskatīt tiesisko regulējumu, lai stiprinātu rūpnieciskā īpašuma tiesību aizsardzību un vienkāršotu pro</w:t>
      </w:r>
      <w:r>
        <w:rPr>
          <w:noProof/>
        </w:rPr>
        <w:t xml:space="preserve">cedūras, ii) stiprināt atbalstu uzņēmumiem un pētniecības iestādēm, iii) uzlabot prasmju un kompetenču attīstību, iv) atvieglot zināšanu nodošanu un v) stiprināt inovatīvu pakalpojumu veicināšanu. </w:t>
      </w:r>
    </w:p>
    <w:p w14:paraId="56935EB1" w14:textId="77777777" w:rsidR="00C972CB" w:rsidRDefault="002457F6">
      <w:pPr>
        <w:pStyle w:val="P68B1DB1-Normal2"/>
        <w:spacing w:before="120" w:after="120"/>
        <w:jc w:val="both"/>
        <w:rPr>
          <w:noProof/>
        </w:rPr>
      </w:pPr>
      <w:r>
        <w:rPr>
          <w:noProof/>
        </w:rPr>
        <w:t>Ieguldījums 6: Ieguldījumi rūpnieciskā īpašuma sistēmā</w:t>
      </w:r>
    </w:p>
    <w:p w14:paraId="6EA47D85" w14:textId="77777777" w:rsidR="00C972CB" w:rsidRDefault="002457F6">
      <w:pPr>
        <w:pStyle w:val="P68B1DB1-Normal16"/>
        <w:spacing w:before="120" w:after="120"/>
        <w:jc w:val="both"/>
        <w:rPr>
          <w:noProof/>
        </w:rPr>
      </w:pPr>
      <w:r>
        <w:rPr>
          <w:noProof/>
        </w:rPr>
        <w:t>Ieg</w:t>
      </w:r>
      <w:r>
        <w:rPr>
          <w:noProof/>
        </w:rPr>
        <w:t>uldījuma mērķis ir atbalstīt rūpnieciskā īpašuma sistēmu un papildināt tās reformu, kā paredzēts šā komponenta 1. reformā. Pasākums ietver finansiālu atbalstu ar rūpniecisko īpašumu saistītiem uzņēmumu un pētniecības iestāžu projektiem, piemēram, ar patent</w:t>
      </w:r>
      <w:r>
        <w:rPr>
          <w:noProof/>
        </w:rPr>
        <w:t xml:space="preserve">iem saistītiem pasākumiem (Brevetti+), koncepcijas pamatojuma (POC) programmām un tehnoloģiju nodošanas biroju (TTO) stiprināšanu. </w:t>
      </w:r>
    </w:p>
    <w:p w14:paraId="377053A0" w14:textId="7EE26615" w:rsidR="00C972CB" w:rsidRDefault="002457F6">
      <w:pPr>
        <w:spacing w:before="120" w:after="120"/>
        <w:jc w:val="both"/>
        <w:rPr>
          <w:noProof/>
        </w:rPr>
      </w:pPr>
      <w:r>
        <w:rPr>
          <w:noProof/>
        </w:rPr>
        <w:t xml:space="preserve">Lai nodrošinātu, ka pasākums atbilst Tehniskajiem norādījumiem “nenodari būtisku kaitējumu” (2021/C58/01), no atbilstības </w:t>
      </w:r>
      <w:r>
        <w:rPr>
          <w:noProof/>
        </w:rPr>
        <w:t>kritērijiem, kas iekļauti turpmāko uzaicinājumu iesniegt projektus uzdevumā, izslēdz pētniecību un izstrādi, kas paredzēta šādam darbību sarakstam: darbības, kas saistītas ar fosilajiem kurināmajiem, tostarp pakārtota izmantošana</w:t>
      </w:r>
      <w:r>
        <w:rPr>
          <w:rStyle w:val="FootnoteReference"/>
          <w:noProof/>
        </w:rPr>
        <w:footnoteReference w:id="2"/>
      </w:r>
      <w:r>
        <w:rPr>
          <w:noProof/>
        </w:rPr>
        <w:t>; darbības ES emisijas kvo</w:t>
      </w:r>
      <w:r>
        <w:rPr>
          <w:noProof/>
        </w:rPr>
        <w:t>tu tirdzniecības sistēmas (ETS) ietvaros, lai sasniegtu prognozētās siltumnīcefekta gāzu emisijas, kas nav zemākas par attiecīgajām līmeņatzīmēm</w:t>
      </w:r>
      <w:r>
        <w:rPr>
          <w:rStyle w:val="FootnoteReference"/>
          <w:noProof/>
        </w:rPr>
        <w:footnoteReference w:id="3"/>
      </w:r>
      <w:r>
        <w:rPr>
          <w:noProof/>
        </w:rPr>
        <w:t>; III) darbības, kas saistītas ar atkritumu poligoniem, atkritumu sadedzināšanas iekārtām</w:t>
      </w:r>
      <w:r>
        <w:rPr>
          <w:rStyle w:val="FootnoteReference"/>
          <w:noProof/>
        </w:rPr>
        <w:footnoteReference w:id="4"/>
      </w:r>
      <w:r>
        <w:rPr>
          <w:noProof/>
        </w:rPr>
        <w:t xml:space="preserve"> un mehāniski bioloģi</w:t>
      </w:r>
      <w:r>
        <w:rPr>
          <w:noProof/>
        </w:rPr>
        <w:t>skās apstrādes iekārtām</w:t>
      </w:r>
      <w:r>
        <w:rPr>
          <w:rStyle w:val="FootnoteReference"/>
          <w:noProof/>
        </w:rPr>
        <w:footnoteReference w:id="5"/>
      </w:r>
      <w:r>
        <w:rPr>
          <w:noProof/>
        </w:rPr>
        <w:t>; un iv) darbības, kurās atkritumu ilgtermiņa apglabāšana var radīt kaitējumu videi. Darba uzdevumā papildus nosaka, ka var atlasīt tikai tās darbības, kas atbilst attiecīgajiem ES un valsts tiesību aktiem vides jomā.</w:t>
      </w:r>
    </w:p>
    <w:p w14:paraId="6B44E1C9" w14:textId="77777777" w:rsidR="00C972CB" w:rsidRDefault="002457F6">
      <w:pPr>
        <w:pStyle w:val="P68B1DB1-Normal17"/>
        <w:spacing w:before="120" w:after="120"/>
        <w:jc w:val="both"/>
        <w:rPr>
          <w:noProof/>
        </w:rPr>
      </w:pPr>
      <w:r>
        <w:rPr>
          <w:noProof/>
        </w:rPr>
        <w:t>Ass. Uzņēmējda</w:t>
      </w:r>
      <w:r>
        <w:rPr>
          <w:noProof/>
        </w:rPr>
        <w:t>rbības vides un konkurences uzlabošana</w:t>
      </w:r>
    </w:p>
    <w:p w14:paraId="4C96D2DB" w14:textId="77777777" w:rsidR="00C972CB" w:rsidRDefault="002457F6">
      <w:pPr>
        <w:pStyle w:val="P68B1DB1-Normal2"/>
        <w:spacing w:before="120" w:after="120"/>
        <w:jc w:val="both"/>
        <w:rPr>
          <w:noProof/>
        </w:rPr>
      </w:pPr>
      <w:r>
        <w:rPr>
          <w:noProof/>
        </w:rPr>
        <w:t>Reforma: 2021., 2022., 2023. un 2024. gada konkurences tiesības</w:t>
      </w:r>
    </w:p>
    <w:p w14:paraId="5123F8B2" w14:textId="77777777" w:rsidR="00C972CB" w:rsidRDefault="002457F6">
      <w:pPr>
        <w:spacing w:before="120" w:after="120"/>
        <w:jc w:val="both"/>
        <w:rPr>
          <w:noProof/>
        </w:rPr>
      </w:pPr>
      <w:r>
        <w:rPr>
          <w:noProof/>
        </w:rPr>
        <w:t xml:space="preserve">Katru gadu tiek pieņemts Konkurences likums, paplašinot konkursa procedūras, lai piešķirtu sabiedrisko pakalpojumu līgumus par vietējiem sabiedriskajiem </w:t>
      </w:r>
      <w:r>
        <w:rPr>
          <w:noProof/>
        </w:rPr>
        <w:t>pakalpojumiem (jo īpaši atkritumu un sabiedriskā transporta jomā), izvairoties no ostu, automaģistrāļu, elektrouzlādes staciju un hidroenerģijas koncesiju nepamatotas pagarināšanas vēsturiskajiem operatoriem daudzās nozarēs, paredzot sabiedrisko pakalpojum</w:t>
      </w:r>
      <w:r>
        <w:rPr>
          <w:noProof/>
        </w:rPr>
        <w:t>u līgumu pienācīgu regulējumu, pārskatot noteikumus par summēšanu un piemērojot vispārējo proporcionalitātes principu sabiedrisko pakalpojumu līgumu ilgumam un pienācīgai kompensācijai. Konkurences likums arī palielinās stimulus reģioniem izsludināt konkur</w:t>
      </w:r>
      <w:r>
        <w:rPr>
          <w:noProof/>
        </w:rPr>
        <w:t xml:space="preserve">sus par sabiedrisko pakalpojumu līgumiem par reģionālajiem dzelzceļa pakalpojumiem. Ievieš arī skaidru nošķīrumu starp regulēšanas/kontroles funkcijām un līgumu pārvaldību. </w:t>
      </w:r>
    </w:p>
    <w:p w14:paraId="6C089609" w14:textId="77777777" w:rsidR="00C972CB" w:rsidRDefault="002457F6">
      <w:pPr>
        <w:spacing w:before="120" w:after="120"/>
        <w:jc w:val="both"/>
        <w:rPr>
          <w:noProof/>
        </w:rPr>
      </w:pPr>
      <w:r>
        <w:rPr>
          <w:noProof/>
        </w:rPr>
        <w:t>Attiecībā uz nozaru pasākumiem ikgadējie konkurences tiesību akti ietver pasākumus</w:t>
      </w:r>
      <w:r>
        <w:rPr>
          <w:noProof/>
        </w:rPr>
        <w:t xml:space="preserve"> enerģētikas (elektroenerģijas, gāzes un ūdens), atkritumu apsaimniekošanas un transporta (ostas, dzelzceļš un automaģistrāles) nozarēs, kas papildina ieguldījumus un reformas saskaņā ar 2. un 3. misiju. Papildu pasākumi, kuru mērķis ir nodrošināt konkuren</w:t>
      </w:r>
      <w:r>
        <w:rPr>
          <w:noProof/>
        </w:rPr>
        <w:t>ces izplatīšanos elektroenerģijas mazumtirdzniecības tirgos, stājas spēkā ne vēlāk kā 2022. gada 31.</w:t>
      </w:r>
      <w:r>
        <w:rPr>
          <w:noProof/>
          <w:vertAlign w:val="superscript"/>
        </w:rPr>
        <w:t>decembrī</w:t>
      </w:r>
      <w:r>
        <w:rPr>
          <w:noProof/>
        </w:rPr>
        <w:t>. Gada konkurences likums 2022. gadam jo īpaši pieņem Elektroenerģijas tīkla attīstības plānu un veicina</w:t>
      </w:r>
      <w:r>
        <w:rPr>
          <w:noProof/>
          <w:vertAlign w:val="superscript"/>
        </w:rPr>
        <w:t>otrās</w:t>
      </w:r>
      <w:r>
        <w:rPr>
          <w:noProof/>
        </w:rPr>
        <w:t xml:space="preserve"> paaudzes viedo elektroenerģijas skaitī</w:t>
      </w:r>
      <w:r>
        <w:rPr>
          <w:noProof/>
        </w:rPr>
        <w:t>tāju ieviešanu, kas 2025. gada 31.</w:t>
      </w:r>
      <w:r>
        <w:rPr>
          <w:noProof/>
          <w:vertAlign w:val="superscript"/>
        </w:rPr>
        <w:t>decembrī</w:t>
      </w:r>
      <w:r>
        <w:rPr>
          <w:noProof/>
        </w:rPr>
        <w:t xml:space="preserve"> sasniegs 33 miljonus vienību visā Itālijā.</w:t>
      </w:r>
    </w:p>
    <w:p w14:paraId="2070BB27" w14:textId="77777777" w:rsidR="00C972CB" w:rsidRDefault="002457F6">
      <w:pPr>
        <w:spacing w:before="120" w:after="120"/>
        <w:jc w:val="both"/>
        <w:rPr>
          <w:noProof/>
        </w:rPr>
      </w:pPr>
      <w:r>
        <w:rPr>
          <w:noProof/>
        </w:rPr>
        <w:t>Turklāt likumi uzlabo uzņēmējdarbības vidi vismaz ar: uzņēmumu apvienošanās kontroles noteikumu saskaņošana ar ES tiesību aktiem, ii) tirgus uzraudzības iestāžu konsolidā</w:t>
      </w:r>
      <w:r>
        <w:rPr>
          <w:noProof/>
        </w:rPr>
        <w:t xml:space="preserve">cija, digitalizācija un profesionalizācija un iii) akreditācijas laika samazināšana informācijas sniegšanai par darbiniekiem no septiņām līdz četrām dienām, lai samazinātu dienu skaitu uzņēmuma dibināšanai.  </w:t>
      </w:r>
    </w:p>
    <w:p w14:paraId="1FC87F97" w14:textId="77777777" w:rsidR="00C972CB" w:rsidRDefault="002457F6">
      <w:pPr>
        <w:pStyle w:val="P68B1DB1-Normal2"/>
        <w:spacing w:before="120" w:after="120"/>
        <w:jc w:val="both"/>
        <w:rPr>
          <w:noProof/>
        </w:rPr>
      </w:pPr>
      <w:r>
        <w:rPr>
          <w:noProof/>
        </w:rPr>
        <w:t>Reforma. Uzņēmumu stimulu racionalizācija un vi</w:t>
      </w:r>
      <w:r>
        <w:rPr>
          <w:noProof/>
        </w:rPr>
        <w:t xml:space="preserve">enkāršošana. </w:t>
      </w:r>
    </w:p>
    <w:p w14:paraId="69D39513" w14:textId="77777777" w:rsidR="00C972CB" w:rsidRDefault="002457F6">
      <w:pPr>
        <w:spacing w:before="120" w:after="120"/>
        <w:jc w:val="both"/>
        <w:rPr>
          <w:noProof/>
        </w:rPr>
      </w:pPr>
      <w:r>
        <w:rPr>
          <w:noProof/>
        </w:rPr>
        <w:t xml:space="preserve">Reforma ietver sistemātisku pārskatu par visiem valsts stimuliem uzņēmumiem un saistītajiem instrumentiem. </w:t>
      </w:r>
    </w:p>
    <w:p w14:paraId="750AF635" w14:textId="77777777" w:rsidR="00C972CB" w:rsidRDefault="002457F6">
      <w:pPr>
        <w:spacing w:before="120" w:after="120"/>
        <w:jc w:val="both"/>
        <w:rPr>
          <w:noProof/>
        </w:rPr>
      </w:pPr>
      <w:r>
        <w:rPr>
          <w:noProof/>
        </w:rPr>
        <w:t>Reformu īsteno divos posmos:</w:t>
      </w:r>
    </w:p>
    <w:p w14:paraId="40943635" w14:textId="77777777" w:rsidR="00C972CB" w:rsidRDefault="002457F6">
      <w:pPr>
        <w:pStyle w:val="ListParagraph"/>
        <w:numPr>
          <w:ilvl w:val="0"/>
          <w:numId w:val="108"/>
        </w:numPr>
        <w:spacing w:before="0" w:after="0"/>
        <w:rPr>
          <w:noProof/>
        </w:rPr>
      </w:pPr>
      <w:r>
        <w:rPr>
          <w:noProof/>
        </w:rPr>
        <w:t xml:space="preserve">Publicēt ziņojumu, kurā izvērtēti stimuli uzņēmumiem. Ziņojumā arī izstrādā konkrētus priekšlikumus, lai </w:t>
      </w:r>
      <w:r>
        <w:rPr>
          <w:noProof/>
        </w:rPr>
        <w:t xml:space="preserve">vienkāršotu un racionalizētu uzņēmumu stimulus. </w:t>
      </w:r>
    </w:p>
    <w:p w14:paraId="10F058E9" w14:textId="77777777" w:rsidR="00C972CB" w:rsidRDefault="002457F6">
      <w:pPr>
        <w:jc w:val="both"/>
        <w:rPr>
          <w:noProof/>
        </w:rPr>
      </w:pPr>
      <w:r>
        <w:rPr>
          <w:noProof/>
        </w:rPr>
        <w:t xml:space="preserve"> </w:t>
      </w:r>
    </w:p>
    <w:p w14:paraId="6F8FAB53" w14:textId="0DABE5DA" w:rsidR="00C972CB" w:rsidRDefault="002457F6">
      <w:pPr>
        <w:pStyle w:val="ListParagraph"/>
        <w:numPr>
          <w:ilvl w:val="0"/>
          <w:numId w:val="107"/>
        </w:numPr>
        <w:spacing w:before="0" w:after="0"/>
        <w:rPr>
          <w:noProof/>
        </w:rPr>
      </w:pPr>
      <w:r>
        <w:rPr>
          <w:noProof/>
        </w:rPr>
        <w:t>Stājas spēkā leģislatīvie akti, ar kuriem īsteno pilnvaru likumu “Legge delega Incentivi”.  Tiesību aktu darbības joma ir uzņēmumu stimulu racionalizācija un racionalizācija.</w:t>
      </w:r>
    </w:p>
    <w:p w14:paraId="75AC7055" w14:textId="77777777" w:rsidR="00C972CB" w:rsidRDefault="002457F6">
      <w:pPr>
        <w:pStyle w:val="P68B1DB1-Normal18"/>
        <w:spacing w:line="276" w:lineRule="auto"/>
        <w:jc w:val="both"/>
        <w:rPr>
          <w:noProof/>
        </w:rPr>
      </w:pPr>
      <w:r>
        <w:rPr>
          <w:noProof/>
        </w:rPr>
        <w:t xml:space="preserve"> </w:t>
      </w:r>
    </w:p>
    <w:p w14:paraId="53C40F5D" w14:textId="626A0492" w:rsidR="00C972CB" w:rsidRDefault="002457F6">
      <w:pPr>
        <w:spacing w:line="276" w:lineRule="auto"/>
        <w:jc w:val="both"/>
        <w:rPr>
          <w:noProof/>
        </w:rPr>
      </w:pPr>
      <w:r>
        <w:rPr>
          <w:noProof/>
        </w:rPr>
        <w:t xml:space="preserve">Reforma ietver divu galveno </w:t>
      </w:r>
      <w:r>
        <w:rPr>
          <w:noProof/>
        </w:rPr>
        <w:t>instrumentu, ko pārvalda Itālijas Uzņēmumu un madu ministrija (MIMIT), pārstrukturēšanu un turpmāku īstenošanu:</w:t>
      </w:r>
    </w:p>
    <w:p w14:paraId="597E4CED" w14:textId="33C5FC11" w:rsidR="00C972CB" w:rsidRDefault="002457F6">
      <w:pPr>
        <w:spacing w:line="276" w:lineRule="auto"/>
        <w:jc w:val="both"/>
        <w:rPr>
          <w:noProof/>
        </w:rPr>
      </w:pPr>
      <w:r>
        <w:rPr>
          <w:noProof/>
        </w:rPr>
        <w:t xml:space="preserve"> RNA (Valsts atbalsta reģistrs) un</w:t>
      </w:r>
    </w:p>
    <w:p w14:paraId="735E5D58" w14:textId="710B4C62" w:rsidR="00C972CB" w:rsidRDefault="002457F6">
      <w:pPr>
        <w:spacing w:line="276" w:lineRule="auto"/>
        <w:jc w:val="both"/>
        <w:rPr>
          <w:noProof/>
        </w:rPr>
      </w:pPr>
      <w:r>
        <w:rPr>
          <w:noProof/>
        </w:rPr>
        <w:t xml:space="preserve"> platforma incentivi.gov.it, </w:t>
      </w:r>
      <w:r>
        <w:rPr>
          <w:i/>
          <w:noProof/>
        </w:rPr>
        <w:t>lai</w:t>
      </w:r>
      <w:r>
        <w:rPr>
          <w:noProof/>
        </w:rPr>
        <w:t xml:space="preserve"> segtu ar datu vākšanu, uzraudzību un analīzi saistītās izmaksas.</w:t>
      </w:r>
    </w:p>
    <w:p w14:paraId="062FEB8A" w14:textId="77777777" w:rsidR="00C972CB" w:rsidRDefault="002457F6">
      <w:pPr>
        <w:jc w:val="both"/>
        <w:rPr>
          <w:noProof/>
        </w:rPr>
      </w:pPr>
      <w:r>
        <w:rPr>
          <w:noProof/>
        </w:rPr>
        <w:t xml:space="preserve"> </w:t>
      </w:r>
      <w:r>
        <w:rPr>
          <w:noProof/>
        </w:rPr>
        <w:br/>
      </w:r>
    </w:p>
    <w:p w14:paraId="776BB644" w14:textId="77777777" w:rsidR="00C972CB" w:rsidRDefault="00C972CB">
      <w:pPr>
        <w:spacing w:before="120" w:after="120"/>
        <w:jc w:val="both"/>
        <w:rPr>
          <w:noProof/>
        </w:rPr>
        <w:sectPr w:rsidR="00C972CB">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7A3C4430" w14:textId="77777777" w:rsidR="00C972CB" w:rsidRDefault="002457F6">
      <w:pPr>
        <w:pStyle w:val="Heading3"/>
        <w:numPr>
          <w:ilvl w:val="2"/>
          <w:numId w:val="0"/>
        </w:numPr>
        <w:ind w:left="850" w:hanging="850"/>
        <w:rPr>
          <w:b/>
          <w:i w:val="0"/>
          <w:noProof/>
          <w:u w:val="single"/>
        </w:rPr>
      </w:pPr>
      <w:r>
        <w:rPr>
          <w:b/>
          <w:i w:val="0"/>
          <w:noProof/>
          <w:u w:val="single"/>
        </w:rPr>
        <w:t xml:space="preserve">B.2. </w:t>
      </w:r>
      <w:r>
        <w:rPr>
          <w:noProof/>
        </w:rPr>
        <w:tab/>
      </w:r>
      <w:r>
        <w:rPr>
          <w:b/>
          <w:i w:val="0"/>
          <w:noProof/>
          <w:u w:val="single"/>
        </w:rPr>
        <w:t>Atskaites punkti, mērķrādītāji, citi rādītāji un neatmaksājamā finansiālā atbalsta uzraudzības un īstenošanas grafiks</w:t>
      </w:r>
    </w:p>
    <w:tbl>
      <w:tblPr>
        <w:tblW w:w="155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701"/>
        <w:gridCol w:w="1456"/>
        <w:gridCol w:w="960"/>
        <w:gridCol w:w="1127"/>
        <w:gridCol w:w="1276"/>
        <w:gridCol w:w="851"/>
        <w:gridCol w:w="708"/>
        <w:gridCol w:w="4094"/>
      </w:tblGrid>
      <w:tr w:rsidR="00C972CB" w14:paraId="77911A0B" w14:textId="77777777">
        <w:trPr>
          <w:trHeight w:val="1020"/>
          <w:tblHeader/>
        </w:trPr>
        <w:tc>
          <w:tcPr>
            <w:tcW w:w="1135" w:type="dxa"/>
            <w:vMerge w:val="restart"/>
            <w:shd w:val="clear" w:color="auto" w:fill="C6D9F1"/>
            <w:vAlign w:val="center"/>
          </w:tcPr>
          <w:p w14:paraId="3BAD05C2" w14:textId="2804EF52" w:rsidR="00C972CB" w:rsidRDefault="002457F6">
            <w:pPr>
              <w:pStyle w:val="P68B1DB1-Normal9"/>
              <w:spacing w:before="120" w:after="120"/>
              <w:jc w:val="center"/>
              <w:rPr>
                <w:noProof/>
              </w:rPr>
            </w:pPr>
            <w:r>
              <w:rPr>
                <w:noProof/>
              </w:rPr>
              <w:t>Kārtas numurs</w:t>
            </w:r>
          </w:p>
        </w:tc>
        <w:tc>
          <w:tcPr>
            <w:tcW w:w="1134" w:type="dxa"/>
            <w:vMerge w:val="restart"/>
            <w:shd w:val="clear" w:color="auto" w:fill="C6D9F1"/>
            <w:vAlign w:val="center"/>
          </w:tcPr>
          <w:p w14:paraId="77C2AEC7" w14:textId="605DEB89" w:rsidR="00C972CB" w:rsidRDefault="002457F6">
            <w:pPr>
              <w:pStyle w:val="P68B1DB1-Normal9"/>
              <w:spacing w:before="120" w:after="120"/>
              <w:jc w:val="center"/>
              <w:rPr>
                <w:noProof/>
              </w:rPr>
            </w:pPr>
            <w:r>
              <w:rPr>
                <w:noProof/>
              </w:rPr>
              <w:t>Pasākums</w:t>
            </w:r>
          </w:p>
        </w:tc>
        <w:tc>
          <w:tcPr>
            <w:tcW w:w="1134" w:type="dxa"/>
            <w:vMerge w:val="restart"/>
            <w:shd w:val="clear" w:color="auto" w:fill="C6D9F1"/>
            <w:vAlign w:val="center"/>
          </w:tcPr>
          <w:p w14:paraId="02B7F731" w14:textId="0E21E34E" w:rsidR="00C972CB" w:rsidRDefault="002457F6">
            <w:pPr>
              <w:pStyle w:val="P68B1DB1-Normal9"/>
              <w:spacing w:before="120" w:after="120"/>
              <w:jc w:val="center"/>
              <w:rPr>
                <w:noProof/>
              </w:rPr>
            </w:pPr>
            <w:r>
              <w:rPr>
                <w:noProof/>
              </w:rPr>
              <w:t>Atskaites punkts/mērķrādītājs</w:t>
            </w:r>
          </w:p>
        </w:tc>
        <w:tc>
          <w:tcPr>
            <w:tcW w:w="1701" w:type="dxa"/>
            <w:vMerge w:val="restart"/>
            <w:shd w:val="clear" w:color="auto" w:fill="C6D9F1"/>
            <w:vAlign w:val="center"/>
          </w:tcPr>
          <w:p w14:paraId="6692BFAE" w14:textId="4519D677" w:rsidR="00C972CB" w:rsidRDefault="002457F6">
            <w:pPr>
              <w:pStyle w:val="P68B1DB1-Normal9"/>
              <w:spacing w:before="120" w:after="120"/>
              <w:jc w:val="center"/>
              <w:rPr>
                <w:noProof/>
              </w:rPr>
            </w:pPr>
            <w:r>
              <w:rPr>
                <w:noProof/>
              </w:rPr>
              <w:t>Uzvārds</w:t>
            </w:r>
          </w:p>
        </w:tc>
        <w:tc>
          <w:tcPr>
            <w:tcW w:w="1456" w:type="dxa"/>
            <w:vMerge w:val="restart"/>
            <w:shd w:val="clear" w:color="auto" w:fill="C6D9F1"/>
            <w:vAlign w:val="center"/>
          </w:tcPr>
          <w:p w14:paraId="26D06EDA" w14:textId="0B4576BD" w:rsidR="00C972CB" w:rsidRDefault="002457F6">
            <w:pPr>
              <w:pStyle w:val="P68B1DB1-Normal10"/>
              <w:spacing w:before="120" w:after="120"/>
              <w:jc w:val="center"/>
              <w:rPr>
                <w:b/>
                <w:noProof/>
                <w:sz w:val="20"/>
              </w:rPr>
            </w:pPr>
            <w:r>
              <w:rPr>
                <w:b/>
                <w:noProof/>
                <w:sz w:val="20"/>
              </w:rPr>
              <w:t>Kvalitātes rādītāji</w:t>
            </w:r>
            <w:r>
              <w:rPr>
                <w:noProof/>
              </w:rPr>
              <w:t xml:space="preserve"> </w:t>
            </w:r>
            <w:r>
              <w:rPr>
                <w:noProof/>
              </w:rPr>
              <w:br/>
            </w:r>
            <w:r>
              <w:rPr>
                <w:b/>
                <w:noProof/>
                <w:sz w:val="20"/>
              </w:rPr>
              <w:t>(attiecībā</w:t>
            </w:r>
            <w:r>
              <w:rPr>
                <w:b/>
                <w:noProof/>
                <w:sz w:val="20"/>
              </w:rPr>
              <w:t xml:space="preserve"> uz starpposma mērķiem)</w:t>
            </w:r>
          </w:p>
        </w:tc>
        <w:tc>
          <w:tcPr>
            <w:tcW w:w="3363"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7775B39F" w14:textId="14D3DE95" w:rsidR="00C972CB" w:rsidRDefault="002457F6">
            <w:pPr>
              <w:pStyle w:val="P68B1DB1-Normal10"/>
              <w:spacing w:before="120" w:after="12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2BE54DF2" w14:textId="5D9994ED" w:rsidR="00C972CB" w:rsidRDefault="002457F6">
            <w:pPr>
              <w:pStyle w:val="P68B1DB1-Normal9"/>
              <w:spacing w:before="120" w:after="120"/>
              <w:jc w:val="center"/>
              <w:rPr>
                <w:noProof/>
              </w:rPr>
            </w:pPr>
            <w:r>
              <w:rPr>
                <w:noProof/>
              </w:rPr>
              <w:t>Orientējošs pabeigšanas termiņš</w:t>
            </w:r>
          </w:p>
        </w:tc>
        <w:tc>
          <w:tcPr>
            <w:tcW w:w="4094" w:type="dxa"/>
            <w:vMerge w:val="restart"/>
            <w:tcBorders>
              <w:top w:val="single" w:sz="4" w:space="0" w:color="auto"/>
              <w:left w:val="single" w:sz="4" w:space="0" w:color="auto"/>
              <w:right w:val="single" w:sz="4" w:space="0" w:color="auto"/>
            </w:tcBorders>
            <w:shd w:val="clear" w:color="auto" w:fill="C6D9F1"/>
            <w:vAlign w:val="center"/>
          </w:tcPr>
          <w:p w14:paraId="16EC0539" w14:textId="79492987" w:rsidR="00C972CB" w:rsidRDefault="002457F6">
            <w:pPr>
              <w:pStyle w:val="P68B1DB1-Normal9"/>
              <w:spacing w:before="120" w:after="120"/>
              <w:rPr>
                <w:noProof/>
              </w:rPr>
            </w:pPr>
            <w:r>
              <w:rPr>
                <w:noProof/>
              </w:rPr>
              <w:t>Apraksts par katru atskaites punktu un mērķrādītāju</w:t>
            </w:r>
          </w:p>
        </w:tc>
      </w:tr>
      <w:tr w:rsidR="00C972CB" w14:paraId="24CD4632" w14:textId="77777777">
        <w:trPr>
          <w:trHeight w:val="718"/>
          <w:tblHeader/>
        </w:trPr>
        <w:tc>
          <w:tcPr>
            <w:tcW w:w="1135" w:type="dxa"/>
            <w:vMerge/>
            <w:shd w:val="clear" w:color="auto" w:fill="C6D9F1"/>
            <w:vAlign w:val="center"/>
          </w:tcPr>
          <w:p w14:paraId="42E05AB3" w14:textId="62199909" w:rsidR="00C972CB" w:rsidRDefault="00C972CB">
            <w:pPr>
              <w:spacing w:before="120" w:after="120"/>
              <w:jc w:val="center"/>
              <w:rPr>
                <w:rFonts w:ascii="Arial Narrow" w:hAnsi="Arial Narrow"/>
                <w:noProof/>
                <w:sz w:val="20"/>
              </w:rPr>
            </w:pPr>
          </w:p>
        </w:tc>
        <w:tc>
          <w:tcPr>
            <w:tcW w:w="1134" w:type="dxa"/>
            <w:vMerge/>
            <w:shd w:val="clear" w:color="auto" w:fill="C6D9F1"/>
            <w:vAlign w:val="center"/>
          </w:tcPr>
          <w:p w14:paraId="340453B4" w14:textId="00A8ADA1" w:rsidR="00C972CB" w:rsidRDefault="00C972CB">
            <w:pPr>
              <w:spacing w:before="120" w:after="120"/>
              <w:jc w:val="center"/>
              <w:rPr>
                <w:rFonts w:ascii="Arial Narrow" w:hAnsi="Arial Narrow"/>
                <w:noProof/>
                <w:sz w:val="20"/>
              </w:rPr>
            </w:pPr>
          </w:p>
        </w:tc>
        <w:tc>
          <w:tcPr>
            <w:tcW w:w="1134" w:type="dxa"/>
            <w:vMerge/>
            <w:shd w:val="clear" w:color="auto" w:fill="C6D9F1"/>
            <w:vAlign w:val="center"/>
          </w:tcPr>
          <w:p w14:paraId="250BEF98" w14:textId="01E671CE" w:rsidR="00C972CB" w:rsidRDefault="00C972CB">
            <w:pPr>
              <w:spacing w:before="120" w:after="120"/>
              <w:jc w:val="center"/>
              <w:rPr>
                <w:rFonts w:ascii="Arial Narrow" w:hAnsi="Arial Narrow"/>
                <w:noProof/>
                <w:sz w:val="20"/>
              </w:rPr>
            </w:pPr>
          </w:p>
        </w:tc>
        <w:tc>
          <w:tcPr>
            <w:tcW w:w="1701" w:type="dxa"/>
            <w:vMerge/>
            <w:shd w:val="clear" w:color="auto" w:fill="C6D9F1"/>
            <w:vAlign w:val="center"/>
          </w:tcPr>
          <w:p w14:paraId="55F34D78" w14:textId="4CCA247B" w:rsidR="00C972CB" w:rsidRDefault="00C972CB">
            <w:pPr>
              <w:spacing w:before="120" w:after="120"/>
              <w:jc w:val="center"/>
              <w:rPr>
                <w:rFonts w:ascii="Arial Narrow" w:hAnsi="Arial Narrow"/>
                <w:noProof/>
                <w:sz w:val="20"/>
              </w:rPr>
            </w:pPr>
          </w:p>
        </w:tc>
        <w:tc>
          <w:tcPr>
            <w:tcW w:w="1456" w:type="dxa"/>
            <w:vMerge/>
            <w:shd w:val="clear" w:color="auto" w:fill="C6D9F1"/>
            <w:vAlign w:val="center"/>
          </w:tcPr>
          <w:p w14:paraId="71EFD7B9" w14:textId="451EE1D3" w:rsidR="00C972CB" w:rsidRDefault="00C972CB">
            <w:pPr>
              <w:spacing w:before="120" w:after="120"/>
              <w:jc w:val="center"/>
              <w:rPr>
                <w:rFonts w:ascii="Arial Narrow" w:hAnsi="Arial Narrow"/>
                <w:noProof/>
                <w:sz w:val="20"/>
              </w:rPr>
            </w:pP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tcPr>
          <w:p w14:paraId="1933B9F6" w14:textId="5BE37DC8" w:rsidR="00C972CB" w:rsidRDefault="002457F6">
            <w:pPr>
              <w:pStyle w:val="P68B1DB1-Normal9"/>
              <w:spacing w:before="120" w:after="120"/>
              <w:jc w:val="center"/>
              <w:rPr>
                <w:noProof/>
              </w:rPr>
            </w:pPr>
            <w:r>
              <w:rPr>
                <w:noProof/>
              </w:rPr>
              <w:t>Mēra vienība</w:t>
            </w:r>
          </w:p>
        </w:tc>
        <w:tc>
          <w:tcPr>
            <w:tcW w:w="1127" w:type="dxa"/>
            <w:tcBorders>
              <w:top w:val="single" w:sz="4" w:space="0" w:color="auto"/>
              <w:left w:val="single" w:sz="4" w:space="0" w:color="auto"/>
              <w:bottom w:val="single" w:sz="4" w:space="0" w:color="auto"/>
              <w:right w:val="single" w:sz="4" w:space="0" w:color="auto"/>
            </w:tcBorders>
            <w:shd w:val="clear" w:color="auto" w:fill="C6D9F1"/>
            <w:vAlign w:val="center"/>
          </w:tcPr>
          <w:p w14:paraId="7071DF9E" w14:textId="415D3A26" w:rsidR="00C972CB" w:rsidRDefault="002457F6">
            <w:pPr>
              <w:pStyle w:val="P68B1DB1-Normal9"/>
              <w:spacing w:before="120" w:after="120"/>
              <w:jc w:val="center"/>
              <w:rPr>
                <w:noProof/>
              </w:rPr>
            </w:pPr>
            <w:r>
              <w:rPr>
                <w:noProof/>
              </w:rPr>
              <w:t>Pamatscenārijs</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5B9C94A7" w14:textId="308C8B23" w:rsidR="00C972CB" w:rsidRDefault="002457F6">
            <w:pPr>
              <w:pStyle w:val="P68B1DB1-Normal9"/>
              <w:spacing w:before="120" w:after="120"/>
              <w:jc w:val="center"/>
              <w:rPr>
                <w:noProof/>
              </w:rPr>
            </w:pPr>
            <w:r>
              <w:rPr>
                <w:noProof/>
              </w:rPr>
              <w:t>Mērķis</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20FFA602" w14:textId="1AC2948F" w:rsidR="00C972CB" w:rsidRDefault="002457F6">
            <w:pPr>
              <w:pStyle w:val="P68B1DB1-Normal9"/>
              <w:spacing w:before="120" w:after="120"/>
              <w:jc w:val="center"/>
              <w:rPr>
                <w:noProof/>
              </w:rPr>
            </w:pPr>
            <w:r>
              <w:rPr>
                <w:noProof/>
              </w:rPr>
              <w:t>Ceturtdaļa</w:t>
            </w:r>
          </w:p>
        </w:tc>
        <w:tc>
          <w:tcPr>
            <w:tcW w:w="708" w:type="dxa"/>
            <w:tcBorders>
              <w:top w:val="single" w:sz="4" w:space="0" w:color="auto"/>
              <w:left w:val="single" w:sz="4" w:space="0" w:color="auto"/>
              <w:bottom w:val="single" w:sz="4" w:space="0" w:color="auto"/>
              <w:right w:val="single" w:sz="4" w:space="0" w:color="auto"/>
            </w:tcBorders>
            <w:shd w:val="clear" w:color="auto" w:fill="C6D9F1"/>
            <w:vAlign w:val="center"/>
          </w:tcPr>
          <w:p w14:paraId="0A905E51" w14:textId="35C9F96F" w:rsidR="00C972CB" w:rsidRDefault="002457F6">
            <w:pPr>
              <w:pStyle w:val="P68B1DB1-Normal9"/>
              <w:spacing w:before="120" w:after="120"/>
              <w:jc w:val="center"/>
              <w:rPr>
                <w:noProof/>
              </w:rPr>
            </w:pPr>
            <w:r>
              <w:rPr>
                <w:noProof/>
              </w:rPr>
              <w:t>Gadā</w:t>
            </w:r>
          </w:p>
        </w:tc>
        <w:tc>
          <w:tcPr>
            <w:tcW w:w="4094" w:type="dxa"/>
            <w:vMerge/>
            <w:tcBorders>
              <w:left w:val="single" w:sz="4" w:space="0" w:color="auto"/>
              <w:bottom w:val="single" w:sz="4" w:space="0" w:color="auto"/>
              <w:right w:val="single" w:sz="4" w:space="0" w:color="auto"/>
            </w:tcBorders>
            <w:shd w:val="clear" w:color="auto" w:fill="C6D9F1"/>
            <w:vAlign w:val="center"/>
          </w:tcPr>
          <w:p w14:paraId="5F7EF6C1" w14:textId="77777777" w:rsidR="00C972CB" w:rsidRDefault="00C972CB">
            <w:pPr>
              <w:spacing w:before="120" w:after="120"/>
              <w:rPr>
                <w:rFonts w:ascii="Arial Narrow" w:hAnsi="Arial Narrow"/>
                <w:noProof/>
                <w:sz w:val="20"/>
              </w:rPr>
            </w:pPr>
          </w:p>
        </w:tc>
      </w:tr>
      <w:tr w:rsidR="00C972CB" w14:paraId="08E774D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CD8173C" w14:textId="77777777" w:rsidR="00C972CB" w:rsidRDefault="002457F6">
            <w:pPr>
              <w:pStyle w:val="P68B1DB1-Normal11"/>
              <w:jc w:val="center"/>
              <w:rPr>
                <w:noProof/>
              </w:rPr>
            </w:pPr>
            <w:r>
              <w:rPr>
                <w:noProof/>
              </w:rPr>
              <w:t>M1C2–1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9002106" w14:textId="77777777" w:rsidR="00C972CB" w:rsidRDefault="002457F6">
            <w:pPr>
              <w:pStyle w:val="P68B1DB1-Normal11"/>
              <w:jc w:val="center"/>
              <w:rPr>
                <w:noProof/>
              </w:rPr>
            </w:pPr>
            <w:r>
              <w:rPr>
                <w:noProof/>
              </w:rPr>
              <w:t>Ieguldījums: Pāreja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FFE748" w14:textId="77777777" w:rsidR="00C972CB" w:rsidRDefault="002457F6">
            <w:pPr>
              <w:pStyle w:val="P68B1DB1-Normal11"/>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85871A0" w14:textId="77777777" w:rsidR="00C972CB" w:rsidRDefault="002457F6">
            <w:pPr>
              <w:pStyle w:val="P68B1DB1-Normal11"/>
              <w:jc w:val="center"/>
              <w:rPr>
                <w:noProof/>
              </w:rPr>
            </w:pPr>
            <w:r>
              <w:rPr>
                <w:noProof/>
              </w:rPr>
              <w:t>Tiesību aktu stāšanās spēkā, lai potenciālajiem saņēmējiem darītu pieejamus 4.0 pārejas posma nodokļu kredītus, un Zinātniskās komitejas izveide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40BD101" w14:textId="77777777" w:rsidR="00C972CB" w:rsidRDefault="002457F6">
            <w:pPr>
              <w:pStyle w:val="P68B1DB1-Normal11"/>
              <w:jc w:val="center"/>
              <w:rPr>
                <w:noProof/>
              </w:rPr>
            </w:pPr>
            <w:r>
              <w:rPr>
                <w:noProof/>
              </w:rPr>
              <w:t>Likuma noteikums par budžeta likuma stāšanos spēkā, kas ļauj piešķirt nodokļu atlaides, un noteikums saistītajo</w:t>
            </w:r>
            <w:r>
              <w:rPr>
                <w:noProof/>
              </w:rPr>
              <w:t>s īstenošanas aktos, norādot to stāšanos spēkā</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45DF0F3" w14:textId="77777777" w:rsidR="00C972CB" w:rsidRDefault="002457F6">
            <w:pPr>
              <w:pStyle w:val="P68B1DB1-Normal11"/>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2F16F18" w14:textId="77777777" w:rsidR="00C972CB" w:rsidRDefault="002457F6">
            <w:pPr>
              <w:pStyle w:val="P68B1DB1-Normal11"/>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33FDD3C" w14:textId="77777777" w:rsidR="00C972CB" w:rsidRDefault="002457F6">
            <w:pPr>
              <w:pStyle w:val="P68B1DB1-Normal11"/>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1727C2" w14:textId="77777777" w:rsidR="00C972CB" w:rsidRDefault="002457F6">
            <w:pPr>
              <w:pStyle w:val="P68B1DB1-Normal11"/>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75CF29A" w14:textId="77777777" w:rsidR="00C972CB" w:rsidRDefault="002457F6">
            <w:pPr>
              <w:pStyle w:val="P68B1DB1-Normal11"/>
              <w:jc w:val="center"/>
              <w:rPr>
                <w:noProof/>
              </w:rPr>
            </w:pPr>
            <w:r>
              <w:rPr>
                <w:noProof/>
              </w:rPr>
              <w:t>2021</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3D3CF78" w14:textId="77777777" w:rsidR="00C972CB" w:rsidRDefault="002457F6">
            <w:pPr>
              <w:pStyle w:val="P68B1DB1-Normal11"/>
              <w:rPr>
                <w:noProof/>
              </w:rPr>
            </w:pPr>
            <w:r>
              <w:rPr>
                <w:noProof/>
              </w:rPr>
              <w:t>Ar tiesību aktiem potenciālajiem saņēmējiem dara pieejamus 4.0 pārejas posma nodokļu kredītus. Tie ir nodokļu kredīti i) 4.0 (t. i., tehnoloģiski progresīviem) materi</w:t>
            </w:r>
            <w:r>
              <w:rPr>
                <w:noProof/>
              </w:rPr>
              <w:t>ālajiem ražošanas līdzekļiem, ii) 4.0 nemateriālajiem ražošanas līdzekļiem, iii) standarta nemateriālajiem ražošanas līdzekļiem, iv) pētniecības, izstrādes un inovācijas darbībām un v) mācībām.</w:t>
            </w:r>
          </w:p>
          <w:p w14:paraId="5FCAFA0C" w14:textId="77777777" w:rsidR="00C972CB" w:rsidRDefault="002457F6">
            <w:pPr>
              <w:pStyle w:val="P68B1DB1-Normal11"/>
              <w:rPr>
                <w:noProof/>
              </w:rPr>
            </w:pPr>
            <w:r>
              <w:rPr>
                <w:noProof/>
              </w:rPr>
              <w:t>Nodokļu kredītu kodus nosaka ar Ieņēmumu aģentūras lēmumu, kas</w:t>
            </w:r>
            <w:r>
              <w:rPr>
                <w:noProof/>
              </w:rPr>
              <w:t xml:space="preserve"> ļauj saņēmējiem izmantot nodokļu kredītus ar F24 maksājuma modeli. Zinātniskā komiteja, kurā ir eksperti no Ekonomikas un finanšu ministrijas, Ekonomikas attīstības ministrijas un Itālijas Bankas, tiek izveidota, pieņemot ministrijas dekrētu, lai novērtēt</w:t>
            </w:r>
            <w:r>
              <w:rPr>
                <w:noProof/>
              </w:rPr>
              <w:t>u 4.0 pārejas perioda nodokļu kredītu ekonomisko ietekmi.</w:t>
            </w:r>
          </w:p>
        </w:tc>
      </w:tr>
      <w:tr w:rsidR="00C972CB" w14:paraId="7744D97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279B405" w14:textId="77777777" w:rsidR="00C972CB" w:rsidRDefault="002457F6">
            <w:pPr>
              <w:pStyle w:val="P68B1DB1-Normal11"/>
              <w:spacing w:before="120" w:after="120"/>
              <w:jc w:val="center"/>
              <w:rPr>
                <w:noProof/>
              </w:rPr>
            </w:pPr>
            <w:r>
              <w:rPr>
                <w:noProof/>
              </w:rPr>
              <w:t>M1C2–2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1FBF6D7" w14:textId="77777777" w:rsidR="00C972CB" w:rsidRDefault="002457F6">
            <w:pPr>
              <w:pStyle w:val="P68B1DB1-Normal11"/>
              <w:spacing w:before="120" w:after="120"/>
              <w:jc w:val="center"/>
              <w:rPr>
                <w:noProof/>
              </w:rPr>
            </w:pPr>
            <w:r>
              <w:rPr>
                <w:noProof/>
              </w:rPr>
              <w:t>Ieguldījums: Pāreja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A395379" w14:textId="77777777" w:rsidR="00C972CB" w:rsidRDefault="002457F6">
            <w:pPr>
              <w:pStyle w:val="P68B1DB1-Normal11"/>
              <w:spacing w:before="120" w:after="120"/>
              <w:jc w:val="center"/>
              <w:rPr>
                <w:noProof/>
              </w:rPr>
            </w:pPr>
            <w:r>
              <w:rPr>
                <w:noProof/>
              </w:rPr>
              <w:t>Mērķa</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44419BB" w14:textId="77777777" w:rsidR="00C972CB" w:rsidRDefault="002457F6">
            <w:pPr>
              <w:pStyle w:val="P68B1DB1-Normal11"/>
              <w:spacing w:before="120" w:after="120"/>
              <w:jc w:val="center"/>
              <w:rPr>
                <w:noProof/>
              </w:rPr>
            </w:pPr>
            <w:r>
              <w:rPr>
                <w:noProof/>
              </w:rPr>
              <w:t>Pāreja 4.0. nodokļu kredīti, kas piešķirti uzņēmumiem, pamatojoties uz 2021.–2022. gadā iesniegtajām nodokļu deklarācijām</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39C0470" w14:textId="77777777" w:rsidR="00C972CB" w:rsidRDefault="002457F6">
            <w:pPr>
              <w:pStyle w:val="P68B1DB1-Normal11"/>
              <w:spacing w:before="120" w:after="120"/>
              <w:jc w:val="center"/>
              <w:rPr>
                <w:noProof/>
              </w:rPr>
            </w:pPr>
            <w:r>
              <w:rPr>
                <w:noProof/>
              </w:rPr>
              <w:t>NEPIEMĒRO</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362E693" w14:textId="77777777" w:rsidR="00C972CB" w:rsidRDefault="002457F6">
            <w:pPr>
              <w:pStyle w:val="P68B1DB1-Normal11"/>
              <w:spacing w:before="120" w:after="120"/>
              <w:jc w:val="center"/>
              <w:rPr>
                <w:noProof/>
              </w:rPr>
            </w:pPr>
            <w:r>
              <w:rPr>
                <w:noProof/>
              </w:rPr>
              <w:t>Skaits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4345D7C" w14:textId="77777777" w:rsidR="00C972CB" w:rsidRDefault="002457F6">
            <w:pPr>
              <w:pStyle w:val="P68B1DB1-Normal11"/>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F32DD8" w14:textId="75525655" w:rsidR="00C972CB" w:rsidRDefault="002457F6">
            <w:pPr>
              <w:pStyle w:val="P68B1DB1-Normal11"/>
              <w:spacing w:before="120" w:after="120"/>
              <w:jc w:val="center"/>
              <w:rPr>
                <w:noProof/>
              </w:rPr>
            </w:pPr>
            <w:r>
              <w:rPr>
                <w:noProof/>
              </w:rPr>
              <w:t>69 900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732A277" w14:textId="77777777" w:rsidR="00C972CB" w:rsidRDefault="002457F6">
            <w:pPr>
              <w:pStyle w:val="P68B1DB1-Normal11"/>
              <w:spacing w:before="120" w:after="120"/>
              <w:jc w:val="center"/>
              <w:rPr>
                <w:noProof/>
              </w:rPr>
            </w:pPr>
            <w:r>
              <w:rPr>
                <w:noProof/>
              </w:rPr>
              <w:t>2.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C8F97C1" w14:textId="77777777" w:rsidR="00C972CB" w:rsidRDefault="002457F6">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BBDAFDD" w14:textId="17B4D00D" w:rsidR="00C972CB" w:rsidRDefault="002457F6">
            <w:pPr>
              <w:pStyle w:val="P68B1DB1-Normal12"/>
              <w:rPr>
                <w:rFonts w:ascii="Arial Narrow" w:hAnsi="Arial Narrow"/>
                <w:noProof/>
              </w:rPr>
            </w:pPr>
            <w:r>
              <w:rPr>
                <w:rFonts w:ascii="Arial Narrow" w:hAnsi="Arial Narrow"/>
                <w:noProof/>
              </w:rPr>
              <w:t>Pamatojoties uz nodokļu deklarācijām, kas iesniegtas laikposmā no 2021. gada 1. janvāra līdz 2022. gada 31. decembrim, uzņēmumiem ir piešķirti vismaz 69900 nodokļu kredīti saistībā ar 4.0 materiālajiem ražošanas līdzekļiem, 4.0 nemateriālajiem ražošanas l</w:t>
            </w:r>
            <w:r>
              <w:rPr>
                <w:rFonts w:ascii="Arial Narrow" w:hAnsi="Arial Narrow"/>
                <w:noProof/>
              </w:rPr>
              <w:t>īdzekļiem, standarta nemateriālajiem ražošanas līdzekļiem, pētniecības, izstrādes un inovācijas darbībām vai apmācības pasākumiem. Paredzams, ka jo īpaši:</w:t>
            </w:r>
          </w:p>
          <w:p w14:paraId="271088BA" w14:textId="6AE1E289" w:rsidR="00C972CB" w:rsidRDefault="002457F6">
            <w:pPr>
              <w:pStyle w:val="P68B1DB1-Normal12"/>
              <w:rPr>
                <w:rFonts w:ascii="Arial Narrow" w:hAnsi="Arial Narrow"/>
                <w:noProof/>
              </w:rPr>
            </w:pPr>
            <w:r>
              <w:rPr>
                <w:rFonts w:ascii="Arial Narrow" w:hAnsi="Arial Narrow"/>
                <w:noProof/>
              </w:rPr>
              <w:t>- uzņēmumiem ir piešķirti vismaz17700 nodokļu kredīti par 4.0 materiālajiem ražošanas līdzekļiem, pam</w:t>
            </w:r>
            <w:r>
              <w:rPr>
                <w:rFonts w:ascii="Arial Narrow" w:hAnsi="Arial Narrow"/>
                <w:noProof/>
              </w:rPr>
              <w:t>atojoties uz nodokļu deklarācijām, kas iesniegtas laikposmā no 2021. gada 1. janvāra līdz 2022. gada 31. decembrim;</w:t>
            </w:r>
          </w:p>
          <w:p w14:paraId="405A2070" w14:textId="3C1D7089" w:rsidR="00C972CB" w:rsidRDefault="002457F6">
            <w:pPr>
              <w:pStyle w:val="P68B1DB1-Normal12"/>
              <w:rPr>
                <w:rFonts w:ascii="Arial Narrow" w:hAnsi="Arial Narrow"/>
                <w:noProof/>
              </w:rPr>
            </w:pPr>
            <w:r>
              <w:rPr>
                <w:rFonts w:ascii="Arial Narrow" w:hAnsi="Arial Narrow"/>
                <w:noProof/>
              </w:rPr>
              <w:t>- uzņēmumiem ir piešķirti vismaz27300 nodokļu kredīti par 4.0 nemateriālajiem ražošanas līdzekļiem, pamatojoties uz nodokļu deklarācijām, ka</w:t>
            </w:r>
            <w:r>
              <w:rPr>
                <w:rFonts w:ascii="Arial Narrow" w:hAnsi="Arial Narrow"/>
                <w:noProof/>
              </w:rPr>
              <w:t>s iesniegtas laikposmā no 2021. gada 1. janvāra līdz 2022. gada 31. decembrim;</w:t>
            </w:r>
          </w:p>
          <w:p w14:paraId="5C9B2C7F" w14:textId="66F93C0D" w:rsidR="00C972CB" w:rsidRDefault="002457F6">
            <w:pPr>
              <w:pStyle w:val="P68B1DB1-Normal12"/>
              <w:rPr>
                <w:rFonts w:ascii="Arial Narrow" w:hAnsi="Arial Narrow"/>
                <w:noProof/>
              </w:rPr>
            </w:pPr>
            <w:r>
              <w:rPr>
                <w:rFonts w:ascii="Arial Narrow" w:hAnsi="Arial Narrow"/>
                <w:noProof/>
              </w:rPr>
              <w:t>- uzņēmumiem ir piešķirti vismaz13600 nodokļu kredīti par standarta nemateriālajiem ražošanas līdzekļiem, pamatojoties uz nodokļu deklarācijām, kas iesniegtas laikposmā no 2021.</w:t>
            </w:r>
            <w:r>
              <w:rPr>
                <w:rFonts w:ascii="Arial Narrow" w:hAnsi="Arial Narrow"/>
                <w:noProof/>
              </w:rPr>
              <w:t xml:space="preserve"> gada 1. janvāra līdz 2022. gada 31. decembrim;</w:t>
            </w:r>
          </w:p>
          <w:p w14:paraId="4806ECBD" w14:textId="4594E6A2" w:rsidR="00C972CB" w:rsidRDefault="002457F6">
            <w:pPr>
              <w:pStyle w:val="P68B1DB1-Normal12"/>
              <w:rPr>
                <w:rFonts w:ascii="Arial Narrow" w:hAnsi="Arial Narrow"/>
                <w:noProof/>
              </w:rPr>
            </w:pPr>
            <w:r>
              <w:rPr>
                <w:rFonts w:ascii="Arial Narrow" w:hAnsi="Arial Narrow"/>
                <w:noProof/>
              </w:rPr>
              <w:t>- uzņēmumiem ir piešķirti vismaz10300 nodokļu kredīti pētniecības, izstrādes un inovācijas darbībām, pamatojoties uz nodokļu deklarācijām, kas iesniegtas laikposmā no 2022. gada 1. janvāra līdz 31. decembrim;</w:t>
            </w:r>
          </w:p>
          <w:p w14:paraId="4CB4D804" w14:textId="242BE434" w:rsidR="00C972CB" w:rsidRDefault="002457F6">
            <w:pPr>
              <w:pStyle w:val="P68B1DB1-Normal12"/>
              <w:rPr>
                <w:rFonts w:ascii="Arial Narrow" w:hAnsi="Arial Narrow"/>
                <w:noProof/>
              </w:rPr>
            </w:pPr>
            <w:r>
              <w:rPr>
                <w:rFonts w:ascii="Arial Narrow" w:hAnsi="Arial Narrow"/>
                <w:noProof/>
              </w:rPr>
              <w:t>- uzņēmumiem ir piešķirti vismaz 1000nodokļu kredīti mācību pasākumiem, pamatojoties uz nodokļu deklarācijām, kas iesniegtas laikposmā no 2022. gada 1. janvāra līdz 31. decembrim.</w:t>
            </w:r>
          </w:p>
          <w:p w14:paraId="5282996D" w14:textId="0B315898" w:rsidR="00C972CB" w:rsidRDefault="002457F6">
            <w:pPr>
              <w:pStyle w:val="P68B1DB1-Normal11"/>
              <w:rPr>
                <w:noProof/>
              </w:rPr>
            </w:pPr>
            <w:r>
              <w:rPr>
                <w:noProof/>
              </w:rPr>
              <w:t>Uzņēmumiem, kuru taksācijas gads neatbilst kalendārajam gadam, attiecīgā no</w:t>
            </w:r>
            <w:r>
              <w:rPr>
                <w:noProof/>
              </w:rPr>
              <w:t>dokļu deklarāciju iesniegšanas perioda beigas attiecībā uz visām iepriekš minētajām nodokļu atlaidēm pagarina no 2022. gada 31. decembra līdz 2023. gada 30. novembrim.</w:t>
            </w:r>
          </w:p>
        </w:tc>
      </w:tr>
      <w:tr w:rsidR="00C972CB" w14:paraId="79C117E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7588A05" w14:textId="77777777" w:rsidR="00C972CB" w:rsidRDefault="002457F6">
            <w:pPr>
              <w:pStyle w:val="P68B1DB1-Normal11"/>
              <w:spacing w:before="120" w:after="120"/>
              <w:jc w:val="center"/>
              <w:rPr>
                <w:noProof/>
              </w:rPr>
            </w:pPr>
            <w:r>
              <w:rPr>
                <w:noProof/>
              </w:rPr>
              <w:t>M1C2–3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AB3B42B" w14:textId="77777777" w:rsidR="00C972CB" w:rsidRDefault="002457F6">
            <w:pPr>
              <w:pStyle w:val="P68B1DB1-Normal11"/>
              <w:spacing w:before="120" w:after="120"/>
              <w:jc w:val="center"/>
              <w:rPr>
                <w:noProof/>
              </w:rPr>
            </w:pPr>
            <w:r>
              <w:rPr>
                <w:noProof/>
              </w:rPr>
              <w:t>Ieguldījums: Pāreja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B137AA3" w14:textId="77777777" w:rsidR="00C972CB" w:rsidRDefault="002457F6">
            <w:pPr>
              <w:pStyle w:val="P68B1DB1-Normal11"/>
              <w:spacing w:before="120" w:after="120"/>
              <w:jc w:val="center"/>
              <w:rPr>
                <w:noProof/>
              </w:rPr>
            </w:pPr>
            <w:r>
              <w:rPr>
                <w:noProof/>
              </w:rPr>
              <w:t>Mērķa</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5548EB7" w14:textId="77777777" w:rsidR="00C972CB" w:rsidRDefault="002457F6">
            <w:pPr>
              <w:pStyle w:val="P68B1DB1-Normal11"/>
              <w:spacing w:before="120" w:after="120"/>
              <w:jc w:val="center"/>
              <w:rPr>
                <w:noProof/>
              </w:rPr>
            </w:pPr>
            <w:r>
              <w:rPr>
                <w:noProof/>
              </w:rPr>
              <w:t xml:space="preserve">Pāreja 4.0. nodokļu kredīti, kas piešķirti </w:t>
            </w:r>
            <w:r>
              <w:rPr>
                <w:noProof/>
              </w:rPr>
              <w:t>uzņēmumiem, pamatojoties uz 2021.–2023. gadā iesniegtajām nodokļu deklarācijām</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7F3D19B" w14:textId="77777777" w:rsidR="00C972CB" w:rsidRDefault="002457F6">
            <w:pPr>
              <w:pStyle w:val="P68B1DB1-Normal11"/>
              <w:spacing w:before="120" w:after="120"/>
              <w:jc w:val="center"/>
              <w:rPr>
                <w:noProof/>
              </w:rPr>
            </w:pPr>
            <w:r>
              <w:rPr>
                <w:noProof/>
              </w:rPr>
              <w:t>NEPIEMĒRO</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FBCF9F5" w14:textId="77777777" w:rsidR="00C972CB" w:rsidRDefault="002457F6">
            <w:pPr>
              <w:pStyle w:val="P68B1DB1-Normal11"/>
              <w:spacing w:before="120" w:after="120"/>
              <w:jc w:val="center"/>
              <w:rPr>
                <w:noProof/>
              </w:rPr>
            </w:pPr>
            <w:r>
              <w:rPr>
                <w:noProof/>
              </w:rPr>
              <w:t>Skaits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FCDECE5" w14:textId="555C14A8" w:rsidR="00C972CB" w:rsidRDefault="002457F6">
            <w:pPr>
              <w:pStyle w:val="P68B1DB1-Normal11"/>
              <w:spacing w:before="120" w:after="120"/>
              <w:jc w:val="center"/>
              <w:rPr>
                <w:noProof/>
              </w:rPr>
            </w:pPr>
            <w:r>
              <w:rPr>
                <w:noProof/>
              </w:rPr>
              <w:t>69 900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A05CC36" w14:textId="0873A461" w:rsidR="00C972CB" w:rsidRDefault="002457F6">
            <w:pPr>
              <w:pStyle w:val="P68B1DB1-Normal11"/>
              <w:spacing w:before="120" w:after="120"/>
              <w:jc w:val="center"/>
              <w:rPr>
                <w:noProof/>
              </w:rPr>
            </w:pPr>
            <w:r>
              <w:rPr>
                <w:noProof/>
              </w:rPr>
              <w:t>111 700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B77DDE1" w14:textId="77777777" w:rsidR="00C972CB" w:rsidRDefault="002457F6">
            <w:pPr>
              <w:pStyle w:val="P68B1DB1-Normal11"/>
              <w:spacing w:before="120" w:after="120"/>
              <w:jc w:val="center"/>
              <w:rPr>
                <w:noProof/>
              </w:rPr>
            </w:pPr>
            <w:r>
              <w:rPr>
                <w:noProof/>
              </w:rPr>
              <w:t>2.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087C54C" w14:textId="77777777" w:rsidR="00C972CB" w:rsidRDefault="002457F6">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3A8D62A" w14:textId="66ABAA93" w:rsidR="00C972CB" w:rsidRDefault="002457F6">
            <w:pPr>
              <w:pStyle w:val="P68B1DB1-Normal12"/>
              <w:rPr>
                <w:rFonts w:ascii="Arial Narrow" w:hAnsi="Arial Narrow"/>
                <w:noProof/>
              </w:rPr>
            </w:pPr>
            <w:r>
              <w:rPr>
                <w:rFonts w:ascii="Arial Narrow" w:hAnsi="Arial Narrow"/>
                <w:noProof/>
              </w:rPr>
              <w:t>Pamatojoties uz nodokļu deklarācijām, kas iesniegtas laikposmā no 2021. gada 1. janvāra līdz 2023. gada 31. decembrim, uzņēmumiem ir</w:t>
            </w:r>
            <w:r>
              <w:rPr>
                <w:rFonts w:ascii="Arial Narrow" w:hAnsi="Arial Narrow"/>
                <w:noProof/>
              </w:rPr>
              <w:t xml:space="preserve"> piešķirti vismaz 111700 nodokļu kredīti saistībā ar 4.0 materiālajiem ražošanas līdzekļiem, 4.0 nemateriālajiem ražošanas līdzekļiem, standarta nemateriālajiem ražošanas līdzekļiem, pētniecības, izstrādes un inovācijas darbībām vai apmācības pasākumiem. P</w:t>
            </w:r>
            <w:r>
              <w:rPr>
                <w:rFonts w:ascii="Arial Narrow" w:hAnsi="Arial Narrow"/>
                <w:noProof/>
              </w:rPr>
              <w:t>aredzams, ka jo īpaši:</w:t>
            </w:r>
          </w:p>
          <w:p w14:paraId="0F2CF622" w14:textId="5909D2CA" w:rsidR="00C972CB" w:rsidRDefault="002457F6">
            <w:pPr>
              <w:pStyle w:val="P68B1DB1-Normal12"/>
              <w:rPr>
                <w:rFonts w:ascii="Arial Narrow" w:hAnsi="Arial Narrow"/>
                <w:noProof/>
              </w:rPr>
            </w:pPr>
            <w:r>
              <w:rPr>
                <w:rFonts w:ascii="Arial Narrow" w:hAnsi="Arial Narrow"/>
                <w:noProof/>
              </w:rPr>
              <w:t>- uzņēmumiem ir piešķirti vismaz26900 nodokļu kredīti par 4.0 materiālajiem ražošanas līdzekļiem, pamatojoties uz nodokļu deklarācijām, kas iesniegtas laikposmā no 2021. gada 1. janvāra līdz 2023. gada 31. decembrim;</w:t>
            </w:r>
          </w:p>
          <w:p w14:paraId="4AEB26E8" w14:textId="39EDE0CA" w:rsidR="00C972CB" w:rsidRDefault="002457F6">
            <w:pPr>
              <w:pStyle w:val="P68B1DB1-Normal12"/>
              <w:rPr>
                <w:rFonts w:ascii="Arial Narrow" w:hAnsi="Arial Narrow"/>
                <w:noProof/>
              </w:rPr>
            </w:pPr>
            <w:r>
              <w:rPr>
                <w:rFonts w:ascii="Arial Narrow" w:hAnsi="Arial Narrow"/>
                <w:noProof/>
              </w:rPr>
              <w:t xml:space="preserve">- uzņēmumiem ir </w:t>
            </w:r>
            <w:r>
              <w:rPr>
                <w:rFonts w:ascii="Arial Narrow" w:hAnsi="Arial Narrow"/>
                <w:noProof/>
              </w:rPr>
              <w:t>piešķirti vismaz41500 nodokļu kredīti par 4.0 nemateriālajiem ražošanas līdzekļiem, pamatojoties uz nodokļu deklarācijām, kas iesniegtas laikposmā no 2021. gada 1. janvāra līdz 2023. gada 31. decembrim;</w:t>
            </w:r>
          </w:p>
          <w:p w14:paraId="3A4060BB" w14:textId="1A05C4D0" w:rsidR="00C972CB" w:rsidRDefault="002457F6">
            <w:pPr>
              <w:pStyle w:val="P68B1DB1-Normal12"/>
              <w:rPr>
                <w:rFonts w:ascii="Arial Narrow" w:hAnsi="Arial Narrow"/>
                <w:noProof/>
              </w:rPr>
            </w:pPr>
            <w:r>
              <w:rPr>
                <w:rFonts w:ascii="Arial Narrow" w:hAnsi="Arial Narrow"/>
                <w:noProof/>
              </w:rPr>
              <w:t>- uzņēmumiem ir piešķirti vismaz20700 nodokļu kredīti</w:t>
            </w:r>
            <w:r>
              <w:rPr>
                <w:rFonts w:ascii="Arial Narrow" w:hAnsi="Arial Narrow"/>
                <w:noProof/>
              </w:rPr>
              <w:t xml:space="preserve"> par standarta nemateriālajiem ražošanas līdzekļiem, pamatojoties uz nodokļu deklarācijām, kas iesniegtas laikposmā no 2021. gada 1. janvāra līdz 2023. gada 31. decembrim;</w:t>
            </w:r>
          </w:p>
          <w:p w14:paraId="52CBC697" w14:textId="6C331732" w:rsidR="00C972CB" w:rsidRDefault="002457F6">
            <w:pPr>
              <w:pStyle w:val="P68B1DB1-Normal12"/>
              <w:rPr>
                <w:rFonts w:ascii="Arial Narrow" w:hAnsi="Arial Narrow"/>
                <w:noProof/>
              </w:rPr>
            </w:pPr>
            <w:r>
              <w:rPr>
                <w:rFonts w:ascii="Arial Narrow" w:hAnsi="Arial Narrow"/>
                <w:noProof/>
              </w:rPr>
              <w:t>- uzņēmumiem ir piešķirti vismaz20600 nodokļu kredīti pētniecības, izstrādes un inov</w:t>
            </w:r>
            <w:r>
              <w:rPr>
                <w:rFonts w:ascii="Arial Narrow" w:hAnsi="Arial Narrow"/>
                <w:noProof/>
              </w:rPr>
              <w:t>ācijas darbībām, pamatojoties uz nodokļu deklarācijām, kas iesniegtas laikposmā no 2022. gada 1. janvāra līdz 2023. gada 31. decembrim;</w:t>
            </w:r>
          </w:p>
          <w:p w14:paraId="6E8E74D5" w14:textId="4E679EC7" w:rsidR="00C972CB" w:rsidRDefault="002457F6">
            <w:pPr>
              <w:pStyle w:val="P68B1DB1-Normal12"/>
              <w:rPr>
                <w:rFonts w:ascii="Arial Narrow" w:hAnsi="Arial Narrow"/>
                <w:noProof/>
              </w:rPr>
            </w:pPr>
            <w:r>
              <w:rPr>
                <w:rFonts w:ascii="Arial Narrow" w:hAnsi="Arial Narrow"/>
                <w:noProof/>
              </w:rPr>
              <w:t>- uzņēmumiem ir piešķirti vismaz2000 nodokļu kredīti mācību pasākumiem, pamatojoties uz nodokļu deklarācijām, kas iesnie</w:t>
            </w:r>
            <w:r>
              <w:rPr>
                <w:rFonts w:ascii="Arial Narrow" w:hAnsi="Arial Narrow"/>
                <w:noProof/>
              </w:rPr>
              <w:t>gtas laikposmā no 2022. gada 1. janvāra līdz 2023. gada 31. decembrim.</w:t>
            </w:r>
          </w:p>
          <w:p w14:paraId="6A24F162" w14:textId="77777777" w:rsidR="00C972CB" w:rsidRDefault="002457F6">
            <w:pPr>
              <w:pStyle w:val="P68B1DB1-Normal11"/>
              <w:rPr>
                <w:noProof/>
              </w:rPr>
            </w:pPr>
            <w:r>
              <w:rPr>
                <w:noProof/>
              </w:rPr>
              <w:t xml:space="preserve">Uzņēmumiem, kuru taksācijas gads neatbilst kalendārajam gadam, attiecīgā nodokļu deklarāciju iesniegšanas perioda beigas attiecībā uz visām iepriekš minētajām nodokļu atlaidēm pagarina </w:t>
            </w:r>
            <w:r>
              <w:rPr>
                <w:noProof/>
              </w:rPr>
              <w:t>no 2023. gada 31. decembra līdz 2024. gada 30. novembrim.</w:t>
            </w:r>
          </w:p>
          <w:p w14:paraId="264D2CEC" w14:textId="77777777" w:rsidR="00C972CB" w:rsidRDefault="002457F6">
            <w:pPr>
              <w:pStyle w:val="P68B1DB1-Normal11"/>
              <w:rPr>
                <w:noProof/>
              </w:rPr>
            </w:pPr>
            <w:r>
              <w:rPr>
                <w:noProof/>
              </w:rPr>
              <w:t>Pamatscenārijs attiecas uz uzņēmumiem piešķirto pārejas 4.0 nodokļu kredītu skaitu, pamatojoties uz nodokļu deklarācijām, kas iesniegtas laikposmā no 2021. gada 1. janvāra līdz 2022. gada 31. decemb</w:t>
            </w:r>
            <w:r>
              <w:rPr>
                <w:noProof/>
              </w:rPr>
              <w:t xml:space="preserve">rim par 4.0 materiālajām kapitālieguldījumu precēm, 4.0 nemateriālajām kapitālieguldījumu precēm un standarta nemateriālajām precēm, un pamatojoties uz nodokļu deklarācijām, kas iesniegtas laikposmā no 2022. gada 1. janvāra līdz 31. decembrim attiecībā uz </w:t>
            </w:r>
            <w:r>
              <w:rPr>
                <w:noProof/>
              </w:rPr>
              <w:t>pētniecības, izstrādes un inovācijas darbībām un apmācības pasākumiem. Attiecībā uz uzņēmumiem, kuru taksācijas gads neatbilst kalendārajam gadam, visu iepriekš minēto nodokļu kredītu pamatscenārijā iekļauj arī nodokļu deklarācijas, kas iesniegtas līdz 202</w:t>
            </w:r>
            <w:r>
              <w:rPr>
                <w:noProof/>
              </w:rPr>
              <w:t>3. gada 30. novembrim.</w:t>
            </w:r>
          </w:p>
        </w:tc>
      </w:tr>
      <w:tr w:rsidR="00C972CB" w14:paraId="4B5575D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FBFAFCB" w14:textId="77777777" w:rsidR="00C972CB" w:rsidRDefault="002457F6">
            <w:pPr>
              <w:pStyle w:val="P68B1DB1-Normal11"/>
              <w:spacing w:before="120" w:after="120"/>
              <w:jc w:val="center"/>
              <w:rPr>
                <w:noProof/>
              </w:rPr>
            </w:pPr>
            <w:r>
              <w:rPr>
                <w:noProof/>
              </w:rPr>
              <w:t>M1C2–4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7C7F0B5" w14:textId="77777777" w:rsidR="00C972CB" w:rsidRDefault="002457F6">
            <w:pPr>
              <w:pStyle w:val="P68B1DB1-Normal11"/>
              <w:spacing w:before="120" w:after="120"/>
              <w:jc w:val="center"/>
              <w:rPr>
                <w:noProof/>
              </w:rPr>
            </w:pPr>
            <w:r>
              <w:rPr>
                <w:noProof/>
              </w:rPr>
              <w:t>Reforma: Rūpnieciskā īpašuma sistēmas reforma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6A5A98" w14:textId="77777777" w:rsidR="00C972CB" w:rsidRDefault="002457F6">
            <w:pPr>
              <w:pStyle w:val="P68B1DB1-Normal11"/>
              <w:spacing w:before="120" w:after="120"/>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7226963" w14:textId="77777777" w:rsidR="00C972CB" w:rsidRDefault="002457F6">
            <w:pPr>
              <w:pStyle w:val="P68B1DB1-Normal11"/>
              <w:spacing w:before="120" w:after="120"/>
              <w:jc w:val="center"/>
              <w:rPr>
                <w:noProof/>
              </w:rPr>
            </w:pPr>
            <w:r>
              <w:rPr>
                <w:noProof/>
              </w:rPr>
              <w:t>Stājas spēkā likumdošanas dekrēts, kura mērķis ir reformēt Itālijas rūpnieciskā īpašuma kodeksu, un attiecīgie īstenošanas akti</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E31D194" w14:textId="77777777" w:rsidR="00C972CB" w:rsidRDefault="002457F6">
            <w:pPr>
              <w:pStyle w:val="P68B1DB1-Normal11"/>
              <w:spacing w:before="120" w:after="120"/>
              <w:jc w:val="center"/>
              <w:rPr>
                <w:noProof/>
              </w:rPr>
            </w:pPr>
            <w:r>
              <w:rPr>
                <w:noProof/>
              </w:rPr>
              <w:t xml:space="preserve">Tiesību akta noteikums, kas </w:t>
            </w:r>
            <w:r>
              <w:rPr>
                <w:noProof/>
              </w:rPr>
              <w:t>norāda, ka stājas spēkā jaunais Rūpnieciskā īpašuma kodekss, un saistīto īstenošanas aktu noteikums, kas norāda to stāšanos spēkā</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8421A13" w14:textId="77777777" w:rsidR="00C972CB" w:rsidRDefault="002457F6">
            <w:pPr>
              <w:pStyle w:val="P68B1DB1-Normal11"/>
              <w:spacing w:before="120" w:after="120"/>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AEEEF64" w14:textId="77777777" w:rsidR="00C972CB" w:rsidRDefault="002457F6">
            <w:pPr>
              <w:pStyle w:val="P68B1DB1-Normal11"/>
              <w:spacing w:before="120" w:after="120"/>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B62BAC6" w14:textId="77777777" w:rsidR="00C972CB" w:rsidRDefault="002457F6">
            <w:pPr>
              <w:pStyle w:val="P68B1DB1-Normal11"/>
              <w:spacing w:before="120" w:after="120"/>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5A42A0D" w14:textId="77777777" w:rsidR="00C972CB" w:rsidRDefault="002457F6">
            <w:pPr>
              <w:pStyle w:val="P68B1DB1-Normal11"/>
              <w:spacing w:before="120" w:after="120"/>
              <w:jc w:val="center"/>
              <w:rPr>
                <w:noProof/>
              </w:rPr>
            </w:pPr>
            <w:r>
              <w:rPr>
                <w:noProof/>
              </w:rPr>
              <w:t>3.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EE12C2" w14:textId="77777777" w:rsidR="00C972CB" w:rsidRDefault="002457F6">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95274BE" w14:textId="77777777" w:rsidR="00C972CB" w:rsidRDefault="002457F6">
            <w:pPr>
              <w:pStyle w:val="P68B1DB1-Normal11"/>
              <w:rPr>
                <w:noProof/>
              </w:rPr>
            </w:pPr>
            <w:r>
              <w:rPr>
                <w:noProof/>
              </w:rPr>
              <w:t>Ar jauno likumdošanas dekrētu groza Itālijas rūpnieciskā īpašuma kodeksu (2005. gad</w:t>
            </w:r>
            <w:r>
              <w:rPr>
                <w:noProof/>
              </w:rPr>
              <w:t>a 10. februāra Likumdošanas dekrēts Nr. 30) un aptver vismaz šādas jomas: tiesiskā regulējuma pārskatīšana, lai stiprinātu rūpnieciskā īpašuma tiesību aizsardzību un vienkāršotu procedūras, ii) stiprināt atbalstu uzņēmumiem un pētniecības iestādēm, iii) uz</w:t>
            </w:r>
            <w:r>
              <w:rPr>
                <w:noProof/>
              </w:rPr>
              <w:t>labot prasmju un kompetenču attīstību, iv) atvieglot zināšanu nodošanu, v) stiprināt inovatīvu pakalpojumu veicināšanu.</w:t>
            </w:r>
          </w:p>
        </w:tc>
      </w:tr>
      <w:tr w:rsidR="00C972CB" w14:paraId="737869E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8958FC5" w14:textId="77777777" w:rsidR="00C972CB" w:rsidRDefault="002457F6">
            <w:pPr>
              <w:pStyle w:val="P68B1DB1-Normal11"/>
              <w:spacing w:before="120" w:after="120"/>
              <w:jc w:val="center"/>
              <w:rPr>
                <w:noProof/>
              </w:rPr>
            </w:pPr>
            <w:r>
              <w:rPr>
                <w:noProof/>
              </w:rPr>
              <w:t>M1C2–5</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CB93EED" w14:textId="77777777" w:rsidR="00C972CB" w:rsidRDefault="002457F6">
            <w:pPr>
              <w:pStyle w:val="P68B1DB1-Normal11"/>
              <w:spacing w:before="120" w:after="120"/>
              <w:jc w:val="center"/>
              <w:rPr>
                <w:noProof/>
              </w:rPr>
            </w:pPr>
            <w:r>
              <w:rPr>
                <w:noProof/>
              </w:rPr>
              <w:t>Ieguldījums 6: Ieguldījumi rūpnieciskā īpašuma sistēmā</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AFD314" w14:textId="77777777" w:rsidR="00C972CB" w:rsidRDefault="002457F6">
            <w:pPr>
              <w:pStyle w:val="P68B1DB1-Normal11"/>
              <w:spacing w:before="120" w:after="120"/>
              <w:jc w:val="center"/>
              <w:rPr>
                <w:noProof/>
              </w:rPr>
            </w:pPr>
            <w:r>
              <w:rPr>
                <w:noProof/>
              </w:rPr>
              <w:t>Mērķa</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9417CF6" w14:textId="77777777" w:rsidR="00C972CB" w:rsidRDefault="002457F6">
            <w:pPr>
              <w:pStyle w:val="P68B1DB1-Normal11"/>
              <w:spacing w:before="120" w:after="120"/>
              <w:jc w:val="center"/>
              <w:rPr>
                <w:noProof/>
              </w:rPr>
            </w:pPr>
            <w:r>
              <w:rPr>
                <w:noProof/>
              </w:rPr>
              <w:t>Projekti, ko atbalsta ar rūpniecisko īpašumu saistītas finansēšanas</w:t>
            </w:r>
            <w:r>
              <w:rPr>
                <w:noProof/>
              </w:rPr>
              <w:t xml:space="preserve"> iespējas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063A2E9" w14:textId="77777777" w:rsidR="00C972CB" w:rsidRDefault="002457F6">
            <w:pPr>
              <w:pStyle w:val="P68B1DB1-Normal11"/>
              <w:spacing w:before="120" w:after="120"/>
              <w:jc w:val="center"/>
              <w:rPr>
                <w:noProof/>
              </w:rPr>
            </w:pPr>
            <w:r>
              <w:rPr>
                <w:noProof/>
              </w:rPr>
              <w:t>NEPIEMĒRO</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96DB1AB" w14:textId="77777777" w:rsidR="00C972CB" w:rsidRDefault="002457F6">
            <w:pPr>
              <w:pStyle w:val="P68B1DB1-Normal11"/>
              <w:spacing w:before="120" w:after="120"/>
              <w:jc w:val="center"/>
              <w:rPr>
                <w:noProof/>
              </w:rPr>
            </w:pPr>
            <w:r>
              <w:rPr>
                <w:noProof/>
              </w:rPr>
              <w:t>Skaits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045AB9D" w14:textId="77777777" w:rsidR="00C972CB" w:rsidRDefault="002457F6">
            <w:pPr>
              <w:pStyle w:val="P68B1DB1-Normal11"/>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BD56C3F" w14:textId="77777777" w:rsidR="00C972CB" w:rsidRDefault="002457F6">
            <w:pPr>
              <w:pStyle w:val="P68B1DB1-Normal11"/>
              <w:spacing w:before="120" w:after="120"/>
              <w:jc w:val="center"/>
              <w:rPr>
                <w:noProof/>
              </w:rPr>
            </w:pPr>
            <w:r>
              <w:rPr>
                <w:noProof/>
              </w:rPr>
              <w:t>254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35A667EE"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BEDF465" w14:textId="77777777" w:rsidR="00C972CB" w:rsidRDefault="002457F6">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C5A5DB" w14:textId="77777777" w:rsidR="00C972CB" w:rsidRDefault="002457F6">
            <w:pPr>
              <w:pStyle w:val="P68B1DB1-Normal19"/>
              <w:spacing w:before="120" w:after="120"/>
              <w:rPr>
                <w:noProof/>
              </w:rPr>
            </w:pPr>
            <w:r>
              <w:rPr>
                <w:noProof/>
                <w:color w:val="006100"/>
              </w:rPr>
              <w:t xml:space="preserve">Vismaz 254 papildu projekti, kurus atbalsta ar rūpniecisko īpašumu saistītas finansēšanas iespējas uzņēmumiem un pētniecības iestādēm, piemēram, ar patentiem saistīti pasākumi (Brevetti+), koncepcijas </w:t>
            </w:r>
            <w:r>
              <w:rPr>
                <w:noProof/>
                <w:color w:val="006100"/>
              </w:rPr>
              <w:t>pamatojuma (POC) programmas un tehnoloģiju nodošanas biroji (TTO), saskaņā ar Tehniskajiem norādījumiem “Nenodarīt būtisku kaitējumu” (2021/C58/01), izmantojot izslēgšanas sarakstu un prasību par atbilstību attiecīgajiem</w:t>
            </w:r>
            <w:r>
              <w:rPr>
                <w:noProof/>
              </w:rPr>
              <w:t xml:space="preserve"> </w:t>
            </w:r>
            <w:r>
              <w:rPr>
                <w:noProof/>
                <w:color w:val="006100"/>
              </w:rPr>
              <w:t>ES un valstu vides tiesību aktiem.</w:t>
            </w:r>
          </w:p>
        </w:tc>
      </w:tr>
      <w:tr w:rsidR="00C972CB" w14:paraId="1355106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D835DE4" w14:textId="77777777" w:rsidR="00C972CB" w:rsidRDefault="002457F6">
            <w:pPr>
              <w:pStyle w:val="P68B1DB1-Normal11"/>
              <w:spacing w:before="120" w:after="120"/>
              <w:jc w:val="center"/>
              <w:rPr>
                <w:noProof/>
              </w:rPr>
            </w:pPr>
            <w:r>
              <w:rPr>
                <w:noProof/>
              </w:rPr>
              <w:t>M1C2–6</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B5F3BB" w14:textId="77777777" w:rsidR="00C972CB" w:rsidRDefault="002457F6">
            <w:pPr>
              <w:pStyle w:val="P68B1DB1-Normal11"/>
              <w:spacing w:before="120" w:after="120"/>
              <w:jc w:val="center"/>
              <w:rPr>
                <w:noProof/>
              </w:rPr>
            </w:pPr>
            <w:r>
              <w:rPr>
                <w:noProof/>
              </w:rPr>
              <w:t>Reforma: Ikgadējie konkurences tiesību akti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654292B" w14:textId="77777777" w:rsidR="00C972CB" w:rsidRDefault="002457F6">
            <w:pPr>
              <w:pStyle w:val="P68B1DB1-Normal11"/>
              <w:spacing w:before="120" w:after="120"/>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5BC4776" w14:textId="77777777" w:rsidR="00C972CB" w:rsidRDefault="002457F6">
            <w:pPr>
              <w:pStyle w:val="P68B1DB1-Normal11"/>
              <w:spacing w:before="120" w:after="120"/>
              <w:jc w:val="center"/>
              <w:rPr>
                <w:noProof/>
              </w:rPr>
            </w:pPr>
            <w:r>
              <w:rPr>
                <w:noProof/>
              </w:rPr>
              <w:t>2021. gada Konkurences likuma stāšanās spēkā</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30E68D6" w14:textId="77777777" w:rsidR="00C972CB" w:rsidRDefault="002457F6">
            <w:pPr>
              <w:pStyle w:val="P68B1DB1-Normal11"/>
              <w:spacing w:before="120" w:after="120"/>
              <w:jc w:val="center"/>
              <w:rPr>
                <w:noProof/>
              </w:rPr>
            </w:pPr>
            <w:r>
              <w:rPr>
                <w:noProof/>
              </w:rPr>
              <w:t>Noteikums par 2021. gada Konkurences likuma stāšanos spēkā.</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AD8B407" w14:textId="77777777" w:rsidR="00C972CB" w:rsidRDefault="002457F6">
            <w:pPr>
              <w:pStyle w:val="P68B1DB1-Normal11"/>
              <w:spacing w:before="120" w:after="120"/>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67F6C07" w14:textId="77777777" w:rsidR="00C972CB" w:rsidRDefault="002457F6">
            <w:pPr>
              <w:pStyle w:val="P68B1DB1-Normal11"/>
              <w:spacing w:before="120" w:after="120"/>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1600935" w14:textId="77777777" w:rsidR="00C972CB" w:rsidRDefault="002457F6">
            <w:pPr>
              <w:pStyle w:val="P68B1DB1-Normal11"/>
              <w:spacing w:before="120" w:after="120"/>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C4E06BA"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864EA8E" w14:textId="77777777" w:rsidR="00C972CB" w:rsidRDefault="002457F6">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873364" w14:textId="77777777" w:rsidR="00C972CB" w:rsidRDefault="002457F6">
            <w:pPr>
              <w:pStyle w:val="P68B1DB1-Normal11"/>
              <w:spacing w:before="120" w:after="120"/>
              <w:rPr>
                <w:noProof/>
              </w:rPr>
            </w:pPr>
            <w:r>
              <w:rPr>
                <w:noProof/>
              </w:rPr>
              <w:t xml:space="preserve">Ikgadējā konkurences likumā iekļauj </w:t>
            </w:r>
            <w:r>
              <w:rPr>
                <w:noProof/>
              </w:rPr>
              <w:t>vismaz šādus galvenos elementus, kuru īstenošanas pasākumi un sekundārie tiesību akti (vajadzības gadījumā) tiek pieņemti un stājas spēkā ne vēlāk kā 2022. gada 31. decembrī.</w:t>
            </w:r>
          </w:p>
          <w:p w14:paraId="17CB22BA" w14:textId="77777777" w:rsidR="00C972CB" w:rsidRDefault="002457F6">
            <w:pPr>
              <w:pStyle w:val="P68B1DB1-Normal10"/>
              <w:spacing w:before="120" w:after="120"/>
              <w:rPr>
                <w:noProof/>
                <w:color w:val="006100"/>
                <w:sz w:val="20"/>
              </w:rPr>
            </w:pPr>
            <w:r>
              <w:rPr>
                <w:noProof/>
                <w:color w:val="006100"/>
                <w:sz w:val="20"/>
              </w:rPr>
              <w:t>Il attiecas uz:</w:t>
            </w:r>
            <w:r>
              <w:rPr>
                <w:noProof/>
              </w:rPr>
              <w:t xml:space="preserve"> </w:t>
            </w:r>
            <w:r>
              <w:rPr>
                <w:noProof/>
              </w:rPr>
              <w:br/>
            </w:r>
            <w:r>
              <w:rPr>
                <w:noProof/>
                <w:color w:val="006100"/>
                <w:sz w:val="20"/>
              </w:rPr>
              <w:t>Pretmonopola noteikumu izpilde</w:t>
            </w:r>
            <w:r>
              <w:rPr>
                <w:noProof/>
              </w:rPr>
              <w:t xml:space="preserve"> </w:t>
            </w:r>
            <w:r>
              <w:rPr>
                <w:noProof/>
              </w:rPr>
              <w:br/>
              <w:t xml:space="preserve"> </w:t>
            </w:r>
            <w:r>
              <w:rPr>
                <w:noProof/>
                <w:color w:val="006100"/>
                <w:sz w:val="20"/>
              </w:rPr>
              <w:t xml:space="preserve">Vietējie sabiedriskie </w:t>
            </w:r>
            <w:r>
              <w:rPr>
                <w:noProof/>
                <w:color w:val="006100"/>
                <w:sz w:val="20"/>
              </w:rPr>
              <w:t>pakalpojumi</w:t>
            </w:r>
            <w:r>
              <w:rPr>
                <w:noProof/>
              </w:rPr>
              <w:t xml:space="preserve"> </w:t>
            </w:r>
            <w:r>
              <w:rPr>
                <w:noProof/>
              </w:rPr>
              <w:br/>
              <w:t xml:space="preserve"> </w:t>
            </w:r>
            <w:r>
              <w:rPr>
                <w:noProof/>
                <w:color w:val="006100"/>
                <w:sz w:val="20"/>
              </w:rPr>
              <w:t>—Enerģija</w:t>
            </w:r>
            <w:r>
              <w:rPr>
                <w:noProof/>
              </w:rPr>
              <w:t xml:space="preserve"> </w:t>
            </w:r>
            <w:r>
              <w:rPr>
                <w:noProof/>
              </w:rPr>
              <w:br/>
              <w:t xml:space="preserve"> </w:t>
            </w:r>
            <w:r>
              <w:rPr>
                <w:noProof/>
                <w:color w:val="006100"/>
                <w:sz w:val="20"/>
              </w:rPr>
              <w:t>—Pārvadājumi</w:t>
            </w:r>
            <w:r>
              <w:rPr>
                <w:noProof/>
              </w:rPr>
              <w:t xml:space="preserve"> </w:t>
            </w:r>
            <w:r>
              <w:rPr>
                <w:noProof/>
              </w:rPr>
              <w:br/>
              <w:t xml:space="preserve"> </w:t>
            </w:r>
            <w:r>
              <w:rPr>
                <w:noProof/>
                <w:color w:val="006100"/>
                <w:sz w:val="20"/>
              </w:rPr>
              <w:t>Atkritumi</w:t>
            </w:r>
            <w:r>
              <w:rPr>
                <w:noProof/>
              </w:rPr>
              <w:t xml:space="preserve"> </w:t>
            </w:r>
            <w:r>
              <w:rPr>
                <w:noProof/>
              </w:rPr>
              <w:br/>
              <w:t xml:space="preserve"> </w:t>
            </w:r>
            <w:r>
              <w:rPr>
                <w:noProof/>
                <w:color w:val="006100"/>
                <w:sz w:val="20"/>
              </w:rPr>
              <w:t>Uzņēmējdarbības sākšana</w:t>
            </w:r>
            <w:r>
              <w:rPr>
                <w:noProof/>
              </w:rPr>
              <w:t xml:space="preserve"> </w:t>
            </w:r>
            <w:r>
              <w:rPr>
                <w:noProof/>
              </w:rPr>
              <w:br/>
              <w:t xml:space="preserve"> </w:t>
            </w:r>
            <w:r>
              <w:rPr>
                <w:noProof/>
                <w:color w:val="006100"/>
                <w:sz w:val="20"/>
              </w:rPr>
              <w:t>Tirgus uzraudzība</w:t>
            </w:r>
          </w:p>
          <w:p w14:paraId="03D3E6ED" w14:textId="77777777" w:rsidR="00C972CB" w:rsidRDefault="002457F6">
            <w:pPr>
              <w:pStyle w:val="P68B1DB1-Normal11"/>
              <w:spacing w:before="120" w:after="120"/>
              <w:rPr>
                <w:noProof/>
              </w:rPr>
            </w:pPr>
            <w:r>
              <w:rPr>
                <w:noProof/>
              </w:rPr>
              <w:t>Pretmonopola noteikumu izpilde:</w:t>
            </w:r>
          </w:p>
          <w:p w14:paraId="734EBF94" w14:textId="77777777" w:rsidR="00C972CB" w:rsidRDefault="002457F6">
            <w:pPr>
              <w:pStyle w:val="P68B1DB1-Normal11"/>
              <w:spacing w:before="120" w:after="120"/>
              <w:rPr>
                <w:noProof/>
              </w:rPr>
            </w:pPr>
            <w:r>
              <w:rPr>
                <w:noProof/>
              </w:rPr>
              <w:t>I. Novērst papildu šķēršļus uzņēmumu apvienošanās kontrolei, turpinot saskaņot Itālijas apvienošanās kontroles noteikumus ar ES</w:t>
            </w:r>
            <w:r>
              <w:rPr>
                <w:noProof/>
              </w:rPr>
              <w:t xml:space="preserve"> tiesību aktiem.</w:t>
            </w:r>
          </w:p>
          <w:p w14:paraId="58371D30" w14:textId="77777777" w:rsidR="00C972CB" w:rsidRDefault="002457F6">
            <w:pPr>
              <w:pStyle w:val="P68B1DB1-Normal11"/>
              <w:spacing w:before="120" w:after="120"/>
              <w:rPr>
                <w:noProof/>
              </w:rPr>
            </w:pPr>
            <w:r>
              <w:rPr>
                <w:noProof/>
              </w:rPr>
              <w:t>Vietējie sabiedriskie pakalpojumi:</w:t>
            </w:r>
          </w:p>
          <w:p w14:paraId="55679EFE" w14:textId="77777777" w:rsidR="00C972CB" w:rsidRDefault="002457F6">
            <w:pPr>
              <w:pStyle w:val="P68B1DB1-Normal11"/>
              <w:spacing w:before="120" w:after="120"/>
              <w:rPr>
                <w:noProof/>
              </w:rPr>
            </w:pPr>
            <w:r>
              <w:rPr>
                <w:noProof/>
              </w:rPr>
              <w:t>II. Stiprināt un plašāk izmantot konkurences principu attiecībā uz vietējo sabiedrisko pakalpojumu līgumiem, jo īpaši atkritumu un vietējā sabiedriskā transporta jomā.</w:t>
            </w:r>
          </w:p>
          <w:p w14:paraId="034B46FA" w14:textId="77777777" w:rsidR="00C972CB" w:rsidRDefault="002457F6">
            <w:pPr>
              <w:pStyle w:val="P68B1DB1-Normal11"/>
              <w:spacing w:before="120" w:after="120"/>
              <w:rPr>
                <w:noProof/>
              </w:rPr>
            </w:pPr>
            <w:r>
              <w:rPr>
                <w:noProof/>
              </w:rPr>
              <w:t>III. Ierobežot tiešo piešķiršanu, pi</w:t>
            </w:r>
            <w:r>
              <w:rPr>
                <w:noProof/>
              </w:rPr>
              <w:t>eprasot vietējām valsts iestādēm pamatot jebkādas atkāpes no publisko pakalpojumu līgumu slēgšanas tiesību piešķiršanas (saskaņā ar Publisko iepirkumu kodeksa 192. pantu).</w:t>
            </w:r>
          </w:p>
          <w:p w14:paraId="79EE89FB" w14:textId="77777777" w:rsidR="00C972CB" w:rsidRDefault="002457F6">
            <w:pPr>
              <w:pStyle w:val="P68B1DB1-Normal11"/>
              <w:spacing w:before="120" w:after="120"/>
              <w:rPr>
                <w:noProof/>
              </w:rPr>
            </w:pPr>
            <w:r>
              <w:rPr>
                <w:noProof/>
              </w:rPr>
              <w:t>IV. Nodrošināt sabiedrisko pakalpojumu līgumu pienācīgu regulējumu, īstenojot Likuma</w:t>
            </w:r>
            <w:r>
              <w:rPr>
                <w:noProof/>
              </w:rPr>
              <w:t xml:space="preserve"> Nr. 124/2015 19. pantu kā vienotu tekstu par vietējiem sabiedriskajiem pakalpojumiem, jo īpaši atkritumu apsaimniekošanas jomā.</w:t>
            </w:r>
          </w:p>
          <w:p w14:paraId="4F3065FC" w14:textId="41ED1F13" w:rsidR="00C972CB" w:rsidRDefault="002457F6">
            <w:pPr>
              <w:pStyle w:val="P68B1DB1-Normal12"/>
              <w:spacing w:before="120" w:after="120"/>
              <w:rPr>
                <w:rFonts w:ascii="Arial Narrow" w:hAnsi="Arial Narrow"/>
                <w:noProof/>
              </w:rPr>
            </w:pPr>
            <w:r>
              <w:rPr>
                <w:rFonts w:ascii="Arial Narrow" w:hAnsi="Arial Narrow"/>
                <w:noProof/>
              </w:rPr>
              <w:t>v. Noteikumi un summēšanas mehānismi stimulē pašvaldību apvienības, lai samazinātu subjektu un līgumslēdzēju iestāžu skaitu, sa</w:t>
            </w:r>
            <w:r>
              <w:rPr>
                <w:rFonts w:ascii="Arial Narrow" w:hAnsi="Arial Narrow"/>
                <w:noProof/>
              </w:rPr>
              <w:t>saistot tās ar optimālu teritoriālo agregāciju (“ambiti territoriali ottimali”) un vietējā un reģionālā sabiedriskā transporta pakalpojumu apgabaliem un atbilstošajiem līmeņiem (“bacini e livelli adeguati di servizi di trasporto pubblico locale e regionale</w:t>
            </w:r>
            <w:r>
              <w:rPr>
                <w:rFonts w:ascii="Arial Narrow" w:hAnsi="Arial Narrow"/>
                <w:noProof/>
              </w:rPr>
              <w:t>”), kuros ir vismaz 350000</w:t>
            </w:r>
            <w:r>
              <w:rPr>
                <w:noProof/>
              </w:rPr>
              <w:t xml:space="preserve"> </w:t>
            </w:r>
            <w:r>
              <w:rPr>
                <w:rFonts w:ascii="Arial Narrow" w:hAnsi="Arial Narrow"/>
                <w:noProof/>
              </w:rPr>
              <w:t>iedzīvotāju.</w:t>
            </w:r>
          </w:p>
          <w:p w14:paraId="42F836A7" w14:textId="77777777" w:rsidR="00C972CB" w:rsidRDefault="002457F6">
            <w:pPr>
              <w:pStyle w:val="P68B1DB1-Normal11"/>
              <w:spacing w:before="120" w:after="120"/>
              <w:rPr>
                <w:noProof/>
              </w:rPr>
            </w:pPr>
            <w:r>
              <w:rPr>
                <w:noProof/>
              </w:rPr>
              <w:t>Tiesību aktā par vietējiem sabiedriskajiem pakalpojumiem, ar ko īsteno Likuma 124/2015 19. pantu, ir vismaz:</w:t>
            </w:r>
          </w:p>
          <w:p w14:paraId="475585B3" w14:textId="77777777" w:rsidR="00C972CB" w:rsidRDefault="002457F6">
            <w:pPr>
              <w:pStyle w:val="P68B1DB1-Normal11"/>
              <w:spacing w:before="120" w:after="120"/>
              <w:rPr>
                <w:noProof/>
              </w:rPr>
            </w:pPr>
            <w:r>
              <w:rPr>
                <w:noProof/>
              </w:rPr>
              <w:t>noteikt sabiedriskos pakalpojumus, pamatojoties uz ES tiesību aktu kritērijiem;</w:t>
            </w:r>
          </w:p>
          <w:p w14:paraId="36F7067C" w14:textId="77777777" w:rsidR="00C972CB" w:rsidRDefault="002457F6">
            <w:pPr>
              <w:pStyle w:val="P68B1DB1-Normal11"/>
              <w:spacing w:before="120" w:after="120"/>
              <w:rPr>
                <w:noProof/>
              </w:rPr>
            </w:pPr>
            <w:r>
              <w:rPr>
                <w:noProof/>
              </w:rPr>
              <w:t>paredz vispārējus vietējo s</w:t>
            </w:r>
            <w:r>
              <w:rPr>
                <w:noProof/>
              </w:rPr>
              <w:t>abiedrisko pakalpojumu sniegšanas, regulēšanas un pārvaldības principus;</w:t>
            </w:r>
          </w:p>
          <w:p w14:paraId="3DC09073" w14:textId="77777777" w:rsidR="00C972CB" w:rsidRDefault="002457F6">
            <w:pPr>
              <w:pStyle w:val="P68B1DB1-Normal11"/>
              <w:spacing w:before="120" w:after="120"/>
              <w:rPr>
                <w:noProof/>
              </w:rPr>
            </w:pPr>
            <w:r>
              <w:rPr>
                <w:noProof/>
              </w:rPr>
              <w:t>noteikt vispārēju proporcionalitātes principu attiecībā uz sabiedrisko pakalpojumu līgumu ilgumu;</w:t>
            </w:r>
          </w:p>
          <w:p w14:paraId="1F72579B" w14:textId="77777777" w:rsidR="00C972CB" w:rsidRDefault="002457F6">
            <w:pPr>
              <w:pStyle w:val="P68B1DB1-Normal11"/>
              <w:spacing w:before="120" w:after="120"/>
              <w:rPr>
                <w:noProof/>
              </w:rPr>
            </w:pPr>
            <w:r>
              <w:rPr>
                <w:noProof/>
              </w:rPr>
              <w:t>skaidri nodalīt sabiedrisko pakalpojumu līgumu regulēšanas un kontroles un pārvaldība</w:t>
            </w:r>
            <w:r>
              <w:rPr>
                <w:noProof/>
              </w:rPr>
              <w:t>s funkcijas;</w:t>
            </w:r>
          </w:p>
          <w:p w14:paraId="0097A842" w14:textId="77777777" w:rsidR="00C972CB" w:rsidRDefault="002457F6">
            <w:pPr>
              <w:pStyle w:val="P68B1DB1-Normal11"/>
              <w:spacing w:before="120" w:after="120"/>
              <w:rPr>
                <w:noProof/>
              </w:rPr>
            </w:pPr>
            <w:r>
              <w:rPr>
                <w:noProof/>
              </w:rPr>
              <w:t>nodrošināt, ka vietējās publiskās iestādes pamato iesaistīto uzņēmumu daļu palielināšanu attiecībā uz in house apbalvojumiem;</w:t>
            </w:r>
          </w:p>
          <w:p w14:paraId="551EA260" w14:textId="77777777" w:rsidR="00C972CB" w:rsidRDefault="002457F6">
            <w:pPr>
              <w:pStyle w:val="P68B1DB1-Normal11"/>
              <w:spacing w:before="120" w:after="120"/>
              <w:rPr>
                <w:noProof/>
              </w:rPr>
            </w:pPr>
            <w:r>
              <w:rPr>
                <w:noProof/>
              </w:rPr>
              <w:t>nodrošināt pienācīgu kompensāciju par sabiedrisko pakalpojumu līgumiem, pamatojoties uz izmaksu aprēķināšanu, ko pārr</w:t>
            </w:r>
            <w:r>
              <w:rPr>
                <w:noProof/>
              </w:rPr>
              <w:t>auga neatkarīgi regulatori (piemēram, ARERA enerģētikas jomā vai ART transporta jomā);</w:t>
            </w:r>
          </w:p>
          <w:p w14:paraId="134811C6" w14:textId="6B1AB47F" w:rsidR="00C972CB" w:rsidRDefault="002457F6">
            <w:pPr>
              <w:pStyle w:val="P68B1DB1-Normal11"/>
              <w:spacing w:before="120" w:after="120"/>
              <w:rPr>
                <w:noProof/>
              </w:rPr>
            </w:pPr>
            <w:r>
              <w:rPr>
                <w:noProof/>
              </w:rPr>
              <w:t xml:space="preserve">ierobežot iekšējo līgumu vidējo ilgumu un iepirkuma veicējiem samazināt un saskaņot izsludināto līgumu standarta ilgumu ar nosacījumu, ka ilgums nodrošina līgumu </w:t>
            </w:r>
            <w:r>
              <w:rPr>
                <w:noProof/>
              </w:rPr>
              <w:t>ekonomisko un finansiālo līdzsvaru, arī pamatojoties uz Transporta iestādes noteiktajiem kritērijiem.</w:t>
            </w:r>
          </w:p>
          <w:p w14:paraId="4B4CFCFD" w14:textId="77777777" w:rsidR="00C972CB" w:rsidRDefault="002457F6">
            <w:pPr>
              <w:pStyle w:val="P68B1DB1-Normal11"/>
              <w:spacing w:before="120" w:after="120"/>
              <w:rPr>
                <w:noProof/>
              </w:rPr>
            </w:pPr>
            <w:r>
              <w:rPr>
                <w:noProof/>
              </w:rPr>
              <w:t>Enerģētika:</w:t>
            </w:r>
          </w:p>
          <w:p w14:paraId="63924110" w14:textId="35F7E71D" w:rsidR="00C972CB" w:rsidRDefault="002457F6">
            <w:pPr>
              <w:pStyle w:val="P68B1DB1-Normal10"/>
              <w:spacing w:before="120" w:after="120"/>
              <w:rPr>
                <w:noProof/>
                <w:color w:val="006100"/>
                <w:sz w:val="20"/>
              </w:rPr>
            </w:pPr>
            <w:r>
              <w:rPr>
                <w:noProof/>
                <w:color w:val="006100"/>
                <w:sz w:val="20"/>
              </w:rPr>
              <w:t>VI.</w:t>
            </w:r>
            <w:r>
              <w:rPr>
                <w:noProof/>
              </w:rPr>
              <w:t xml:space="preserve"> </w:t>
            </w:r>
            <w:r>
              <w:rPr>
                <w:noProof/>
                <w:color w:val="006100"/>
                <w:sz w:val="20"/>
              </w:rPr>
              <w:t>Noteikt, ka koncesijas līgumu konkurss attiecībā uz hidroenerģiju ir obligāts, un noteikt tiesisko regulējumu hidroenerģijas koncesijām.</w:t>
            </w:r>
          </w:p>
          <w:p w14:paraId="7CD6E3C4" w14:textId="3A970D53" w:rsidR="00C972CB" w:rsidRDefault="002457F6">
            <w:pPr>
              <w:pStyle w:val="P68B1DB1-Normal10"/>
              <w:spacing w:before="120" w:after="120"/>
              <w:rPr>
                <w:noProof/>
                <w:color w:val="006100"/>
                <w:sz w:val="20"/>
              </w:rPr>
            </w:pPr>
            <w:r>
              <w:rPr>
                <w:noProof/>
                <w:color w:val="006100"/>
                <w:sz w:val="20"/>
              </w:rPr>
              <w:t>V</w:t>
            </w:r>
            <w:r>
              <w:rPr>
                <w:noProof/>
                <w:color w:val="006100"/>
                <w:sz w:val="20"/>
              </w:rPr>
              <w:t>II.</w:t>
            </w:r>
            <w:r>
              <w:rPr>
                <w:noProof/>
              </w:rPr>
              <w:t xml:space="preserve"> </w:t>
            </w:r>
            <w:r>
              <w:rPr>
                <w:noProof/>
                <w:color w:val="006100"/>
                <w:sz w:val="20"/>
              </w:rPr>
              <w:t>Noteikt, ka gāzes sadalei ir obligāti jākonkursē koncesijas līgumi.</w:t>
            </w:r>
          </w:p>
          <w:p w14:paraId="5AECD80D" w14:textId="6CF4ACBD" w:rsidR="00C972CB" w:rsidRDefault="002457F6">
            <w:pPr>
              <w:pStyle w:val="P68B1DB1-Normal10"/>
              <w:spacing w:before="120" w:after="120"/>
              <w:rPr>
                <w:noProof/>
                <w:color w:val="006100"/>
                <w:sz w:val="20"/>
              </w:rPr>
            </w:pPr>
            <w:r>
              <w:rPr>
                <w:noProof/>
                <w:color w:val="006100"/>
                <w:sz w:val="20"/>
              </w:rPr>
              <w:t>VIII.</w:t>
            </w:r>
            <w:r>
              <w:rPr>
                <w:noProof/>
              </w:rPr>
              <w:t xml:space="preserve"> </w:t>
            </w:r>
            <w:r>
              <w:rPr>
                <w:noProof/>
                <w:color w:val="006100"/>
                <w:sz w:val="20"/>
              </w:rPr>
              <w:t>Noteikt pārredzamas un nediskriminējošas prasības attiecībā uz sabiedrisko vietu piešķiršanu elektrouzlādei vai uzlādes punktu/staciju operatoru izvēli.</w:t>
            </w:r>
          </w:p>
          <w:p w14:paraId="4B2962AF" w14:textId="091F1F73" w:rsidR="00C972CB" w:rsidRDefault="002457F6">
            <w:pPr>
              <w:pStyle w:val="P68B1DB1-Normal10"/>
              <w:spacing w:before="120" w:after="120"/>
              <w:rPr>
                <w:noProof/>
                <w:color w:val="006100"/>
                <w:sz w:val="20"/>
              </w:rPr>
            </w:pPr>
            <w:r>
              <w:rPr>
                <w:noProof/>
                <w:color w:val="006100"/>
                <w:sz w:val="20"/>
              </w:rPr>
              <w:t>IX.</w:t>
            </w:r>
            <w:r>
              <w:rPr>
                <w:noProof/>
              </w:rPr>
              <w:t xml:space="preserve"> </w:t>
            </w:r>
            <w:r>
              <w:rPr>
                <w:noProof/>
                <w:color w:val="006100"/>
                <w:sz w:val="20"/>
              </w:rPr>
              <w:t>Atcelt regulētos elek</w:t>
            </w:r>
            <w:r>
              <w:rPr>
                <w:noProof/>
                <w:color w:val="006100"/>
                <w:sz w:val="20"/>
              </w:rPr>
              <w:t>troenerģijas piegādes tarifus elektrotransportlīdzekļu uzlādei.</w:t>
            </w:r>
          </w:p>
          <w:p w14:paraId="72DBF9FB" w14:textId="77777777" w:rsidR="00C972CB" w:rsidRDefault="002457F6">
            <w:pPr>
              <w:pStyle w:val="P68B1DB1-Normal11"/>
              <w:spacing w:before="120" w:after="120"/>
              <w:rPr>
                <w:noProof/>
              </w:rPr>
            </w:pPr>
            <w:r>
              <w:rPr>
                <w:noProof/>
              </w:rPr>
              <w:t>Konkurences regulējums attiecībā uz hidroenerģijas koncesijām ir vismaz:</w:t>
            </w:r>
          </w:p>
          <w:p w14:paraId="7C1203EC" w14:textId="2ADB2830" w:rsidR="00C972CB" w:rsidRDefault="002457F6">
            <w:pPr>
              <w:pStyle w:val="P68B1DB1-Normal10"/>
              <w:spacing w:before="120" w:after="120"/>
              <w:rPr>
                <w:noProof/>
                <w:color w:val="006100"/>
                <w:sz w:val="20"/>
              </w:rPr>
            </w:pPr>
            <w:r>
              <w:rPr>
                <w:noProof/>
                <w:color w:val="006100"/>
                <w:sz w:val="20"/>
              </w:rPr>
              <w:t>Prasa, lai svarīgas hidroelektrostacijas tiktu regulētas ar vispārīgiem un vienotiem kritērijiem centrālā līmenī.</w:t>
            </w:r>
          </w:p>
          <w:p w14:paraId="5A2D6ABF" w14:textId="332AA898" w:rsidR="00C972CB" w:rsidRDefault="002457F6">
            <w:pPr>
              <w:pStyle w:val="P68B1DB1-Normal10"/>
              <w:spacing w:before="120" w:after="120"/>
              <w:rPr>
                <w:noProof/>
                <w:color w:val="006100"/>
                <w:sz w:val="20"/>
              </w:rPr>
            </w:pPr>
            <w:r>
              <w:rPr>
                <w:noProof/>
                <w:color w:val="006100"/>
                <w:sz w:val="20"/>
              </w:rPr>
              <w:t>Piepr</w:t>
            </w:r>
            <w:r>
              <w:rPr>
                <w:noProof/>
                <w:color w:val="006100"/>
                <w:sz w:val="20"/>
              </w:rPr>
              <w:t>asīt</w:t>
            </w:r>
            <w:r>
              <w:rPr>
                <w:noProof/>
              </w:rPr>
              <w:t xml:space="preserve"> </w:t>
            </w:r>
            <w:r>
              <w:rPr>
                <w:noProof/>
                <w:color w:val="006100"/>
                <w:sz w:val="20"/>
              </w:rPr>
              <w:t>reģioniem noteikt ekonomiskos kritērijus, uz kuriem balstās koncesijas līgumu termiņš.</w:t>
            </w:r>
          </w:p>
          <w:p w14:paraId="1B64FE86" w14:textId="0692A368" w:rsidR="00C972CB" w:rsidRDefault="002457F6">
            <w:pPr>
              <w:pStyle w:val="P68B1DB1-Normal11"/>
              <w:spacing w:before="120" w:after="120"/>
              <w:rPr>
                <w:noProof/>
              </w:rPr>
            </w:pPr>
            <w:r>
              <w:rPr>
                <w:noProof/>
              </w:rPr>
              <w:t>—Pakāpeniski atcelt iespēju pagarināt līgumus (kā jau lēmusi Itālijas Konstitucionālā tiesa).</w:t>
            </w:r>
          </w:p>
          <w:p w14:paraId="0C852C0E" w14:textId="2D3821E8" w:rsidR="00C972CB" w:rsidRDefault="002457F6">
            <w:pPr>
              <w:pStyle w:val="P68B1DB1-Normal10"/>
              <w:spacing w:before="120" w:after="120"/>
              <w:rPr>
                <w:noProof/>
                <w:color w:val="006100"/>
                <w:sz w:val="20"/>
              </w:rPr>
            </w:pPr>
            <w:r>
              <w:rPr>
                <w:noProof/>
                <w:color w:val="006100"/>
                <w:sz w:val="20"/>
              </w:rPr>
              <w:t>-</w:t>
            </w:r>
            <w:r>
              <w:rPr>
                <w:noProof/>
              </w:rPr>
              <w:t xml:space="preserve"> </w:t>
            </w:r>
            <w:r>
              <w:rPr>
                <w:noProof/>
                <w:color w:val="006100"/>
                <w:sz w:val="20"/>
              </w:rPr>
              <w:t>Pieprasīt reģioniem saskaņot piekļuves kritērijus konkursa kritēriji</w:t>
            </w:r>
            <w:r>
              <w:rPr>
                <w:noProof/>
                <w:color w:val="006100"/>
                <w:sz w:val="20"/>
              </w:rPr>
              <w:t>em (lai radītu paredzamu uzņēmējdarbības vidi).</w:t>
            </w:r>
          </w:p>
          <w:p w14:paraId="1D573CA8" w14:textId="77777777" w:rsidR="00C972CB" w:rsidRDefault="002457F6">
            <w:pPr>
              <w:pStyle w:val="P68B1DB1-Normal11"/>
              <w:spacing w:before="120" w:after="120"/>
              <w:rPr>
                <w:noProof/>
              </w:rPr>
            </w:pPr>
            <w:r>
              <w:rPr>
                <w:noProof/>
              </w:rPr>
              <w:t>Transports:</w:t>
            </w:r>
          </w:p>
          <w:p w14:paraId="36BEC349" w14:textId="1D0468A7" w:rsidR="00C972CB" w:rsidRDefault="002457F6">
            <w:pPr>
              <w:pStyle w:val="P68B1DB1-Normal10"/>
              <w:spacing w:before="120" w:after="120"/>
              <w:rPr>
                <w:noProof/>
                <w:color w:val="006100"/>
                <w:sz w:val="20"/>
              </w:rPr>
            </w:pPr>
            <w:r>
              <w:rPr>
                <w:noProof/>
                <w:color w:val="006100"/>
                <w:sz w:val="20"/>
              </w:rPr>
              <w:t>X. izstrādāt</w:t>
            </w:r>
            <w:r>
              <w:rPr>
                <w:noProof/>
              </w:rPr>
              <w:t xml:space="preserve"> </w:t>
            </w:r>
            <w:r>
              <w:rPr>
                <w:noProof/>
                <w:color w:val="006100"/>
                <w:sz w:val="20"/>
              </w:rPr>
              <w:t>skaidrus, nediskriminējošus un pārredzamus kritērijus ostas koncesiju piešķiršanai.</w:t>
            </w:r>
          </w:p>
          <w:p w14:paraId="4F56A195" w14:textId="3407E6F3" w:rsidR="00C972CB" w:rsidRDefault="002457F6">
            <w:pPr>
              <w:pStyle w:val="P68B1DB1-Normal10"/>
              <w:spacing w:before="120" w:after="120"/>
              <w:rPr>
                <w:noProof/>
                <w:color w:val="006100"/>
                <w:sz w:val="20"/>
              </w:rPr>
            </w:pPr>
            <w:r>
              <w:rPr>
                <w:noProof/>
                <w:color w:val="006100"/>
                <w:sz w:val="20"/>
              </w:rPr>
              <w:t>XI.</w:t>
            </w:r>
            <w:r>
              <w:rPr>
                <w:noProof/>
              </w:rPr>
              <w:t xml:space="preserve"> </w:t>
            </w:r>
            <w:r>
              <w:rPr>
                <w:noProof/>
                <w:color w:val="006100"/>
                <w:sz w:val="20"/>
              </w:rPr>
              <w:t xml:space="preserve">Novērst šķēršļus ostu koncesionāriem, lai tie apvienotu ostu koncesijas darbības vairākās </w:t>
            </w:r>
            <w:r>
              <w:rPr>
                <w:noProof/>
                <w:color w:val="006100"/>
                <w:sz w:val="20"/>
              </w:rPr>
              <w:t>lielās un vidējās ostās.</w:t>
            </w:r>
          </w:p>
          <w:p w14:paraId="4981B7B5" w14:textId="1289D7AC" w:rsidR="00C972CB" w:rsidRDefault="002457F6">
            <w:pPr>
              <w:pStyle w:val="P68B1DB1-Normal10"/>
              <w:spacing w:before="120" w:after="120"/>
              <w:rPr>
                <w:noProof/>
                <w:color w:val="006100"/>
                <w:sz w:val="20"/>
              </w:rPr>
            </w:pPr>
            <w:r>
              <w:rPr>
                <w:noProof/>
                <w:color w:val="006100"/>
                <w:sz w:val="20"/>
              </w:rPr>
              <w:t>XII.</w:t>
            </w:r>
            <w:r>
              <w:rPr>
                <w:noProof/>
              </w:rPr>
              <w:t xml:space="preserve"> </w:t>
            </w:r>
            <w:r>
              <w:rPr>
                <w:noProof/>
                <w:color w:val="006100"/>
                <w:sz w:val="20"/>
              </w:rPr>
              <w:t xml:space="preserve">Novērst šķēršļus, kas liedz koncesionāriem pašiem sniegt dažus ostas pakalpojumus un izmantot savu aprīkojumu, neskarot darba ņēmēju drošību, ar nosacījumu, ka attiecīgie nosacījumi, kas vajadzīgi, lai aizsargātu darba ņēmēju </w:t>
            </w:r>
            <w:r>
              <w:rPr>
                <w:noProof/>
                <w:color w:val="006100"/>
                <w:sz w:val="20"/>
              </w:rPr>
              <w:t>drošību, ir nepieciešami un samērīgi ar mērķi nodrošināt drošību ostas teritorijās.</w:t>
            </w:r>
          </w:p>
          <w:p w14:paraId="107167C9" w14:textId="69FF4890" w:rsidR="00C972CB" w:rsidRDefault="002457F6">
            <w:pPr>
              <w:pStyle w:val="P68B1DB1-Normal10"/>
              <w:spacing w:before="120" w:after="120"/>
              <w:rPr>
                <w:noProof/>
                <w:color w:val="006100"/>
                <w:sz w:val="20"/>
              </w:rPr>
            </w:pPr>
            <w:r>
              <w:rPr>
                <w:noProof/>
                <w:color w:val="006100"/>
                <w:sz w:val="20"/>
              </w:rPr>
              <w:t>XIII.</w:t>
            </w:r>
            <w:r>
              <w:rPr>
                <w:noProof/>
              </w:rPr>
              <w:t xml:space="preserve"> </w:t>
            </w:r>
            <w:r>
              <w:rPr>
                <w:noProof/>
                <w:color w:val="006100"/>
                <w:sz w:val="20"/>
              </w:rPr>
              <w:t>Vienkāršot ostu atļauju piešķiršanas plānu pārskatīšanas procedūru pārskatīšanu.</w:t>
            </w:r>
          </w:p>
          <w:p w14:paraId="69A73301" w14:textId="7E26B4D3" w:rsidR="00C972CB" w:rsidRDefault="002457F6">
            <w:pPr>
              <w:pStyle w:val="P68B1DB1-Normal10"/>
              <w:spacing w:before="120" w:after="120"/>
              <w:rPr>
                <w:noProof/>
                <w:color w:val="006100"/>
                <w:sz w:val="20"/>
              </w:rPr>
            </w:pPr>
            <w:r>
              <w:rPr>
                <w:noProof/>
                <w:color w:val="006100"/>
                <w:sz w:val="20"/>
              </w:rPr>
              <w:t>XIV.</w:t>
            </w:r>
            <w:r>
              <w:rPr>
                <w:noProof/>
              </w:rPr>
              <w:t xml:space="preserve"> </w:t>
            </w:r>
            <w:r>
              <w:rPr>
                <w:noProof/>
                <w:color w:val="006100"/>
                <w:sz w:val="20"/>
              </w:rPr>
              <w:t xml:space="preserve">Īstenot Dekrētlikuma Nr. 50/2017 27. panta 2. punkta d) apakšpunktu, kas paredz </w:t>
            </w:r>
            <w:r>
              <w:rPr>
                <w:noProof/>
                <w:color w:val="006100"/>
                <w:sz w:val="20"/>
              </w:rPr>
              <w:t>stimulus reģioniem izsludināt konkursus par saviem reģionālajiem dzelzceļa līgumiem.</w:t>
            </w:r>
          </w:p>
          <w:p w14:paraId="50C9AFE5" w14:textId="77777777" w:rsidR="00C972CB" w:rsidRDefault="002457F6">
            <w:pPr>
              <w:pStyle w:val="P68B1DB1-Normal11"/>
              <w:spacing w:before="120" w:after="120"/>
              <w:rPr>
                <w:noProof/>
              </w:rPr>
            </w:pPr>
            <w:r>
              <w:rPr>
                <w:noProof/>
              </w:rPr>
              <w:t>Atkritumi:</w:t>
            </w:r>
          </w:p>
          <w:p w14:paraId="646DCAB1" w14:textId="0640BBB6" w:rsidR="00C972CB" w:rsidRDefault="002457F6">
            <w:pPr>
              <w:pStyle w:val="P68B1DB1-Normal10"/>
              <w:spacing w:before="120" w:after="120"/>
              <w:rPr>
                <w:noProof/>
                <w:color w:val="006100"/>
                <w:sz w:val="20"/>
              </w:rPr>
            </w:pPr>
            <w:r>
              <w:rPr>
                <w:noProof/>
                <w:color w:val="006100"/>
                <w:sz w:val="20"/>
              </w:rPr>
              <w:t>XV.</w:t>
            </w:r>
            <w:r>
              <w:rPr>
                <w:noProof/>
              </w:rPr>
              <w:t xml:space="preserve"> </w:t>
            </w:r>
            <w:r>
              <w:rPr>
                <w:noProof/>
                <w:color w:val="006100"/>
                <w:sz w:val="20"/>
              </w:rPr>
              <w:t>Vienkāršot atļauju piešķiršanas procedūras atkritumu apstrādes iekārtām.</w:t>
            </w:r>
          </w:p>
          <w:p w14:paraId="71BE90AD" w14:textId="77777777" w:rsidR="00C972CB" w:rsidRDefault="002457F6">
            <w:pPr>
              <w:pStyle w:val="P68B1DB1-Normal11"/>
              <w:spacing w:before="120" w:after="120"/>
              <w:rPr>
                <w:noProof/>
              </w:rPr>
            </w:pPr>
            <w:r>
              <w:rPr>
                <w:noProof/>
              </w:rPr>
              <w:t>Uzņēmējdarbības sākšana:</w:t>
            </w:r>
          </w:p>
          <w:p w14:paraId="36C12406" w14:textId="2024B985" w:rsidR="00C972CB" w:rsidRDefault="002457F6">
            <w:pPr>
              <w:pStyle w:val="P68B1DB1-Normal10"/>
              <w:spacing w:before="120" w:after="120"/>
              <w:rPr>
                <w:noProof/>
                <w:color w:val="006100"/>
                <w:sz w:val="20"/>
              </w:rPr>
            </w:pPr>
            <w:r>
              <w:rPr>
                <w:noProof/>
                <w:color w:val="006100"/>
                <w:sz w:val="20"/>
              </w:rPr>
              <w:t>XVI.</w:t>
            </w:r>
            <w:r>
              <w:rPr>
                <w:noProof/>
              </w:rPr>
              <w:t xml:space="preserve"> </w:t>
            </w:r>
            <w:r>
              <w:rPr>
                <w:noProof/>
                <w:color w:val="006100"/>
                <w:sz w:val="20"/>
              </w:rPr>
              <w:t>Samazināt akreditācijas laiku informācijas sniegšanai</w:t>
            </w:r>
            <w:r>
              <w:rPr>
                <w:noProof/>
                <w:color w:val="006100"/>
                <w:sz w:val="20"/>
              </w:rPr>
              <w:t xml:space="preserve"> par darbiniekiem no septiņām līdz četrām dienām, lai samazinātu dienu skaitu uzņēmuma dibināšanai.</w:t>
            </w:r>
          </w:p>
          <w:p w14:paraId="6B77CD78" w14:textId="77777777" w:rsidR="00C972CB" w:rsidRDefault="002457F6">
            <w:pPr>
              <w:pStyle w:val="P68B1DB1-Normal11"/>
              <w:spacing w:before="120" w:after="120"/>
              <w:rPr>
                <w:noProof/>
              </w:rPr>
            </w:pPr>
            <w:r>
              <w:rPr>
                <w:noProof/>
              </w:rPr>
              <w:t>Tirgus uzraudzība —</w:t>
            </w:r>
          </w:p>
          <w:p w14:paraId="6E125B05" w14:textId="33524200" w:rsidR="00C972CB" w:rsidRDefault="002457F6">
            <w:pPr>
              <w:pStyle w:val="P68B1DB1-Normal10"/>
              <w:spacing w:before="120" w:after="120"/>
              <w:rPr>
                <w:noProof/>
                <w:color w:val="006100"/>
                <w:sz w:val="20"/>
              </w:rPr>
            </w:pPr>
            <w:r>
              <w:rPr>
                <w:noProof/>
                <w:color w:val="006100"/>
                <w:sz w:val="20"/>
              </w:rPr>
              <w:t>XVII.</w:t>
            </w:r>
            <w:r>
              <w:rPr>
                <w:noProof/>
              </w:rPr>
              <w:t xml:space="preserve"> </w:t>
            </w:r>
            <w:r>
              <w:rPr>
                <w:noProof/>
                <w:color w:val="006100"/>
                <w:sz w:val="20"/>
              </w:rPr>
              <w:t xml:space="preserve">Valsts tirgus uzraudzības iestāžu konsolidācija ne vairāk kā desmit aģentūrās, kas atrodas Itālijas galvenajos reģionos, katra no </w:t>
            </w:r>
            <w:r>
              <w:rPr>
                <w:noProof/>
                <w:color w:val="006100"/>
                <w:sz w:val="20"/>
              </w:rPr>
              <w:t>tām aptverot visas produktu grupas un ziņo vienotajam sadarbības koordinatoram, kas izveidots saskaņā ar Regulu 2019/1020 (“preču tiesību aktu kopums”).</w:t>
            </w:r>
          </w:p>
          <w:p w14:paraId="513AB458" w14:textId="174D1F99" w:rsidR="00C972CB" w:rsidRDefault="002457F6">
            <w:pPr>
              <w:pStyle w:val="P68B1DB1-Normal10"/>
              <w:spacing w:before="120" w:after="120"/>
              <w:rPr>
                <w:noProof/>
                <w:color w:val="006100"/>
                <w:sz w:val="20"/>
              </w:rPr>
            </w:pPr>
            <w:r>
              <w:rPr>
                <w:noProof/>
                <w:color w:val="006100"/>
                <w:sz w:val="20"/>
              </w:rPr>
              <w:t>XVIII.</w:t>
            </w:r>
            <w:r>
              <w:rPr>
                <w:noProof/>
              </w:rPr>
              <w:t xml:space="preserve"> </w:t>
            </w:r>
            <w:r>
              <w:rPr>
                <w:noProof/>
                <w:color w:val="006100"/>
                <w:sz w:val="20"/>
              </w:rPr>
              <w:t>Pieprasīt valsts tirgus uzraudzības iestādēm veikt digitalizētas produktu inspekcijas un datu vā</w:t>
            </w:r>
            <w:r>
              <w:rPr>
                <w:noProof/>
                <w:color w:val="006100"/>
                <w:sz w:val="20"/>
              </w:rPr>
              <w:t>kšanu, izmantot mākslīgo intelektu, lai izsekotu bīstamus un nelikumīgus produktus, un apzināt tendences un riskus vienotajā tirgū.</w:t>
            </w:r>
          </w:p>
          <w:p w14:paraId="5425729A" w14:textId="1C9EED67" w:rsidR="00C972CB" w:rsidRDefault="002457F6">
            <w:pPr>
              <w:pStyle w:val="P68B1DB1-Normal10"/>
              <w:spacing w:before="120" w:after="120"/>
              <w:rPr>
                <w:noProof/>
                <w:color w:val="006100"/>
                <w:sz w:val="20"/>
              </w:rPr>
            </w:pPr>
            <w:r>
              <w:rPr>
                <w:noProof/>
                <w:color w:val="006100"/>
                <w:sz w:val="20"/>
              </w:rPr>
              <w:t>XIX.</w:t>
            </w:r>
            <w:r>
              <w:rPr>
                <w:noProof/>
              </w:rPr>
              <w:t xml:space="preserve"> </w:t>
            </w:r>
            <w:r>
              <w:rPr>
                <w:noProof/>
                <w:color w:val="006100"/>
                <w:sz w:val="20"/>
              </w:rPr>
              <w:t>Pieprasīt valstu tirgus uzraudzības iestādēm iekļaut apmācību un informācijas un komunikācijas sistēmas izmantošanu Eir</w:t>
            </w:r>
            <w:r>
              <w:rPr>
                <w:noProof/>
                <w:color w:val="006100"/>
                <w:sz w:val="20"/>
              </w:rPr>
              <w:t>opas mēroga tirgus uzraudzībai.</w:t>
            </w:r>
          </w:p>
          <w:p w14:paraId="3BAA6798" w14:textId="416B5AEB" w:rsidR="00C972CB" w:rsidRDefault="002457F6">
            <w:pPr>
              <w:pStyle w:val="P68B1DB1-Normal10"/>
              <w:spacing w:before="120" w:after="120"/>
              <w:rPr>
                <w:noProof/>
                <w:color w:val="006100"/>
                <w:sz w:val="20"/>
              </w:rPr>
            </w:pPr>
            <w:r>
              <w:rPr>
                <w:noProof/>
                <w:color w:val="006100"/>
                <w:sz w:val="20"/>
              </w:rPr>
              <w:t>XX.</w:t>
            </w:r>
            <w:r>
              <w:rPr>
                <w:noProof/>
              </w:rPr>
              <w:t xml:space="preserve"> </w:t>
            </w:r>
            <w:r>
              <w:rPr>
                <w:noProof/>
                <w:color w:val="006100"/>
                <w:sz w:val="20"/>
              </w:rPr>
              <w:t xml:space="preserve">Izveidot jaunas akreditētas laboratorijas produktu testēšanai visām produktu grupām. Šīs laboratorijas veic e-komercijas testēšanu, fiziskas laboratorijas pārbaudes, kopīgas darbības (muitas/tirgus uzraudzības iestādes; </w:t>
            </w:r>
            <w:r>
              <w:rPr>
                <w:noProof/>
                <w:color w:val="006100"/>
                <w:sz w:val="20"/>
              </w:rPr>
              <w:t>divas vai vairākas valsts tirgus uzraudzības iestādes, valsts un ES tirgus iestādes).</w:t>
            </w:r>
          </w:p>
        </w:tc>
      </w:tr>
      <w:tr w:rsidR="00C972CB" w14:paraId="4C62F9D7"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163259F" w14:textId="77777777" w:rsidR="00C972CB" w:rsidRDefault="002457F6">
            <w:pPr>
              <w:pStyle w:val="P68B1DB1-Normal11"/>
              <w:spacing w:before="120" w:after="120"/>
              <w:jc w:val="center"/>
              <w:rPr>
                <w:noProof/>
              </w:rPr>
            </w:pPr>
            <w:r>
              <w:rPr>
                <w:noProof/>
              </w:rPr>
              <w:t>M1C2–7</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3A71550" w14:textId="77777777" w:rsidR="00C972CB" w:rsidRDefault="002457F6">
            <w:pPr>
              <w:pStyle w:val="P68B1DB1-Normal11"/>
              <w:spacing w:before="120" w:after="120"/>
              <w:jc w:val="center"/>
              <w:rPr>
                <w:noProof/>
              </w:rPr>
            </w:pPr>
            <w:r>
              <w:rPr>
                <w:noProof/>
              </w:rPr>
              <w:t>Reforma: Ikgadējie konkurences tiesību akti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E95BA8" w14:textId="77777777" w:rsidR="00C972CB" w:rsidRDefault="002457F6">
            <w:pPr>
              <w:pStyle w:val="P68B1DB1-Normal11"/>
              <w:spacing w:before="120" w:after="120"/>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26DFB59" w14:textId="77777777" w:rsidR="00C972CB" w:rsidRDefault="002457F6">
            <w:pPr>
              <w:pStyle w:val="P68B1DB1-Normal11"/>
              <w:spacing w:before="120" w:after="120"/>
              <w:jc w:val="center"/>
              <w:rPr>
                <w:noProof/>
              </w:rPr>
            </w:pPr>
            <w:r>
              <w:rPr>
                <w:noProof/>
              </w:rPr>
              <w:t xml:space="preserve">Visu ar enerģētiku saistīto īstenošanas pasākumu un sekundāro tiesību aktu stāšanās spēkā </w:t>
            </w:r>
            <w:r>
              <w:rPr>
                <w:noProof/>
              </w:rPr>
              <w:t>(vajadzības gadījumā)</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0504B78" w14:textId="77777777" w:rsidR="00C972CB" w:rsidRDefault="002457F6">
            <w:pPr>
              <w:pStyle w:val="P68B1DB1-Normal11"/>
              <w:spacing w:before="120" w:after="120"/>
              <w:jc w:val="center"/>
              <w:rPr>
                <w:noProof/>
              </w:rPr>
            </w:pPr>
            <w:r>
              <w:rPr>
                <w:noProof/>
              </w:rPr>
              <w:t>Visu ar enerģētiku saistīto īstenošanas pasākumu un sekundāro tiesību aktu stāšanās spēkā (vajadzības gadījumā)</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36BEEAB" w14:textId="77777777" w:rsidR="00C972CB" w:rsidRDefault="002457F6">
            <w:pPr>
              <w:pStyle w:val="P68B1DB1-Normal11"/>
              <w:spacing w:before="120" w:after="120"/>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EAFF92E" w14:textId="77777777" w:rsidR="00C972CB" w:rsidRDefault="002457F6">
            <w:pPr>
              <w:pStyle w:val="P68B1DB1-Normal11"/>
              <w:spacing w:before="120" w:after="120"/>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FF71221" w14:textId="77777777" w:rsidR="00C972CB" w:rsidRDefault="002457F6">
            <w:pPr>
              <w:pStyle w:val="P68B1DB1-Normal11"/>
              <w:spacing w:before="120" w:after="120"/>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7F7393"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881A458" w14:textId="77777777" w:rsidR="00C972CB" w:rsidRDefault="002457F6">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08AAAEC" w14:textId="77777777" w:rsidR="00C972CB" w:rsidRDefault="002457F6">
            <w:pPr>
              <w:pStyle w:val="P68B1DB1-Normal11"/>
              <w:spacing w:before="120" w:after="120"/>
              <w:rPr>
                <w:noProof/>
              </w:rPr>
            </w:pPr>
            <w:r>
              <w:rPr>
                <w:noProof/>
              </w:rPr>
              <w:t xml:space="preserve">Stājas spēkā visi ar enerģētiku saistītie īstenošanas pasākumi un sekundārie </w:t>
            </w:r>
            <w:r>
              <w:rPr>
                <w:noProof/>
              </w:rPr>
              <w:t>tiesību akti (vajadzības gadījumā), lai:</w:t>
            </w:r>
          </w:p>
          <w:p w14:paraId="52CBE93D" w14:textId="5FF860E1" w:rsidR="00C972CB" w:rsidRDefault="002457F6">
            <w:pPr>
              <w:pStyle w:val="P68B1DB1-Normal10"/>
              <w:spacing w:before="120" w:after="120"/>
              <w:rPr>
                <w:noProof/>
                <w:color w:val="006100"/>
                <w:sz w:val="20"/>
              </w:rPr>
            </w:pPr>
            <w:r>
              <w:rPr>
                <w:noProof/>
                <w:color w:val="006100"/>
                <w:sz w:val="20"/>
              </w:rPr>
              <w:t>I. No</w:t>
            </w:r>
            <w:r>
              <w:rPr>
                <w:noProof/>
              </w:rPr>
              <w:t xml:space="preserve"> </w:t>
            </w:r>
            <w:r>
              <w:rPr>
                <w:noProof/>
                <w:color w:val="006100"/>
                <w:sz w:val="20"/>
              </w:rPr>
              <w:t>2023. gada 1. janvāra pakāpeniski atcelt regulētās cenas mikrouzņēmumiem un mājsaimniecībām.</w:t>
            </w:r>
          </w:p>
          <w:p w14:paraId="73BFAA44" w14:textId="76134502" w:rsidR="00C972CB" w:rsidRDefault="002457F6">
            <w:pPr>
              <w:pStyle w:val="P68B1DB1-Normal10"/>
              <w:spacing w:before="120" w:after="120"/>
              <w:rPr>
                <w:noProof/>
                <w:color w:val="006100"/>
                <w:sz w:val="20"/>
              </w:rPr>
            </w:pPr>
            <w:r>
              <w:rPr>
                <w:noProof/>
                <w:color w:val="006100"/>
                <w:sz w:val="20"/>
              </w:rPr>
              <w:t>II.</w:t>
            </w:r>
            <w:r>
              <w:rPr>
                <w:noProof/>
              </w:rPr>
              <w:t xml:space="preserve"> </w:t>
            </w:r>
            <w:r>
              <w:rPr>
                <w:noProof/>
                <w:color w:val="006100"/>
                <w:sz w:val="20"/>
              </w:rPr>
              <w:t>Pieņemt papildu pasākumus, lai atbalstītu konkurences ieviešanu elektroenerģijas mazumtirdzniecības tirgos.</w:t>
            </w:r>
          </w:p>
          <w:p w14:paraId="1850A759" w14:textId="77777777" w:rsidR="00C972CB" w:rsidRDefault="002457F6">
            <w:pPr>
              <w:pStyle w:val="P68B1DB1-Normal11"/>
              <w:spacing w:before="120" w:after="120"/>
              <w:rPr>
                <w:noProof/>
              </w:rPr>
            </w:pPr>
            <w:r>
              <w:rPr>
                <w:noProof/>
              </w:rPr>
              <w:t>Papi</w:t>
            </w:r>
            <w:r>
              <w:rPr>
                <w:noProof/>
              </w:rPr>
              <w:t>ldu pasākumi, lai nodrošinātu konkurences ieviešanu elektroenerģijas mazumtirdzniecības tirgos, nodrošina vismaz šādu informāciju:</w:t>
            </w:r>
          </w:p>
          <w:p w14:paraId="6930AE23" w14:textId="77777777" w:rsidR="00C972CB" w:rsidRDefault="002457F6">
            <w:pPr>
              <w:pStyle w:val="P68B1DB1-Normal11"/>
              <w:spacing w:before="120" w:after="120"/>
              <w:rPr>
                <w:noProof/>
              </w:rPr>
            </w:pPr>
            <w:r>
              <w:rPr>
                <w:noProof/>
              </w:rPr>
              <w:t>Izsolīt klientu bāzi, lai nodrošinātu vienlīdzīgus konkurences apstākļus jauniem tirgus dalībniekiem.</w:t>
            </w:r>
          </w:p>
          <w:p w14:paraId="0B956662" w14:textId="77777777" w:rsidR="00C972CB" w:rsidRDefault="002457F6">
            <w:pPr>
              <w:pStyle w:val="P68B1DB1-Normal11"/>
              <w:spacing w:before="120" w:after="120"/>
              <w:rPr>
                <w:noProof/>
              </w:rPr>
            </w:pPr>
            <w:r>
              <w:rPr>
                <w:noProof/>
              </w:rPr>
              <w:t>Noteikt maksimālo tirgu</w:t>
            </w:r>
            <w:r>
              <w:rPr>
                <w:noProof/>
              </w:rPr>
              <w:t>s daļu, kas ir katram piegādātājam pieejamā maksimālā tirgus daļa;</w:t>
            </w:r>
          </w:p>
          <w:p w14:paraId="7D858621" w14:textId="77777777" w:rsidR="00C972CB" w:rsidRDefault="002457F6">
            <w:pPr>
              <w:pStyle w:val="P68B1DB1-Normal11"/>
              <w:spacing w:before="120" w:after="120"/>
              <w:rPr>
                <w:noProof/>
              </w:rPr>
            </w:pPr>
            <w:r>
              <w:rPr>
                <w:noProof/>
              </w:rPr>
              <w:t>Ļaut Itālijas patērētājiem pieprasīt, lai to enerģijas piegādātājs izpauž rēķinu datus trešām personām, kas ir pakalpojumu sniedzēji;</w:t>
            </w:r>
          </w:p>
          <w:p w14:paraId="0677999A" w14:textId="77777777" w:rsidR="00C972CB" w:rsidRDefault="002457F6">
            <w:pPr>
              <w:pStyle w:val="P68B1DB1-Normal11"/>
              <w:spacing w:before="120" w:after="120"/>
              <w:rPr>
                <w:noProof/>
              </w:rPr>
            </w:pPr>
            <w:r>
              <w:rPr>
                <w:noProof/>
              </w:rPr>
              <w:t>Palielināt elektroenerģijas rēķinu pārredzamību, nodroš</w:t>
            </w:r>
            <w:r>
              <w:rPr>
                <w:noProof/>
              </w:rPr>
              <w:t>inot patērētājiem piekļuvi “spesi per oneri di sistema” apakškomponentiem;</w:t>
            </w:r>
          </w:p>
          <w:p w14:paraId="354C54EE" w14:textId="77777777" w:rsidR="00C972CB" w:rsidRDefault="002457F6">
            <w:pPr>
              <w:pStyle w:val="P68B1DB1-Normal11"/>
              <w:spacing w:before="120" w:after="120"/>
              <w:rPr>
                <w:noProof/>
              </w:rPr>
            </w:pPr>
            <w:r>
              <w:rPr>
                <w:noProof/>
              </w:rPr>
              <w:t>— Atcelt prasību piegādātājiem iekasēt maksas, kas nav saistītas ar enerģētikas nozari.</w:t>
            </w:r>
          </w:p>
        </w:tc>
      </w:tr>
      <w:tr w:rsidR="00C972CB" w14:paraId="170CFD4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C177C9C" w14:textId="77777777" w:rsidR="00C972CB" w:rsidRDefault="002457F6">
            <w:pPr>
              <w:pStyle w:val="P68B1DB1-Normal11"/>
              <w:spacing w:before="120" w:after="120"/>
              <w:jc w:val="center"/>
              <w:rPr>
                <w:noProof/>
              </w:rPr>
            </w:pPr>
            <w:r>
              <w:rPr>
                <w:noProof/>
              </w:rPr>
              <w:t>M1C2–8</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C14156E" w14:textId="77777777" w:rsidR="00C972CB" w:rsidRDefault="002457F6">
            <w:pPr>
              <w:pStyle w:val="P68B1DB1-Normal11"/>
              <w:spacing w:before="120" w:after="120"/>
              <w:jc w:val="center"/>
              <w:rPr>
                <w:noProof/>
              </w:rPr>
            </w:pPr>
            <w:r>
              <w:rPr>
                <w:noProof/>
              </w:rPr>
              <w:t>Reforma: Ikgadējie konkurences tiesību akti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715F9" w14:textId="77777777" w:rsidR="00C972CB" w:rsidRDefault="002457F6">
            <w:pPr>
              <w:pStyle w:val="P68B1DB1-Normal11"/>
              <w:spacing w:before="120" w:after="120"/>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E62B26C" w14:textId="77777777" w:rsidR="00C972CB" w:rsidRDefault="002457F6">
            <w:pPr>
              <w:pStyle w:val="P68B1DB1-Normal11"/>
              <w:spacing w:before="120" w:after="120"/>
              <w:jc w:val="center"/>
              <w:rPr>
                <w:noProof/>
              </w:rPr>
            </w:pPr>
            <w:r>
              <w:rPr>
                <w:noProof/>
              </w:rPr>
              <w:t xml:space="preserve">Stājas spēkā visi </w:t>
            </w:r>
            <w:r>
              <w:rPr>
                <w:noProof/>
              </w:rPr>
              <w:t>īstenošanas pasākumi (vajadzības gadījumā arī sekundārie tiesību akti), lai efektīvi īstenotu un piemērotu pasākumus, kas izriet no 2021. gada Konkurences likuma</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B639F37" w14:textId="77777777" w:rsidR="00C972CB" w:rsidRDefault="002457F6">
            <w:pPr>
              <w:pStyle w:val="P68B1DB1-Normal11"/>
              <w:spacing w:before="120" w:after="120"/>
              <w:jc w:val="center"/>
              <w:rPr>
                <w:noProof/>
              </w:rPr>
            </w:pPr>
            <w:r>
              <w:rPr>
                <w:noProof/>
              </w:rPr>
              <w:t xml:space="preserve">Stājas spēkā visi sekundārie tiesību akti, tostarp visi nepieciešamie noteikumi par </w:t>
            </w:r>
            <w:r>
              <w:rPr>
                <w:noProof/>
              </w:rPr>
              <w:t>pasākumiem, kas izriet no 2021. gada ikgadējā konkurences likuma</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7DFF3D8" w14:textId="77777777" w:rsidR="00C972CB" w:rsidRDefault="002457F6">
            <w:pPr>
              <w:pStyle w:val="P68B1DB1-Normal11"/>
              <w:spacing w:before="120" w:after="120"/>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59A90D8" w14:textId="77777777" w:rsidR="00C972CB" w:rsidRDefault="002457F6">
            <w:pPr>
              <w:pStyle w:val="P68B1DB1-Normal11"/>
              <w:spacing w:before="120" w:after="120"/>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5B36D1B" w14:textId="77777777" w:rsidR="00C972CB" w:rsidRDefault="002457F6">
            <w:pPr>
              <w:pStyle w:val="P68B1DB1-Normal11"/>
              <w:spacing w:before="120" w:after="120"/>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F6D9F51"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B85BF98" w14:textId="77777777" w:rsidR="00C972CB" w:rsidRDefault="002457F6">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13E389" w14:textId="77777777" w:rsidR="00C972CB" w:rsidRDefault="002457F6">
            <w:pPr>
              <w:pStyle w:val="P68B1DB1-Normal11"/>
              <w:spacing w:before="120" w:after="120"/>
              <w:rPr>
                <w:noProof/>
              </w:rPr>
            </w:pPr>
            <w:r>
              <w:rPr>
                <w:noProof/>
              </w:rPr>
              <w:t>Stājas spēkā visi īstenošanas pasākumi (vajadzības gadījumā arī sekundārie tiesību akti), lai efektīvi īstenotu un piemērotu pasākumus, kas izriet n</w:t>
            </w:r>
            <w:r>
              <w:rPr>
                <w:noProof/>
              </w:rPr>
              <w:t>o 2021. gada Konkurences likuma.</w:t>
            </w:r>
          </w:p>
        </w:tc>
      </w:tr>
      <w:tr w:rsidR="00C972CB" w14:paraId="5095E8B3"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85C4B1A" w14:textId="77777777" w:rsidR="00C972CB" w:rsidRDefault="002457F6">
            <w:pPr>
              <w:pStyle w:val="P68B1DB1-Normal11"/>
              <w:spacing w:before="120" w:after="120"/>
              <w:jc w:val="center"/>
              <w:rPr>
                <w:noProof/>
              </w:rPr>
            </w:pPr>
            <w:r>
              <w:rPr>
                <w:noProof/>
              </w:rPr>
              <w:t>M1C2–9</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7BA0FE5" w14:textId="77777777" w:rsidR="00C972CB" w:rsidRDefault="002457F6">
            <w:pPr>
              <w:pStyle w:val="P68B1DB1-Normal11"/>
              <w:spacing w:before="120" w:after="120"/>
              <w:jc w:val="center"/>
              <w:rPr>
                <w:noProof/>
              </w:rPr>
            </w:pPr>
            <w:r>
              <w:rPr>
                <w:noProof/>
              </w:rPr>
              <w:t>Reforma: Ikgadējie konkurences tiesību akti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0089CC" w14:textId="77777777" w:rsidR="00C972CB" w:rsidRDefault="002457F6">
            <w:pPr>
              <w:pStyle w:val="P68B1DB1-Normal11"/>
              <w:spacing w:before="120" w:after="120"/>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7B34D7F" w14:textId="77777777" w:rsidR="00C972CB" w:rsidRDefault="002457F6">
            <w:pPr>
              <w:pStyle w:val="P68B1DB1-Normal11"/>
              <w:spacing w:before="120" w:after="120"/>
              <w:jc w:val="center"/>
              <w:rPr>
                <w:noProof/>
              </w:rPr>
            </w:pPr>
            <w:r>
              <w:rPr>
                <w:noProof/>
              </w:rPr>
              <w:t>2022. gada Konkurences likuma stāšanās spēkā</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44B0DAAD" w14:textId="77777777" w:rsidR="00C972CB" w:rsidRDefault="002457F6">
            <w:pPr>
              <w:pStyle w:val="P68B1DB1-Normal11"/>
              <w:spacing w:before="120" w:after="120"/>
              <w:jc w:val="center"/>
              <w:rPr>
                <w:noProof/>
              </w:rPr>
            </w:pPr>
            <w:r>
              <w:rPr>
                <w:noProof/>
              </w:rPr>
              <w:t>Noteikums, kas norāda uz 2022. gada Konkurences likuma stāšanos spēkā.</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FC1FB02" w14:textId="77777777" w:rsidR="00C972CB" w:rsidRDefault="002457F6">
            <w:pPr>
              <w:pStyle w:val="P68B1DB1-Normal11"/>
              <w:spacing w:before="120" w:after="120"/>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FC76599" w14:textId="77777777" w:rsidR="00C972CB" w:rsidRDefault="002457F6">
            <w:pPr>
              <w:pStyle w:val="P68B1DB1-Normal11"/>
              <w:spacing w:before="120" w:after="120"/>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F9191AB" w14:textId="77777777" w:rsidR="00C972CB" w:rsidRDefault="002457F6">
            <w:pPr>
              <w:pStyle w:val="P68B1DB1-Normal11"/>
              <w:spacing w:before="120" w:after="120"/>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8E4D54"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393AE7" w14:textId="77777777" w:rsidR="00C972CB" w:rsidRDefault="002457F6">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29569EA" w14:textId="48CF763E" w:rsidR="00C972CB" w:rsidRDefault="002457F6">
            <w:pPr>
              <w:pStyle w:val="P68B1DB1-Normal10"/>
              <w:spacing w:after="120"/>
              <w:rPr>
                <w:noProof/>
                <w:color w:val="006100"/>
                <w:sz w:val="20"/>
              </w:rPr>
            </w:pPr>
            <w:r>
              <w:rPr>
                <w:noProof/>
                <w:color w:val="006100"/>
                <w:sz w:val="20"/>
              </w:rPr>
              <w:t>2022. gada Konkurences likuma stāšanās spēkā</w:t>
            </w:r>
            <w:r>
              <w:rPr>
                <w:noProof/>
              </w:rPr>
              <w:t xml:space="preserve"> </w:t>
            </w:r>
            <w:r>
              <w:rPr>
                <w:noProof/>
              </w:rPr>
              <w:br/>
            </w:r>
            <w:r>
              <w:rPr>
                <w:noProof/>
                <w:color w:val="006100"/>
                <w:sz w:val="20"/>
              </w:rPr>
              <w:t>Ikgadējā konkurences tiesību aktā iekļauj vismaz šādus galvenos elementus, kuru īstenošanas pasākumi un sekundārie tiesību akti (ja nepieciešams) tiek pieņemti un stājas spēkā ne vēlāk kā 2023. gada 31. d</w:t>
            </w:r>
            <w:r>
              <w:rPr>
                <w:noProof/>
                <w:color w:val="006100"/>
                <w:sz w:val="20"/>
              </w:rPr>
              <w:t>ecembrī.</w:t>
            </w:r>
          </w:p>
          <w:p w14:paraId="590D001C" w14:textId="77777777" w:rsidR="00C972CB" w:rsidRDefault="002457F6">
            <w:pPr>
              <w:pStyle w:val="P68B1DB1-Normal11"/>
              <w:spacing w:before="120" w:after="120"/>
              <w:rPr>
                <w:noProof/>
              </w:rPr>
            </w:pPr>
            <w:r>
              <w:rPr>
                <w:noProof/>
              </w:rPr>
              <w:t xml:space="preserve">Tajā: </w:t>
            </w:r>
          </w:p>
          <w:p w14:paraId="62CA24A9" w14:textId="71E5714C" w:rsidR="00C972CB" w:rsidRDefault="002457F6">
            <w:pPr>
              <w:pStyle w:val="P68B1DB1-Normal11"/>
              <w:spacing w:before="120" w:after="120"/>
              <w:rPr>
                <w:noProof/>
              </w:rPr>
            </w:pPr>
            <w:r>
              <w:rPr>
                <w:b/>
                <w:noProof/>
              </w:rPr>
              <w:t>izstrādāt</w:t>
            </w:r>
            <w:r>
              <w:rPr>
                <w:noProof/>
              </w:rPr>
              <w:t xml:space="preserve"> skaidru procedūru elektroenerģijas tīkla attīstības plāna nākamajai desmitgadei pieņemšanai</w:t>
            </w:r>
            <w:r>
              <w:rPr>
                <w:b/>
                <w:noProof/>
              </w:rPr>
              <w:t xml:space="preserve">iepriekš </w:t>
            </w:r>
            <w:r>
              <w:rPr>
                <w:noProof/>
              </w:rPr>
              <w:t xml:space="preserve"> noteiktos termiņos un jebkurā gadījumā līdz attiecīgā perioda 31. decembrim (ik pēc diviem gadiem)(*), kas nodrošina procedūras p</w:t>
            </w:r>
            <w:r>
              <w:rPr>
                <w:noProof/>
              </w:rPr>
              <w:t>abeigšanu un apstiprināšanas procesa vienkāršošanu.</w:t>
            </w:r>
          </w:p>
          <w:p w14:paraId="7FED5636" w14:textId="47EA4A94" w:rsidR="00C972CB" w:rsidRDefault="002457F6">
            <w:pPr>
              <w:pStyle w:val="P68B1DB1-Normal11"/>
              <w:spacing w:before="120" w:after="120"/>
              <w:rPr>
                <w:noProof/>
              </w:rPr>
            </w:pPr>
            <w:r>
              <w:rPr>
                <w:noProof/>
              </w:rPr>
              <w:t>* 2021. gada elektroenerģijas tīkla attīstības plānu pieņem līdz 2023. gada 31. decembrim.</w:t>
            </w:r>
          </w:p>
          <w:p w14:paraId="4F114842" w14:textId="77777777" w:rsidR="00C972CB" w:rsidRDefault="002457F6">
            <w:pPr>
              <w:pStyle w:val="P68B1DB1-Normal11"/>
              <w:spacing w:before="120" w:after="120"/>
              <w:rPr>
                <w:noProof/>
              </w:rPr>
            </w:pPr>
            <w:r>
              <w:rPr>
                <w:b/>
                <w:noProof/>
              </w:rPr>
              <w:t>veicināt</w:t>
            </w:r>
            <w:r>
              <w:rPr>
                <w:noProof/>
              </w:rPr>
              <w:t xml:space="preserve"> </w:t>
            </w:r>
            <w:r>
              <w:rPr>
                <w:noProof/>
                <w:vertAlign w:val="superscript"/>
              </w:rPr>
              <w:t>otrās</w:t>
            </w:r>
            <w:r>
              <w:rPr>
                <w:noProof/>
              </w:rPr>
              <w:t xml:space="preserve"> paaudzes viedo elektroenerģijas skaitītāju ieviešanu; </w:t>
            </w:r>
          </w:p>
          <w:p w14:paraId="650DE284" w14:textId="77777777" w:rsidR="00C972CB" w:rsidRDefault="00C972CB">
            <w:pPr>
              <w:rPr>
                <w:rFonts w:ascii="Arial Narrow" w:hAnsi="Arial Narrow"/>
                <w:b/>
                <w:noProof/>
                <w:color w:val="006100"/>
                <w:sz w:val="20"/>
              </w:rPr>
            </w:pPr>
          </w:p>
          <w:p w14:paraId="60B7DA49" w14:textId="77777777" w:rsidR="00C972CB" w:rsidRDefault="002457F6">
            <w:pPr>
              <w:pStyle w:val="P68B1DB1-Normal20"/>
              <w:rPr>
                <w:noProof/>
              </w:rPr>
            </w:pPr>
            <w:r>
              <w:rPr>
                <w:noProof/>
              </w:rPr>
              <w:t>Pretmonopola noteikumi:</w:t>
            </w:r>
          </w:p>
          <w:p w14:paraId="083E17C9" w14:textId="695B4D46" w:rsidR="00C972CB" w:rsidRDefault="002457F6">
            <w:pPr>
              <w:pStyle w:val="P68B1DB1-Normal11"/>
              <w:rPr>
                <w:noProof/>
              </w:rPr>
            </w:pPr>
            <w:r>
              <w:rPr>
                <w:b/>
                <w:noProof/>
              </w:rPr>
              <w:t>pagarināt Itālijas</w:t>
            </w:r>
            <w:r>
              <w:rPr>
                <w:b/>
                <w:noProof/>
              </w:rPr>
              <w:t xml:space="preserve"> Konkurences iestādes (</w:t>
            </w:r>
            <w:r>
              <w:rPr>
                <w:i/>
                <w:noProof/>
              </w:rPr>
              <w:t>Autorità Garante della Concorrenza e del Mercato</w:t>
            </w:r>
            <w:r>
              <w:rPr>
                <w:b/>
                <w:noProof/>
              </w:rPr>
              <w:t>) novērtējuma ilgumu</w:t>
            </w:r>
            <w:r>
              <w:rPr>
                <w:noProof/>
              </w:rPr>
              <w:t xml:space="preserve"> no 45 dienām uz 90 dienām attiecībā uz koncentrācijām, kas var būtiski traucēt efektīvu konkurenci saskaņā ar Likuma 287/1990 6. pantu.</w:t>
            </w:r>
          </w:p>
          <w:p w14:paraId="512337C2" w14:textId="77777777" w:rsidR="00C972CB" w:rsidRDefault="00C972CB">
            <w:pPr>
              <w:rPr>
                <w:rFonts w:ascii="Arial Narrow" w:hAnsi="Arial Narrow"/>
                <w:b/>
                <w:noProof/>
                <w:color w:val="006100"/>
                <w:sz w:val="20"/>
              </w:rPr>
            </w:pPr>
          </w:p>
          <w:p w14:paraId="4F1F0117" w14:textId="77777777" w:rsidR="00C972CB" w:rsidRDefault="002457F6">
            <w:pPr>
              <w:pStyle w:val="P68B1DB1-Normal20"/>
              <w:rPr>
                <w:noProof/>
              </w:rPr>
            </w:pPr>
            <w:r>
              <w:rPr>
                <w:noProof/>
              </w:rPr>
              <w:t>Mazumtirdzniecība:</w:t>
            </w:r>
          </w:p>
          <w:p w14:paraId="7379B39B" w14:textId="77777777" w:rsidR="00C972CB" w:rsidRDefault="002457F6">
            <w:pPr>
              <w:pStyle w:val="P68B1DB1-Normal11"/>
              <w:rPr>
                <w:noProof/>
              </w:rPr>
            </w:pPr>
            <w:r>
              <w:rPr>
                <w:b/>
                <w:noProof/>
              </w:rPr>
              <w:t xml:space="preserve">IV) </w:t>
            </w:r>
            <w:r>
              <w:rPr>
                <w:noProof/>
              </w:rPr>
              <w:t>Atļa</w:t>
            </w:r>
            <w:r>
              <w:rPr>
                <w:noProof/>
              </w:rPr>
              <w:t>uju piešķiršanas procedūru vienkāršošana uzņēmumiem, kas ir tirdzniecības vietu turētāji dažādās pašvaldībās.</w:t>
            </w:r>
          </w:p>
          <w:p w14:paraId="1EEC42DD" w14:textId="77777777" w:rsidR="00C972CB" w:rsidRDefault="00C972CB">
            <w:pPr>
              <w:rPr>
                <w:rFonts w:ascii="Arial Narrow" w:hAnsi="Arial Narrow"/>
                <w:b/>
                <w:noProof/>
                <w:color w:val="006100"/>
                <w:sz w:val="20"/>
              </w:rPr>
            </w:pPr>
          </w:p>
          <w:p w14:paraId="68CDCE02" w14:textId="77777777" w:rsidR="00C972CB" w:rsidRDefault="002457F6">
            <w:pPr>
              <w:pStyle w:val="P68B1DB1-Normal20"/>
              <w:rPr>
                <w:noProof/>
              </w:rPr>
            </w:pPr>
            <w:r>
              <w:rPr>
                <w:noProof/>
              </w:rPr>
              <w:t>Farmācijas līdzekļi:</w:t>
            </w:r>
          </w:p>
          <w:p w14:paraId="3A6505A2" w14:textId="77777777" w:rsidR="00C972CB" w:rsidRDefault="002457F6">
            <w:pPr>
              <w:pStyle w:val="P68B1DB1-Normal11"/>
              <w:rPr>
                <w:noProof/>
              </w:rPr>
            </w:pPr>
            <w:r>
              <w:rPr>
                <w:b/>
                <w:noProof/>
              </w:rPr>
              <w:t>nodrošināt</w:t>
            </w:r>
            <w:r>
              <w:rPr>
                <w:noProof/>
              </w:rPr>
              <w:t xml:space="preserve"> atļauju piešķiršanas prasību proporcionalitāti galēnisko zāļu pārdošanai.</w:t>
            </w:r>
          </w:p>
        </w:tc>
      </w:tr>
      <w:tr w:rsidR="00C972CB" w14:paraId="12236A46"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20CF47E" w14:textId="77777777" w:rsidR="00C972CB" w:rsidRDefault="002457F6">
            <w:pPr>
              <w:pStyle w:val="P68B1DB1-Normal11"/>
              <w:spacing w:before="120" w:after="120"/>
              <w:jc w:val="center"/>
              <w:rPr>
                <w:noProof/>
              </w:rPr>
            </w:pPr>
            <w:r>
              <w:rPr>
                <w:noProof/>
              </w:rPr>
              <w:t>M1C2–10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60C5AF7" w14:textId="77777777" w:rsidR="00C972CB" w:rsidRDefault="002457F6">
            <w:pPr>
              <w:pStyle w:val="P68B1DB1-Normal11"/>
              <w:spacing w:before="120" w:after="120"/>
              <w:jc w:val="center"/>
              <w:rPr>
                <w:noProof/>
              </w:rPr>
            </w:pPr>
            <w:r>
              <w:rPr>
                <w:noProof/>
              </w:rPr>
              <w:t>Reforma: Ikgadējie konkurences</w:t>
            </w:r>
            <w:r>
              <w:rPr>
                <w:noProof/>
              </w:rPr>
              <w:t xml:space="preserve"> tiesību akti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30AA3BB" w14:textId="77777777" w:rsidR="00C972CB" w:rsidRDefault="002457F6">
            <w:pPr>
              <w:pStyle w:val="P68B1DB1-Normal11"/>
              <w:spacing w:before="120" w:after="120"/>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A37E2EC" w14:textId="77777777" w:rsidR="00C972CB" w:rsidRDefault="002457F6">
            <w:pPr>
              <w:pStyle w:val="P68B1DB1-Normal11"/>
              <w:spacing w:before="120" w:after="120"/>
              <w:jc w:val="center"/>
              <w:rPr>
                <w:noProof/>
              </w:rPr>
            </w:pPr>
            <w:r>
              <w:rPr>
                <w:noProof/>
              </w:rPr>
              <w:t>Stājas spēkā visi īstenošanas pasākumi (vajadzības gadījumā arī sekundārie tiesību akti), lai efektīvi īstenotu un piemērotu pasākumus, kas izriet no 2022. gada Konkurences likuma</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D095519" w14:textId="77777777" w:rsidR="00C972CB" w:rsidRDefault="002457F6">
            <w:pPr>
              <w:pStyle w:val="P68B1DB1-Normal11"/>
              <w:spacing w:before="120" w:after="120"/>
              <w:jc w:val="center"/>
              <w:rPr>
                <w:noProof/>
              </w:rPr>
            </w:pPr>
            <w:r>
              <w:rPr>
                <w:noProof/>
              </w:rPr>
              <w:t xml:space="preserve">Stājas spēkā visi sekundārie tiesību akti, </w:t>
            </w:r>
            <w:r>
              <w:rPr>
                <w:noProof/>
              </w:rPr>
              <w:t>tostarp visi nepieciešamie noteikumi par pasākumiem, kas izriet no 2022. gada Konkurences likuma</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A127700" w14:textId="77777777" w:rsidR="00C972CB" w:rsidRDefault="002457F6">
            <w:pPr>
              <w:pStyle w:val="P68B1DB1-Normal11"/>
              <w:spacing w:before="120" w:after="120"/>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16C0973" w14:textId="77777777" w:rsidR="00C972CB" w:rsidRDefault="002457F6">
            <w:pPr>
              <w:pStyle w:val="P68B1DB1-Normal11"/>
              <w:spacing w:before="120" w:after="120"/>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8B3616F" w14:textId="77777777" w:rsidR="00C972CB" w:rsidRDefault="002457F6">
            <w:pPr>
              <w:pStyle w:val="P68B1DB1-Normal11"/>
              <w:spacing w:before="120" w:after="120"/>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4ADC54D"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976FCFA" w14:textId="77777777" w:rsidR="00C972CB" w:rsidRDefault="002457F6">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4D3F323" w14:textId="77777777" w:rsidR="00C972CB" w:rsidRDefault="002457F6">
            <w:pPr>
              <w:pStyle w:val="P68B1DB1-Normal11"/>
              <w:spacing w:before="120" w:after="120"/>
              <w:rPr>
                <w:noProof/>
              </w:rPr>
            </w:pPr>
            <w:r>
              <w:rPr>
                <w:noProof/>
              </w:rPr>
              <w:t>Stājas spēkā visi sekundārie tiesību akti (vajadzības gadījumā), tostarp visi noteikumi, kas vajadzīgi, lai efektīvi</w:t>
            </w:r>
            <w:r>
              <w:rPr>
                <w:noProof/>
              </w:rPr>
              <w:t xml:space="preserve"> īstenotu un piemērotu visus iepriekš minētos pasākumus, kuri izriet no 2022. gada Konkurences likuma.</w:t>
            </w:r>
          </w:p>
        </w:tc>
      </w:tr>
      <w:tr w:rsidR="00C972CB" w14:paraId="0042D8E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3B0A9C3" w14:textId="77777777" w:rsidR="00C972CB" w:rsidRDefault="002457F6">
            <w:pPr>
              <w:pStyle w:val="P68B1DB1-Normal11"/>
              <w:spacing w:before="120" w:after="120"/>
              <w:jc w:val="center"/>
              <w:rPr>
                <w:noProof/>
              </w:rPr>
            </w:pPr>
            <w:r>
              <w:rPr>
                <w:noProof/>
              </w:rPr>
              <w:t>M1C2–11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6D8FBB" w14:textId="77777777" w:rsidR="00C972CB" w:rsidRDefault="002457F6">
            <w:pPr>
              <w:pStyle w:val="P68B1DB1-Normal11"/>
              <w:spacing w:before="120" w:after="120"/>
              <w:jc w:val="center"/>
              <w:rPr>
                <w:noProof/>
              </w:rPr>
            </w:pPr>
            <w:r>
              <w:rPr>
                <w:noProof/>
              </w:rPr>
              <w:t>Reforma: Ikgadējie konkurences tiesību akti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52FD65F" w14:textId="77777777" w:rsidR="00C972CB" w:rsidRDefault="002457F6">
            <w:pPr>
              <w:pStyle w:val="P68B1DB1-Normal11"/>
              <w:spacing w:before="120" w:after="120"/>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73FC164" w14:textId="77777777" w:rsidR="00C972CB" w:rsidRDefault="002457F6">
            <w:pPr>
              <w:pStyle w:val="P68B1DB1-Normal11"/>
              <w:spacing w:before="120" w:after="120"/>
              <w:jc w:val="center"/>
              <w:rPr>
                <w:noProof/>
              </w:rPr>
            </w:pPr>
            <w:r>
              <w:rPr>
                <w:noProof/>
              </w:rPr>
              <w:t>2023. gada Konkurences likuma stāšanās spēkā</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3EB1317" w14:textId="77777777" w:rsidR="00C972CB" w:rsidRDefault="002457F6">
            <w:pPr>
              <w:pStyle w:val="P68B1DB1-Normal11"/>
              <w:spacing w:before="120" w:after="120"/>
              <w:jc w:val="center"/>
              <w:rPr>
                <w:noProof/>
              </w:rPr>
            </w:pPr>
            <w:r>
              <w:rPr>
                <w:noProof/>
              </w:rPr>
              <w:t xml:space="preserve">Noteikums par 2023. gada Konkurences </w:t>
            </w:r>
            <w:r>
              <w:rPr>
                <w:noProof/>
              </w:rPr>
              <w:t>likuma stāšanos spēkā.</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3C481333" w14:textId="77777777" w:rsidR="00C972CB" w:rsidRDefault="002457F6">
            <w:pPr>
              <w:pStyle w:val="P68B1DB1-Normal11"/>
              <w:spacing w:before="120" w:after="120"/>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4156E0F" w14:textId="77777777" w:rsidR="00C972CB" w:rsidRDefault="002457F6">
            <w:pPr>
              <w:pStyle w:val="P68B1DB1-Normal11"/>
              <w:spacing w:before="120" w:after="120"/>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52C09D2" w14:textId="77777777" w:rsidR="00C972CB" w:rsidRDefault="002457F6">
            <w:pPr>
              <w:pStyle w:val="P68B1DB1-Normal11"/>
              <w:spacing w:before="120" w:after="120"/>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758184FE"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D7FDF6" w14:textId="77777777" w:rsidR="00C972CB" w:rsidRDefault="002457F6">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D36793E" w14:textId="5B39E08D" w:rsidR="00C972CB" w:rsidRDefault="002457F6">
            <w:pPr>
              <w:pStyle w:val="P68B1DB1-Normal11"/>
              <w:rPr>
                <w:noProof/>
              </w:rPr>
            </w:pPr>
            <w:r>
              <w:rPr>
                <w:noProof/>
              </w:rPr>
              <w:t xml:space="preserve">2023. gada Konkurences likuma stāšanās spēkā. Ikgadējā konkurences likumā iekļauj vismaz šādus galvenos elementus, kuru īstenošanas pasākumi un sekundārie tiesību akti (vajadzības gadījumā) </w:t>
            </w:r>
            <w:r>
              <w:rPr>
                <w:noProof/>
              </w:rPr>
              <w:t>tiek pieņemti un stājas spēkā ne vēlāk kā 2024. gada 31. decembrī.</w:t>
            </w:r>
          </w:p>
          <w:p w14:paraId="5DD6262C" w14:textId="77777777" w:rsidR="00C972CB" w:rsidRDefault="00C972CB">
            <w:pPr>
              <w:rPr>
                <w:rFonts w:ascii="Arial Narrow" w:hAnsi="Arial Narrow"/>
                <w:noProof/>
                <w:color w:val="006100"/>
                <w:sz w:val="20"/>
              </w:rPr>
            </w:pPr>
          </w:p>
          <w:p w14:paraId="7B83607D" w14:textId="77777777" w:rsidR="00C972CB" w:rsidRDefault="002457F6">
            <w:pPr>
              <w:pStyle w:val="P68B1DB1-Normal11"/>
              <w:rPr>
                <w:noProof/>
              </w:rPr>
            </w:pPr>
            <w:r>
              <w:rPr>
                <w:noProof/>
              </w:rPr>
              <w:t>Tajā ietver vismaz šādus pasākumus:</w:t>
            </w:r>
          </w:p>
          <w:p w14:paraId="7A199AEF" w14:textId="77777777" w:rsidR="00C972CB" w:rsidRDefault="00C972CB">
            <w:pPr>
              <w:rPr>
                <w:rFonts w:ascii="Arial Narrow" w:hAnsi="Arial Narrow"/>
                <w:noProof/>
                <w:color w:val="006100"/>
                <w:sz w:val="20"/>
              </w:rPr>
            </w:pPr>
          </w:p>
          <w:p w14:paraId="4359C905" w14:textId="77777777" w:rsidR="00C972CB" w:rsidRDefault="002457F6">
            <w:pPr>
              <w:pStyle w:val="P68B1DB1-Normal20"/>
              <w:rPr>
                <w:noProof/>
              </w:rPr>
            </w:pPr>
            <w:r>
              <w:rPr>
                <w:noProof/>
              </w:rPr>
              <w:t>Automaģistrāles:</w:t>
            </w:r>
          </w:p>
          <w:p w14:paraId="6681AAF1" w14:textId="77777777" w:rsidR="00C972CB" w:rsidRDefault="00C972CB">
            <w:pPr>
              <w:rPr>
                <w:rFonts w:ascii="Arial Narrow" w:hAnsi="Arial Narrow"/>
                <w:noProof/>
                <w:color w:val="006100"/>
                <w:sz w:val="20"/>
              </w:rPr>
            </w:pPr>
          </w:p>
          <w:p w14:paraId="1787CF7F" w14:textId="01E2735D" w:rsidR="00C972CB" w:rsidRDefault="002457F6">
            <w:pPr>
              <w:pStyle w:val="P68B1DB1-Normal11"/>
              <w:spacing w:after="120"/>
              <w:jc w:val="both"/>
              <w:rPr>
                <w:noProof/>
              </w:rPr>
            </w:pPr>
            <w:r>
              <w:rPr>
                <w:b/>
                <w:noProof/>
              </w:rPr>
              <w:t>attiecībā uz</w:t>
            </w:r>
            <w:r>
              <w:rPr>
                <w:noProof/>
              </w:rPr>
              <w:t xml:space="preserve"> piekļuvi koncesijām un līguma izbeigšanu ikgadējā konkurences likumā ir vismaz:</w:t>
            </w:r>
          </w:p>
          <w:p w14:paraId="502FFCD9" w14:textId="689DE208" w:rsidR="00C972CB" w:rsidRDefault="002457F6">
            <w:pPr>
              <w:pStyle w:val="P68B1DB1-Normal11"/>
              <w:spacing w:after="80"/>
              <w:ind w:left="340"/>
              <w:jc w:val="both"/>
              <w:rPr>
                <w:noProof/>
              </w:rPr>
            </w:pPr>
            <w:r>
              <w:rPr>
                <w:b/>
                <w:noProof/>
              </w:rPr>
              <w:t xml:space="preserve">noteikt, ka koncesijas līgumu slēgšanas </w:t>
            </w:r>
            <w:r>
              <w:rPr>
                <w:b/>
                <w:noProof/>
              </w:rPr>
              <w:t>tiesību piešķiršana ir obligāta automaģistrālēm, un nostiprināt automaģistrāļu koncesiju piešķiršanas tiesiskā regulējuma izpildāmību</w:t>
            </w:r>
            <w:r>
              <w:rPr>
                <w:noProof/>
              </w:rPr>
              <w:t xml:space="preserve"> un nodrošināt pienācīgu pakalpojumu līmeni automaģistrāļu lietotājiem, neskarot iekšējo pakalpojumu sniegšanu ES tiesību a</w:t>
            </w:r>
            <w:r>
              <w:rPr>
                <w:noProof/>
              </w:rPr>
              <w:t xml:space="preserve">ktos noteiktajās robežās(*); </w:t>
            </w:r>
          </w:p>
          <w:p w14:paraId="5C03F622" w14:textId="77777777" w:rsidR="00C972CB" w:rsidRDefault="002457F6">
            <w:pPr>
              <w:pStyle w:val="P68B1DB1-Normal20"/>
              <w:autoSpaceDE w:val="0"/>
              <w:autoSpaceDN w:val="0"/>
              <w:adjustRightInd w:val="0"/>
              <w:spacing w:after="80"/>
              <w:ind w:left="340"/>
              <w:jc w:val="both"/>
              <w:rPr>
                <w:noProof/>
              </w:rPr>
            </w:pPr>
            <w:r>
              <w:rPr>
                <w:noProof/>
              </w:rPr>
              <w:t>uzlabot ar koncesijas līgumiem saistīto lēmumu pieņemšanas administratīvo procedūru efektivitāti;</w:t>
            </w:r>
          </w:p>
          <w:p w14:paraId="1F06665F" w14:textId="77777777" w:rsidR="00C972CB" w:rsidRDefault="002457F6">
            <w:pPr>
              <w:pStyle w:val="P68B1DB1-Normal11"/>
              <w:spacing w:after="80"/>
              <w:ind w:left="340"/>
              <w:jc w:val="both"/>
              <w:rPr>
                <w:noProof/>
              </w:rPr>
            </w:pPr>
            <w:r>
              <w:rPr>
                <w:noProof/>
              </w:rPr>
              <w:t>pieprasīt detalizētu un pārredzamu koncesijas līguma priekšmeta aprakstu;</w:t>
            </w:r>
          </w:p>
          <w:p w14:paraId="53921331" w14:textId="0A56B13E" w:rsidR="00C972CB" w:rsidRDefault="002457F6">
            <w:pPr>
              <w:pStyle w:val="P68B1DB1-Normal11"/>
              <w:spacing w:after="80"/>
              <w:ind w:left="340"/>
              <w:jc w:val="both"/>
              <w:rPr>
                <w:noProof/>
              </w:rPr>
            </w:pPr>
            <w:r>
              <w:rPr>
                <w:noProof/>
              </w:rPr>
              <w:t xml:space="preserve">—prasīt koncesijas iestādēm piešķirt koncesijas </w:t>
            </w:r>
            <w:r>
              <w:rPr>
                <w:noProof/>
              </w:rPr>
              <w:t>autoceļu posmiem, kas piešķirti saskaņā ar publisku procedūru, ņemot vērā pārvaldes iestādes (autorità</w:t>
            </w:r>
            <w:r>
              <w:rPr>
                <w:i/>
                <w:noProof/>
              </w:rPr>
              <w:t xml:space="preserve">di Regolazione dei Trasporti </w:t>
            </w:r>
            <w:r>
              <w:rPr>
                <w:noProof/>
              </w:rPr>
              <w:t xml:space="preserve">- ART) izstrādātos aprēķinus par mēroga efektivitāti un automaģistrāļu koncesionāru izmaksām; </w:t>
            </w:r>
          </w:p>
          <w:p w14:paraId="25F71FFC" w14:textId="77777777" w:rsidR="00C972CB" w:rsidRDefault="002457F6">
            <w:pPr>
              <w:pStyle w:val="P68B1DB1-Normal11"/>
              <w:spacing w:after="80"/>
              <w:ind w:left="340"/>
              <w:jc w:val="both"/>
              <w:rPr>
                <w:noProof/>
              </w:rPr>
            </w:pPr>
            <w:r>
              <w:rPr>
                <w:noProof/>
              </w:rPr>
              <w:t>pastiprināt Infrastruktūras mi</w:t>
            </w:r>
            <w:r>
              <w:rPr>
                <w:noProof/>
              </w:rPr>
              <w:t>nistrijas veikto automaģistrāļu infrastruktūras izmaksu un izpildes kontroli;</w:t>
            </w:r>
          </w:p>
          <w:p w14:paraId="1492D094" w14:textId="42AAD02A" w:rsidR="00C972CB" w:rsidRDefault="002457F6">
            <w:pPr>
              <w:pStyle w:val="P68B1DB1-Normal11"/>
              <w:spacing w:after="80"/>
              <w:ind w:left="340"/>
              <w:jc w:val="both"/>
              <w:rPr>
                <w:noProof/>
              </w:rPr>
            </w:pPr>
            <w:r>
              <w:rPr>
                <w:noProof/>
              </w:rPr>
              <w:t>— novērst koncesijas līgumu automātisku atjaunošanu, tostarp būtiski uzlabojot pārvaldības efektivitāti visās tehniskajās un administratīvajās procedūrās, kas saistītas ar ekonom</w:t>
            </w:r>
            <w:r>
              <w:rPr>
                <w:noProof/>
              </w:rPr>
              <w:t>ikas un finanšu plānu periodisku atjaunināšanu un šo plānu ikgadējo īstenošanu, kā arī aizliedzot izmantot procedūras, ko reglamentē Publisko iepirkumu kodeksa 193. pants, lai piešķirtu automaģistrāļu koncesijas līgumus, kuru termiņš ir beidzies vai kuru t</w:t>
            </w:r>
            <w:r>
              <w:rPr>
                <w:noProof/>
              </w:rPr>
              <w:t>ermiņš beidzas;</w:t>
            </w:r>
          </w:p>
          <w:p w14:paraId="5F5882EC" w14:textId="77777777" w:rsidR="00C972CB" w:rsidRDefault="002457F6">
            <w:pPr>
              <w:pStyle w:val="P68B1DB1-Normal11"/>
              <w:spacing w:after="80"/>
              <w:ind w:left="340"/>
              <w:jc w:val="both"/>
              <w:rPr>
                <w:noProof/>
              </w:rPr>
            </w:pPr>
            <w:r>
              <w:rPr>
                <w:noProof/>
              </w:rPr>
              <w:t xml:space="preserve">vienkāršot/precizēt līguma izbeigšanas un atcelšanas nosacījumu regulējumu, arī lai saglabātu koncesiju sāncensības līmeni konkrētajā(-os) tirgū(-os); </w:t>
            </w:r>
          </w:p>
          <w:p w14:paraId="61A38AAC" w14:textId="497A0C25" w:rsidR="00C972CB" w:rsidRDefault="002457F6">
            <w:pPr>
              <w:pStyle w:val="P68B1DB1-Normal11"/>
              <w:spacing w:after="80"/>
              <w:ind w:left="340"/>
              <w:jc w:val="both"/>
              <w:rPr>
                <w:noProof/>
              </w:rPr>
            </w:pPr>
            <w:r>
              <w:rPr>
                <w:noProof/>
              </w:rPr>
              <w:t>savlaicīgi un pilnībā īstenot piekļuves maksas noteikšanas regulatīvo modeli, kas pieņem</w:t>
            </w:r>
            <w:r>
              <w:rPr>
                <w:noProof/>
              </w:rPr>
              <w:t>ts, ņemot vērā: koncesionāru daudzgadu ekonomikas un finanšu plānošanas periodiskie atjauninājumi (ko apstiprinājis kompetentais regulators) un ii) šo plānu ikgadējā ieviešana.</w:t>
            </w:r>
          </w:p>
          <w:p w14:paraId="5A0BDAC0" w14:textId="77777777" w:rsidR="00C972CB" w:rsidRDefault="002457F6">
            <w:pPr>
              <w:pStyle w:val="P68B1DB1-Normal11"/>
              <w:spacing w:after="80"/>
              <w:ind w:left="340"/>
              <w:jc w:val="both"/>
              <w:rPr>
                <w:noProof/>
              </w:rPr>
            </w:pPr>
            <w:r>
              <w:rPr>
                <w:noProof/>
              </w:rPr>
              <w:t>gadījumā, ja līgums tiek izbeigts sabiedrības interesēs, likumā ir jāparedz vis</w:t>
            </w:r>
            <w:r>
              <w:rPr>
                <w:noProof/>
              </w:rPr>
              <w:t>maz pienācīga kompensācija, lai koncesionārs varētu atgūt ieguldījumus, kas nav pilnībā amortizēti. Attiecībā uz līguma izbeigšanu nopietna pārkāpuma gadījumā tiesību aktos ir jāparedz pienācīgs līdzsvars starp koncesionāram pieprasīto zaudējumu atlīdzināš</w:t>
            </w:r>
            <w:r>
              <w:rPr>
                <w:noProof/>
              </w:rPr>
              <w:t>anu un saprātīgu kompensāciju par ieguldījumiem, kas vēl nav atgūti. Nopietnu pārkāpumu gadījumus skaidri norāda tiesību aktos.</w:t>
            </w:r>
          </w:p>
          <w:p w14:paraId="13D3D1AB" w14:textId="77777777" w:rsidR="00C972CB" w:rsidRDefault="002457F6">
            <w:pPr>
              <w:pStyle w:val="P68B1DB1-Normal11"/>
              <w:jc w:val="both"/>
              <w:rPr>
                <w:noProof/>
              </w:rPr>
            </w:pPr>
            <w:r>
              <w:rPr>
                <w:noProof/>
              </w:rPr>
              <w:t xml:space="preserve"> </w:t>
            </w:r>
          </w:p>
          <w:p w14:paraId="401F3F66" w14:textId="7012D10C" w:rsidR="00C972CB" w:rsidRDefault="002457F6">
            <w:pPr>
              <w:pStyle w:val="P68B1DB1-Normal11"/>
              <w:spacing w:after="120"/>
              <w:jc w:val="both"/>
              <w:rPr>
                <w:noProof/>
              </w:rPr>
            </w:pPr>
            <w:r>
              <w:rPr>
                <w:b/>
                <w:noProof/>
              </w:rPr>
              <w:t>attiecībā uz</w:t>
            </w:r>
            <w:r>
              <w:rPr>
                <w:noProof/>
              </w:rPr>
              <w:t xml:space="preserve"> maksas iekasēšanas regulatīvo modeli ikgadējā konkurences likumā ir vismaz:</w:t>
            </w:r>
          </w:p>
          <w:p w14:paraId="09D00154" w14:textId="77777777" w:rsidR="00C972CB" w:rsidRDefault="002457F6">
            <w:pPr>
              <w:pStyle w:val="P68B1DB1-Normal11"/>
              <w:spacing w:after="80"/>
              <w:ind w:left="340"/>
              <w:jc w:val="both"/>
              <w:rPr>
                <w:noProof/>
              </w:rPr>
            </w:pPr>
            <w:r>
              <w:rPr>
                <w:noProof/>
              </w:rPr>
              <w:t xml:space="preserve">Pieprasīt koncesionāriem nodrošināt, </w:t>
            </w:r>
            <w:r>
              <w:rPr>
                <w:noProof/>
              </w:rPr>
              <w:t>ka tiek pilnībā un laikus īstenots ART maksas iekasēšanas regulatīvais modelis piekļuves maksas aprēķināšanai.  </w:t>
            </w:r>
          </w:p>
          <w:p w14:paraId="0BCF9BC1" w14:textId="77777777" w:rsidR="00C972CB" w:rsidRDefault="002457F6">
            <w:pPr>
              <w:pStyle w:val="P68B1DB1-Normal11"/>
              <w:spacing w:after="80"/>
              <w:ind w:left="340"/>
              <w:jc w:val="both"/>
              <w:rPr>
                <w:noProof/>
              </w:rPr>
            </w:pPr>
            <w:r>
              <w:rPr>
                <w:noProof/>
              </w:rPr>
              <w:t>Pieprasīt koncesionāriem nodrošināt pilnīgu un savlaicīgu ART regulatīvā modeļa īstenošanu attiecībā uz cenu noteikšanu un apakškoncesiju iepir</w:t>
            </w:r>
            <w:r>
              <w:rPr>
                <w:noProof/>
              </w:rPr>
              <w:t>kuma shēmām elektrotransportlīdzekļu uzlādes un citu pakalpojumu sniegšanai. </w:t>
            </w:r>
          </w:p>
          <w:p w14:paraId="36970358" w14:textId="77777777" w:rsidR="00C972CB" w:rsidRDefault="002457F6">
            <w:pPr>
              <w:pStyle w:val="P68B1DB1-Normal11"/>
              <w:spacing w:after="80"/>
              <w:ind w:left="340"/>
              <w:jc w:val="both"/>
              <w:rPr>
                <w:noProof/>
              </w:rPr>
            </w:pPr>
            <w:r>
              <w:rPr>
                <w:noProof/>
              </w:rPr>
              <w:t>— Piekļuves maksas stimulē ieguldījumus, un tās pamatā ir cenu griestu metodika, kuras pamatā ir pārredzama un salīdzinoša visas ekonomikas nozares izmaksu analīze saskaņā ar ska</w:t>
            </w:r>
            <w:r>
              <w:rPr>
                <w:noProof/>
              </w:rPr>
              <w:t>idriem, vienotiem un pārredzamiem kritērijiem.</w:t>
            </w:r>
          </w:p>
          <w:p w14:paraId="5A6824B4" w14:textId="27494196" w:rsidR="00C972CB" w:rsidRDefault="002457F6">
            <w:pPr>
              <w:pStyle w:val="P68B1DB1-Normal11"/>
              <w:spacing w:after="120"/>
              <w:jc w:val="both"/>
              <w:rPr>
                <w:noProof/>
              </w:rPr>
            </w:pPr>
            <w:r>
              <w:rPr>
                <w:b/>
                <w:noProof/>
              </w:rPr>
              <w:t>attiecībā</w:t>
            </w:r>
            <w:r>
              <w:rPr>
                <w:noProof/>
              </w:rPr>
              <w:t xml:space="preserve"> uz lietotāju tiesībām ikgadējā konkurences likumā ir vismaz:</w:t>
            </w:r>
          </w:p>
          <w:p w14:paraId="6854F025" w14:textId="77777777" w:rsidR="00C972CB" w:rsidRDefault="002457F6">
            <w:pPr>
              <w:pStyle w:val="P68B1DB1-Normal11"/>
              <w:spacing w:after="80"/>
              <w:ind w:left="340"/>
              <w:jc w:val="both"/>
              <w:rPr>
                <w:noProof/>
              </w:rPr>
            </w:pPr>
            <w:r>
              <w:rPr>
                <w:noProof/>
              </w:rPr>
              <w:t>nodrošināt ART tiesiskā regulējuma pilnīgu un savlaicīgu īstenošanu saistībā ar lietotāju tiesību aizsardzību un atbilstoša pakalpojumu lī</w:t>
            </w:r>
            <w:r>
              <w:rPr>
                <w:noProof/>
              </w:rPr>
              <w:t>meņa nodrošināšanu.</w:t>
            </w:r>
          </w:p>
          <w:p w14:paraId="1D8DA4B8" w14:textId="77777777" w:rsidR="00C972CB" w:rsidRDefault="00C972CB">
            <w:pPr>
              <w:jc w:val="both"/>
              <w:rPr>
                <w:rFonts w:ascii="Arial Narrow" w:hAnsi="Arial Narrow"/>
                <w:noProof/>
                <w:color w:val="006100"/>
                <w:sz w:val="20"/>
              </w:rPr>
            </w:pPr>
          </w:p>
          <w:p w14:paraId="5DF4E22F" w14:textId="75A2EE4D" w:rsidR="00C972CB" w:rsidRDefault="002457F6">
            <w:pPr>
              <w:pStyle w:val="P68B1DB1-Normal11"/>
              <w:jc w:val="both"/>
              <w:rPr>
                <w:noProof/>
              </w:rPr>
            </w:pPr>
            <w:r>
              <w:rPr>
                <w:b/>
                <w:noProof/>
              </w:rPr>
              <w:t>IV)</w:t>
            </w:r>
            <w:r>
              <w:rPr>
                <w:noProof/>
              </w:rPr>
              <w:t xml:space="preserve"> Gada konkurences likumā par būvdarbu nodošanu ārpakalpojumā vismaz: </w:t>
            </w:r>
          </w:p>
          <w:p w14:paraId="16961FE2" w14:textId="213EDFB0" w:rsidR="00C972CB" w:rsidRDefault="002457F6">
            <w:pPr>
              <w:pStyle w:val="P68B1DB1-Normal11"/>
              <w:spacing w:after="80"/>
              <w:ind w:left="340"/>
              <w:jc w:val="both"/>
              <w:rPr>
                <w:noProof/>
              </w:rPr>
            </w:pPr>
            <w:r>
              <w:rPr>
                <w:noProof/>
              </w:rPr>
              <w:t>— Saskaņā ar Leģislatīvā dekrēta Nr. 36/2023 186. panta 2. punktu automaģistrāļu koncesionāriem ir noteikts pienākums uzticēt trešajām personām publisku pierādīju</w:t>
            </w:r>
            <w:r>
              <w:rPr>
                <w:noProof/>
              </w:rPr>
              <w:t>mu procedūrās 50 % līdz 60 % no būvdarbu, pakalpojumu un piegāžu līgumiem. Akcijas aprēķina saskaņā ar koncesijas dokumentiem pievienoto ekonomisko un finanšu plānu summām un ņemot vērā koncesionāra ekonomisko lielumu un īpašības, koncesijas piešķiršanas i</w:t>
            </w:r>
            <w:r>
              <w:rPr>
                <w:noProof/>
              </w:rPr>
              <w:t>lgumu, atlikušo ilgumu, priekšmetu, ekonomisko vērtību un veikto ieguldījumu apjomu.</w:t>
            </w:r>
          </w:p>
          <w:p w14:paraId="1851EFC7" w14:textId="77777777" w:rsidR="00C972CB" w:rsidRDefault="00C972CB">
            <w:pPr>
              <w:jc w:val="both"/>
              <w:rPr>
                <w:rFonts w:ascii="Arial Narrow" w:hAnsi="Arial Narrow"/>
                <w:noProof/>
                <w:color w:val="006100"/>
                <w:sz w:val="20"/>
              </w:rPr>
            </w:pPr>
          </w:p>
          <w:p w14:paraId="1A68747F" w14:textId="77777777" w:rsidR="00C972CB" w:rsidRDefault="002457F6">
            <w:pPr>
              <w:pStyle w:val="P68B1DB1-Normal11"/>
              <w:jc w:val="both"/>
              <w:rPr>
                <w:noProof/>
              </w:rPr>
            </w:pPr>
            <w:r>
              <w:rPr>
                <w:noProof/>
              </w:rPr>
              <w:t>(*) ciktāl tas attiecas uz iekšējiem pilnvarojumiem, tiesību akti:</w:t>
            </w:r>
          </w:p>
          <w:p w14:paraId="3449DF64" w14:textId="77777777" w:rsidR="00C972CB" w:rsidRDefault="002457F6">
            <w:pPr>
              <w:pStyle w:val="P68B1DB1-Normal11"/>
              <w:spacing w:after="80"/>
              <w:ind w:left="340"/>
              <w:jc w:val="both"/>
              <w:rPr>
                <w:noProof/>
              </w:rPr>
            </w:pPr>
            <w:r>
              <w:rPr>
                <w:noProof/>
              </w:rPr>
              <w:t xml:space="preserve">pieprasīt obligātu </w:t>
            </w:r>
            <w:r>
              <w:rPr>
                <w:i/>
                <w:noProof/>
              </w:rPr>
              <w:t>ex ante</w:t>
            </w:r>
            <w:r>
              <w:rPr>
                <w:noProof/>
              </w:rPr>
              <w:t xml:space="preserve"> pārbaudi attiecībā uz iekšējā pilnvarojuma likumību un aizliegt uzsākt konkursa procedūru vai iekšējos pilnvarojumus bez šādas pārbaudes;</w:t>
            </w:r>
          </w:p>
          <w:p w14:paraId="110BBC19" w14:textId="39C10519" w:rsidR="00C972CB" w:rsidRDefault="002457F6">
            <w:pPr>
              <w:pStyle w:val="P68B1DB1-Normal11"/>
              <w:spacing w:after="80"/>
              <w:ind w:left="340"/>
              <w:jc w:val="both"/>
              <w:rPr>
                <w:noProof/>
              </w:rPr>
            </w:pPr>
            <w:r>
              <w:rPr>
                <w:noProof/>
              </w:rPr>
              <w:t>— uztic Transporta regulēšanas iestādei (ART) atbilstošus instrumentus un pilnvaras iepriekš minēto pārbaužu veikšana</w:t>
            </w:r>
            <w:r>
              <w:rPr>
                <w:noProof/>
              </w:rPr>
              <w:t>i, kā arī Valsts korupcijas apkarošanas iestādes (ANAC) (juridisko) atbalstu;</w:t>
            </w:r>
          </w:p>
          <w:p w14:paraId="0A3BCA7A" w14:textId="190FD9C0" w:rsidR="00C972CB" w:rsidRDefault="002457F6">
            <w:pPr>
              <w:pStyle w:val="P68B1DB1-Normal11"/>
              <w:spacing w:after="80"/>
              <w:ind w:left="340"/>
              <w:jc w:val="both"/>
              <w:rPr>
                <w:noProof/>
              </w:rPr>
            </w:pPr>
            <w:r>
              <w:rPr>
                <w:noProof/>
              </w:rPr>
              <w:t>— kā jaunu automaģistrāļu koncesiju piešķiršanas kritērijiem ir jāuzstāda minimālais skaits elektriskās uzlādes punktu, jāizveido piemērotas stāvvietas un atpūtas vietas kravu pā</w:t>
            </w:r>
            <w:r>
              <w:rPr>
                <w:noProof/>
              </w:rPr>
              <w:t>rvadājumu operatoriem un jānodrošina pilnīga atbilstība ART izstrādātajam tiesiskajam regulējumam, lai aizsargātu lietotāju tiesības un nodrošinātu pienācīgu pakalpojumu līmeni.</w:t>
            </w:r>
          </w:p>
          <w:p w14:paraId="32D3510F" w14:textId="77777777" w:rsidR="00C972CB" w:rsidRDefault="00C972CB">
            <w:pPr>
              <w:jc w:val="both"/>
              <w:rPr>
                <w:rFonts w:ascii="Arial Narrow" w:hAnsi="Arial Narrow"/>
                <w:noProof/>
                <w:color w:val="006100"/>
                <w:sz w:val="20"/>
              </w:rPr>
            </w:pPr>
          </w:p>
          <w:p w14:paraId="6FD982C4" w14:textId="77777777" w:rsidR="00C972CB" w:rsidRDefault="002457F6">
            <w:pPr>
              <w:pStyle w:val="P68B1DB1-Normal11"/>
              <w:jc w:val="both"/>
              <w:rPr>
                <w:noProof/>
              </w:rPr>
            </w:pPr>
            <w:r>
              <w:rPr>
                <w:b/>
                <w:noProof/>
              </w:rPr>
              <w:t>Aukstā gludināšana</w:t>
            </w:r>
            <w:r>
              <w:rPr>
                <w:noProof/>
              </w:rPr>
              <w:t xml:space="preserve">: </w:t>
            </w:r>
          </w:p>
          <w:p w14:paraId="067A7CA3" w14:textId="0E0793E5" w:rsidR="00C972CB" w:rsidRDefault="002457F6">
            <w:pPr>
              <w:pStyle w:val="P68B1DB1-Normal11"/>
              <w:rPr>
                <w:noProof/>
              </w:rPr>
            </w:pPr>
            <w:r>
              <w:rPr>
                <w:noProof/>
              </w:rPr>
              <w:t>stājas</w:t>
            </w:r>
            <w:r>
              <w:rPr>
                <w:b/>
                <w:noProof/>
              </w:rPr>
              <w:t>spēkā</w:t>
            </w:r>
            <w:r>
              <w:rPr>
                <w:noProof/>
              </w:rPr>
              <w:t xml:space="preserve"> regulatīvie stimuli izmantot aukstās gludināšanas pakalpojumus ostās;</w:t>
            </w:r>
          </w:p>
          <w:p w14:paraId="240C2E31" w14:textId="77777777" w:rsidR="00C972CB" w:rsidRDefault="00C972CB">
            <w:pPr>
              <w:jc w:val="both"/>
              <w:rPr>
                <w:rFonts w:ascii="Arial Narrow" w:hAnsi="Arial Narrow"/>
                <w:noProof/>
                <w:color w:val="006100"/>
                <w:sz w:val="20"/>
              </w:rPr>
            </w:pPr>
          </w:p>
          <w:p w14:paraId="0254D164" w14:textId="77777777" w:rsidR="00C972CB" w:rsidRDefault="002457F6">
            <w:pPr>
              <w:pStyle w:val="P68B1DB1-Normal20"/>
              <w:jc w:val="both"/>
              <w:rPr>
                <w:noProof/>
              </w:rPr>
            </w:pPr>
            <w:r>
              <w:rPr>
                <w:noProof/>
              </w:rPr>
              <w:t>Dabasgāzes mazumtirdzniecības pārdevēju saraksts:</w:t>
            </w:r>
          </w:p>
          <w:p w14:paraId="0AF196AA" w14:textId="77777777" w:rsidR="00C972CB" w:rsidRDefault="002457F6">
            <w:pPr>
              <w:pStyle w:val="P68B1DB1-Normal11"/>
              <w:jc w:val="both"/>
              <w:rPr>
                <w:noProof/>
              </w:rPr>
            </w:pPr>
            <w:r>
              <w:rPr>
                <w:b/>
                <w:noProof/>
              </w:rPr>
              <w:t>noteikt</w:t>
            </w:r>
            <w:r>
              <w:rPr>
                <w:noProof/>
              </w:rPr>
              <w:t xml:space="preserve"> kritērijus un prasības attiecībā uz piekļuvi un pastāvīgumu uzņēmumiem dabasgāzes mazumtirdzniecības pārdevēju sarakstā, kas i</w:t>
            </w:r>
            <w:r>
              <w:rPr>
                <w:noProof/>
              </w:rPr>
              <w:t>zveidots ar Leģislatīvā dekrēta Nr. 164/2000 17. pantu, lai uzlabotu pārredzamību un atbalstītu patērētāju izvēli tirgos, kuros valda konkurence;</w:t>
            </w:r>
          </w:p>
          <w:p w14:paraId="712DA71D" w14:textId="77777777" w:rsidR="00C972CB" w:rsidRDefault="00C972CB">
            <w:pPr>
              <w:rPr>
                <w:rFonts w:ascii="Arial Narrow" w:hAnsi="Arial Narrow"/>
                <w:noProof/>
                <w:color w:val="006100"/>
                <w:sz w:val="20"/>
              </w:rPr>
            </w:pPr>
          </w:p>
          <w:p w14:paraId="7F70EC92" w14:textId="77777777" w:rsidR="00C972CB" w:rsidRDefault="002457F6">
            <w:pPr>
              <w:pStyle w:val="P68B1DB1-Normal20"/>
              <w:rPr>
                <w:noProof/>
              </w:rPr>
            </w:pPr>
            <w:r>
              <w:rPr>
                <w:noProof/>
              </w:rPr>
              <w:t>Apdrošināšana:</w:t>
            </w:r>
          </w:p>
          <w:p w14:paraId="2A30A76F" w14:textId="158ED0FE" w:rsidR="00C972CB" w:rsidRDefault="002457F6">
            <w:pPr>
              <w:pStyle w:val="P68B1DB1-Normal11"/>
              <w:rPr>
                <w:noProof/>
              </w:rPr>
            </w:pPr>
            <w:r>
              <w:rPr>
                <w:b/>
                <w:noProof/>
              </w:rPr>
              <w:t>VII)</w:t>
            </w:r>
            <w:r>
              <w:rPr>
                <w:noProof/>
              </w:rPr>
              <w:t xml:space="preserve"> stājas spēkā tiesību akti, kas vajadzīgi, lai nodrošinātu automobiļu melno kastu datu pār</w:t>
            </w:r>
            <w:r>
              <w:rPr>
                <w:noProof/>
              </w:rPr>
              <w:t>nesamību starp apdrošinātājiem;</w:t>
            </w:r>
          </w:p>
          <w:p w14:paraId="279413AF" w14:textId="77777777" w:rsidR="00C972CB" w:rsidRDefault="00C972CB">
            <w:pPr>
              <w:rPr>
                <w:rFonts w:ascii="Arial Narrow" w:hAnsi="Arial Narrow"/>
                <w:noProof/>
                <w:color w:val="006100"/>
                <w:sz w:val="20"/>
              </w:rPr>
            </w:pPr>
          </w:p>
          <w:p w14:paraId="76C3E98D" w14:textId="77777777" w:rsidR="00C972CB" w:rsidRDefault="002457F6">
            <w:pPr>
              <w:pStyle w:val="P68B1DB1-Normal20"/>
              <w:rPr>
                <w:noProof/>
              </w:rPr>
            </w:pPr>
            <w:r>
              <w:rPr>
                <w:noProof/>
              </w:rPr>
              <w:t>Uzņēmējdarbības sākšana:</w:t>
            </w:r>
          </w:p>
          <w:p w14:paraId="43C88FD6" w14:textId="1FB0651F" w:rsidR="00C972CB" w:rsidRDefault="002457F6">
            <w:pPr>
              <w:pStyle w:val="P68B1DB1-Normal11"/>
              <w:jc w:val="both"/>
              <w:rPr>
                <w:noProof/>
              </w:rPr>
            </w:pPr>
            <w:r>
              <w:rPr>
                <w:b/>
                <w:noProof/>
              </w:rPr>
              <w:t>VIII)</w:t>
            </w:r>
            <w:r>
              <w:rPr>
                <w:noProof/>
              </w:rPr>
              <w:t xml:space="preserve"> Tiesību aktu pārskatīšana un atjaunināšana attiecībā uz jaunuzņēmumiem, inovatīviem MVU un riska kapitālu (piemēram, 2012. gada Start Up Act), lai racionalizētu spēkā esošos tiesību aktus, pār</w:t>
            </w:r>
            <w:r>
              <w:rPr>
                <w:noProof/>
              </w:rPr>
              <w:t>skatītu jaunuzņēmumu definīciju un veicinātu privāto un institucionālo ieguldītāju ieguldījumus riska kapitālā.</w:t>
            </w:r>
          </w:p>
        </w:tc>
      </w:tr>
      <w:tr w:rsidR="00C972CB" w14:paraId="5ECAEE5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F8755A2" w14:textId="77777777" w:rsidR="00C972CB" w:rsidRDefault="002457F6">
            <w:pPr>
              <w:pStyle w:val="P68B1DB1-Normal11"/>
              <w:spacing w:before="120" w:after="120"/>
              <w:jc w:val="center"/>
              <w:rPr>
                <w:noProof/>
              </w:rPr>
            </w:pPr>
            <w:r>
              <w:rPr>
                <w:noProof/>
              </w:rPr>
              <w:t>M1C2–12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5ECE12D" w14:textId="77777777" w:rsidR="00C972CB" w:rsidRDefault="002457F6">
            <w:pPr>
              <w:pStyle w:val="P68B1DB1-Normal11"/>
              <w:spacing w:before="120" w:after="120"/>
              <w:jc w:val="center"/>
              <w:rPr>
                <w:noProof/>
              </w:rPr>
            </w:pPr>
            <w:r>
              <w:rPr>
                <w:noProof/>
              </w:rPr>
              <w:t>Reforma: Ikgadējie konkurences tiesību akti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873B7D" w14:textId="77777777" w:rsidR="00C972CB" w:rsidRDefault="002457F6">
            <w:pPr>
              <w:pStyle w:val="P68B1DB1-Normal11"/>
              <w:spacing w:before="120" w:after="120"/>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E01F077" w14:textId="77777777" w:rsidR="00C972CB" w:rsidRDefault="002457F6">
            <w:pPr>
              <w:pStyle w:val="P68B1DB1-Normal11"/>
              <w:spacing w:before="120" w:after="120"/>
              <w:jc w:val="center"/>
              <w:rPr>
                <w:noProof/>
              </w:rPr>
            </w:pPr>
            <w:r>
              <w:rPr>
                <w:noProof/>
              </w:rPr>
              <w:t xml:space="preserve">Stājas spēkā visi īstenošanas pasākumi (vajadzības gadījumā arī </w:t>
            </w:r>
            <w:r>
              <w:rPr>
                <w:noProof/>
              </w:rPr>
              <w:t>sekundārie tiesību akti), lai efektīvi īstenotu un piemērotu pasākumus, kas izriet no 2023. gada Konkurences likuma</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B72FF11" w14:textId="77777777" w:rsidR="00C972CB" w:rsidRDefault="002457F6">
            <w:pPr>
              <w:pStyle w:val="P68B1DB1-Normal11"/>
              <w:spacing w:before="120" w:after="120"/>
              <w:jc w:val="center"/>
              <w:rPr>
                <w:noProof/>
              </w:rPr>
            </w:pPr>
            <w:r>
              <w:rPr>
                <w:noProof/>
              </w:rPr>
              <w:t xml:space="preserve">Stājas spēkā visi sekundārie tiesību akti, tostarp visi nepieciešamie noteikumi par pasākumiem, kas izriet no 2023. gada ikgadējā </w:t>
            </w:r>
            <w:r>
              <w:rPr>
                <w:noProof/>
              </w:rPr>
              <w:t>konkurences likuma</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5AFEFFD" w14:textId="77777777" w:rsidR="00C972CB" w:rsidRDefault="002457F6">
            <w:pPr>
              <w:pStyle w:val="P68B1DB1-Normal11"/>
              <w:spacing w:before="120" w:after="120"/>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9969B52" w14:textId="77777777" w:rsidR="00C972CB" w:rsidRDefault="002457F6">
            <w:pPr>
              <w:pStyle w:val="P68B1DB1-Normal11"/>
              <w:spacing w:before="120" w:after="120"/>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1D16D89" w14:textId="77777777" w:rsidR="00C972CB" w:rsidRDefault="002457F6">
            <w:pPr>
              <w:pStyle w:val="P68B1DB1-Normal11"/>
              <w:spacing w:before="120" w:after="120"/>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A63E4F4"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5349B9" w14:textId="77777777" w:rsidR="00C972CB" w:rsidRDefault="002457F6">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74009F6" w14:textId="77777777" w:rsidR="00C972CB" w:rsidRDefault="002457F6">
            <w:pPr>
              <w:pStyle w:val="P68B1DB1-Normal11"/>
              <w:spacing w:before="120" w:after="120"/>
              <w:rPr>
                <w:noProof/>
              </w:rPr>
            </w:pPr>
            <w:r>
              <w:rPr>
                <w:noProof/>
              </w:rPr>
              <w:t>Stājas spēkā visi sekundārie tiesību akti (ja nepieciešams), tostarp visi noteikumi, kas vajadzīgi, lai efektīvi īstenotu un piemērotu visus pasākumus, kuri izriet no 2023. gada ikgadējā konkure</w:t>
            </w:r>
            <w:r>
              <w:rPr>
                <w:noProof/>
              </w:rPr>
              <w:t>nces likuma.</w:t>
            </w:r>
          </w:p>
        </w:tc>
      </w:tr>
      <w:tr w:rsidR="00C972CB" w14:paraId="5D49AE0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686DA" w14:textId="77777777" w:rsidR="00C972CB" w:rsidRDefault="002457F6">
            <w:pPr>
              <w:pStyle w:val="P68B1DB1-Normal11"/>
              <w:spacing w:before="120" w:after="120"/>
              <w:jc w:val="center"/>
              <w:rPr>
                <w:noProof/>
              </w:rPr>
            </w:pPr>
            <w:r>
              <w:rPr>
                <w:noProof/>
              </w:rPr>
              <w:t>M1C2–13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3102DB7" w14:textId="77777777" w:rsidR="00C972CB" w:rsidRDefault="002457F6">
            <w:pPr>
              <w:pStyle w:val="P68B1DB1-Normal11"/>
              <w:spacing w:before="120" w:after="120"/>
              <w:jc w:val="center"/>
              <w:rPr>
                <w:noProof/>
              </w:rPr>
            </w:pPr>
            <w:r>
              <w:rPr>
                <w:noProof/>
              </w:rPr>
              <w:t>Reforma: Ikgadējie konkurences tiesību akti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B69B20" w14:textId="77777777" w:rsidR="00C972CB" w:rsidRDefault="002457F6">
            <w:pPr>
              <w:pStyle w:val="P68B1DB1-Normal11"/>
              <w:spacing w:before="120" w:after="120"/>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E69E5B3" w14:textId="77777777" w:rsidR="00C972CB" w:rsidRDefault="002457F6">
            <w:pPr>
              <w:pStyle w:val="P68B1DB1-Normal11"/>
              <w:spacing w:before="120" w:after="120"/>
              <w:jc w:val="center"/>
              <w:rPr>
                <w:noProof/>
              </w:rPr>
            </w:pPr>
            <w:r>
              <w:rPr>
                <w:noProof/>
              </w:rPr>
              <w:t>2024. gada Konkurences likuma stāšanās spēkā</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F9E0461" w14:textId="77777777" w:rsidR="00C972CB" w:rsidRDefault="002457F6">
            <w:pPr>
              <w:pStyle w:val="P68B1DB1-Normal11"/>
              <w:spacing w:before="120" w:after="120"/>
              <w:jc w:val="center"/>
              <w:rPr>
                <w:noProof/>
              </w:rPr>
            </w:pPr>
            <w:r>
              <w:rPr>
                <w:noProof/>
              </w:rPr>
              <w:t>Noteikums, kas norāda uz 2024. gada Konkurences likuma stāšanos spēkā.</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C1ADCEC" w14:textId="77777777" w:rsidR="00C972CB" w:rsidRDefault="002457F6">
            <w:pPr>
              <w:pStyle w:val="P68B1DB1-Normal11"/>
              <w:spacing w:before="120" w:after="120"/>
              <w:jc w:val="center"/>
              <w:rPr>
                <w:noProof/>
              </w:rPr>
            </w:pPr>
            <w:r>
              <w:rPr>
                <w:noProof/>
              </w:rPr>
              <w:t>NEPIEMĒRO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D9A21DA" w14:textId="77777777" w:rsidR="00C972CB" w:rsidRDefault="002457F6">
            <w:pPr>
              <w:pStyle w:val="P68B1DB1-Normal11"/>
              <w:spacing w:before="120" w:after="120"/>
              <w:jc w:val="center"/>
              <w:rPr>
                <w:noProof/>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D11730D" w14:textId="77777777" w:rsidR="00C972CB" w:rsidRDefault="002457F6">
            <w:pPr>
              <w:pStyle w:val="P68B1DB1-Normal11"/>
              <w:spacing w:before="120" w:after="120"/>
              <w:jc w:val="center"/>
              <w:rPr>
                <w:noProof/>
              </w:rPr>
            </w:pPr>
            <w:r>
              <w:rPr>
                <w:noProof/>
              </w:rPr>
              <w:t>NEPIEMĒRO</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1777ECE"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04890CF" w14:textId="77777777" w:rsidR="00C972CB" w:rsidRDefault="002457F6">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AE82539" w14:textId="5BF59C13" w:rsidR="00C972CB" w:rsidRDefault="002457F6">
            <w:pPr>
              <w:pStyle w:val="P68B1DB1-Normal11"/>
              <w:spacing w:before="120" w:after="120"/>
              <w:rPr>
                <w:noProof/>
              </w:rPr>
            </w:pPr>
            <w:r>
              <w:rPr>
                <w:noProof/>
              </w:rPr>
              <w:t xml:space="preserve">2024. gada </w:t>
            </w:r>
            <w:r>
              <w:rPr>
                <w:noProof/>
              </w:rPr>
              <w:t>Konkurences likuma stāšanās spēkā.</w:t>
            </w:r>
          </w:p>
          <w:p w14:paraId="76E8D53E" w14:textId="5C4B42BA" w:rsidR="00C972CB" w:rsidRDefault="002457F6">
            <w:pPr>
              <w:pStyle w:val="P68B1DB1-Normal11"/>
              <w:spacing w:before="120" w:after="120"/>
              <w:rPr>
                <w:noProof/>
              </w:rPr>
            </w:pPr>
            <w:r>
              <w:rPr>
                <w:noProof/>
              </w:rPr>
              <w:t>Likumprojektu iesniedz Parlamentam līdz 2024. gada jūnijam. Palātas to apstiprina līdz 2024. gada beigām. Sekundārie tiesību akti (ja nepieciešams) ne vēlāk kā 2025. gada 4. ceturksnī.</w:t>
            </w:r>
          </w:p>
        </w:tc>
      </w:tr>
      <w:tr w:rsidR="00C972CB" w14:paraId="08E6159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EA6EC61" w14:textId="77777777" w:rsidR="00C972CB" w:rsidRDefault="002457F6">
            <w:pPr>
              <w:pStyle w:val="P68B1DB1-Normal11"/>
              <w:spacing w:before="120" w:after="120"/>
              <w:jc w:val="center"/>
              <w:rPr>
                <w:noProof/>
              </w:rPr>
            </w:pPr>
            <w:r>
              <w:rPr>
                <w:noProof/>
              </w:rPr>
              <w:t>M1C2–14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C74645" w14:textId="77777777" w:rsidR="00C972CB" w:rsidRDefault="002457F6">
            <w:pPr>
              <w:pStyle w:val="P68B1DB1-Normal11"/>
              <w:spacing w:before="120" w:after="120"/>
              <w:jc w:val="center"/>
              <w:rPr>
                <w:noProof/>
              </w:rPr>
            </w:pPr>
            <w:r>
              <w:rPr>
                <w:noProof/>
              </w:rPr>
              <w:t xml:space="preserve">Reforma: Ikgadējie </w:t>
            </w:r>
            <w:r>
              <w:rPr>
                <w:noProof/>
              </w:rPr>
              <w:t>konkurences tiesību akti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DF7073" w14:textId="77777777" w:rsidR="00C972CB" w:rsidRDefault="002457F6">
            <w:pPr>
              <w:pStyle w:val="P68B1DB1-Normal11"/>
              <w:spacing w:before="120" w:after="120"/>
              <w:jc w:val="center"/>
              <w:rPr>
                <w:noProof/>
              </w:rPr>
            </w:pPr>
            <w:r>
              <w:rPr>
                <w:noProof/>
              </w:rPr>
              <w:t>Mērķa</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5E9CC24" w14:textId="77777777" w:rsidR="00C972CB" w:rsidRDefault="002457F6">
            <w:pPr>
              <w:pStyle w:val="P68B1DB1-Normal11"/>
              <w:spacing w:before="120" w:after="120"/>
              <w:jc w:val="center"/>
              <w:rPr>
                <w:noProof/>
              </w:rPr>
            </w:pPr>
            <w:r>
              <w:rPr>
                <w:noProof/>
              </w:rPr>
              <w:t>Ieviesti miljoniem 2G viedo skaitītāju.</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54924D1" w14:textId="77777777" w:rsidR="00C972CB" w:rsidRDefault="002457F6">
            <w:pPr>
              <w:pStyle w:val="P68B1DB1-Normal11"/>
              <w:spacing w:before="120" w:after="120"/>
              <w:jc w:val="center"/>
              <w:rPr>
                <w:noProof/>
              </w:rPr>
            </w:pPr>
            <w:r>
              <w:rPr>
                <w:noProof/>
              </w:rPr>
              <w:t>NEPIEMĒRO</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216586B" w14:textId="77777777" w:rsidR="00C972CB" w:rsidRDefault="002457F6">
            <w:pPr>
              <w:pStyle w:val="P68B1DB1-Normal11"/>
              <w:spacing w:before="120" w:after="120"/>
              <w:jc w:val="center"/>
              <w:rPr>
                <w:noProof/>
              </w:rPr>
            </w:pPr>
            <w:r>
              <w:rPr>
                <w:noProof/>
              </w:rPr>
              <w:t>Skaits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E4AC953" w14:textId="77777777" w:rsidR="00C972CB" w:rsidRDefault="002457F6">
            <w:pPr>
              <w:pStyle w:val="P68B1DB1-Normal11"/>
              <w:spacing w:before="120" w:after="120"/>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61A67CC" w14:textId="77777777" w:rsidR="00C972CB" w:rsidRDefault="002457F6">
            <w:pPr>
              <w:pStyle w:val="P68B1DB1-Normal11"/>
              <w:spacing w:before="120" w:after="120"/>
              <w:jc w:val="center"/>
              <w:rPr>
                <w:noProof/>
              </w:rPr>
            </w:pPr>
            <w:r>
              <w:rPr>
                <w:noProof/>
              </w:rPr>
              <w:t>33</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0CAD4B" w14:textId="77777777" w:rsidR="00C972CB" w:rsidRDefault="002457F6">
            <w:pPr>
              <w:pStyle w:val="P68B1DB1-Normal11"/>
              <w:spacing w:before="120"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760C1DB" w14:textId="77777777" w:rsidR="00C972CB" w:rsidRDefault="002457F6">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F9BD75" w14:textId="77777777" w:rsidR="00C972CB" w:rsidRDefault="002457F6">
            <w:pPr>
              <w:pStyle w:val="P68B1DB1-Normal11"/>
              <w:rPr>
                <w:noProof/>
              </w:rPr>
            </w:pPr>
            <w:r>
              <w:rPr>
                <w:noProof/>
              </w:rPr>
              <w:t>Ierīko vismaz 33 miljonus 2G viedo skaitītāju.</w:t>
            </w:r>
          </w:p>
        </w:tc>
      </w:tr>
      <w:tr w:rsidR="00C972CB" w14:paraId="6AAB8B5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DD7CEEB" w14:textId="77777777" w:rsidR="00C972CB" w:rsidRDefault="002457F6">
            <w:pPr>
              <w:pStyle w:val="P68B1DB1-Normal11"/>
              <w:jc w:val="center"/>
              <w:rPr>
                <w:noProof/>
              </w:rPr>
            </w:pPr>
            <w:r>
              <w:rPr>
                <w:noProof/>
              </w:rPr>
              <w:t>M1C2–14bis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2A17FD" w14:textId="77777777" w:rsidR="00C972CB" w:rsidRDefault="002457F6">
            <w:pPr>
              <w:pStyle w:val="P68B1DB1-Normal11"/>
              <w:jc w:val="center"/>
              <w:rPr>
                <w:noProof/>
              </w:rPr>
            </w:pPr>
            <w:r>
              <w:rPr>
                <w:noProof/>
              </w:rPr>
              <w:t>Reforma.   uzņēmumu stimulu racionalizācija un vienkāršošana.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E7203F" w14:textId="77777777" w:rsidR="00C972CB" w:rsidRDefault="002457F6">
            <w:pPr>
              <w:pStyle w:val="P68B1DB1-Normal11"/>
              <w:jc w:val="center"/>
              <w:rPr>
                <w:noProof/>
              </w:rPr>
            </w:pPr>
            <w:r>
              <w:rPr>
                <w:noProof/>
              </w:rPr>
              <w:t xml:space="preserve">Starpposma mērķis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5CCFAD6" w14:textId="77777777" w:rsidR="00C972CB" w:rsidRDefault="002457F6">
            <w:pPr>
              <w:pStyle w:val="P68B1DB1-Normal11"/>
              <w:jc w:val="center"/>
              <w:rPr>
                <w:noProof/>
              </w:rPr>
            </w:pPr>
            <w:r>
              <w:rPr>
                <w:noProof/>
              </w:rPr>
              <w:t xml:space="preserve">Ziņojuma </w:t>
            </w:r>
            <w:r>
              <w:rPr>
                <w:noProof/>
              </w:rPr>
              <w:t>publicēšana, novērtējot visus stimulus uzņēmumiem</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3BFB797" w14:textId="77777777" w:rsidR="00C972CB" w:rsidRDefault="002457F6">
            <w:pPr>
              <w:pStyle w:val="P68B1DB1-Normal11"/>
              <w:jc w:val="center"/>
              <w:rPr>
                <w:noProof/>
              </w:rPr>
            </w:pPr>
            <w:r>
              <w:rPr>
                <w:noProof/>
              </w:rPr>
              <w:t xml:space="preserve">Ziņojuma publicēšana </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CF2D925" w14:textId="77777777" w:rsidR="00C972CB" w:rsidRDefault="002457F6">
            <w:pPr>
              <w:pStyle w:val="P68B1DB1-Normal11"/>
              <w:jc w:val="center"/>
              <w:rPr>
                <w:noProof/>
              </w:rPr>
            </w:pPr>
            <w:r>
              <w:rPr>
                <w:noProof/>
              </w:rPr>
              <w:t xml:space="preserve">NEPIEMĒRO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B81509B" w14:textId="77777777" w:rsidR="00C972CB" w:rsidRDefault="002457F6">
            <w:pPr>
              <w:pStyle w:val="P68B1DB1-Normal11"/>
              <w:jc w:val="center"/>
              <w:rPr>
                <w:noProof/>
              </w:rPr>
            </w:pPr>
            <w:r>
              <w:rPr>
                <w:noProof/>
              </w:rPr>
              <w:t xml:space="preserve">NEPIEMĒRO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AFE474A" w14:textId="77777777" w:rsidR="00C972CB" w:rsidRDefault="002457F6">
            <w:pPr>
              <w:pStyle w:val="P68B1DB1-Normal11"/>
              <w:jc w:val="center"/>
              <w:rPr>
                <w:noProof/>
              </w:rPr>
            </w:pPr>
            <w:r>
              <w:rPr>
                <w:noProof/>
              </w:rPr>
              <w:t xml:space="preserve">NEPIEMĒRO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801BAD2" w14:textId="77777777" w:rsidR="00C972CB" w:rsidRDefault="002457F6">
            <w:pPr>
              <w:pStyle w:val="P68B1DB1-Normal11"/>
              <w:jc w:val="center"/>
              <w:rPr>
                <w:noProof/>
              </w:rPr>
            </w:pPr>
            <w:r>
              <w:rPr>
                <w:noProof/>
              </w:rPr>
              <w:t xml:space="preserve">2. CET.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568FB6F" w14:textId="77777777" w:rsidR="00C972CB" w:rsidRDefault="002457F6">
            <w:pPr>
              <w:pStyle w:val="P68B1DB1-Normal11"/>
              <w:jc w:val="center"/>
              <w:rPr>
                <w:noProof/>
              </w:rPr>
            </w:pPr>
            <w:r>
              <w:rPr>
                <w:noProof/>
              </w:rPr>
              <w:t xml:space="preserve">2025 </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7828F71" w14:textId="77777777" w:rsidR="00C972CB" w:rsidRDefault="002457F6">
            <w:pPr>
              <w:pStyle w:val="P68B1DB1-Normal11"/>
              <w:jc w:val="both"/>
              <w:rPr>
                <w:noProof/>
              </w:rPr>
            </w:pPr>
            <w:r>
              <w:rPr>
                <w:noProof/>
              </w:rPr>
              <w:t>Itālijas Uzņēmumu un Made ministrija publicē ziņojumu, kurā izvērtēti visi uzņēmumu stimuli un ieguldījumi.</w:t>
            </w:r>
          </w:p>
          <w:p w14:paraId="185BE74F" w14:textId="77777777" w:rsidR="00C972CB" w:rsidRDefault="002457F6">
            <w:pPr>
              <w:pStyle w:val="P68B1DB1-Normal11"/>
              <w:jc w:val="both"/>
              <w:rPr>
                <w:noProof/>
              </w:rPr>
            </w:pPr>
            <w:r>
              <w:rPr>
                <w:noProof/>
              </w:rPr>
              <w:t xml:space="preserve">Ziņojumā izstrādā konkrētus </w:t>
            </w:r>
            <w:r>
              <w:rPr>
                <w:noProof/>
              </w:rPr>
              <w:t>priekšlikumus valstu stimulu racionalizācijai.</w:t>
            </w:r>
          </w:p>
          <w:p w14:paraId="18C57879" w14:textId="77777777" w:rsidR="00C972CB" w:rsidRDefault="00C972CB">
            <w:pPr>
              <w:rPr>
                <w:rFonts w:ascii="Arial Narrow" w:eastAsia="Calibri" w:hAnsi="Arial Narrow" w:cs="Calibri"/>
                <w:noProof/>
                <w:sz w:val="20"/>
              </w:rPr>
            </w:pPr>
          </w:p>
        </w:tc>
      </w:tr>
      <w:tr w:rsidR="00C972CB" w14:paraId="73D85A1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20CF965" w14:textId="77777777" w:rsidR="00C972CB" w:rsidRDefault="002457F6">
            <w:pPr>
              <w:pStyle w:val="P68B1DB1-Normal11"/>
              <w:jc w:val="center"/>
              <w:rPr>
                <w:noProof/>
              </w:rPr>
            </w:pPr>
            <w:r>
              <w:rPr>
                <w:noProof/>
              </w:rPr>
              <w:t>M1C2–14ter</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F9D385A" w14:textId="77777777" w:rsidR="00C972CB" w:rsidRDefault="002457F6">
            <w:pPr>
              <w:pStyle w:val="P68B1DB1-Normal11"/>
              <w:jc w:val="center"/>
              <w:rPr>
                <w:noProof/>
              </w:rPr>
            </w:pPr>
            <w:r>
              <w:rPr>
                <w:noProof/>
              </w:rPr>
              <w:t>Reforma. uzņēmumu stimulu racionalizācija un vienkāršošana.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7317AC" w14:textId="77777777" w:rsidR="00C972CB" w:rsidRDefault="002457F6">
            <w:pPr>
              <w:pStyle w:val="P68B1DB1-Normal11"/>
              <w:jc w:val="center"/>
              <w:rPr>
                <w:noProof/>
              </w:rPr>
            </w:pPr>
            <w:r>
              <w:rPr>
                <w:noProof/>
              </w:rPr>
              <w:t xml:space="preserve">Starpposma mērķis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5FFB8C" w14:textId="77777777" w:rsidR="00C972CB" w:rsidRDefault="002457F6">
            <w:pPr>
              <w:pStyle w:val="P68B1DB1-Normal11"/>
              <w:jc w:val="center"/>
              <w:rPr>
                <w:noProof/>
              </w:rPr>
            </w:pPr>
            <w:r>
              <w:rPr>
                <w:noProof/>
              </w:rPr>
              <w:t>Primāro tiesību aktu stāšanās spēkā attiecībā uz stingru stimulu racionalizāciju</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A42106F" w14:textId="77777777" w:rsidR="00C972CB" w:rsidRDefault="002457F6">
            <w:pPr>
              <w:pStyle w:val="P68B1DB1-Normal11"/>
              <w:jc w:val="center"/>
              <w:rPr>
                <w:noProof/>
              </w:rPr>
            </w:pPr>
            <w:r>
              <w:rPr>
                <w:noProof/>
              </w:rPr>
              <w:t>Primāro tiesību aktu stāšanās spēkā</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37D65B8" w14:textId="77777777" w:rsidR="00C972CB" w:rsidRDefault="002457F6">
            <w:pPr>
              <w:pStyle w:val="P68B1DB1-Normal11"/>
              <w:jc w:val="center"/>
              <w:rPr>
                <w:noProof/>
              </w:rPr>
            </w:pPr>
            <w:r>
              <w:rPr>
                <w:noProof/>
              </w:rPr>
              <w:t xml:space="preserve">NEPIEMĒRO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CB3ECD3" w14:textId="77777777" w:rsidR="00C972CB" w:rsidRDefault="002457F6">
            <w:pPr>
              <w:pStyle w:val="P68B1DB1-Normal11"/>
              <w:jc w:val="center"/>
              <w:rPr>
                <w:noProof/>
              </w:rPr>
            </w:pPr>
            <w:r>
              <w:rPr>
                <w:noProof/>
              </w:rPr>
              <w:t xml:space="preserve">NEPIEMĒRO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916892" w14:textId="77777777" w:rsidR="00C972CB" w:rsidRDefault="002457F6">
            <w:pPr>
              <w:pStyle w:val="P68B1DB1-Normal11"/>
              <w:jc w:val="center"/>
              <w:rPr>
                <w:noProof/>
              </w:rPr>
            </w:pPr>
            <w:r>
              <w:rPr>
                <w:noProof/>
              </w:rPr>
              <w:t xml:space="preserve">NEPIEMĒRO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E655DB6" w14:textId="77777777" w:rsidR="00C972CB" w:rsidRDefault="002457F6">
            <w:pPr>
              <w:pStyle w:val="P68B1DB1-Normal11"/>
              <w:jc w:val="center"/>
              <w:rPr>
                <w:noProof/>
              </w:rPr>
            </w:pPr>
            <w:r>
              <w:rPr>
                <w:noProof/>
              </w:rPr>
              <w:t xml:space="preserve">2. CET.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1C9038E" w14:textId="6C00C760" w:rsidR="00C972CB" w:rsidRDefault="002457F6">
            <w:pPr>
              <w:pStyle w:val="P68B1DB1-Normal11"/>
              <w:jc w:val="center"/>
              <w:rPr>
                <w:noProof/>
              </w:rPr>
            </w:pPr>
            <w:r>
              <w:rPr>
                <w:noProof/>
              </w:rPr>
              <w:t>2026</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79A42EA" w14:textId="77777777" w:rsidR="00C972CB" w:rsidRDefault="002457F6">
            <w:pPr>
              <w:pStyle w:val="P68B1DB1-Normal11"/>
              <w:jc w:val="both"/>
              <w:rPr>
                <w:noProof/>
              </w:rPr>
            </w:pPr>
            <w:r>
              <w:rPr>
                <w:noProof/>
              </w:rPr>
              <w:t>Stājas spēkā visi tiesību akti, lai racionalizētu stingrus stimulus.</w:t>
            </w:r>
          </w:p>
          <w:p w14:paraId="02683C27" w14:textId="77777777" w:rsidR="00C972CB" w:rsidRDefault="002457F6">
            <w:pPr>
              <w:pStyle w:val="P68B1DB1-Normal11"/>
              <w:jc w:val="both"/>
              <w:rPr>
                <w:noProof/>
              </w:rPr>
            </w:pPr>
            <w:r>
              <w:rPr>
                <w:noProof/>
              </w:rPr>
              <w:t>Reforma attiecas uz stimuliem valsts līmenī.</w:t>
            </w:r>
          </w:p>
        </w:tc>
      </w:tr>
    </w:tbl>
    <w:p w14:paraId="4E060259" w14:textId="77777777" w:rsidR="00C972CB" w:rsidRDefault="002457F6">
      <w:pPr>
        <w:spacing w:before="120" w:after="120"/>
        <w:jc w:val="both"/>
        <w:rPr>
          <w:noProof/>
        </w:rPr>
      </w:pPr>
      <w:r>
        <w:rPr>
          <w:noProof/>
        </w:rPr>
        <w:t xml:space="preserve"> </w:t>
      </w:r>
      <w:r>
        <w:rPr>
          <w:noProof/>
        </w:rPr>
        <w:br/>
      </w:r>
    </w:p>
    <w:p w14:paraId="5794EBD2" w14:textId="77777777" w:rsidR="00C972CB" w:rsidRDefault="00C972CB">
      <w:pPr>
        <w:spacing w:before="120" w:after="120"/>
        <w:ind w:left="709"/>
        <w:jc w:val="both"/>
        <w:rPr>
          <w:rFonts w:eastAsia="Calibri"/>
          <w:noProof/>
        </w:rPr>
      </w:pPr>
    </w:p>
    <w:p w14:paraId="0727A8D1" w14:textId="77777777" w:rsidR="00C972CB" w:rsidRDefault="00C972CB">
      <w:pPr>
        <w:spacing w:before="120" w:after="120"/>
        <w:ind w:left="709"/>
        <w:jc w:val="both"/>
        <w:rPr>
          <w:noProof/>
        </w:rPr>
        <w:sectPr w:rsidR="00C972CB" w:rsidSect="001354D1">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1783FF05" w14:textId="77777777" w:rsidR="00C972CB" w:rsidRDefault="002457F6">
      <w:pPr>
        <w:pStyle w:val="Heading3"/>
        <w:numPr>
          <w:ilvl w:val="2"/>
          <w:numId w:val="0"/>
        </w:numPr>
        <w:ind w:left="850" w:hanging="850"/>
        <w:rPr>
          <w:b/>
          <w:i w:val="0"/>
          <w:noProof/>
          <w:color w:val="4F81BD" w:themeColor="accent1"/>
          <w:u w:val="single"/>
        </w:rPr>
      </w:pPr>
      <w:r>
        <w:rPr>
          <w:b/>
          <w:i w:val="0"/>
          <w:noProof/>
          <w:u w:val="single"/>
        </w:rPr>
        <w:t xml:space="preserve">B.3. </w:t>
      </w:r>
      <w:r>
        <w:rPr>
          <w:noProof/>
        </w:rPr>
        <w:tab/>
      </w:r>
      <w:r>
        <w:rPr>
          <w:b/>
          <w:i w:val="0"/>
          <w:noProof/>
          <w:u w:val="single"/>
        </w:rPr>
        <w:t xml:space="preserve">Aizdevumam pieteikto reformu un investīciju apraksts </w:t>
      </w:r>
    </w:p>
    <w:p w14:paraId="3DDB12EC" w14:textId="77777777" w:rsidR="00C972CB" w:rsidRDefault="002457F6">
      <w:pPr>
        <w:pStyle w:val="P68B1DB1-Normal2"/>
        <w:spacing w:before="120" w:after="120"/>
        <w:jc w:val="both"/>
        <w:rPr>
          <w:i/>
          <w:noProof/>
        </w:rPr>
      </w:pPr>
      <w:r>
        <w:rPr>
          <w:noProof/>
        </w:rPr>
        <w:t xml:space="preserve">Ieguldījums Nr. 2: Mikroelektronikas inovācija un tehnoloģija </w:t>
      </w:r>
    </w:p>
    <w:p w14:paraId="1871B2BE" w14:textId="560A0F37" w:rsidR="00C972CB" w:rsidRDefault="002457F6">
      <w:pPr>
        <w:spacing w:before="120" w:after="120"/>
        <w:jc w:val="both"/>
        <w:rPr>
          <w:noProof/>
        </w:rPr>
      </w:pPr>
      <w:r>
        <w:rPr>
          <w:noProof/>
        </w:rPr>
        <w:t xml:space="preserve">Ieguldījuma mērķis ir atbalstīt mikroelektronikas stratēģiskās vērtības ķēdes attīstību, ieguldot Silicon Carbide substrātos, kas ir </w:t>
      </w:r>
      <w:r>
        <w:rPr>
          <w:noProof/>
        </w:rPr>
        <w:t>nepieciešams ieguldījums augstas veiktspējas elektroierīču ražošanā. Ieguldījumu īsteno saskaņā ar spēkā esošajiem valsts atbalsta noteikumiem, un paredzams, ka tam būs pozitīva ietekme uz nodarbinātību.</w:t>
      </w:r>
    </w:p>
    <w:p w14:paraId="5CE2CFAE" w14:textId="77777777" w:rsidR="00C972CB" w:rsidRDefault="002457F6">
      <w:pPr>
        <w:pStyle w:val="P68B1DB1-Normal2"/>
        <w:spacing w:before="120" w:after="120"/>
        <w:jc w:val="both"/>
        <w:rPr>
          <w:noProof/>
        </w:rPr>
      </w:pPr>
      <w:r>
        <w:rPr>
          <w:noProof/>
        </w:rPr>
        <w:t>Ieguldījums 3: Ātrdarbīga interneta savienojumi (pla</w:t>
      </w:r>
      <w:r>
        <w:rPr>
          <w:noProof/>
        </w:rPr>
        <w:t>tjosla un 5G)</w:t>
      </w:r>
    </w:p>
    <w:p w14:paraId="044629F2" w14:textId="77777777" w:rsidR="00C972CB" w:rsidRDefault="002457F6">
      <w:pPr>
        <w:spacing w:after="120"/>
        <w:jc w:val="both"/>
        <w:rPr>
          <w:noProof/>
        </w:rPr>
      </w:pPr>
      <w:r>
        <w:rPr>
          <w:noProof/>
        </w:rPr>
        <w:t xml:space="preserve">Ieguldījuma mērķis ir izveidot valsts īpaši ātrdarbīgu un 5G telekomunikāciju tīklu visā valsts teritorijā. Paredzams, ka šīs investīcijas būtiski veicinās digitālās pārkārtošanās mērķu sasniegšanu un mazinās digitālo plaisu Itālijā. </w:t>
      </w:r>
    </w:p>
    <w:p w14:paraId="12C3D354" w14:textId="77777777" w:rsidR="00C972CB" w:rsidRDefault="002457F6">
      <w:pPr>
        <w:spacing w:after="120"/>
        <w:jc w:val="both"/>
        <w:rPr>
          <w:noProof/>
        </w:rPr>
      </w:pPr>
      <w:r>
        <w:rPr>
          <w:noProof/>
        </w:rPr>
        <w:t>Ieguldī</w:t>
      </w:r>
      <w:r>
        <w:rPr>
          <w:noProof/>
        </w:rPr>
        <w:t>jumi ietver koncesiju piešķiršanu un ietver piecus ātrākus savienojumu projektus:</w:t>
      </w:r>
    </w:p>
    <w:p w14:paraId="7D8EE9A5" w14:textId="77777777" w:rsidR="00C972CB" w:rsidRDefault="002457F6">
      <w:pPr>
        <w:pStyle w:val="ListParagraph"/>
        <w:numPr>
          <w:ilvl w:val="0"/>
          <w:numId w:val="73"/>
        </w:numPr>
        <w:spacing w:before="0" w:after="0"/>
        <w:rPr>
          <w:rFonts w:eastAsiaTheme="minorEastAsia"/>
          <w:noProof/>
        </w:rPr>
      </w:pPr>
      <w:r>
        <w:rPr>
          <w:noProof/>
        </w:rPr>
        <w:t>“Italia a 1 giga”, kas nodrošina 1 gigabitu/s lejupielādē un 200 Mbit/s augšupielādes savienojamību pelēkās un melnās nākamās paaudzes piekļuves (NGA) zonās. Šīs zonas nosaka</w:t>
      </w:r>
      <w:r>
        <w:rPr>
          <w:noProof/>
        </w:rPr>
        <w:t xml:space="preserve"> pēc kartēšanas pabeigšanas;</w:t>
      </w:r>
    </w:p>
    <w:p w14:paraId="6EA65E9E" w14:textId="77777777" w:rsidR="00C972CB" w:rsidRDefault="002457F6">
      <w:pPr>
        <w:pStyle w:val="ListParagraph"/>
        <w:numPr>
          <w:ilvl w:val="0"/>
          <w:numId w:val="73"/>
        </w:numPr>
        <w:spacing w:before="0" w:after="0"/>
        <w:rPr>
          <w:rFonts w:eastAsiaTheme="minorEastAsia"/>
          <w:noProof/>
        </w:rPr>
      </w:pPr>
      <w:r>
        <w:rPr>
          <w:noProof/>
        </w:rPr>
        <w:t>“Italia 5G”, kas nodrošina 5G savienojumus tirgus nepilnību zonās, proti, teritorijās, kurās mobilo sakaru tīkli nav izvērsti; vai ir pieejami tikai 3G tīkli, un tuvākajā nākotnē nav plānoti 4G un/vai 5G mobilo sakaru tīkli; va</w:t>
      </w:r>
      <w:r>
        <w:rPr>
          <w:noProof/>
        </w:rPr>
        <w:t>i ir pierādīta tirgus nepilnība;</w:t>
      </w:r>
    </w:p>
    <w:p w14:paraId="7F88C104" w14:textId="77777777" w:rsidR="00C972CB" w:rsidRDefault="002457F6">
      <w:pPr>
        <w:pStyle w:val="ListParagraph"/>
        <w:numPr>
          <w:ilvl w:val="0"/>
          <w:numId w:val="73"/>
        </w:numPr>
        <w:spacing w:before="0" w:after="0"/>
        <w:rPr>
          <w:rFonts w:eastAsiaTheme="minorEastAsia"/>
          <w:noProof/>
        </w:rPr>
      </w:pPr>
      <w:r>
        <w:rPr>
          <w:noProof/>
        </w:rPr>
        <w:t>“Savienotas skolas”, kas nodrošina skolu ēkas ar 1 gigabitu/s platjoslas savienojamību;</w:t>
      </w:r>
    </w:p>
    <w:p w14:paraId="3C61ACC4" w14:textId="77777777" w:rsidR="00C972CB" w:rsidRDefault="002457F6">
      <w:pPr>
        <w:pStyle w:val="ListParagraph"/>
        <w:numPr>
          <w:ilvl w:val="0"/>
          <w:numId w:val="73"/>
        </w:numPr>
        <w:spacing w:before="0" w:after="0"/>
        <w:rPr>
          <w:rFonts w:eastAsiaTheme="minorEastAsia"/>
          <w:noProof/>
        </w:rPr>
      </w:pPr>
      <w:r>
        <w:rPr>
          <w:noProof/>
        </w:rPr>
        <w:t>“Savienotas veselības aprūpes iestādes”, kas nodrošina 1 gigabitu/s platjoslas savienojamību ar publiskajām veselības aprūpes iestādēm;</w:t>
      </w:r>
    </w:p>
    <w:p w14:paraId="0A2DADDA" w14:textId="77777777" w:rsidR="00C972CB" w:rsidRDefault="002457F6">
      <w:pPr>
        <w:pStyle w:val="ListParagraph"/>
        <w:numPr>
          <w:ilvl w:val="0"/>
          <w:numId w:val="73"/>
        </w:numPr>
        <w:spacing w:before="0" w:after="0"/>
        <w:rPr>
          <w:noProof/>
        </w:rPr>
      </w:pPr>
      <w:r>
        <w:rPr>
          <w:noProof/>
        </w:rPr>
        <w:t>“Savienotas mazākas salas”, kas nodrošina īpaši platjoslas savienojamību ar atsevišķām mazākām salām, kurām trūkst optiskās šķiedras savienojumu ar kontinentu.</w:t>
      </w:r>
    </w:p>
    <w:p w14:paraId="15734516" w14:textId="77777777" w:rsidR="00C972CB" w:rsidRDefault="00C972CB">
      <w:pPr>
        <w:pStyle w:val="ListParagraph"/>
        <w:spacing w:before="0" w:after="0"/>
        <w:rPr>
          <w:noProof/>
        </w:rPr>
      </w:pPr>
    </w:p>
    <w:p w14:paraId="022E1C03" w14:textId="77777777" w:rsidR="00C972CB" w:rsidRDefault="002457F6">
      <w:pPr>
        <w:pStyle w:val="P68B1DB1-Normal2"/>
        <w:spacing w:before="120" w:after="120"/>
        <w:jc w:val="both"/>
        <w:rPr>
          <w:noProof/>
        </w:rPr>
      </w:pPr>
      <w:r>
        <w:rPr>
          <w:noProof/>
        </w:rPr>
        <w:t>Ieguldījums Nr. 4: Satelītu tehnoloģija un kosmosa ekonomika</w:t>
      </w:r>
    </w:p>
    <w:p w14:paraId="3DF5495A" w14:textId="77777777" w:rsidR="00C972CB" w:rsidRDefault="002457F6">
      <w:pPr>
        <w:jc w:val="both"/>
        <w:rPr>
          <w:noProof/>
          <w:color w:val="000000" w:themeColor="text1"/>
        </w:rPr>
      </w:pPr>
      <w:r>
        <w:rPr>
          <w:noProof/>
        </w:rPr>
        <w:t xml:space="preserve">Investīciju mērķis ir attīstīt </w:t>
      </w:r>
      <w:r>
        <w:rPr>
          <w:noProof/>
        </w:rPr>
        <w:t>satelītsakarus, ņemot vērā digitālo un zaļo pārkārtošanos, un veicināt kosmosa nozares attīstību. Ieguldījumu mērķis ir arī nodrošināt tādus pakalpojumus kā droša saziņa un uzraudzības infrastruktūra dažādām ekonomikas nozarēm, un šajā nolūkā tie ietver ga</w:t>
      </w:r>
      <w:r>
        <w:rPr>
          <w:noProof/>
        </w:rPr>
        <w:t>n augšupējas (</w:t>
      </w:r>
      <w:r>
        <w:rPr>
          <w:noProof/>
          <w:color w:val="000000" w:themeColor="text1"/>
        </w:rPr>
        <w:t xml:space="preserve">palaišanas pakalpojumi, satelītu un infrastruktūras ražošana un ekspluatācija), gan lejupējās (iespējamo produktu un pakalpojumu radīšana) darbības. </w:t>
      </w:r>
    </w:p>
    <w:p w14:paraId="060BC643" w14:textId="77777777" w:rsidR="00C972CB" w:rsidRDefault="002457F6">
      <w:pPr>
        <w:jc w:val="both"/>
        <w:rPr>
          <w:noProof/>
        </w:rPr>
      </w:pPr>
      <w:r>
        <w:rPr>
          <w:noProof/>
          <w:color w:val="000000" w:themeColor="text1"/>
        </w:rPr>
        <w:t xml:space="preserve">Ieguldījumi </w:t>
      </w:r>
      <w:r>
        <w:rPr>
          <w:noProof/>
        </w:rPr>
        <w:t>ietver līgumu slēgšanas tiesību piešķiršanu, un tie ietver četrus projektus:</w:t>
      </w:r>
    </w:p>
    <w:p w14:paraId="0CC1A42D" w14:textId="77777777" w:rsidR="00C972CB" w:rsidRDefault="002457F6">
      <w:pPr>
        <w:pStyle w:val="ListParagraph"/>
        <w:numPr>
          <w:ilvl w:val="0"/>
          <w:numId w:val="75"/>
        </w:numPr>
        <w:spacing w:before="0" w:after="0"/>
        <w:rPr>
          <w:rFonts w:eastAsiaTheme="minorEastAsia"/>
          <w:noProof/>
        </w:rPr>
      </w:pPr>
      <w:r>
        <w:rPr>
          <w:noProof/>
        </w:rPr>
        <w:t>SAT</w:t>
      </w:r>
      <w:r>
        <w:rPr>
          <w:noProof/>
        </w:rPr>
        <w:t xml:space="preserve">COM, kas ietver darbības divējāda lietojuma tehnoloģiju un sistēmu izstrādei, kuras paredzēts izmantot, lai sniegtu ļoti drošus inovatīvus satelītsakaru pakalpojumus valdības vajadzībām. </w:t>
      </w:r>
    </w:p>
    <w:p w14:paraId="7BC40FC9" w14:textId="77777777" w:rsidR="00C972CB" w:rsidRDefault="002457F6">
      <w:pPr>
        <w:pStyle w:val="ListParagraph"/>
        <w:numPr>
          <w:ilvl w:val="0"/>
          <w:numId w:val="75"/>
        </w:numPr>
        <w:spacing w:before="0" w:after="0"/>
        <w:rPr>
          <w:rFonts w:eastAsiaTheme="minorEastAsia"/>
          <w:noProof/>
        </w:rPr>
      </w:pPr>
      <w:r>
        <w:rPr>
          <w:noProof/>
        </w:rPr>
        <w:t>Zemes novērošana (EO), kas sastāv no i) augšupējām darbībām: tostarp</w:t>
      </w:r>
      <w:r>
        <w:rPr>
          <w:noProof/>
        </w:rPr>
        <w:t xml:space="preserve"> specifikācijas, projektēšana, konstelācijas izstrāde attālinātai uzrādei (sintētiskās apertūras radars (SAR), hiperspektrāls) un palaišanas iekārtu iepirkums, kas vērsts uz sauszemes, jūras un atmosfēras monitoringu; lejupējās darbības: Kiberitālijas proj</w:t>
      </w:r>
      <w:r>
        <w:rPr>
          <w:noProof/>
        </w:rPr>
        <w:t xml:space="preserve">ekta īstenošana, kas ietver valsts digitālas kopijas izveidi. </w:t>
      </w:r>
    </w:p>
    <w:p w14:paraId="2B9E9020" w14:textId="77777777" w:rsidR="00C972CB" w:rsidRDefault="002457F6">
      <w:pPr>
        <w:pStyle w:val="ListParagraph"/>
        <w:numPr>
          <w:ilvl w:val="0"/>
          <w:numId w:val="75"/>
        </w:numPr>
        <w:spacing w:before="0" w:after="0"/>
        <w:rPr>
          <w:rFonts w:eastAsiaTheme="minorEastAsia"/>
          <w:noProof/>
        </w:rPr>
      </w:pPr>
      <w:r>
        <w:rPr>
          <w:noProof/>
        </w:rPr>
        <w:t>Kosmosa rūpnīca, kas sastāv no diviem apakšprojektiem: kosmiskā rūpnīca 4.0: mazo satelītu digitālās ražošanas, montāžas un testēšanas iekārtu specifikāciju, projektēšanu un būvniecību un kiber</w:t>
      </w:r>
      <w:r>
        <w:rPr>
          <w:noProof/>
        </w:rPr>
        <w:t>fiziskās ražošanas sistēmas un satelītu digitālās mērķsadarbības ieviešanu, kuras mērķis ir izveidot divvirzienu saikni starp digitālo modeli un tā fizisko ekvivalentu; piekļuve kosmosam: pētniecība, izstrāde un prototipu izstrāde “zaļo” tehnoloģiju ievieš</w:t>
      </w:r>
      <w:r>
        <w:rPr>
          <w:noProof/>
        </w:rPr>
        <w:t>anai nākamās paaudzes dzinējspēkiem un nesējraķetēm, tostarp atsevišķu tehnoloģiju demonstrējumi lidojuma laikā.</w:t>
      </w:r>
    </w:p>
    <w:p w14:paraId="7D0BEA12" w14:textId="77777777" w:rsidR="00C972CB" w:rsidRDefault="002457F6">
      <w:pPr>
        <w:pStyle w:val="ListParagraph"/>
        <w:numPr>
          <w:ilvl w:val="0"/>
          <w:numId w:val="75"/>
        </w:numPr>
        <w:spacing w:before="0" w:after="0"/>
        <w:rPr>
          <w:rFonts w:eastAsiaTheme="minorEastAsia"/>
          <w:noProof/>
        </w:rPr>
      </w:pPr>
      <w:r>
        <w:rPr>
          <w:noProof/>
        </w:rPr>
        <w:t>Orbīta ekonomika, kas ietver demonstrācijas ieviešanu orbītās apkalpošanas tehnoloģijās orbītā savstarpējai izmantojamībai; valsts kosmisko obj</w:t>
      </w:r>
      <w:r>
        <w:rPr>
          <w:noProof/>
        </w:rPr>
        <w:t>ektu novērošanas un uzraudzības (SST) jaudas palielināšana, ietverot uz zemes izvietotu sensoru tīklu kosmisko atkritumu novērošanai un izsekošanai; aktīvu projektēšana, izstrāde, nodošana ekspluatācijā datu pakalpojumu iegādei, pārvaldībai un sniegšanai k</w:t>
      </w:r>
      <w:r>
        <w:rPr>
          <w:noProof/>
        </w:rPr>
        <w:t>osmosa satiksmes pārvaldības darbību atbalstam.</w:t>
      </w:r>
    </w:p>
    <w:p w14:paraId="4D1FBB8F" w14:textId="77777777" w:rsidR="00C972CB" w:rsidRDefault="002457F6">
      <w:pPr>
        <w:spacing w:before="120" w:after="120"/>
        <w:jc w:val="both"/>
        <w:rPr>
          <w:noProof/>
        </w:rPr>
      </w:pPr>
      <w:r>
        <w:rPr>
          <w:noProof/>
        </w:rPr>
        <w:t>Ir paredzēts, ka ieguldījumam nav militāru vai aizsardzības mērķu un ietekmes.</w:t>
      </w:r>
    </w:p>
    <w:p w14:paraId="556B4313" w14:textId="77777777" w:rsidR="00C972CB" w:rsidRDefault="002457F6">
      <w:pPr>
        <w:pStyle w:val="P68B1DB1-Normal2"/>
        <w:spacing w:before="120" w:after="120"/>
        <w:jc w:val="both"/>
        <w:rPr>
          <w:noProof/>
        </w:rPr>
      </w:pPr>
      <w:r>
        <w:rPr>
          <w:noProof/>
        </w:rPr>
        <w:t xml:space="preserve">Ieguldījums Nr. 5: Rūpniecības piegādes ķēdes politika un internacionalizācija </w:t>
      </w:r>
    </w:p>
    <w:p w14:paraId="0EF91FD9" w14:textId="77777777" w:rsidR="00C972CB" w:rsidRDefault="002457F6">
      <w:pPr>
        <w:jc w:val="both"/>
        <w:rPr>
          <w:noProof/>
        </w:rPr>
      </w:pPr>
      <w:r>
        <w:rPr>
          <w:noProof/>
        </w:rPr>
        <w:t>Investīciju mērķis ir stiprināt rūpnieciskās pieg</w:t>
      </w:r>
      <w:r>
        <w:rPr>
          <w:noProof/>
        </w:rPr>
        <w:t>ādes ķēdes, jo īpaši atvieglojot piekļuvi finansējumam, un veicināt uzņēmumu (jo īpaši MVU) konkurētspēju, jo īpaši atbalstot to internacionalizāciju un stiprinot to noturību pēc Covid-19 krīzes.</w:t>
      </w:r>
    </w:p>
    <w:p w14:paraId="0647898C" w14:textId="77777777" w:rsidR="00C972CB" w:rsidRDefault="002457F6">
      <w:pPr>
        <w:jc w:val="both"/>
        <w:rPr>
          <w:noProof/>
        </w:rPr>
      </w:pPr>
      <w:r>
        <w:rPr>
          <w:noProof/>
        </w:rPr>
        <w:t>Ieguldījumu veido divi intervences virzieni:</w:t>
      </w:r>
    </w:p>
    <w:p w14:paraId="01747ECE" w14:textId="77777777" w:rsidR="00C972CB" w:rsidRDefault="002457F6">
      <w:pPr>
        <w:pStyle w:val="ListParagraph"/>
        <w:numPr>
          <w:ilvl w:val="3"/>
          <w:numId w:val="111"/>
        </w:numPr>
        <w:ind w:left="1134"/>
        <w:rPr>
          <w:rFonts w:eastAsiaTheme="minorEastAsia"/>
          <w:noProof/>
        </w:rPr>
      </w:pPr>
      <w:r>
        <w:rPr>
          <w:noProof/>
        </w:rPr>
        <w:t>SIMEST pārvaldī</w:t>
      </w:r>
      <w:r>
        <w:rPr>
          <w:noProof/>
        </w:rPr>
        <w:t>tā fonda 394/81 refinansēšana. To veido refinansējums esošam fondam, ko pašlaik pārvalda publiska aģentūra SIMEST un kas sniedz finansiālu atbalstu uzņēmumiem, jo īpaši MVU, lai atbalstītu to internacionalizāciju, izmantojot dažādus instrumentus, piemēram,</w:t>
      </w:r>
      <w:r>
        <w:rPr>
          <w:noProof/>
        </w:rPr>
        <w:t xml:space="preserve"> programmas piekļuvei ārvalstu tirgiem un e-komercijas attīstībai. </w:t>
      </w:r>
    </w:p>
    <w:p w14:paraId="6D314820" w14:textId="77777777" w:rsidR="00C972CB" w:rsidRDefault="002457F6">
      <w:pPr>
        <w:pStyle w:val="ListParagraph"/>
        <w:numPr>
          <w:ilvl w:val="3"/>
          <w:numId w:val="111"/>
        </w:numPr>
        <w:ind w:left="1134"/>
        <w:rPr>
          <w:rFonts w:eastAsiaTheme="minorEastAsia"/>
          <w:noProof/>
        </w:rPr>
      </w:pPr>
      <w:r>
        <w:rPr>
          <w:noProof/>
        </w:rPr>
        <w:t>Piegādes ķēžu konkurētspēja un noturība. To veido finansiāls atbalsts uzņēmumiem, izmantojot Attīstības līguma instrumentu, projektiem, kas saistīti ar galvenajām stratēģiskajām vērtības ķ</w:t>
      </w:r>
      <w:r>
        <w:rPr>
          <w:noProof/>
        </w:rPr>
        <w:t xml:space="preserve">ēdēm, piemēram, rūpnieciskās attīstības programmām, vides aizsardzības attīstības programmām, ilgtspējīgu mobilitāti un tūrisma darbībām. </w:t>
      </w:r>
    </w:p>
    <w:p w14:paraId="16A8E2AC" w14:textId="77777777" w:rsidR="00C972CB" w:rsidRDefault="002457F6">
      <w:pPr>
        <w:spacing w:after="120"/>
        <w:jc w:val="both"/>
        <w:rPr>
          <w:noProof/>
        </w:rPr>
      </w:pPr>
      <w:r>
        <w:rPr>
          <w:noProof/>
        </w:rPr>
        <w:t>Iepriekš minētās intervences veic saskaņā ar investīciju politiku, kas atbilst Regulas (ES) 2021/241 mērķiem, tostarp</w:t>
      </w:r>
      <w:r>
        <w:rPr>
          <w:noProof/>
        </w:rPr>
        <w:t xml:space="preserve"> attiecībā uz principa “nenodari būtisku kaitējumu” piemērošanu, kā sīkāk norādīts tehniskajās norādēs “nenodari būtisku kaitējumu” (2021/C58/01).</w:t>
      </w:r>
    </w:p>
    <w:p w14:paraId="680CA6D7" w14:textId="77777777" w:rsidR="00C972CB" w:rsidRDefault="002457F6">
      <w:pPr>
        <w:spacing w:after="120"/>
        <w:jc w:val="both"/>
        <w:rPr>
          <w:noProof/>
        </w:rPr>
      </w:pPr>
      <w:r>
        <w:rPr>
          <w:noProof/>
        </w:rPr>
        <w:t>Lai nodrošinātu, ka pasākums atbilst Tehniskajiem norādījumiem “nenodari būtisku kaitējumu” (2021/C58/01), ju</w:t>
      </w:r>
      <w:r>
        <w:rPr>
          <w:noProof/>
        </w:rPr>
        <w:t xml:space="preserve">ridiskajam nolīgumam starp Itāliju un pilnvaroto vienību vai finanšu starpnieku, kas atbild par finanšu instrumentu, un turpmākajai finanšu instrumenta ieguldījumu politikai: </w:t>
      </w:r>
    </w:p>
    <w:p w14:paraId="48697573" w14:textId="77777777" w:rsidR="00C972CB" w:rsidRDefault="002457F6">
      <w:pPr>
        <w:pStyle w:val="ListParagraph"/>
        <w:numPr>
          <w:ilvl w:val="0"/>
          <w:numId w:val="74"/>
        </w:numPr>
        <w:spacing w:before="0" w:after="0"/>
        <w:rPr>
          <w:rFonts w:eastAsiaTheme="minorEastAsia"/>
          <w:noProof/>
        </w:rPr>
      </w:pPr>
      <w:r>
        <w:rPr>
          <w:noProof/>
        </w:rPr>
        <w:t>pieprasīt, lai fondam InvestEU tiktu piemēroti Komisijas tehniskie norādījumi pa</w:t>
      </w:r>
      <w:r>
        <w:rPr>
          <w:noProof/>
        </w:rPr>
        <w:t>r ilgtspējas pārbaudi; un</w:t>
      </w:r>
    </w:p>
    <w:p w14:paraId="10CB9379" w14:textId="77777777" w:rsidR="00C972CB" w:rsidRDefault="002457F6">
      <w:pPr>
        <w:pStyle w:val="ListParagraph"/>
        <w:numPr>
          <w:ilvl w:val="0"/>
          <w:numId w:val="74"/>
        </w:numPr>
        <w:spacing w:before="0" w:after="0"/>
        <w:rPr>
          <w:rFonts w:eastAsiaTheme="minorEastAsia"/>
          <w:noProof/>
        </w:rPr>
      </w:pPr>
      <w:r>
        <w:rPr>
          <w:noProof/>
        </w:rPr>
        <w:t>izslēgt no atbilstības šādu darbību un aktīvu sarakstu:</w:t>
      </w:r>
      <w:r>
        <w:rPr>
          <w:noProof/>
          <w:color w:val="FF0000"/>
        </w:rPr>
        <w:t xml:space="preserve"> </w:t>
      </w:r>
      <w:r>
        <w:rPr>
          <w:noProof/>
        </w:rPr>
        <w:t>darbības un aktīvi, kas saistīti ar fosilajiem kurināmajiem, tostarp pakārtota izmantošana</w:t>
      </w:r>
      <w:r>
        <w:rPr>
          <w:noProof/>
        </w:rPr>
        <w:footnoteReference w:id="6"/>
      </w:r>
      <w:r>
        <w:rPr>
          <w:noProof/>
        </w:rPr>
        <w:t>; darbības un aktīvi saskaņā ar ES emisijas kvotu tirdzniecības sistēmu (ETS), sasn</w:t>
      </w:r>
      <w:r>
        <w:rPr>
          <w:noProof/>
        </w:rPr>
        <w:t>iedzot prognozētās siltumnīcefekta gāzu emisijas, kas nav zemākas par attiecīgajām līmeņatzīmēm</w:t>
      </w:r>
      <w:r>
        <w:rPr>
          <w:noProof/>
        </w:rPr>
        <w:footnoteReference w:id="7"/>
      </w:r>
      <w:r>
        <w:rPr>
          <w:noProof/>
        </w:rPr>
        <w:t>; III) darbības un aktīvi, kas saistīti ar atkritumu poligoniem, sadedzināšanas iekārtām</w:t>
      </w:r>
      <w:r>
        <w:rPr>
          <w:noProof/>
        </w:rPr>
        <w:footnoteReference w:id="8"/>
      </w:r>
      <w:r>
        <w:rPr>
          <w:noProof/>
        </w:rPr>
        <w:t xml:space="preserve"> un mehāniski bioloģiskās apstrādes iekārtām</w:t>
      </w:r>
      <w:r>
        <w:rPr>
          <w:noProof/>
        </w:rPr>
        <w:footnoteReference w:id="9"/>
      </w:r>
      <w:r>
        <w:rPr>
          <w:noProof/>
        </w:rPr>
        <w:t>; un iv) darbības un aktīv</w:t>
      </w:r>
      <w:r>
        <w:rPr>
          <w:noProof/>
        </w:rPr>
        <w:t>us, kuros atkritumu ilgtermiņa apglabāšana var radīt kaitējumu videi; un</w:t>
      </w:r>
    </w:p>
    <w:p w14:paraId="6CE54280" w14:textId="77777777" w:rsidR="00C972CB" w:rsidRDefault="002457F6">
      <w:pPr>
        <w:pStyle w:val="ListParagraph"/>
        <w:numPr>
          <w:ilvl w:val="0"/>
          <w:numId w:val="74"/>
        </w:numPr>
        <w:spacing w:before="0" w:after="0"/>
        <w:rPr>
          <w:rFonts w:eastAsiaTheme="minorEastAsia"/>
          <w:noProof/>
        </w:rPr>
      </w:pPr>
      <w:r>
        <w:rPr>
          <w:noProof/>
        </w:rPr>
        <w:t>pieprasīt, lai pilnvarotā struktūra vai finanšu starpnieks pārbaudītu projektu juridisko atbilstību attiecīgajiem ES un valsts vides tiesību aktiem attiecībā uz visiem darījumiem, tos</w:t>
      </w:r>
      <w:r>
        <w:rPr>
          <w:noProof/>
        </w:rPr>
        <w:t>tarp tiem, kas atbrīvoti no ilgtspējas pārbaudes.</w:t>
      </w:r>
    </w:p>
    <w:p w14:paraId="6AB7CE5B" w14:textId="77777777" w:rsidR="00C972CB" w:rsidRDefault="00C972CB">
      <w:pPr>
        <w:rPr>
          <w:b/>
          <w:noProof/>
          <w:u w:val="single"/>
        </w:rPr>
      </w:pPr>
    </w:p>
    <w:p w14:paraId="052E9DEF" w14:textId="0A2C96AE" w:rsidR="00C972CB" w:rsidRDefault="002457F6">
      <w:pPr>
        <w:pStyle w:val="P68B1DB1-Normal14"/>
        <w:rPr>
          <w:noProof/>
        </w:rPr>
      </w:pPr>
      <w:r>
        <w:rPr>
          <w:noProof/>
        </w:rPr>
        <w:t>Ieguldījums 7. Atbalsts ražošanas sistēmai ekoloģiskajai pārejai, neto nulles emisiju tehnoloģijām un stratēģisko piegādes ķēžu konkurētspējai un noturībai:</w:t>
      </w:r>
    </w:p>
    <w:p w14:paraId="6F049D72" w14:textId="507918A8" w:rsidR="00C972CB" w:rsidRDefault="002457F6">
      <w:pPr>
        <w:spacing w:before="120" w:after="120"/>
        <w:jc w:val="both"/>
        <w:rPr>
          <w:noProof/>
        </w:rPr>
      </w:pPr>
      <w:r>
        <w:rPr>
          <w:noProof/>
        </w:rPr>
        <w:t>Šis pasākums sastāv no diviem apakšieguldījumiem</w:t>
      </w:r>
      <w:r>
        <w:rPr>
          <w:noProof/>
        </w:rPr>
        <w:t>.</w:t>
      </w:r>
    </w:p>
    <w:p w14:paraId="64C6B9D0" w14:textId="6A378560" w:rsidR="00C972CB" w:rsidRDefault="002457F6">
      <w:pPr>
        <w:pStyle w:val="P68B1DB1-Normal21"/>
        <w:spacing w:before="120" w:after="120"/>
        <w:jc w:val="both"/>
        <w:rPr>
          <w:noProof/>
        </w:rPr>
      </w:pPr>
      <w:r>
        <w:rPr>
          <w:noProof/>
        </w:rPr>
        <w:t>Apakšieguldījums:</w:t>
      </w:r>
    </w:p>
    <w:p w14:paraId="3987743F" w14:textId="7CB7A8B4" w:rsidR="00C972CB" w:rsidRDefault="002457F6">
      <w:pPr>
        <w:spacing w:after="120"/>
        <w:jc w:val="both"/>
        <w:rPr>
          <w:rFonts w:eastAsia="Calibri"/>
          <w:noProof/>
        </w:rPr>
      </w:pPr>
      <w:r>
        <w:rPr>
          <w:noProof/>
        </w:rPr>
        <w:t xml:space="preserve">Šis apakšieguldījums sastāv no publiskām investīcijām mehānismā “Neto nulles emisiju tehnoloģijās”, lai stimulētu privātās investīcijas un uzlabotu piekļuvi finansējumam tādās jomās kā energoefektivitāte, atjaunojamo energoresursu ražošana pašpatēriņam un </w:t>
      </w:r>
      <w:r>
        <w:rPr>
          <w:noProof/>
        </w:rPr>
        <w:t xml:space="preserve">ražošanas procesa ilgtspējīga pārveide. </w:t>
      </w:r>
    </w:p>
    <w:p w14:paraId="1C836211" w14:textId="77777777" w:rsidR="00C972CB" w:rsidRDefault="002457F6">
      <w:pPr>
        <w:spacing w:after="120"/>
        <w:jc w:val="both"/>
        <w:rPr>
          <w:noProof/>
        </w:rPr>
      </w:pPr>
      <w:r>
        <w:rPr>
          <w:noProof/>
        </w:rPr>
        <w:t>Ieguldījums atbalsta:</w:t>
      </w:r>
    </w:p>
    <w:p w14:paraId="7755DD18" w14:textId="77777777" w:rsidR="00C972CB" w:rsidRDefault="002457F6">
      <w:pPr>
        <w:pStyle w:val="ListParagraph"/>
        <w:numPr>
          <w:ilvl w:val="0"/>
          <w:numId w:val="143"/>
        </w:numPr>
        <w:spacing w:before="0"/>
        <w:contextualSpacing w:val="0"/>
        <w:rPr>
          <w:noProof/>
        </w:rPr>
      </w:pPr>
      <w:r>
        <w:rPr>
          <w:noProof/>
        </w:rPr>
        <w:t>valsts ražošanas sistēmas ekoloģisko pāreju dažādos līmeņos, atbalstot investīcijas ar ekoloģisko pārkārtošanos saistītu ierīču ražošanas ķēžu stiprināšanā (piemēram, akumulatori, saules enerģi</w:t>
      </w:r>
      <w:r>
        <w:rPr>
          <w:noProof/>
        </w:rPr>
        <w:t xml:space="preserve">jas paneļi, vējturbīnas, siltumsūkņi, elektrolīzeri un oglekļa uztveršanas un uzglabāšanas ierīces),  </w:t>
      </w:r>
    </w:p>
    <w:p w14:paraId="340FE764" w14:textId="77777777" w:rsidR="00C972CB" w:rsidRDefault="002457F6">
      <w:pPr>
        <w:pStyle w:val="ListParagraph"/>
        <w:numPr>
          <w:ilvl w:val="0"/>
          <w:numId w:val="143"/>
        </w:numPr>
        <w:spacing w:before="0"/>
        <w:contextualSpacing w:val="0"/>
        <w:rPr>
          <w:noProof/>
        </w:rPr>
      </w:pPr>
      <w:r>
        <w:rPr>
          <w:noProof/>
        </w:rPr>
        <w:t>ražošanas procesu energoefektivitāte (arī ražojot elektroenerģiju pašpatēriņam no atjaunojamiem energoresursiem, izņemot biomasu),</w:t>
      </w:r>
    </w:p>
    <w:p w14:paraId="612CC2F7" w14:textId="77777777" w:rsidR="00C972CB" w:rsidRDefault="002457F6">
      <w:pPr>
        <w:pStyle w:val="ListParagraph"/>
        <w:numPr>
          <w:ilvl w:val="0"/>
          <w:numId w:val="143"/>
        </w:numPr>
        <w:spacing w:before="0"/>
        <w:contextualSpacing w:val="0"/>
        <w:rPr>
          <w:noProof/>
        </w:rPr>
      </w:pPr>
      <w:r>
        <w:rPr>
          <w:noProof/>
        </w:rPr>
        <w:t>ražošanas procesu ilgt</w:t>
      </w:r>
      <w:r>
        <w:rPr>
          <w:noProof/>
        </w:rPr>
        <w:t>spēja, ņemot vērā arī aprites ekonomiku un resursu efektīvāku izmantošanu.</w:t>
      </w:r>
    </w:p>
    <w:p w14:paraId="0D405D31" w14:textId="03789B29" w:rsidR="00C972CB" w:rsidRDefault="002457F6">
      <w:pPr>
        <w:spacing w:after="120"/>
        <w:jc w:val="both"/>
        <w:rPr>
          <w:noProof/>
        </w:rPr>
      </w:pPr>
      <w:r>
        <w:rPr>
          <w:noProof/>
        </w:rPr>
        <w:t>Mehānisms darbojas, piešķirot neatmaksājamas dotācijas, subsidētus aizdevumus un procentu subsīdijas tieši privātajam sektoram. Pamatojoties uz ANM investīcijām, mehānisma mērķis sā</w:t>
      </w:r>
      <w:r>
        <w:rPr>
          <w:noProof/>
        </w:rPr>
        <w:t>kotnēji ir nodrošināt finansējumu vismaz</w:t>
      </w:r>
      <w:r>
        <w:rPr>
          <w:noProof/>
          <w:color w:val="006100"/>
          <w:sz w:val="20"/>
        </w:rPr>
        <w:t xml:space="preserve"> </w:t>
      </w:r>
      <w:r>
        <w:rPr>
          <w:noProof/>
        </w:rPr>
        <w:t>3600000000 EUR</w:t>
      </w:r>
      <w:r>
        <w:rPr>
          <w:noProof/>
          <w:color w:val="006100"/>
          <w:sz w:val="20"/>
        </w:rPr>
        <w:t xml:space="preserve">  </w:t>
      </w:r>
      <w:r>
        <w:rPr>
          <w:noProof/>
        </w:rPr>
        <w:t>apmērā.</w:t>
      </w:r>
    </w:p>
    <w:p w14:paraId="7943E402" w14:textId="44795E42" w:rsidR="00C972CB" w:rsidRDefault="002457F6">
      <w:pPr>
        <w:spacing w:after="120"/>
        <w:jc w:val="both"/>
        <w:rPr>
          <w:noProof/>
        </w:rPr>
      </w:pPr>
      <w:r>
        <w:rPr>
          <w:noProof/>
        </w:rPr>
        <w:t>Mehānismu pārvalda Invitalia S.p.A. kā īstenošanas partneris. Mehānisms ietver šādus finanšu instrumentus:</w:t>
      </w:r>
    </w:p>
    <w:p w14:paraId="3C8F1E4F" w14:textId="41DD0390" w:rsidR="00C972CB" w:rsidRDefault="002457F6">
      <w:pPr>
        <w:pStyle w:val="ListParagraph"/>
        <w:numPr>
          <w:ilvl w:val="0"/>
          <w:numId w:val="109"/>
        </w:numPr>
        <w:spacing w:before="0"/>
        <w:contextualSpacing w:val="0"/>
        <w:rPr>
          <w:noProof/>
        </w:rPr>
      </w:pPr>
      <w:r>
        <w:rPr>
          <w:noProof/>
        </w:rPr>
        <w:t xml:space="preserve">Attīstības līgums, ar kuru atbalsta neto nulles emisiju tehnoloģiju projektus, kas </w:t>
      </w:r>
      <w:r>
        <w:rPr>
          <w:noProof/>
        </w:rPr>
        <w:t>pārsniedz EUR 20000000,</w:t>
      </w:r>
      <w:r>
        <w:rPr>
          <w:noProof/>
          <w:color w:val="006100"/>
          <w:sz w:val="20"/>
        </w:rPr>
        <w:t xml:space="preserve">  </w:t>
      </w:r>
      <w:r>
        <w:rPr>
          <w:noProof/>
        </w:rPr>
        <w:t>piešķirot dotācijas, procentu likmju subsīdijas un subsidētus aizdevumus.</w:t>
      </w:r>
    </w:p>
    <w:p w14:paraId="598A80A8" w14:textId="36CB8908" w:rsidR="00C972CB" w:rsidRDefault="002457F6">
      <w:pPr>
        <w:pStyle w:val="ListParagraph"/>
        <w:numPr>
          <w:ilvl w:val="0"/>
          <w:numId w:val="109"/>
        </w:numPr>
        <w:spacing w:before="0"/>
        <w:contextualSpacing w:val="0"/>
        <w:rPr>
          <w:noProof/>
        </w:rPr>
      </w:pPr>
      <w:r>
        <w:rPr>
          <w:noProof/>
        </w:rPr>
        <w:t>Rūpniecības pārveides fonds, kas atbalsta projektus robežās no</w:t>
      </w:r>
      <w:r>
        <w:rPr>
          <w:noProof/>
          <w:color w:val="006100"/>
          <w:sz w:val="20"/>
        </w:rPr>
        <w:t xml:space="preserve"> </w:t>
      </w:r>
      <w:r>
        <w:rPr>
          <w:noProof/>
        </w:rPr>
        <w:t>EUR</w:t>
      </w:r>
      <w:r>
        <w:rPr>
          <w:noProof/>
          <w:color w:val="006100"/>
          <w:sz w:val="20"/>
        </w:rPr>
        <w:t xml:space="preserve"> </w:t>
      </w:r>
      <w:r>
        <w:rPr>
          <w:noProof/>
        </w:rPr>
        <w:t>3000000 līdz EUR</w:t>
      </w:r>
      <w:r>
        <w:rPr>
          <w:noProof/>
          <w:color w:val="006100"/>
          <w:sz w:val="20"/>
        </w:rPr>
        <w:t xml:space="preserve"> </w:t>
      </w:r>
      <w:r>
        <w:rPr>
          <w:noProof/>
        </w:rPr>
        <w:t>20000000, piešķirot dotācijas, procentu likmju subsīdijas un subsidētus a</w:t>
      </w:r>
      <w:r>
        <w:rPr>
          <w:noProof/>
        </w:rPr>
        <w:t>izdevumus.</w:t>
      </w:r>
    </w:p>
    <w:p w14:paraId="3176A392" w14:textId="39DCD2B6" w:rsidR="00C972CB" w:rsidRDefault="002457F6">
      <w:pPr>
        <w:spacing w:after="120"/>
        <w:jc w:val="both"/>
        <w:rPr>
          <w:noProof/>
        </w:rPr>
      </w:pPr>
      <w:r>
        <w:rPr>
          <w:noProof/>
        </w:rPr>
        <w:t>Lai īstenotu ieguldījumu mehānismā, Itālija un Invitalia S.p.A. paraksta īstenošanas nolīgumu, kurā iekļauj šādu saturu:</w:t>
      </w:r>
    </w:p>
    <w:p w14:paraId="2F6DD927" w14:textId="72D01782" w:rsidR="00C972CB" w:rsidRDefault="002457F6">
      <w:pPr>
        <w:pStyle w:val="ListParagraph"/>
        <w:numPr>
          <w:ilvl w:val="3"/>
          <w:numId w:val="27"/>
        </w:numPr>
        <w:spacing w:before="0"/>
        <w:ind w:left="709"/>
        <w:contextualSpacing w:val="0"/>
        <w:rPr>
          <w:noProof/>
        </w:rPr>
      </w:pPr>
      <w:r>
        <w:rPr>
          <w:noProof/>
        </w:rPr>
        <w:t>Mehānisma lēmumu pieņemšanas procesa apraksts: Mehānisma galīgos lēmumus par ieguldījumiem un piešķiršanu pieņem ieguldījumu</w:t>
      </w:r>
      <w:r>
        <w:rPr>
          <w:noProof/>
        </w:rPr>
        <w:t xml:space="preserve"> komiteja vai cita attiecīga līdzvērtīga pārvaldes struktūra un apstiprina ar to locekļu balsu vairākumu, kuri ir neatkarīgi no valdības.</w:t>
      </w:r>
    </w:p>
    <w:p w14:paraId="24308117" w14:textId="77777777" w:rsidR="00C972CB" w:rsidRDefault="002457F6">
      <w:pPr>
        <w:pStyle w:val="ListParagraph"/>
        <w:numPr>
          <w:ilvl w:val="3"/>
          <w:numId w:val="27"/>
        </w:numPr>
        <w:spacing w:before="0"/>
        <w:ind w:left="709"/>
        <w:contextualSpacing w:val="0"/>
        <w:rPr>
          <w:noProof/>
        </w:rPr>
      </w:pPr>
      <w:r>
        <w:rPr>
          <w:noProof/>
        </w:rPr>
        <w:t>Saistītās ieguldījumu politikas galvenās prasības, kas ietver:</w:t>
      </w:r>
    </w:p>
    <w:p w14:paraId="73D5139D" w14:textId="236CCC04" w:rsidR="00C972CB" w:rsidRDefault="002457F6">
      <w:pPr>
        <w:pStyle w:val="ListParagraph"/>
        <w:numPr>
          <w:ilvl w:val="4"/>
          <w:numId w:val="27"/>
        </w:numPr>
        <w:spacing w:before="0"/>
        <w:ind w:left="1276"/>
        <w:contextualSpacing w:val="0"/>
        <w:rPr>
          <w:noProof/>
        </w:rPr>
      </w:pPr>
      <w:r>
        <w:rPr>
          <w:noProof/>
        </w:rPr>
        <w:t>Finanšu produktu un atbalsttiesīgo galasaņēmēju aprakst</w:t>
      </w:r>
      <w:r>
        <w:rPr>
          <w:noProof/>
        </w:rPr>
        <w:t xml:space="preserve">s. </w:t>
      </w:r>
    </w:p>
    <w:p w14:paraId="505E5A15" w14:textId="77777777" w:rsidR="00C972CB" w:rsidRDefault="002457F6">
      <w:pPr>
        <w:pStyle w:val="ListParagraph"/>
        <w:numPr>
          <w:ilvl w:val="4"/>
          <w:numId w:val="27"/>
        </w:numPr>
        <w:spacing w:before="0"/>
        <w:ind w:left="1276"/>
        <w:contextualSpacing w:val="0"/>
        <w:rPr>
          <w:noProof/>
        </w:rPr>
      </w:pPr>
      <w:r>
        <w:rPr>
          <w:noProof/>
        </w:rPr>
        <w:t xml:space="preserve">Prasība, lai visi atbalstītie ieguldījumi būtu ekonomiski dzīvotspējīgi. </w:t>
      </w:r>
    </w:p>
    <w:p w14:paraId="4EB2AEC5" w14:textId="77777777" w:rsidR="00C972CB" w:rsidRDefault="002457F6">
      <w:pPr>
        <w:pStyle w:val="ListParagraph"/>
        <w:numPr>
          <w:ilvl w:val="4"/>
          <w:numId w:val="27"/>
        </w:numPr>
        <w:spacing w:before="0"/>
        <w:ind w:left="1276"/>
        <w:contextualSpacing w:val="0"/>
        <w:rPr>
          <w:noProof/>
        </w:rPr>
      </w:pPr>
      <w:r>
        <w:rPr>
          <w:noProof/>
        </w:rPr>
        <w:t>Prasība ievērot principu “nenodari būtisku kaitējumu” (DNSH), kā noteikts NBK tehniskajās norādēs (2021/C58/01). Ieguldījumu politika jo īpaši izslēdz no atbilstības šādu darbību</w:t>
      </w:r>
      <w:r>
        <w:rPr>
          <w:noProof/>
        </w:rPr>
        <w:t xml:space="preserve"> un aktīvu sarakstu: darbības un aktīvi, kas saistīti ar fosilajiem kurināmajiem un fosilajiem kurināmajiem, tostarp lejupējo izmantošanu</w:t>
      </w:r>
      <w:r>
        <w:rPr>
          <w:rStyle w:val="FootnoteReference"/>
          <w:noProof/>
        </w:rPr>
        <w:footnoteReference w:id="10"/>
      </w:r>
      <w:r>
        <w:rPr>
          <w:noProof/>
        </w:rPr>
        <w:t>, ii) darbības un aktīvi saskaņā ar ES emisijas kvotu tirdzniecības sistēmu (ETS), sasniedzot prognozētās siltumnīcefe</w:t>
      </w:r>
      <w:r>
        <w:rPr>
          <w:noProof/>
        </w:rPr>
        <w:t>kta gāzu emisijas, kas nav zemākas par attiecīgajām līmeņatzīmēm</w:t>
      </w:r>
      <w:r>
        <w:rPr>
          <w:rStyle w:val="FootnoteReference"/>
          <w:noProof/>
        </w:rPr>
        <w:footnoteReference w:id="11"/>
      </w:r>
      <w:r>
        <w:rPr>
          <w:noProof/>
        </w:rPr>
        <w:t>, iii) darbības un aktīvi, kas saistīti ar atkritumu poligoniem, sadedzināšanas iekārtām</w:t>
      </w:r>
      <w:r>
        <w:rPr>
          <w:rStyle w:val="FootnoteReference"/>
          <w:noProof/>
        </w:rPr>
        <w:footnoteReference w:id="12"/>
      </w:r>
      <w:r>
        <w:rPr>
          <w:noProof/>
        </w:rPr>
        <w:t xml:space="preserve"> un mehāniski bioloģiskās apstrādes iekārtām</w:t>
      </w:r>
      <w:r>
        <w:rPr>
          <w:rStyle w:val="FootnoteReference"/>
          <w:noProof/>
        </w:rPr>
        <w:footnoteReference w:id="13"/>
      </w:r>
      <w:r>
        <w:rPr>
          <w:noProof/>
        </w:rPr>
        <w:t xml:space="preserve">. </w:t>
      </w:r>
    </w:p>
    <w:p w14:paraId="37E79EEC" w14:textId="77777777" w:rsidR="00C972CB" w:rsidRDefault="002457F6">
      <w:pPr>
        <w:pStyle w:val="ListParagraph"/>
        <w:numPr>
          <w:ilvl w:val="4"/>
          <w:numId w:val="27"/>
        </w:numPr>
        <w:spacing w:before="0"/>
        <w:ind w:left="1276"/>
        <w:contextualSpacing w:val="0"/>
        <w:rPr>
          <w:noProof/>
        </w:rPr>
      </w:pPr>
      <w:r>
        <w:rPr>
          <w:noProof/>
        </w:rPr>
        <w:t>Prasība, ka Mehānisma galasaņēmēji nesaņem atbalstu no</w:t>
      </w:r>
      <w:r>
        <w:rPr>
          <w:noProof/>
        </w:rPr>
        <w:t xml:space="preserve"> citiem Savienības instrumentiem, lai segtu tās pašas izmaksas.</w:t>
      </w:r>
    </w:p>
    <w:p w14:paraId="4BC89807" w14:textId="77777777" w:rsidR="00C972CB" w:rsidRDefault="002457F6">
      <w:pPr>
        <w:pStyle w:val="ListParagraph"/>
        <w:numPr>
          <w:ilvl w:val="3"/>
          <w:numId w:val="27"/>
        </w:numPr>
        <w:spacing w:before="0"/>
        <w:ind w:left="709"/>
        <w:contextualSpacing w:val="0"/>
        <w:rPr>
          <w:noProof/>
        </w:rPr>
      </w:pPr>
      <w:r>
        <w:rPr>
          <w:noProof/>
        </w:rPr>
        <w:t>Summa, uz kuru attiecas īstenošanas nolīgums, īstenošanas partnera maksu struktūra un prasība atkārtoti ieguldīt visas atmaksājamās summas saskaņā ar Mehānisma ieguldījumu politiku.</w:t>
      </w:r>
    </w:p>
    <w:p w14:paraId="697D2BA4" w14:textId="77777777" w:rsidR="00C972CB" w:rsidRDefault="002457F6">
      <w:pPr>
        <w:pStyle w:val="ListParagraph"/>
        <w:numPr>
          <w:ilvl w:val="3"/>
          <w:numId w:val="27"/>
        </w:numPr>
        <w:spacing w:before="0"/>
        <w:ind w:left="709"/>
        <w:contextualSpacing w:val="0"/>
        <w:rPr>
          <w:noProof/>
        </w:rPr>
      </w:pPr>
      <w:r>
        <w:rPr>
          <w:noProof/>
        </w:rPr>
        <w:t>Uzraudzība</w:t>
      </w:r>
      <w:r>
        <w:rPr>
          <w:noProof/>
        </w:rPr>
        <w:t>s, revīzijas un kontroles prasības, tostarp:</w:t>
      </w:r>
      <w:bookmarkStart w:id="2" w:name="_Hlk139218377"/>
    </w:p>
    <w:p w14:paraId="02003063" w14:textId="77777777" w:rsidR="00C972CB" w:rsidRDefault="002457F6">
      <w:pPr>
        <w:pStyle w:val="ListParagraph"/>
        <w:numPr>
          <w:ilvl w:val="4"/>
          <w:numId w:val="27"/>
        </w:numPr>
        <w:spacing w:before="0"/>
        <w:ind w:left="1276"/>
        <w:contextualSpacing w:val="0"/>
        <w:rPr>
          <w:noProof/>
        </w:rPr>
      </w:pPr>
      <w:r>
        <w:rPr>
          <w:noProof/>
        </w:rPr>
        <w:t>Īstenošanas partnera uzraudzības sistēmas apraksts ziņošanai par mobilizētajām investīcijām.</w:t>
      </w:r>
    </w:p>
    <w:p w14:paraId="5C4CF877" w14:textId="508DE294" w:rsidR="00C972CB" w:rsidRDefault="002457F6">
      <w:pPr>
        <w:pStyle w:val="ListParagraph"/>
        <w:numPr>
          <w:ilvl w:val="4"/>
          <w:numId w:val="27"/>
        </w:numPr>
        <w:spacing w:before="0"/>
        <w:ind w:left="1276"/>
        <w:contextualSpacing w:val="0"/>
        <w:rPr>
          <w:noProof/>
        </w:rPr>
      </w:pPr>
      <w:r>
        <w:rPr>
          <w:noProof/>
        </w:rPr>
        <w:t>Īstenošanas partnera procedūru aprakstu, kas nodrošina krāpšanas, korupcijas un interešu konfliktu novēršanu, atklāšan</w:t>
      </w:r>
      <w:r>
        <w:rPr>
          <w:noProof/>
        </w:rPr>
        <w:t xml:space="preserve">u un labošanu. </w:t>
      </w:r>
    </w:p>
    <w:p w14:paraId="0FE4D769" w14:textId="77777777" w:rsidR="00C972CB" w:rsidRDefault="002457F6">
      <w:pPr>
        <w:pStyle w:val="ListParagraph"/>
        <w:numPr>
          <w:ilvl w:val="4"/>
          <w:numId w:val="27"/>
        </w:numPr>
        <w:spacing w:before="0"/>
        <w:ind w:left="1276"/>
        <w:contextualSpacing w:val="0"/>
        <w:rPr>
          <w:noProof/>
        </w:rPr>
      </w:pPr>
      <w:r>
        <w:rPr>
          <w:noProof/>
        </w:rPr>
        <w:t>Pienākums pārbaudīt katras darbības attiecināmību saskaņā ar Īstenošanas nolīgumā noteiktajām prasībām pirms apņemšanās finansēt kādu darbību.</w:t>
      </w:r>
      <w:bookmarkEnd w:id="2"/>
    </w:p>
    <w:p w14:paraId="59288A05" w14:textId="529C06D7" w:rsidR="00C972CB" w:rsidRDefault="002457F6">
      <w:pPr>
        <w:pStyle w:val="ListParagraph"/>
        <w:numPr>
          <w:ilvl w:val="4"/>
          <w:numId w:val="27"/>
        </w:numPr>
        <w:spacing w:before="0"/>
        <w:ind w:left="1276"/>
        <w:contextualSpacing w:val="0"/>
        <w:rPr>
          <w:noProof/>
        </w:rPr>
      </w:pPr>
      <w:r>
        <w:rPr>
          <w:noProof/>
        </w:rPr>
        <w:t>Pienākums veikt uz risku balstītas ex post revīzijas saskaņā ar Invitalia S.p.A. revīzijas plānu.</w:t>
      </w:r>
      <w:r>
        <w:rPr>
          <w:noProof/>
        </w:rPr>
        <w:t xml:space="preserve"> Šajās revīzijās pārbauda:</w:t>
      </w:r>
    </w:p>
    <w:p w14:paraId="0343C879" w14:textId="77777777" w:rsidR="00C972CB" w:rsidRDefault="002457F6">
      <w:pPr>
        <w:pStyle w:val="ListParagraph"/>
        <w:numPr>
          <w:ilvl w:val="5"/>
          <w:numId w:val="27"/>
        </w:numPr>
        <w:spacing w:before="0"/>
        <w:ind w:left="1985"/>
        <w:contextualSpacing w:val="0"/>
        <w:rPr>
          <w:noProof/>
        </w:rPr>
      </w:pPr>
      <w:r>
        <w:rPr>
          <w:noProof/>
        </w:rPr>
        <w:t>kontroles sistēmas ir efektīvas, tostarp krāpšanas, korupcijas un interešu konflikta atklāšana;</w:t>
      </w:r>
    </w:p>
    <w:p w14:paraId="5A6E7796" w14:textId="77777777" w:rsidR="00C972CB" w:rsidRDefault="002457F6">
      <w:pPr>
        <w:pStyle w:val="ListParagraph"/>
        <w:numPr>
          <w:ilvl w:val="5"/>
          <w:numId w:val="27"/>
        </w:numPr>
        <w:spacing w:before="0"/>
        <w:ind w:left="1985"/>
        <w:contextualSpacing w:val="0"/>
        <w:rPr>
          <w:noProof/>
        </w:rPr>
      </w:pPr>
      <w:r>
        <w:rPr>
          <w:noProof/>
        </w:rPr>
        <w:t xml:space="preserve">atbilstība NBK principam, valsts atbalsta noteikumiem, klimata mērķrādītāju prasībām; un </w:t>
      </w:r>
    </w:p>
    <w:p w14:paraId="5AEEA716" w14:textId="77777777" w:rsidR="00C972CB" w:rsidRDefault="002457F6">
      <w:pPr>
        <w:pStyle w:val="ListParagraph"/>
        <w:numPr>
          <w:ilvl w:val="5"/>
          <w:numId w:val="27"/>
        </w:numPr>
        <w:spacing w:before="0"/>
        <w:ind w:left="1985"/>
        <w:contextualSpacing w:val="0"/>
        <w:rPr>
          <w:noProof/>
        </w:rPr>
      </w:pPr>
      <w:r>
        <w:rPr>
          <w:noProof/>
        </w:rPr>
        <w:t xml:space="preserve">ka ir ievērota prasība, ka mehānisma galasaņēmēji nav saņēmuši atbalstu no citiem Savienības instrumentiem, lai segtu tās pašas izmaksas. Revīzijās pārbauda arī darījumu likumību un to, vai tiek ievēroti piemērojamā īstenošanas nolīguma nosacījumi. </w:t>
      </w:r>
    </w:p>
    <w:p w14:paraId="22B030FF" w14:textId="38585760" w:rsidR="00C972CB" w:rsidRDefault="002457F6">
      <w:pPr>
        <w:spacing w:before="120" w:after="120"/>
        <w:jc w:val="both"/>
        <w:rPr>
          <w:noProof/>
        </w:rPr>
      </w:pPr>
      <w:r>
        <w:rPr>
          <w:noProof/>
        </w:rPr>
        <w:t>5. Pra</w:t>
      </w:r>
      <w:r>
        <w:rPr>
          <w:noProof/>
        </w:rPr>
        <w:t>sības attiecībā uz īstenošanas partnera veiktajām investīcijām klimata jomā: vismaz 1787500000</w:t>
      </w:r>
      <w:r>
        <w:rPr>
          <w:noProof/>
          <w:color w:val="006100"/>
          <w:sz w:val="20"/>
        </w:rPr>
        <w:t xml:space="preserve"> </w:t>
      </w:r>
      <w:r>
        <w:rPr>
          <w:noProof/>
        </w:rPr>
        <w:t>EUR</w:t>
      </w:r>
      <w:r>
        <w:rPr>
          <w:noProof/>
          <w:color w:val="006100"/>
          <w:sz w:val="20"/>
        </w:rPr>
        <w:t xml:space="preserve">  </w:t>
      </w:r>
      <w:r>
        <w:rPr>
          <w:noProof/>
        </w:rPr>
        <w:t>no ANM investīcijām mehānismā veicina klimata pārmaiņu mērķu sasniegšanu saskaņā ar ANM regulas VI pielikumu</w:t>
      </w:r>
      <w:r>
        <w:rPr>
          <w:rStyle w:val="FootnoteReference"/>
          <w:noProof/>
        </w:rPr>
        <w:footnoteReference w:id="14"/>
      </w:r>
      <w:r>
        <w:rPr>
          <w:noProof/>
        </w:rPr>
        <w:t>.</w:t>
      </w:r>
    </w:p>
    <w:p w14:paraId="5CF1FB73" w14:textId="0D9229FB" w:rsidR="00C972CB" w:rsidRDefault="002457F6">
      <w:pPr>
        <w:pStyle w:val="P68B1DB1-Normal2"/>
        <w:spacing w:before="120" w:after="120"/>
        <w:jc w:val="both"/>
        <w:rPr>
          <w:noProof/>
        </w:rPr>
      </w:pPr>
      <w:r>
        <w:rPr>
          <w:noProof/>
        </w:rPr>
        <w:t>Apakšieguldījums Nr. 2:</w:t>
      </w:r>
    </w:p>
    <w:p w14:paraId="0D9F9875" w14:textId="77777777" w:rsidR="00C972CB" w:rsidRDefault="002457F6">
      <w:pPr>
        <w:spacing w:after="120"/>
        <w:jc w:val="both"/>
        <w:rPr>
          <w:noProof/>
        </w:rPr>
      </w:pPr>
      <w:r>
        <w:rPr>
          <w:noProof/>
        </w:rPr>
        <w:t>Šo apakšinvestīciju v</w:t>
      </w:r>
      <w:r>
        <w:rPr>
          <w:noProof/>
        </w:rPr>
        <w:t>eido publiskās investīcijas mehānismā “Stratēģisko piegādes ķēžu konkurētspēja un noturība”, lai stimulētu privātās investīcijas un uzlabotu piekļuvi finansējumam nolūkā stiprināt rūpnieciskās piegādes ķēdes.</w:t>
      </w:r>
    </w:p>
    <w:p w14:paraId="55B62F36" w14:textId="77777777" w:rsidR="00C972CB" w:rsidRDefault="002457F6">
      <w:pPr>
        <w:spacing w:after="120"/>
        <w:jc w:val="both"/>
        <w:rPr>
          <w:noProof/>
        </w:rPr>
      </w:pPr>
      <w:r>
        <w:rPr>
          <w:noProof/>
        </w:rPr>
        <w:t>Ar investīcijām atbalsta projektus, kas saistīt</w:t>
      </w:r>
      <w:r>
        <w:rPr>
          <w:noProof/>
        </w:rPr>
        <w:t>i ar galvenajām stratēģiskajām vērtības ķēdēm, piemēram, rūpniecības attīstības programmām un vides aizsardzības attīstības programmām.</w:t>
      </w:r>
    </w:p>
    <w:p w14:paraId="7BC15E7C" w14:textId="1943A893" w:rsidR="00C972CB" w:rsidRDefault="002457F6">
      <w:pPr>
        <w:spacing w:after="120"/>
        <w:jc w:val="both"/>
        <w:rPr>
          <w:noProof/>
        </w:rPr>
      </w:pPr>
      <w:r>
        <w:rPr>
          <w:noProof/>
        </w:rPr>
        <w:t>Mehānisms darbojas, piešķirot neatmaksājamas dotācijas, subsidētus aizdevumus un procentu subsīdijas tieši privātajam se</w:t>
      </w:r>
      <w:r>
        <w:rPr>
          <w:noProof/>
        </w:rPr>
        <w:t>ktoram. Pamatojoties uz ANM investīcijām, mehānisma mērķis ir aktivizēt finansējumu vismaz</w:t>
      </w:r>
      <w:r>
        <w:rPr>
          <w:noProof/>
          <w:color w:val="006100"/>
          <w:sz w:val="20"/>
        </w:rPr>
        <w:t xml:space="preserve"> </w:t>
      </w:r>
      <w:r>
        <w:rPr>
          <w:noProof/>
        </w:rPr>
        <w:t>700000000 EUR</w:t>
      </w:r>
      <w:r>
        <w:rPr>
          <w:noProof/>
          <w:color w:val="006100"/>
          <w:sz w:val="20"/>
        </w:rPr>
        <w:t xml:space="preserve"> </w:t>
      </w:r>
      <w:r>
        <w:rPr>
          <w:noProof/>
        </w:rPr>
        <w:t xml:space="preserve">apmērā. </w:t>
      </w:r>
    </w:p>
    <w:p w14:paraId="4452B28F" w14:textId="0931AFA6" w:rsidR="00C972CB" w:rsidRDefault="002457F6">
      <w:pPr>
        <w:spacing w:after="120"/>
        <w:jc w:val="both"/>
        <w:rPr>
          <w:noProof/>
        </w:rPr>
      </w:pPr>
      <w:r>
        <w:rPr>
          <w:noProof/>
        </w:rPr>
        <w:t xml:space="preserve">Mehānismu pārvalda Invitalia S.p.A. kā īstenošanas partneris. </w:t>
      </w:r>
    </w:p>
    <w:p w14:paraId="3398E700" w14:textId="244496EE" w:rsidR="00C972CB" w:rsidRDefault="002457F6">
      <w:pPr>
        <w:spacing w:after="120"/>
        <w:jc w:val="both"/>
        <w:rPr>
          <w:noProof/>
        </w:rPr>
      </w:pPr>
      <w:r>
        <w:rPr>
          <w:noProof/>
        </w:rPr>
        <w:t>Lai īstenotu ieguldījumu mehānismā, Itālija un Invitalia paraksta īstenošanas n</w:t>
      </w:r>
      <w:r>
        <w:rPr>
          <w:noProof/>
        </w:rPr>
        <w:t>olīgumu, kurā iekļauj šādu saturu:</w:t>
      </w:r>
    </w:p>
    <w:p w14:paraId="0BE2B6AE" w14:textId="51CE9B96" w:rsidR="00C972CB" w:rsidRDefault="002457F6">
      <w:pPr>
        <w:pStyle w:val="ListParagraph"/>
        <w:numPr>
          <w:ilvl w:val="0"/>
          <w:numId w:val="132"/>
        </w:numPr>
        <w:spacing w:before="0"/>
        <w:contextualSpacing w:val="0"/>
        <w:rPr>
          <w:noProof/>
        </w:rPr>
      </w:pPr>
      <w:r>
        <w:rPr>
          <w:noProof/>
        </w:rPr>
        <w:t>Mehānisma lēmumu pieņemšanas procesa apraksts: Mehānisma galīgos lēmumus par ieguldījumiem un piešķiršanu pieņem ieguldījumu komiteja vai cita attiecīga līdzvērtīga pārvaldes struktūra un apstiprina ar to locekļu balsu va</w:t>
      </w:r>
      <w:r>
        <w:rPr>
          <w:noProof/>
        </w:rPr>
        <w:t>irākumu, kuri ir neatkarīgi no valdības.</w:t>
      </w:r>
    </w:p>
    <w:p w14:paraId="2E521C53" w14:textId="36883190" w:rsidR="00C972CB" w:rsidRDefault="002457F6">
      <w:pPr>
        <w:pStyle w:val="ListParagraph"/>
        <w:numPr>
          <w:ilvl w:val="0"/>
          <w:numId w:val="132"/>
        </w:numPr>
        <w:spacing w:before="0"/>
        <w:contextualSpacing w:val="0"/>
        <w:rPr>
          <w:noProof/>
        </w:rPr>
      </w:pPr>
      <w:r>
        <w:rPr>
          <w:noProof/>
        </w:rPr>
        <w:t>Saistītās ieguldījumu politikas galvenās prasības, kas ietver:</w:t>
      </w:r>
    </w:p>
    <w:p w14:paraId="3BA0A759" w14:textId="16A9E3C6" w:rsidR="00C972CB" w:rsidRDefault="002457F6">
      <w:pPr>
        <w:pStyle w:val="ListParagraph"/>
        <w:numPr>
          <w:ilvl w:val="0"/>
          <w:numId w:val="133"/>
        </w:numPr>
        <w:spacing w:before="0"/>
        <w:contextualSpacing w:val="0"/>
        <w:rPr>
          <w:noProof/>
        </w:rPr>
      </w:pPr>
      <w:r>
        <w:rPr>
          <w:noProof/>
        </w:rPr>
        <w:t xml:space="preserve">Finanšu produkta(-u) un atbalsttiesīgo galasaņēmēju apraksts. </w:t>
      </w:r>
    </w:p>
    <w:p w14:paraId="1D40D57B" w14:textId="3CEBE898" w:rsidR="00C972CB" w:rsidRDefault="002457F6">
      <w:pPr>
        <w:pStyle w:val="ListParagraph"/>
        <w:numPr>
          <w:ilvl w:val="0"/>
          <w:numId w:val="133"/>
        </w:numPr>
        <w:spacing w:before="0"/>
        <w:contextualSpacing w:val="0"/>
        <w:rPr>
          <w:noProof/>
        </w:rPr>
      </w:pPr>
      <w:r>
        <w:rPr>
          <w:noProof/>
        </w:rPr>
        <w:t xml:space="preserve">Prasība, lai visi atbalstītie ieguldījumi būtu ekonomiski dzīvotspējīgi. </w:t>
      </w:r>
    </w:p>
    <w:p w14:paraId="5B4A827C" w14:textId="68846158" w:rsidR="00C972CB" w:rsidRDefault="002457F6">
      <w:pPr>
        <w:pStyle w:val="ListParagraph"/>
        <w:numPr>
          <w:ilvl w:val="0"/>
          <w:numId w:val="133"/>
        </w:numPr>
        <w:spacing w:before="0"/>
        <w:contextualSpacing w:val="0"/>
        <w:rPr>
          <w:noProof/>
        </w:rPr>
      </w:pPr>
      <w:r>
        <w:rPr>
          <w:noProof/>
        </w:rPr>
        <w:t>Prasība ievērot</w:t>
      </w:r>
      <w:r>
        <w:rPr>
          <w:noProof/>
        </w:rPr>
        <w:t xml:space="preserve"> principu “nenodari būtisku kaitējumu” (DNSH), kā noteikts NBK tehniskajās norādēs (2021/C58/01). Ieguldījumu politika jo īpaši izslēdz no atbilstības šādu darbību un aktīvu sarakstu: darbības un aktīvi, kas saistīti ar fosilajiem kurināmajiem un fosilajie</w:t>
      </w:r>
      <w:r>
        <w:rPr>
          <w:noProof/>
        </w:rPr>
        <w:t>m kurināmajiem, tostarp lejupējo izmantošanu</w:t>
      </w:r>
      <w:r>
        <w:rPr>
          <w:rStyle w:val="FootnoteReference"/>
          <w:noProof/>
        </w:rPr>
        <w:footnoteReference w:id="15"/>
      </w:r>
      <w:r>
        <w:rPr>
          <w:noProof/>
        </w:rPr>
        <w:t>, ii) darbības un aktīvi saskaņā ar ES emisijas kvotu tirdzniecības sistēmu (ETS), sasniedzot prognozētās siltumnīcefekta gāzu emisijas, kas nav zemākas par attiecīgajām līmeņatzīmēm</w:t>
      </w:r>
      <w:r>
        <w:rPr>
          <w:rStyle w:val="FootnoteReference"/>
          <w:noProof/>
        </w:rPr>
        <w:footnoteReference w:id="16"/>
      </w:r>
      <w:r>
        <w:rPr>
          <w:noProof/>
        </w:rPr>
        <w:t xml:space="preserve">, iii) darbības un aktīvi, </w:t>
      </w:r>
      <w:r>
        <w:rPr>
          <w:noProof/>
        </w:rPr>
        <w:t>kas saistīti ar atkritumu poligoniem, sadedzināšanas iekārtām</w:t>
      </w:r>
      <w:r>
        <w:rPr>
          <w:rStyle w:val="FootnoteReference"/>
          <w:noProof/>
        </w:rPr>
        <w:footnoteReference w:id="17"/>
      </w:r>
      <w:r>
        <w:rPr>
          <w:noProof/>
        </w:rPr>
        <w:t xml:space="preserve"> un mehāniski bioloģiskās apstrādes iekārtām</w:t>
      </w:r>
      <w:r>
        <w:rPr>
          <w:rStyle w:val="FootnoteReference"/>
          <w:noProof/>
        </w:rPr>
        <w:footnoteReference w:id="18"/>
      </w:r>
      <w:r>
        <w:rPr>
          <w:noProof/>
        </w:rPr>
        <w:t xml:space="preserve">. </w:t>
      </w:r>
    </w:p>
    <w:p w14:paraId="547CAEBB" w14:textId="4A7CBADA" w:rsidR="00C972CB" w:rsidRDefault="002457F6">
      <w:pPr>
        <w:pStyle w:val="ListParagraph"/>
        <w:numPr>
          <w:ilvl w:val="0"/>
          <w:numId w:val="133"/>
        </w:numPr>
        <w:spacing w:before="0"/>
        <w:contextualSpacing w:val="0"/>
        <w:rPr>
          <w:noProof/>
        </w:rPr>
      </w:pPr>
      <w:r>
        <w:rPr>
          <w:noProof/>
        </w:rPr>
        <w:t>Prasība, ka Mehānisma galasaņēmēji nesaņem atbalstu no citiem Savienības instrumentiem, lai segtu tās pašas izmaksas.</w:t>
      </w:r>
    </w:p>
    <w:p w14:paraId="4E48140C" w14:textId="03FA4156" w:rsidR="00C972CB" w:rsidRDefault="002457F6">
      <w:pPr>
        <w:pStyle w:val="ListParagraph"/>
        <w:numPr>
          <w:ilvl w:val="0"/>
          <w:numId w:val="132"/>
        </w:numPr>
        <w:spacing w:before="0"/>
        <w:contextualSpacing w:val="0"/>
        <w:rPr>
          <w:noProof/>
        </w:rPr>
      </w:pPr>
      <w:r>
        <w:rPr>
          <w:noProof/>
        </w:rPr>
        <w:t>Summa, uz kuru attiecas īste</w:t>
      </w:r>
      <w:r>
        <w:rPr>
          <w:noProof/>
        </w:rPr>
        <w:t>nošanas nolīgums, īstenošanas partnera maksu struktūra un prasība atkārtoti ieguldīt visas atmaksājamās summas saskaņā ar Mehānisma ieguldījumu politiku.</w:t>
      </w:r>
    </w:p>
    <w:p w14:paraId="3E360194" w14:textId="72CCC69A" w:rsidR="00C972CB" w:rsidRDefault="002457F6">
      <w:pPr>
        <w:pStyle w:val="ListParagraph"/>
        <w:numPr>
          <w:ilvl w:val="0"/>
          <w:numId w:val="132"/>
        </w:numPr>
        <w:spacing w:before="0"/>
        <w:contextualSpacing w:val="0"/>
        <w:rPr>
          <w:noProof/>
        </w:rPr>
      </w:pPr>
      <w:r>
        <w:rPr>
          <w:noProof/>
        </w:rPr>
        <w:t>Uzraudzības, revīzijas un kontroles prasības, tostarp:</w:t>
      </w:r>
    </w:p>
    <w:p w14:paraId="38E74FDA" w14:textId="1253728E" w:rsidR="00C972CB" w:rsidRDefault="002457F6">
      <w:pPr>
        <w:pStyle w:val="ListParagraph"/>
        <w:numPr>
          <w:ilvl w:val="1"/>
          <w:numId w:val="134"/>
        </w:numPr>
        <w:spacing w:before="0"/>
        <w:contextualSpacing w:val="0"/>
        <w:rPr>
          <w:noProof/>
        </w:rPr>
      </w:pPr>
      <w:r>
        <w:rPr>
          <w:noProof/>
        </w:rPr>
        <w:t>Īstenošanas partnera uzraudzības sistēmas aprak</w:t>
      </w:r>
      <w:r>
        <w:rPr>
          <w:noProof/>
        </w:rPr>
        <w:t>sts ziņošanai par mobilizētajām investīcijām.</w:t>
      </w:r>
    </w:p>
    <w:p w14:paraId="1CEF23CE" w14:textId="0E576CB2" w:rsidR="00C972CB" w:rsidRDefault="002457F6">
      <w:pPr>
        <w:pStyle w:val="ListParagraph"/>
        <w:numPr>
          <w:ilvl w:val="1"/>
          <w:numId w:val="134"/>
        </w:numPr>
        <w:spacing w:before="0"/>
        <w:contextualSpacing w:val="0"/>
        <w:rPr>
          <w:noProof/>
        </w:rPr>
      </w:pPr>
      <w:r>
        <w:rPr>
          <w:noProof/>
        </w:rPr>
        <w:t xml:space="preserve">Īstenošanas partnera procedūru aprakstu, kas nodrošina krāpšanas, korupcijas un interešu konfliktu novēršanu, atklāšanu un labošanu. </w:t>
      </w:r>
    </w:p>
    <w:p w14:paraId="1D3D65DD" w14:textId="522388DD" w:rsidR="00C972CB" w:rsidRDefault="002457F6">
      <w:pPr>
        <w:pStyle w:val="ListParagraph"/>
        <w:numPr>
          <w:ilvl w:val="1"/>
          <w:numId w:val="134"/>
        </w:numPr>
        <w:spacing w:before="0"/>
        <w:contextualSpacing w:val="0"/>
        <w:rPr>
          <w:noProof/>
        </w:rPr>
      </w:pPr>
      <w:r>
        <w:rPr>
          <w:noProof/>
        </w:rPr>
        <w:t>Pienākums pārbaudīt katras darbības attiecināmību saskaņā ar Īstenošanas nol</w:t>
      </w:r>
      <w:r>
        <w:rPr>
          <w:noProof/>
        </w:rPr>
        <w:t>īgumā noteiktajām prasībām pirms apņemšanās finansēt kādu darbību.</w:t>
      </w:r>
    </w:p>
    <w:p w14:paraId="57798276" w14:textId="1D0A7B27" w:rsidR="00C972CB" w:rsidRDefault="002457F6">
      <w:pPr>
        <w:pStyle w:val="ListParagraph"/>
        <w:numPr>
          <w:ilvl w:val="1"/>
          <w:numId w:val="134"/>
        </w:numPr>
        <w:spacing w:before="0"/>
        <w:contextualSpacing w:val="0"/>
        <w:rPr>
          <w:noProof/>
        </w:rPr>
      </w:pPr>
      <w:r>
        <w:rPr>
          <w:noProof/>
        </w:rPr>
        <w:t>Pienākums veikt uz risku balstītas ex post revīzijas saskaņā ar Invitalia SPA revīzijas plānu. Šajās revīzijās pārbauda:</w:t>
      </w:r>
    </w:p>
    <w:p w14:paraId="6B8EC507" w14:textId="0EB59056" w:rsidR="00C972CB" w:rsidRDefault="002457F6">
      <w:pPr>
        <w:pStyle w:val="ListParagraph"/>
        <w:numPr>
          <w:ilvl w:val="2"/>
          <w:numId w:val="134"/>
        </w:numPr>
        <w:spacing w:before="0"/>
        <w:contextualSpacing w:val="0"/>
        <w:rPr>
          <w:noProof/>
        </w:rPr>
      </w:pPr>
      <w:r>
        <w:rPr>
          <w:noProof/>
        </w:rPr>
        <w:t xml:space="preserve">kontroles sistēmas ir efektīvas, tostarp krāpšanas, korupcijas un </w:t>
      </w:r>
      <w:r>
        <w:rPr>
          <w:noProof/>
        </w:rPr>
        <w:t>interešu konflikta atklāšana;</w:t>
      </w:r>
    </w:p>
    <w:p w14:paraId="5F29876A" w14:textId="14E71202" w:rsidR="00C972CB" w:rsidRDefault="002457F6">
      <w:pPr>
        <w:pStyle w:val="ListParagraph"/>
        <w:numPr>
          <w:ilvl w:val="2"/>
          <w:numId w:val="134"/>
        </w:numPr>
        <w:spacing w:before="0"/>
        <w:contextualSpacing w:val="0"/>
        <w:rPr>
          <w:noProof/>
        </w:rPr>
      </w:pPr>
      <w:r>
        <w:rPr>
          <w:noProof/>
        </w:rPr>
        <w:t xml:space="preserve">atbilstība NBK principam, valsts atbalsta noteikumiem, klimata mērķrādītāju prasībām; un </w:t>
      </w:r>
    </w:p>
    <w:p w14:paraId="573CE0AC" w14:textId="0EB64393" w:rsidR="00C972CB" w:rsidRDefault="002457F6">
      <w:pPr>
        <w:pStyle w:val="ListParagraph"/>
        <w:numPr>
          <w:ilvl w:val="2"/>
          <w:numId w:val="134"/>
        </w:numPr>
        <w:spacing w:before="0"/>
        <w:contextualSpacing w:val="0"/>
        <w:rPr>
          <w:noProof/>
        </w:rPr>
      </w:pPr>
      <w:r>
        <w:rPr>
          <w:noProof/>
        </w:rPr>
        <w:t>ka ir ievērota prasība, ka mehānisma galasaņēmēji nav saņēmuši atbalstu no citiem Savienības instrumentiem, lai segtu tās pašas izmaksas</w:t>
      </w:r>
      <w:r>
        <w:rPr>
          <w:noProof/>
        </w:rPr>
        <w:t xml:space="preserve">. Revīzijās pārbauda arī darījumu likumību un to, vai tiek ievēroti piemērojamā īstenošanas nolīguma nosacījumi. </w:t>
      </w:r>
    </w:p>
    <w:p w14:paraId="108CCF90" w14:textId="13AB860D" w:rsidR="00C972CB" w:rsidRDefault="002457F6">
      <w:pPr>
        <w:spacing w:before="120" w:after="120"/>
        <w:jc w:val="both"/>
        <w:rPr>
          <w:noProof/>
        </w:rPr>
        <w:sectPr w:rsidR="00C972CB">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Pr>
          <w:noProof/>
        </w:rPr>
        <w:t>Pasākuma īstenošanu pabeidz līdz 2026. gada 31. augustam.</w:t>
      </w:r>
    </w:p>
    <w:p w14:paraId="05036F41" w14:textId="77777777" w:rsidR="00C972CB" w:rsidRDefault="002457F6">
      <w:pPr>
        <w:pStyle w:val="Heading3"/>
        <w:numPr>
          <w:ilvl w:val="2"/>
          <w:numId w:val="0"/>
        </w:numPr>
        <w:ind w:left="850" w:hanging="850"/>
        <w:rPr>
          <w:b/>
          <w:i w:val="0"/>
          <w:noProof/>
          <w:u w:val="single"/>
        </w:rPr>
      </w:pPr>
      <w:r>
        <w:rPr>
          <w:b/>
          <w:i w:val="0"/>
          <w:noProof/>
          <w:u w:val="single"/>
        </w:rPr>
        <w:t xml:space="preserve">B.4. </w:t>
      </w:r>
      <w:r>
        <w:rPr>
          <w:noProof/>
        </w:rPr>
        <w:tab/>
      </w:r>
      <w:r>
        <w:rPr>
          <w:b/>
          <w:i w:val="0"/>
          <w:noProof/>
          <w:u w:val="single"/>
        </w:rPr>
        <w:t>Atskaites punkti, mēr</w:t>
      </w:r>
      <w:r>
        <w:rPr>
          <w:b/>
          <w:i w:val="0"/>
          <w:noProof/>
          <w:u w:val="single"/>
        </w:rPr>
        <w:t xml:space="preserve">ķrādītāji, citi rādītāji un aizdevuma uzraudzības un īstenošanas grafiks </w:t>
      </w:r>
    </w:p>
    <w:tbl>
      <w:tblPr>
        <w:tblW w:w="151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578"/>
        <w:gridCol w:w="1078"/>
        <w:gridCol w:w="1329"/>
        <w:gridCol w:w="1275"/>
        <w:gridCol w:w="1134"/>
        <w:gridCol w:w="993"/>
        <w:gridCol w:w="992"/>
        <w:gridCol w:w="850"/>
        <w:gridCol w:w="709"/>
        <w:gridCol w:w="3794"/>
      </w:tblGrid>
      <w:tr w:rsidR="00C972CB" w14:paraId="0D7AC944" w14:textId="77777777">
        <w:trPr>
          <w:trHeight w:val="315"/>
          <w:tblHeader/>
        </w:trPr>
        <w:tc>
          <w:tcPr>
            <w:tcW w:w="1424" w:type="dxa"/>
            <w:vMerge w:val="restart"/>
            <w:shd w:val="clear" w:color="auto" w:fill="C6D9F1" w:themeFill="text2" w:themeFillTint="33"/>
            <w:vAlign w:val="center"/>
          </w:tcPr>
          <w:p w14:paraId="0F153C0D" w14:textId="278C06A5" w:rsidR="00C972CB" w:rsidRDefault="002457F6">
            <w:pPr>
              <w:pStyle w:val="P68B1DB1-Normal9"/>
              <w:spacing w:before="120" w:after="120"/>
              <w:jc w:val="center"/>
              <w:rPr>
                <w:noProof/>
                <w:color w:val="006100"/>
              </w:rPr>
            </w:pPr>
            <w:r>
              <w:rPr>
                <w:noProof/>
              </w:rPr>
              <w:t>Kārtas numurs</w:t>
            </w:r>
          </w:p>
        </w:tc>
        <w:tc>
          <w:tcPr>
            <w:tcW w:w="1578" w:type="dxa"/>
            <w:vMerge w:val="restart"/>
            <w:shd w:val="clear" w:color="auto" w:fill="C6D9F1" w:themeFill="text2" w:themeFillTint="33"/>
            <w:vAlign w:val="center"/>
          </w:tcPr>
          <w:p w14:paraId="3CAD6A55" w14:textId="22747388" w:rsidR="00C972CB" w:rsidRDefault="002457F6">
            <w:pPr>
              <w:pStyle w:val="P68B1DB1-Normal9"/>
              <w:spacing w:before="120" w:after="120"/>
              <w:jc w:val="center"/>
              <w:rPr>
                <w:noProof/>
                <w:color w:val="006100"/>
              </w:rPr>
            </w:pPr>
            <w:r>
              <w:rPr>
                <w:noProof/>
              </w:rPr>
              <w:t>Pasākums</w:t>
            </w:r>
          </w:p>
        </w:tc>
        <w:tc>
          <w:tcPr>
            <w:tcW w:w="1078" w:type="dxa"/>
            <w:vMerge w:val="restart"/>
            <w:shd w:val="clear" w:color="auto" w:fill="C6D9F1" w:themeFill="text2" w:themeFillTint="33"/>
            <w:vAlign w:val="center"/>
          </w:tcPr>
          <w:p w14:paraId="63D50DC7" w14:textId="5BFC2D1D" w:rsidR="00C972CB" w:rsidRDefault="002457F6">
            <w:pPr>
              <w:pStyle w:val="P68B1DB1-Normal9"/>
              <w:spacing w:before="120" w:after="120"/>
              <w:jc w:val="center"/>
              <w:rPr>
                <w:noProof/>
                <w:color w:val="006100"/>
              </w:rPr>
            </w:pPr>
            <w:r>
              <w:rPr>
                <w:noProof/>
              </w:rPr>
              <w:t>Atskaites punkts/mērķrādītājs</w:t>
            </w:r>
          </w:p>
        </w:tc>
        <w:tc>
          <w:tcPr>
            <w:tcW w:w="1329" w:type="dxa"/>
            <w:vMerge w:val="restart"/>
            <w:shd w:val="clear" w:color="auto" w:fill="C6D9F1" w:themeFill="text2" w:themeFillTint="33"/>
            <w:vAlign w:val="center"/>
          </w:tcPr>
          <w:p w14:paraId="7F7E6F65" w14:textId="483D39E5" w:rsidR="00C972CB" w:rsidRDefault="002457F6">
            <w:pPr>
              <w:pStyle w:val="P68B1DB1-Normal9"/>
              <w:spacing w:before="120" w:after="120"/>
              <w:jc w:val="center"/>
              <w:rPr>
                <w:noProof/>
                <w:color w:val="006100"/>
              </w:rPr>
            </w:pPr>
            <w:r>
              <w:rPr>
                <w:noProof/>
              </w:rPr>
              <w:t>Uzvārds</w:t>
            </w:r>
          </w:p>
        </w:tc>
        <w:tc>
          <w:tcPr>
            <w:tcW w:w="1275" w:type="dxa"/>
            <w:vMerge w:val="restart"/>
            <w:shd w:val="clear" w:color="auto" w:fill="C6D9F1" w:themeFill="text2" w:themeFillTint="33"/>
            <w:vAlign w:val="center"/>
          </w:tcPr>
          <w:p w14:paraId="3084694F" w14:textId="31CBB236" w:rsidR="00C972CB" w:rsidRDefault="002457F6">
            <w:pPr>
              <w:pStyle w:val="P68B1DB1-Normal10"/>
              <w:spacing w:before="120" w:after="120"/>
              <w:jc w:val="center"/>
              <w:rPr>
                <w:noProof/>
                <w:color w:val="006100"/>
                <w:sz w:val="20"/>
              </w:rPr>
            </w:pPr>
            <w:r>
              <w:rPr>
                <w:b/>
                <w:noProof/>
                <w:sz w:val="20"/>
              </w:rPr>
              <w:t>Kvalitātes rādītāji</w:t>
            </w:r>
            <w:r>
              <w:rPr>
                <w:noProof/>
              </w:rPr>
              <w:br/>
            </w:r>
            <w:r>
              <w:rPr>
                <w:b/>
                <w:noProof/>
                <w:sz w:val="20"/>
              </w:rPr>
              <w:t>(attiecībā uz starpposma mērķiem)</w:t>
            </w:r>
          </w:p>
        </w:tc>
        <w:tc>
          <w:tcPr>
            <w:tcW w:w="3119" w:type="dxa"/>
            <w:gridSpan w:val="3"/>
            <w:shd w:val="clear" w:color="auto" w:fill="C6D9F1" w:themeFill="text2" w:themeFillTint="33"/>
            <w:vAlign w:val="center"/>
          </w:tcPr>
          <w:p w14:paraId="70CF38E5" w14:textId="0CCC89E8" w:rsidR="00C972CB" w:rsidRDefault="002457F6">
            <w:pPr>
              <w:pStyle w:val="P68B1DB1-Normal10"/>
              <w:spacing w:before="120" w:after="120"/>
              <w:jc w:val="center"/>
              <w:rPr>
                <w:noProof/>
                <w:color w:val="006100"/>
                <w:sz w:val="20"/>
              </w:rPr>
            </w:pPr>
            <w:r>
              <w:rPr>
                <w:b/>
                <w:noProof/>
                <w:sz w:val="20"/>
              </w:rPr>
              <w:t>Kvantitatīvie rādītāji</w:t>
            </w:r>
            <w:r>
              <w:rPr>
                <w:noProof/>
              </w:rPr>
              <w:t xml:space="preserve"> </w:t>
            </w:r>
            <w:r>
              <w:rPr>
                <w:noProof/>
              </w:rPr>
              <w:br/>
            </w:r>
            <w:r>
              <w:rPr>
                <w:b/>
                <w:noProof/>
                <w:sz w:val="20"/>
              </w:rPr>
              <w:t>(mērķiem)</w:t>
            </w:r>
          </w:p>
        </w:tc>
        <w:tc>
          <w:tcPr>
            <w:tcW w:w="1559" w:type="dxa"/>
            <w:gridSpan w:val="2"/>
            <w:shd w:val="clear" w:color="auto" w:fill="C6D9F1" w:themeFill="text2" w:themeFillTint="33"/>
            <w:vAlign w:val="center"/>
          </w:tcPr>
          <w:p w14:paraId="58BC3518" w14:textId="07BCA75F" w:rsidR="00C972CB" w:rsidRDefault="002457F6">
            <w:pPr>
              <w:pStyle w:val="P68B1DB1-Normal9"/>
              <w:spacing w:before="120" w:after="120"/>
              <w:jc w:val="center"/>
              <w:rPr>
                <w:noProof/>
                <w:color w:val="006100"/>
              </w:rPr>
            </w:pPr>
            <w:r>
              <w:rPr>
                <w:noProof/>
              </w:rPr>
              <w:t>Orientējošs pabeigšanas termiņš</w:t>
            </w:r>
          </w:p>
        </w:tc>
        <w:tc>
          <w:tcPr>
            <w:tcW w:w="3794" w:type="dxa"/>
            <w:vMerge w:val="restart"/>
            <w:shd w:val="clear" w:color="auto" w:fill="C6D9F1" w:themeFill="text2" w:themeFillTint="33"/>
            <w:vAlign w:val="center"/>
          </w:tcPr>
          <w:p w14:paraId="474DC491" w14:textId="6175D33B" w:rsidR="00C972CB" w:rsidRDefault="002457F6">
            <w:pPr>
              <w:pStyle w:val="P68B1DB1-Normal9"/>
              <w:spacing w:before="120" w:after="120"/>
              <w:jc w:val="center"/>
              <w:rPr>
                <w:noProof/>
              </w:rPr>
            </w:pPr>
            <w:r>
              <w:rPr>
                <w:noProof/>
              </w:rPr>
              <w:t>A</w:t>
            </w:r>
            <w:r>
              <w:rPr>
                <w:noProof/>
              </w:rPr>
              <w:t>praksts par katru atskaites punktu un mērķrādītāju</w:t>
            </w:r>
          </w:p>
        </w:tc>
      </w:tr>
      <w:tr w:rsidR="00C972CB" w14:paraId="2A5A5517" w14:textId="77777777">
        <w:trPr>
          <w:trHeight w:val="315"/>
          <w:tblHeader/>
        </w:trPr>
        <w:tc>
          <w:tcPr>
            <w:tcW w:w="1424" w:type="dxa"/>
            <w:vMerge/>
            <w:vAlign w:val="center"/>
          </w:tcPr>
          <w:p w14:paraId="14A84DEE" w14:textId="77777777" w:rsidR="00C972CB" w:rsidRDefault="00C972CB">
            <w:pPr>
              <w:spacing w:before="120" w:after="120"/>
              <w:jc w:val="center"/>
              <w:rPr>
                <w:rFonts w:ascii="Arial Narrow" w:hAnsi="Arial Narrow"/>
                <w:noProof/>
                <w:color w:val="006100"/>
                <w:sz w:val="20"/>
              </w:rPr>
            </w:pPr>
          </w:p>
        </w:tc>
        <w:tc>
          <w:tcPr>
            <w:tcW w:w="1578" w:type="dxa"/>
            <w:vMerge/>
            <w:vAlign w:val="center"/>
          </w:tcPr>
          <w:p w14:paraId="17C254B1" w14:textId="77777777" w:rsidR="00C972CB" w:rsidRDefault="00C972CB">
            <w:pPr>
              <w:spacing w:before="120" w:after="120"/>
              <w:jc w:val="center"/>
              <w:rPr>
                <w:rFonts w:ascii="Arial Narrow" w:hAnsi="Arial Narrow"/>
                <w:noProof/>
                <w:color w:val="006100"/>
                <w:sz w:val="20"/>
              </w:rPr>
            </w:pPr>
          </w:p>
        </w:tc>
        <w:tc>
          <w:tcPr>
            <w:tcW w:w="1078" w:type="dxa"/>
            <w:vMerge/>
            <w:vAlign w:val="center"/>
          </w:tcPr>
          <w:p w14:paraId="1537CABE" w14:textId="77777777" w:rsidR="00C972CB" w:rsidRDefault="00C972CB">
            <w:pPr>
              <w:spacing w:before="120" w:after="120"/>
              <w:jc w:val="center"/>
              <w:rPr>
                <w:rFonts w:ascii="Arial Narrow" w:hAnsi="Arial Narrow"/>
                <w:noProof/>
                <w:color w:val="006100"/>
                <w:sz w:val="20"/>
              </w:rPr>
            </w:pPr>
          </w:p>
        </w:tc>
        <w:tc>
          <w:tcPr>
            <w:tcW w:w="1329" w:type="dxa"/>
            <w:vMerge/>
            <w:vAlign w:val="center"/>
          </w:tcPr>
          <w:p w14:paraId="18699698" w14:textId="77777777" w:rsidR="00C972CB" w:rsidRDefault="00C972CB">
            <w:pPr>
              <w:spacing w:before="120" w:after="120"/>
              <w:jc w:val="center"/>
              <w:rPr>
                <w:rFonts w:ascii="Arial Narrow" w:hAnsi="Arial Narrow"/>
                <w:noProof/>
                <w:color w:val="006100"/>
                <w:sz w:val="20"/>
              </w:rPr>
            </w:pPr>
          </w:p>
        </w:tc>
        <w:tc>
          <w:tcPr>
            <w:tcW w:w="1275" w:type="dxa"/>
            <w:vMerge/>
            <w:vAlign w:val="center"/>
          </w:tcPr>
          <w:p w14:paraId="25C30835" w14:textId="77777777" w:rsidR="00C972CB" w:rsidRDefault="00C972CB">
            <w:pPr>
              <w:spacing w:before="120" w:after="120"/>
              <w:jc w:val="center"/>
              <w:rPr>
                <w:rFonts w:ascii="Arial Narrow" w:hAnsi="Arial Narrow"/>
                <w:noProof/>
                <w:color w:val="006100"/>
                <w:sz w:val="20"/>
              </w:rPr>
            </w:pPr>
          </w:p>
        </w:tc>
        <w:tc>
          <w:tcPr>
            <w:tcW w:w="1134" w:type="dxa"/>
            <w:shd w:val="clear" w:color="auto" w:fill="C6D9F1" w:themeFill="text2" w:themeFillTint="33"/>
            <w:vAlign w:val="center"/>
          </w:tcPr>
          <w:p w14:paraId="461E9B91" w14:textId="1F95C8B0" w:rsidR="00C972CB" w:rsidRDefault="002457F6">
            <w:pPr>
              <w:pStyle w:val="P68B1DB1-Normal9"/>
              <w:spacing w:before="120" w:after="120"/>
              <w:jc w:val="center"/>
              <w:rPr>
                <w:noProof/>
                <w:color w:val="006100"/>
              </w:rPr>
            </w:pPr>
            <w:r>
              <w:rPr>
                <w:noProof/>
              </w:rPr>
              <w:t>Mēra vienība</w:t>
            </w:r>
          </w:p>
        </w:tc>
        <w:tc>
          <w:tcPr>
            <w:tcW w:w="993" w:type="dxa"/>
            <w:shd w:val="clear" w:color="auto" w:fill="C6D9F1" w:themeFill="text2" w:themeFillTint="33"/>
            <w:vAlign w:val="center"/>
          </w:tcPr>
          <w:p w14:paraId="1F42DA00" w14:textId="5040C514" w:rsidR="00C972CB" w:rsidRDefault="002457F6">
            <w:pPr>
              <w:pStyle w:val="P68B1DB1-Normal9"/>
              <w:spacing w:before="120" w:after="120"/>
              <w:jc w:val="center"/>
              <w:rPr>
                <w:noProof/>
                <w:color w:val="006100"/>
              </w:rPr>
            </w:pPr>
            <w:r>
              <w:rPr>
                <w:noProof/>
              </w:rPr>
              <w:t>Pamatscenārijs</w:t>
            </w:r>
          </w:p>
        </w:tc>
        <w:tc>
          <w:tcPr>
            <w:tcW w:w="992" w:type="dxa"/>
            <w:shd w:val="clear" w:color="auto" w:fill="C6D9F1" w:themeFill="text2" w:themeFillTint="33"/>
            <w:vAlign w:val="center"/>
          </w:tcPr>
          <w:p w14:paraId="62B2010C" w14:textId="5FD5727F" w:rsidR="00C972CB" w:rsidRDefault="002457F6">
            <w:pPr>
              <w:pStyle w:val="P68B1DB1-Normal9"/>
              <w:spacing w:before="120" w:after="120"/>
              <w:jc w:val="center"/>
              <w:rPr>
                <w:noProof/>
                <w:color w:val="006100"/>
              </w:rPr>
            </w:pPr>
            <w:r>
              <w:rPr>
                <w:noProof/>
              </w:rPr>
              <w:t>Mērķis</w:t>
            </w:r>
          </w:p>
        </w:tc>
        <w:tc>
          <w:tcPr>
            <w:tcW w:w="850" w:type="dxa"/>
            <w:shd w:val="clear" w:color="auto" w:fill="C6D9F1" w:themeFill="text2" w:themeFillTint="33"/>
            <w:vAlign w:val="center"/>
          </w:tcPr>
          <w:p w14:paraId="61DF1B66" w14:textId="678203D6" w:rsidR="00C972CB" w:rsidRDefault="002457F6">
            <w:pPr>
              <w:pStyle w:val="P68B1DB1-Normal9"/>
              <w:spacing w:before="120" w:after="120"/>
              <w:jc w:val="center"/>
              <w:rPr>
                <w:noProof/>
                <w:color w:val="006100"/>
              </w:rPr>
            </w:pPr>
            <w:r>
              <w:rPr>
                <w:noProof/>
              </w:rPr>
              <w:t>Ceturtdaļa</w:t>
            </w:r>
          </w:p>
        </w:tc>
        <w:tc>
          <w:tcPr>
            <w:tcW w:w="709" w:type="dxa"/>
            <w:shd w:val="clear" w:color="auto" w:fill="C6D9F1" w:themeFill="text2" w:themeFillTint="33"/>
            <w:vAlign w:val="center"/>
          </w:tcPr>
          <w:p w14:paraId="472B036D" w14:textId="01DA0E93" w:rsidR="00C972CB" w:rsidRDefault="002457F6">
            <w:pPr>
              <w:pStyle w:val="P68B1DB1-Normal9"/>
              <w:spacing w:before="120" w:after="120"/>
              <w:jc w:val="center"/>
              <w:rPr>
                <w:noProof/>
                <w:color w:val="006100"/>
              </w:rPr>
            </w:pPr>
            <w:r>
              <w:rPr>
                <w:noProof/>
              </w:rPr>
              <w:t>Gadā</w:t>
            </w:r>
          </w:p>
        </w:tc>
        <w:tc>
          <w:tcPr>
            <w:tcW w:w="3794" w:type="dxa"/>
            <w:vMerge/>
            <w:vAlign w:val="center"/>
          </w:tcPr>
          <w:p w14:paraId="582F519A" w14:textId="77777777" w:rsidR="00C972CB" w:rsidRDefault="00C972CB">
            <w:pPr>
              <w:spacing w:before="120" w:after="120"/>
              <w:rPr>
                <w:rFonts w:ascii="Arial Narrow" w:hAnsi="Arial Narrow"/>
                <w:noProof/>
                <w:color w:val="006100"/>
                <w:sz w:val="20"/>
              </w:rPr>
            </w:pPr>
          </w:p>
        </w:tc>
      </w:tr>
      <w:tr w:rsidR="00C972CB" w14:paraId="350A04AB" w14:textId="77777777">
        <w:trPr>
          <w:trHeight w:val="315"/>
        </w:trPr>
        <w:tc>
          <w:tcPr>
            <w:tcW w:w="1424" w:type="dxa"/>
            <w:shd w:val="clear" w:color="auto" w:fill="C6EFCE"/>
            <w:vAlign w:val="center"/>
          </w:tcPr>
          <w:p w14:paraId="59A57DA3" w14:textId="77777777" w:rsidR="00C972CB" w:rsidRDefault="002457F6">
            <w:pPr>
              <w:pStyle w:val="P68B1DB1-Normal11"/>
              <w:spacing w:before="120" w:after="120"/>
              <w:jc w:val="center"/>
              <w:rPr>
                <w:noProof/>
              </w:rPr>
            </w:pPr>
            <w:r>
              <w:rPr>
                <w:noProof/>
              </w:rPr>
              <w:t>M1C2–15</w:t>
            </w:r>
          </w:p>
        </w:tc>
        <w:tc>
          <w:tcPr>
            <w:tcW w:w="1578" w:type="dxa"/>
            <w:shd w:val="clear" w:color="auto" w:fill="C6EFCE"/>
            <w:vAlign w:val="center"/>
          </w:tcPr>
          <w:p w14:paraId="3CD1AC28" w14:textId="77777777" w:rsidR="00C972CB" w:rsidRDefault="002457F6">
            <w:pPr>
              <w:pStyle w:val="P68B1DB1-Normal11"/>
              <w:spacing w:before="120" w:after="120"/>
              <w:jc w:val="center"/>
              <w:rPr>
                <w:noProof/>
              </w:rPr>
            </w:pPr>
            <w:r>
              <w:rPr>
                <w:noProof/>
              </w:rPr>
              <w:t>Ieguldījums Nr. 2: Mikroelektronikas inovācija un tehnoloģija</w:t>
            </w:r>
          </w:p>
        </w:tc>
        <w:tc>
          <w:tcPr>
            <w:tcW w:w="1078" w:type="dxa"/>
            <w:shd w:val="clear" w:color="auto" w:fill="C6EFCE"/>
            <w:vAlign w:val="center"/>
          </w:tcPr>
          <w:p w14:paraId="52C6617B"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1F969B8E" w14:textId="77777777" w:rsidR="00C972CB" w:rsidRDefault="002457F6">
            <w:pPr>
              <w:pStyle w:val="P68B1DB1-Normal11"/>
              <w:spacing w:before="120" w:after="120"/>
              <w:jc w:val="center"/>
              <w:rPr>
                <w:noProof/>
              </w:rPr>
            </w:pPr>
            <w:r>
              <w:rPr>
                <w:noProof/>
              </w:rPr>
              <w:t>Silīcija karbīda substrātu ražošanas jauda</w:t>
            </w:r>
          </w:p>
        </w:tc>
        <w:tc>
          <w:tcPr>
            <w:tcW w:w="1275" w:type="dxa"/>
            <w:shd w:val="clear" w:color="auto" w:fill="C6EFCE"/>
            <w:vAlign w:val="center"/>
          </w:tcPr>
          <w:p w14:paraId="6FDA5154"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256EECF1" w14:textId="734D230B"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2B84A2E8"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1A6A7174" w14:textId="29777EE5" w:rsidR="00C972CB" w:rsidRDefault="002457F6">
            <w:pPr>
              <w:pStyle w:val="P68B1DB1-Normal11"/>
              <w:spacing w:before="120" w:after="120"/>
              <w:jc w:val="center"/>
              <w:rPr>
                <w:noProof/>
              </w:rPr>
            </w:pPr>
            <w:r>
              <w:rPr>
                <w:noProof/>
              </w:rPr>
              <w:t xml:space="preserve">374 400 </w:t>
            </w:r>
          </w:p>
        </w:tc>
        <w:tc>
          <w:tcPr>
            <w:tcW w:w="850" w:type="dxa"/>
            <w:shd w:val="clear" w:color="auto" w:fill="C6EFCE"/>
            <w:vAlign w:val="center"/>
          </w:tcPr>
          <w:p w14:paraId="008F3A73" w14:textId="77777777" w:rsidR="00C972CB" w:rsidRDefault="002457F6">
            <w:pPr>
              <w:pStyle w:val="P68B1DB1-Normal11"/>
              <w:spacing w:before="120" w:after="120"/>
              <w:jc w:val="center"/>
              <w:rPr>
                <w:noProof/>
              </w:rPr>
            </w:pPr>
            <w:r>
              <w:rPr>
                <w:noProof/>
              </w:rPr>
              <w:t>2. CET.</w:t>
            </w:r>
          </w:p>
        </w:tc>
        <w:tc>
          <w:tcPr>
            <w:tcW w:w="709" w:type="dxa"/>
            <w:shd w:val="clear" w:color="auto" w:fill="C6EFCE"/>
            <w:vAlign w:val="center"/>
          </w:tcPr>
          <w:p w14:paraId="11C1EFF3" w14:textId="77777777" w:rsidR="00C972CB" w:rsidRDefault="002457F6">
            <w:pPr>
              <w:pStyle w:val="P68B1DB1-Normal11"/>
              <w:spacing w:before="120" w:after="120"/>
              <w:jc w:val="center"/>
              <w:rPr>
                <w:noProof/>
              </w:rPr>
            </w:pPr>
            <w:r>
              <w:rPr>
                <w:noProof/>
              </w:rPr>
              <w:t>2026</w:t>
            </w:r>
          </w:p>
        </w:tc>
        <w:tc>
          <w:tcPr>
            <w:tcW w:w="3794" w:type="dxa"/>
            <w:shd w:val="clear" w:color="auto" w:fill="C6EFCE"/>
            <w:vAlign w:val="center"/>
          </w:tcPr>
          <w:p w14:paraId="581EEA29" w14:textId="227B8602" w:rsidR="00C972CB" w:rsidRDefault="002457F6">
            <w:pPr>
              <w:pStyle w:val="P68B1DB1-Normal12"/>
              <w:spacing w:before="120" w:after="120"/>
              <w:rPr>
                <w:rFonts w:ascii="Arial Narrow" w:hAnsi="Arial Narrow"/>
                <w:noProof/>
              </w:rPr>
            </w:pPr>
            <w:r>
              <w:rPr>
                <w:rFonts w:ascii="Arial Narrow" w:hAnsi="Arial Narrow"/>
                <w:noProof/>
              </w:rPr>
              <w:t>Papildu ražošanas jaudas realizācija vismaz 374400</w:t>
            </w:r>
            <w:r>
              <w:rPr>
                <w:noProof/>
              </w:rPr>
              <w:t xml:space="preserve"> </w:t>
            </w:r>
            <w:r>
              <w:rPr>
                <w:rFonts w:ascii="Arial Narrow" w:hAnsi="Arial Narrow"/>
                <w:noProof/>
              </w:rPr>
              <w:t>silīcija karbīda substrātu gadā. Mērķrādītāja apmierinoša sasniegšana ir atkarīga arī no tā, vai tiks nodarbināti vismaz 700 papildu cilvēki, kas saistīti ar papildu jaudu.</w:t>
            </w:r>
          </w:p>
        </w:tc>
      </w:tr>
      <w:tr w:rsidR="00C972CB" w14:paraId="75B57208" w14:textId="77777777">
        <w:trPr>
          <w:trHeight w:val="315"/>
        </w:trPr>
        <w:tc>
          <w:tcPr>
            <w:tcW w:w="1424" w:type="dxa"/>
            <w:shd w:val="clear" w:color="auto" w:fill="C6EFCE"/>
            <w:vAlign w:val="center"/>
          </w:tcPr>
          <w:p w14:paraId="5C61E724" w14:textId="77777777" w:rsidR="00C972CB" w:rsidRDefault="002457F6">
            <w:pPr>
              <w:pStyle w:val="P68B1DB1-Normal11"/>
              <w:spacing w:before="120" w:after="120"/>
              <w:jc w:val="center"/>
              <w:rPr>
                <w:noProof/>
              </w:rPr>
            </w:pPr>
            <w:r>
              <w:rPr>
                <w:noProof/>
              </w:rPr>
              <w:t>M1C2–16</w:t>
            </w:r>
          </w:p>
        </w:tc>
        <w:tc>
          <w:tcPr>
            <w:tcW w:w="1578" w:type="dxa"/>
            <w:shd w:val="clear" w:color="auto" w:fill="C6EFCE"/>
            <w:vAlign w:val="center"/>
          </w:tcPr>
          <w:p w14:paraId="32ED33CF" w14:textId="77777777" w:rsidR="00C972CB" w:rsidRDefault="002457F6">
            <w:pPr>
              <w:pStyle w:val="P68B1DB1-Normal11"/>
              <w:spacing w:before="120" w:after="120"/>
              <w:jc w:val="center"/>
              <w:rPr>
                <w:noProof/>
              </w:rPr>
            </w:pPr>
            <w:r>
              <w:rPr>
                <w:noProof/>
              </w:rPr>
              <w:t>Ieguldījums 3: Ātrā interneta savienojumi (platjosla un 5G)</w:t>
            </w:r>
          </w:p>
        </w:tc>
        <w:tc>
          <w:tcPr>
            <w:tcW w:w="1078" w:type="dxa"/>
            <w:shd w:val="clear" w:color="auto" w:fill="C6EFCE"/>
            <w:vAlign w:val="center"/>
          </w:tcPr>
          <w:p w14:paraId="50E95CF9" w14:textId="77777777" w:rsidR="00C972CB" w:rsidRDefault="002457F6">
            <w:pPr>
              <w:pStyle w:val="P68B1DB1-Normal11"/>
              <w:spacing w:before="120" w:after="120"/>
              <w:jc w:val="center"/>
              <w:rPr>
                <w:noProof/>
              </w:rPr>
            </w:pPr>
            <w:r>
              <w:rPr>
                <w:noProof/>
              </w:rPr>
              <w:t>Starpposma mērķis</w:t>
            </w:r>
          </w:p>
        </w:tc>
        <w:tc>
          <w:tcPr>
            <w:tcW w:w="1329" w:type="dxa"/>
            <w:shd w:val="clear" w:color="auto" w:fill="C6EFCE"/>
            <w:vAlign w:val="center"/>
          </w:tcPr>
          <w:p w14:paraId="23A08EF5" w14:textId="77777777" w:rsidR="00C972CB" w:rsidRDefault="002457F6">
            <w:pPr>
              <w:pStyle w:val="P68B1DB1-Normal11"/>
              <w:spacing w:before="120" w:after="120"/>
              <w:jc w:val="center"/>
              <w:rPr>
                <w:noProof/>
              </w:rPr>
            </w:pPr>
            <w:r>
              <w:rPr>
                <w:noProof/>
              </w:rPr>
              <w:t>Visu publiskā iepirkuma līgumu slēgšanas tiesību piešķiršana ātrākiem pieslēguma projektiem</w:t>
            </w:r>
          </w:p>
        </w:tc>
        <w:tc>
          <w:tcPr>
            <w:tcW w:w="1275" w:type="dxa"/>
            <w:shd w:val="clear" w:color="auto" w:fill="C6EFCE"/>
            <w:vAlign w:val="center"/>
          </w:tcPr>
          <w:p w14:paraId="6198FFF4" w14:textId="77777777" w:rsidR="00C972CB" w:rsidRDefault="002457F6">
            <w:pPr>
              <w:pStyle w:val="P68B1DB1-Normal11"/>
              <w:spacing w:before="120" w:after="120"/>
              <w:jc w:val="center"/>
              <w:rPr>
                <w:noProof/>
              </w:rPr>
            </w:pPr>
            <w:r>
              <w:rPr>
                <w:noProof/>
              </w:rPr>
              <w:t xml:space="preserve">Paziņojums par visu publiskā iepirkuma līgumu slēgšanas tiesību piešķiršanu ātrākiem </w:t>
            </w:r>
            <w:r>
              <w:rPr>
                <w:noProof/>
              </w:rPr>
              <w:t>pieslēguma projektiem</w:t>
            </w:r>
          </w:p>
        </w:tc>
        <w:tc>
          <w:tcPr>
            <w:tcW w:w="1134" w:type="dxa"/>
            <w:shd w:val="clear" w:color="auto" w:fill="C6EFCE"/>
            <w:vAlign w:val="center"/>
          </w:tcPr>
          <w:p w14:paraId="45A02143" w14:textId="77777777" w:rsidR="00C972CB" w:rsidRDefault="002457F6">
            <w:pPr>
              <w:pStyle w:val="P68B1DB1-Normal11"/>
              <w:spacing w:before="120" w:after="120"/>
              <w:jc w:val="center"/>
              <w:rPr>
                <w:noProof/>
              </w:rPr>
            </w:pPr>
            <w:r>
              <w:rPr>
                <w:noProof/>
              </w:rPr>
              <w:t>NEPIEMĒRO</w:t>
            </w:r>
          </w:p>
        </w:tc>
        <w:tc>
          <w:tcPr>
            <w:tcW w:w="993" w:type="dxa"/>
            <w:shd w:val="clear" w:color="auto" w:fill="C6EFCE"/>
            <w:vAlign w:val="center"/>
          </w:tcPr>
          <w:p w14:paraId="2B28D737" w14:textId="77777777" w:rsidR="00C972CB" w:rsidRDefault="002457F6">
            <w:pPr>
              <w:pStyle w:val="P68B1DB1-Normal11"/>
              <w:spacing w:before="120" w:after="120"/>
              <w:jc w:val="center"/>
              <w:rPr>
                <w:noProof/>
              </w:rPr>
            </w:pPr>
            <w:r>
              <w:rPr>
                <w:noProof/>
              </w:rPr>
              <w:t>NEPIEMĒRO</w:t>
            </w:r>
          </w:p>
        </w:tc>
        <w:tc>
          <w:tcPr>
            <w:tcW w:w="992" w:type="dxa"/>
            <w:shd w:val="clear" w:color="auto" w:fill="C6EFCE"/>
            <w:vAlign w:val="center"/>
          </w:tcPr>
          <w:p w14:paraId="58D52495" w14:textId="77777777" w:rsidR="00C972CB" w:rsidRDefault="002457F6">
            <w:pPr>
              <w:pStyle w:val="P68B1DB1-Normal11"/>
              <w:spacing w:before="120" w:after="120"/>
              <w:jc w:val="center"/>
              <w:rPr>
                <w:noProof/>
              </w:rPr>
            </w:pPr>
            <w:r>
              <w:rPr>
                <w:noProof/>
              </w:rPr>
              <w:t>NEPIEMĒRO</w:t>
            </w:r>
          </w:p>
        </w:tc>
        <w:tc>
          <w:tcPr>
            <w:tcW w:w="850" w:type="dxa"/>
            <w:shd w:val="clear" w:color="auto" w:fill="C6EFCE"/>
            <w:vAlign w:val="center"/>
          </w:tcPr>
          <w:p w14:paraId="03E94C89" w14:textId="77777777" w:rsidR="00C972CB" w:rsidRDefault="002457F6">
            <w:pPr>
              <w:pStyle w:val="P68B1DB1-Normal11"/>
              <w:spacing w:before="120" w:after="120"/>
              <w:jc w:val="center"/>
              <w:rPr>
                <w:noProof/>
              </w:rPr>
            </w:pPr>
            <w:r>
              <w:rPr>
                <w:noProof/>
              </w:rPr>
              <w:t>2. CET.</w:t>
            </w:r>
          </w:p>
        </w:tc>
        <w:tc>
          <w:tcPr>
            <w:tcW w:w="709" w:type="dxa"/>
            <w:shd w:val="clear" w:color="auto" w:fill="C6EFCE"/>
            <w:vAlign w:val="center"/>
          </w:tcPr>
          <w:p w14:paraId="2829E688" w14:textId="77777777" w:rsidR="00C972CB" w:rsidRDefault="002457F6">
            <w:pPr>
              <w:pStyle w:val="P68B1DB1-Normal11"/>
              <w:spacing w:before="120" w:after="120"/>
              <w:jc w:val="center"/>
              <w:rPr>
                <w:noProof/>
              </w:rPr>
            </w:pPr>
            <w:r>
              <w:rPr>
                <w:noProof/>
              </w:rPr>
              <w:t>2022</w:t>
            </w:r>
          </w:p>
        </w:tc>
        <w:tc>
          <w:tcPr>
            <w:tcW w:w="3794" w:type="dxa"/>
            <w:shd w:val="clear" w:color="auto" w:fill="C6EFCE"/>
            <w:vAlign w:val="center"/>
          </w:tcPr>
          <w:p w14:paraId="6A7DC32C" w14:textId="77777777" w:rsidR="00C972CB" w:rsidRDefault="002457F6">
            <w:pPr>
              <w:pStyle w:val="P68B1DB1-Normal11"/>
              <w:spacing w:before="120" w:after="120"/>
              <w:rPr>
                <w:noProof/>
              </w:rPr>
            </w:pPr>
            <w:r>
              <w:rPr>
                <w:noProof/>
              </w:rPr>
              <w:t>Paziņojums par visu publiskā iepirkuma līgumu slēgšanas tiesību piešķiršanu ātrākiem pieslēguma projektiem, ko veido i) “Italia a 1 Giga”, ii) “Italia 5G”, iii) “Savienotas skolas”, iv) “Savi</w:t>
            </w:r>
            <w:r>
              <w:rPr>
                <w:noProof/>
              </w:rPr>
              <w:t>enotas veselības aprūpes iestādes”; un v) “Savienotas mazākas salas”.</w:t>
            </w:r>
          </w:p>
        </w:tc>
      </w:tr>
      <w:tr w:rsidR="00C972CB" w14:paraId="363DB6D3" w14:textId="77777777">
        <w:trPr>
          <w:trHeight w:val="315"/>
        </w:trPr>
        <w:tc>
          <w:tcPr>
            <w:tcW w:w="1424" w:type="dxa"/>
            <w:shd w:val="clear" w:color="auto" w:fill="C6EFCE"/>
            <w:vAlign w:val="center"/>
          </w:tcPr>
          <w:p w14:paraId="4CE49132" w14:textId="77777777" w:rsidR="00C972CB" w:rsidRDefault="002457F6">
            <w:pPr>
              <w:pStyle w:val="P68B1DB1-Normal11"/>
              <w:spacing w:before="120" w:after="120"/>
              <w:jc w:val="center"/>
              <w:rPr>
                <w:noProof/>
              </w:rPr>
            </w:pPr>
            <w:r>
              <w:rPr>
                <w:noProof/>
              </w:rPr>
              <w:t>M1C2–17</w:t>
            </w:r>
          </w:p>
        </w:tc>
        <w:tc>
          <w:tcPr>
            <w:tcW w:w="1578" w:type="dxa"/>
            <w:shd w:val="clear" w:color="auto" w:fill="C6EFCE"/>
            <w:vAlign w:val="center"/>
          </w:tcPr>
          <w:p w14:paraId="77A30167" w14:textId="77777777" w:rsidR="00C972CB" w:rsidRDefault="002457F6">
            <w:pPr>
              <w:pStyle w:val="P68B1DB1-Normal11"/>
              <w:spacing w:before="120" w:after="120"/>
              <w:jc w:val="center"/>
              <w:rPr>
                <w:noProof/>
              </w:rPr>
            </w:pPr>
            <w:r>
              <w:rPr>
                <w:noProof/>
              </w:rPr>
              <w:t>Ieguldījums 3: Ātrā interneta savienojumi (platjosla un 5G)</w:t>
            </w:r>
          </w:p>
        </w:tc>
        <w:tc>
          <w:tcPr>
            <w:tcW w:w="1078" w:type="dxa"/>
            <w:shd w:val="clear" w:color="auto" w:fill="C6EFCE"/>
            <w:vAlign w:val="center"/>
          </w:tcPr>
          <w:p w14:paraId="4379CF3E"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33105D0F" w14:textId="77777777" w:rsidR="00C972CB" w:rsidRDefault="002457F6">
            <w:pPr>
              <w:pStyle w:val="P68B1DB1-Normal11"/>
              <w:spacing w:before="120" w:after="120"/>
              <w:jc w:val="center"/>
              <w:rPr>
                <w:noProof/>
              </w:rPr>
            </w:pPr>
            <w:r>
              <w:rPr>
                <w:noProof/>
              </w:rPr>
              <w:t>Mājas numuri, kas nodrošināti ar 1 Gb/s savienojamību</w:t>
            </w:r>
          </w:p>
        </w:tc>
        <w:tc>
          <w:tcPr>
            <w:tcW w:w="1275" w:type="dxa"/>
            <w:shd w:val="clear" w:color="auto" w:fill="C6EFCE"/>
            <w:vAlign w:val="center"/>
          </w:tcPr>
          <w:p w14:paraId="15CED2A2"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3A733D96" w14:textId="77777777"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720E67D3"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2DB1FCAB" w14:textId="77777777" w:rsidR="00C972CB" w:rsidRDefault="002457F6">
            <w:pPr>
              <w:pStyle w:val="P68B1DB1-Normal11"/>
              <w:spacing w:before="120" w:after="120"/>
              <w:jc w:val="center"/>
              <w:rPr>
                <w:noProof/>
              </w:rPr>
            </w:pPr>
            <w:r>
              <w:rPr>
                <w:noProof/>
              </w:rPr>
              <w:t>3 400 000</w:t>
            </w:r>
          </w:p>
        </w:tc>
        <w:tc>
          <w:tcPr>
            <w:tcW w:w="850" w:type="dxa"/>
            <w:shd w:val="clear" w:color="auto" w:fill="C6EFCE"/>
            <w:vAlign w:val="center"/>
          </w:tcPr>
          <w:p w14:paraId="2036FF12" w14:textId="77777777" w:rsidR="00C972CB" w:rsidRDefault="002457F6">
            <w:pPr>
              <w:pStyle w:val="P68B1DB1-Normal11"/>
              <w:spacing w:before="120" w:after="120"/>
              <w:jc w:val="center"/>
              <w:rPr>
                <w:noProof/>
              </w:rPr>
            </w:pPr>
            <w:r>
              <w:rPr>
                <w:noProof/>
              </w:rPr>
              <w:t>2. CET.</w:t>
            </w:r>
          </w:p>
        </w:tc>
        <w:tc>
          <w:tcPr>
            <w:tcW w:w="709" w:type="dxa"/>
            <w:shd w:val="clear" w:color="auto" w:fill="C6EFCE"/>
            <w:vAlign w:val="center"/>
          </w:tcPr>
          <w:p w14:paraId="78E40BEF" w14:textId="77777777" w:rsidR="00C972CB" w:rsidRDefault="002457F6">
            <w:pPr>
              <w:pStyle w:val="P68B1DB1-Normal11"/>
              <w:spacing w:before="120" w:after="120"/>
              <w:jc w:val="center"/>
              <w:rPr>
                <w:noProof/>
              </w:rPr>
            </w:pPr>
            <w:r>
              <w:rPr>
                <w:noProof/>
              </w:rPr>
              <w:t>2026</w:t>
            </w:r>
          </w:p>
        </w:tc>
        <w:tc>
          <w:tcPr>
            <w:tcW w:w="3794" w:type="dxa"/>
            <w:shd w:val="clear" w:color="auto" w:fill="C6EFCE"/>
            <w:vAlign w:val="center"/>
          </w:tcPr>
          <w:p w14:paraId="5FAACB14" w14:textId="77777777" w:rsidR="00C972CB" w:rsidRDefault="002457F6">
            <w:pPr>
              <w:pStyle w:val="P68B1DB1-Normal11"/>
              <w:rPr>
                <w:noProof/>
              </w:rPr>
            </w:pPr>
            <w:r>
              <w:rPr>
                <w:noProof/>
              </w:rPr>
              <w:t xml:space="preserve">Vismaz 3400000 </w:t>
            </w:r>
            <w:r>
              <w:rPr>
                <w:noProof/>
              </w:rPr>
              <w:t>papildu māju (tostarp vismaz 450000 izkliedētu mājsaimniecību, t. i., attālos apgabalos), kas savienotas ar vismaz 1 Gbps savienojamību caur Fiber-to-the-home/ēku (FTTH/B), fiksētā bezvadu piekļuve (FWA)</w:t>
            </w:r>
          </w:p>
        </w:tc>
      </w:tr>
      <w:tr w:rsidR="00C972CB" w14:paraId="1081A2C9" w14:textId="77777777">
        <w:trPr>
          <w:trHeight w:val="315"/>
        </w:trPr>
        <w:tc>
          <w:tcPr>
            <w:tcW w:w="1424" w:type="dxa"/>
            <w:shd w:val="clear" w:color="auto" w:fill="C6EFCE"/>
            <w:vAlign w:val="center"/>
          </w:tcPr>
          <w:p w14:paraId="789BA074" w14:textId="77777777" w:rsidR="00C972CB" w:rsidRDefault="002457F6">
            <w:pPr>
              <w:pStyle w:val="P68B1DB1-Normal11"/>
              <w:spacing w:before="120" w:after="120"/>
              <w:jc w:val="center"/>
              <w:rPr>
                <w:noProof/>
              </w:rPr>
            </w:pPr>
            <w:r>
              <w:rPr>
                <w:noProof/>
              </w:rPr>
              <w:t>M1C2–18</w:t>
            </w:r>
          </w:p>
        </w:tc>
        <w:tc>
          <w:tcPr>
            <w:tcW w:w="1578" w:type="dxa"/>
            <w:shd w:val="clear" w:color="auto" w:fill="C6EFCE"/>
            <w:vAlign w:val="center"/>
          </w:tcPr>
          <w:p w14:paraId="05678040" w14:textId="77777777" w:rsidR="00C972CB" w:rsidRDefault="002457F6">
            <w:pPr>
              <w:pStyle w:val="P68B1DB1-Normal11"/>
              <w:spacing w:before="120" w:after="120"/>
              <w:jc w:val="center"/>
              <w:rPr>
                <w:noProof/>
              </w:rPr>
            </w:pPr>
            <w:r>
              <w:rPr>
                <w:noProof/>
              </w:rPr>
              <w:t xml:space="preserve">Ieguldījums 3: Ātrā interneta savienojumi </w:t>
            </w:r>
            <w:r>
              <w:rPr>
                <w:noProof/>
              </w:rPr>
              <w:t>(platjosla un 5G)</w:t>
            </w:r>
          </w:p>
        </w:tc>
        <w:tc>
          <w:tcPr>
            <w:tcW w:w="1078" w:type="dxa"/>
            <w:shd w:val="clear" w:color="auto" w:fill="C6EFCE"/>
            <w:vAlign w:val="center"/>
          </w:tcPr>
          <w:p w14:paraId="6EAFBF56"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674C26E6" w14:textId="77777777" w:rsidR="00C972CB" w:rsidRDefault="002457F6">
            <w:pPr>
              <w:pStyle w:val="P68B1DB1-Normal11"/>
              <w:spacing w:before="120" w:after="120"/>
              <w:jc w:val="center"/>
              <w:rPr>
                <w:noProof/>
              </w:rPr>
            </w:pPr>
            <w:r>
              <w:rPr>
                <w:noProof/>
              </w:rPr>
              <w:t>Skolu ēkas un veselības aprūpes iestādes, kam nodrošināta 1 Gb/s savienojamība</w:t>
            </w:r>
          </w:p>
        </w:tc>
        <w:tc>
          <w:tcPr>
            <w:tcW w:w="1275" w:type="dxa"/>
            <w:shd w:val="clear" w:color="auto" w:fill="C6EFCE"/>
            <w:vAlign w:val="center"/>
          </w:tcPr>
          <w:p w14:paraId="6F7D2BAE"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3001A228" w14:textId="77777777"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49B69A65"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7D4DE190" w14:textId="77777777" w:rsidR="00C972CB" w:rsidRDefault="002457F6">
            <w:pPr>
              <w:pStyle w:val="P68B1DB1-Normal11"/>
              <w:spacing w:before="120" w:after="120"/>
              <w:jc w:val="center"/>
              <w:rPr>
                <w:noProof/>
              </w:rPr>
            </w:pPr>
            <w:r>
              <w:rPr>
                <w:noProof/>
              </w:rPr>
              <w:t>17 700</w:t>
            </w:r>
          </w:p>
        </w:tc>
        <w:tc>
          <w:tcPr>
            <w:tcW w:w="850" w:type="dxa"/>
            <w:shd w:val="clear" w:color="auto" w:fill="C6EFCE"/>
            <w:vAlign w:val="center"/>
          </w:tcPr>
          <w:p w14:paraId="2FD35F74" w14:textId="77777777" w:rsidR="00C972CB" w:rsidRDefault="002457F6">
            <w:pPr>
              <w:pStyle w:val="P68B1DB1-Normal11"/>
              <w:spacing w:before="120" w:after="120"/>
              <w:jc w:val="center"/>
              <w:rPr>
                <w:noProof/>
              </w:rPr>
            </w:pPr>
            <w:r>
              <w:rPr>
                <w:noProof/>
              </w:rPr>
              <w:t>2. CET.</w:t>
            </w:r>
          </w:p>
        </w:tc>
        <w:tc>
          <w:tcPr>
            <w:tcW w:w="709" w:type="dxa"/>
            <w:shd w:val="clear" w:color="auto" w:fill="C6EFCE"/>
            <w:vAlign w:val="center"/>
          </w:tcPr>
          <w:p w14:paraId="5B01AEA5" w14:textId="77777777" w:rsidR="00C972CB" w:rsidRDefault="002457F6">
            <w:pPr>
              <w:pStyle w:val="P68B1DB1-Normal11"/>
              <w:spacing w:before="120" w:after="120"/>
              <w:jc w:val="center"/>
              <w:rPr>
                <w:noProof/>
              </w:rPr>
            </w:pPr>
            <w:r>
              <w:rPr>
                <w:noProof/>
              </w:rPr>
              <w:t>2026</w:t>
            </w:r>
          </w:p>
        </w:tc>
        <w:tc>
          <w:tcPr>
            <w:tcW w:w="3794" w:type="dxa"/>
            <w:shd w:val="clear" w:color="auto" w:fill="C6EFCE"/>
            <w:vAlign w:val="center"/>
          </w:tcPr>
          <w:p w14:paraId="6A95D10C" w14:textId="77777777" w:rsidR="00C972CB" w:rsidRDefault="002457F6">
            <w:pPr>
              <w:pStyle w:val="P68B1DB1-Normal11"/>
              <w:spacing w:before="120" w:after="120"/>
              <w:rPr>
                <w:noProof/>
              </w:rPr>
            </w:pPr>
            <w:r>
              <w:rPr>
                <w:noProof/>
              </w:rPr>
              <w:t>Vēl vismaz 9000 skolu un 8700 valsts veselības aprūpes iestāžu, kurām ir vismaz 1 Gb/s savienojamība.</w:t>
            </w:r>
          </w:p>
        </w:tc>
      </w:tr>
      <w:tr w:rsidR="00C972CB" w14:paraId="4C55BE3C" w14:textId="77777777">
        <w:trPr>
          <w:trHeight w:val="315"/>
        </w:trPr>
        <w:tc>
          <w:tcPr>
            <w:tcW w:w="1424" w:type="dxa"/>
            <w:shd w:val="clear" w:color="auto" w:fill="C6EFCE"/>
            <w:vAlign w:val="center"/>
          </w:tcPr>
          <w:p w14:paraId="584EC24C" w14:textId="77777777" w:rsidR="00C972CB" w:rsidRDefault="002457F6">
            <w:pPr>
              <w:pStyle w:val="P68B1DB1-Normal11"/>
              <w:spacing w:before="120" w:after="120"/>
              <w:jc w:val="center"/>
              <w:rPr>
                <w:noProof/>
              </w:rPr>
            </w:pPr>
            <w:r>
              <w:rPr>
                <w:noProof/>
              </w:rPr>
              <w:t>M1C2–19</w:t>
            </w:r>
          </w:p>
        </w:tc>
        <w:tc>
          <w:tcPr>
            <w:tcW w:w="1578" w:type="dxa"/>
            <w:shd w:val="clear" w:color="auto" w:fill="C6EFCE"/>
            <w:vAlign w:val="center"/>
          </w:tcPr>
          <w:p w14:paraId="6080D02C" w14:textId="77777777" w:rsidR="00C972CB" w:rsidRDefault="002457F6">
            <w:pPr>
              <w:pStyle w:val="P68B1DB1-Normal11"/>
              <w:spacing w:before="120" w:after="120"/>
              <w:jc w:val="center"/>
              <w:rPr>
                <w:noProof/>
              </w:rPr>
            </w:pPr>
            <w:r>
              <w:rPr>
                <w:noProof/>
              </w:rPr>
              <w:t>Ieguldījums 3: Ātrā interneta savienojumi (platjosla un 5G)</w:t>
            </w:r>
          </w:p>
        </w:tc>
        <w:tc>
          <w:tcPr>
            <w:tcW w:w="1078" w:type="dxa"/>
            <w:shd w:val="clear" w:color="auto" w:fill="C6EFCE"/>
            <w:vAlign w:val="center"/>
          </w:tcPr>
          <w:p w14:paraId="48BF1DC5"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66E5FD15" w14:textId="77777777" w:rsidR="00C972CB" w:rsidRDefault="002457F6">
            <w:pPr>
              <w:pStyle w:val="P68B1DB1-Normal11"/>
              <w:spacing w:before="120" w:after="120"/>
              <w:jc w:val="center"/>
              <w:rPr>
                <w:noProof/>
              </w:rPr>
            </w:pPr>
            <w:r>
              <w:rPr>
                <w:noProof/>
              </w:rPr>
              <w:t>Salas ar ultraplatjoslas savienojamību</w:t>
            </w:r>
          </w:p>
        </w:tc>
        <w:tc>
          <w:tcPr>
            <w:tcW w:w="1275" w:type="dxa"/>
            <w:shd w:val="clear" w:color="auto" w:fill="C6EFCE"/>
            <w:vAlign w:val="center"/>
          </w:tcPr>
          <w:p w14:paraId="202B0BC3"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2E6EF85B" w14:textId="77777777"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723A7D98"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48F11572" w14:textId="77777777" w:rsidR="00C972CB" w:rsidRDefault="002457F6">
            <w:pPr>
              <w:pStyle w:val="P68B1DB1-Normal11"/>
              <w:spacing w:before="120" w:after="120"/>
              <w:jc w:val="center"/>
              <w:rPr>
                <w:noProof/>
              </w:rPr>
            </w:pPr>
            <w:r>
              <w:rPr>
                <w:noProof/>
              </w:rPr>
              <w:t>18</w:t>
            </w:r>
          </w:p>
        </w:tc>
        <w:tc>
          <w:tcPr>
            <w:tcW w:w="850" w:type="dxa"/>
            <w:shd w:val="clear" w:color="auto" w:fill="C6EFCE"/>
            <w:vAlign w:val="center"/>
          </w:tcPr>
          <w:p w14:paraId="63D09F89" w14:textId="77777777" w:rsidR="00C972CB" w:rsidRDefault="002457F6">
            <w:pPr>
              <w:pStyle w:val="P68B1DB1-Normal11"/>
              <w:spacing w:before="120" w:after="120"/>
              <w:jc w:val="center"/>
              <w:rPr>
                <w:noProof/>
              </w:rPr>
            </w:pPr>
            <w:r>
              <w:rPr>
                <w:noProof/>
              </w:rPr>
              <w:t>4. CET.</w:t>
            </w:r>
          </w:p>
        </w:tc>
        <w:tc>
          <w:tcPr>
            <w:tcW w:w="709" w:type="dxa"/>
            <w:shd w:val="clear" w:color="auto" w:fill="C6EFCE"/>
            <w:vAlign w:val="center"/>
          </w:tcPr>
          <w:p w14:paraId="558544E7" w14:textId="77777777" w:rsidR="00C972CB" w:rsidRDefault="002457F6">
            <w:pPr>
              <w:pStyle w:val="P68B1DB1-Normal11"/>
              <w:spacing w:before="120" w:after="120"/>
              <w:jc w:val="center"/>
              <w:rPr>
                <w:noProof/>
              </w:rPr>
            </w:pPr>
            <w:r>
              <w:rPr>
                <w:noProof/>
              </w:rPr>
              <w:t>2024</w:t>
            </w:r>
          </w:p>
        </w:tc>
        <w:tc>
          <w:tcPr>
            <w:tcW w:w="3794" w:type="dxa"/>
            <w:shd w:val="clear" w:color="auto" w:fill="C6EFCE"/>
            <w:vAlign w:val="center"/>
          </w:tcPr>
          <w:p w14:paraId="74B12E9A" w14:textId="77777777" w:rsidR="00C972CB" w:rsidRDefault="002457F6">
            <w:pPr>
              <w:pStyle w:val="P68B1DB1-Normal11"/>
              <w:spacing w:before="120" w:after="120"/>
              <w:rPr>
                <w:noProof/>
              </w:rPr>
            </w:pPr>
            <w:r>
              <w:rPr>
                <w:noProof/>
              </w:rPr>
              <w:t xml:space="preserve">Vēl vismaz 18 salas, kurām trūkst optiskās šķiedras savienojumu ar kontinentu un kurām ir ultraplatjoslas </w:t>
            </w:r>
            <w:r>
              <w:rPr>
                <w:noProof/>
              </w:rPr>
              <w:t>savienojamība, izmantojot jaunu optisko atvilces maršrutēšanu.</w:t>
            </w:r>
          </w:p>
        </w:tc>
      </w:tr>
      <w:tr w:rsidR="00C972CB" w14:paraId="530985C1" w14:textId="77777777">
        <w:trPr>
          <w:trHeight w:val="315"/>
        </w:trPr>
        <w:tc>
          <w:tcPr>
            <w:tcW w:w="1424" w:type="dxa"/>
            <w:shd w:val="clear" w:color="auto" w:fill="C6EFCE"/>
            <w:vAlign w:val="center"/>
          </w:tcPr>
          <w:p w14:paraId="106FDA0B" w14:textId="77777777" w:rsidR="00C972CB" w:rsidRDefault="002457F6">
            <w:pPr>
              <w:pStyle w:val="P68B1DB1-Normal11"/>
              <w:spacing w:before="120" w:after="120"/>
              <w:jc w:val="center"/>
              <w:rPr>
                <w:noProof/>
              </w:rPr>
            </w:pPr>
            <w:r>
              <w:rPr>
                <w:noProof/>
              </w:rPr>
              <w:t>M1C2–20</w:t>
            </w:r>
          </w:p>
        </w:tc>
        <w:tc>
          <w:tcPr>
            <w:tcW w:w="1578" w:type="dxa"/>
            <w:shd w:val="clear" w:color="auto" w:fill="C6EFCE"/>
            <w:vAlign w:val="center"/>
          </w:tcPr>
          <w:p w14:paraId="2E0C8E19" w14:textId="77777777" w:rsidR="00C972CB" w:rsidRDefault="002457F6">
            <w:pPr>
              <w:pStyle w:val="P68B1DB1-Normal11"/>
              <w:spacing w:before="120" w:after="120"/>
              <w:jc w:val="center"/>
              <w:rPr>
                <w:noProof/>
              </w:rPr>
            </w:pPr>
            <w:r>
              <w:rPr>
                <w:noProof/>
              </w:rPr>
              <w:t>Ieguldījums 3: Ātrā interneta savienojumi (platjosla un 5G)</w:t>
            </w:r>
          </w:p>
        </w:tc>
        <w:tc>
          <w:tcPr>
            <w:tcW w:w="1078" w:type="dxa"/>
            <w:shd w:val="clear" w:color="auto" w:fill="C6EFCE"/>
            <w:vAlign w:val="center"/>
          </w:tcPr>
          <w:p w14:paraId="32B40E1B"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408DDE0D" w14:textId="77777777" w:rsidR="00C972CB" w:rsidRDefault="002457F6">
            <w:pPr>
              <w:pStyle w:val="P68B1DB1-Normal11"/>
              <w:spacing w:before="120" w:after="120"/>
              <w:jc w:val="center"/>
              <w:rPr>
                <w:noProof/>
              </w:rPr>
            </w:pPr>
            <w:r>
              <w:rPr>
                <w:noProof/>
              </w:rPr>
              <w:t>Ārpilsētas ceļi un koridori ar 5G pārklājumu</w:t>
            </w:r>
          </w:p>
        </w:tc>
        <w:tc>
          <w:tcPr>
            <w:tcW w:w="1275" w:type="dxa"/>
            <w:shd w:val="clear" w:color="auto" w:fill="C6EFCE"/>
            <w:vAlign w:val="center"/>
          </w:tcPr>
          <w:p w14:paraId="1D8C7410"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304D4D66" w14:textId="77777777"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209F15C0"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12123C79" w14:textId="77777777" w:rsidR="00C972CB" w:rsidRDefault="002457F6">
            <w:pPr>
              <w:pStyle w:val="P68B1DB1-Normal11"/>
              <w:spacing w:before="120" w:after="160" w:line="257" w:lineRule="auto"/>
              <w:jc w:val="center"/>
              <w:rPr>
                <w:noProof/>
              </w:rPr>
            </w:pPr>
            <w:r>
              <w:rPr>
                <w:noProof/>
              </w:rPr>
              <w:t>12 600</w:t>
            </w:r>
          </w:p>
        </w:tc>
        <w:tc>
          <w:tcPr>
            <w:tcW w:w="850" w:type="dxa"/>
            <w:shd w:val="clear" w:color="auto" w:fill="C6EFCE"/>
            <w:vAlign w:val="center"/>
          </w:tcPr>
          <w:p w14:paraId="60A699A3" w14:textId="77777777" w:rsidR="00C972CB" w:rsidRDefault="002457F6">
            <w:pPr>
              <w:pStyle w:val="P68B1DB1-Normal11"/>
              <w:spacing w:before="120" w:after="120"/>
              <w:jc w:val="center"/>
              <w:rPr>
                <w:noProof/>
              </w:rPr>
            </w:pPr>
            <w:r>
              <w:rPr>
                <w:noProof/>
              </w:rPr>
              <w:t>2. CET.</w:t>
            </w:r>
          </w:p>
        </w:tc>
        <w:tc>
          <w:tcPr>
            <w:tcW w:w="709" w:type="dxa"/>
            <w:shd w:val="clear" w:color="auto" w:fill="C6EFCE"/>
            <w:vAlign w:val="center"/>
          </w:tcPr>
          <w:p w14:paraId="7260FE71" w14:textId="77777777" w:rsidR="00C972CB" w:rsidRDefault="002457F6">
            <w:pPr>
              <w:pStyle w:val="P68B1DB1-Normal11"/>
              <w:spacing w:before="120" w:after="120"/>
              <w:jc w:val="center"/>
              <w:rPr>
                <w:noProof/>
              </w:rPr>
            </w:pPr>
            <w:r>
              <w:rPr>
                <w:noProof/>
              </w:rPr>
              <w:t>2026</w:t>
            </w:r>
          </w:p>
        </w:tc>
        <w:tc>
          <w:tcPr>
            <w:tcW w:w="3794" w:type="dxa"/>
            <w:shd w:val="clear" w:color="auto" w:fill="C6EFCE"/>
            <w:vAlign w:val="center"/>
          </w:tcPr>
          <w:p w14:paraId="0E0E3B67" w14:textId="77777777" w:rsidR="00C972CB" w:rsidRDefault="002457F6">
            <w:pPr>
              <w:pStyle w:val="P68B1DB1-Normal11"/>
              <w:spacing w:before="120" w:after="120"/>
              <w:rPr>
                <w:noProof/>
              </w:rPr>
            </w:pPr>
            <w:r>
              <w:rPr>
                <w:noProof/>
              </w:rPr>
              <w:t xml:space="preserve">Vēl vismaz 12 600 km ārpilsētas </w:t>
            </w:r>
            <w:r>
              <w:rPr>
                <w:noProof/>
              </w:rPr>
              <w:t>ceļu un koridoru, kas aprīkoti ar 5G pārklājumu.</w:t>
            </w:r>
          </w:p>
        </w:tc>
      </w:tr>
      <w:tr w:rsidR="00C972CB" w14:paraId="463BB30D" w14:textId="77777777">
        <w:trPr>
          <w:trHeight w:val="315"/>
        </w:trPr>
        <w:tc>
          <w:tcPr>
            <w:tcW w:w="1424" w:type="dxa"/>
            <w:shd w:val="clear" w:color="auto" w:fill="C6EFCE"/>
            <w:vAlign w:val="center"/>
          </w:tcPr>
          <w:p w14:paraId="2F5D24D1" w14:textId="77777777" w:rsidR="00C972CB" w:rsidRDefault="002457F6">
            <w:pPr>
              <w:pStyle w:val="P68B1DB1-Normal11"/>
              <w:spacing w:before="120" w:after="120"/>
              <w:jc w:val="center"/>
              <w:rPr>
                <w:noProof/>
              </w:rPr>
            </w:pPr>
            <w:r>
              <w:rPr>
                <w:noProof/>
              </w:rPr>
              <w:t>M1C2–21</w:t>
            </w:r>
          </w:p>
        </w:tc>
        <w:tc>
          <w:tcPr>
            <w:tcW w:w="1578" w:type="dxa"/>
            <w:shd w:val="clear" w:color="auto" w:fill="C6EFCE"/>
            <w:vAlign w:val="center"/>
          </w:tcPr>
          <w:p w14:paraId="235A2864" w14:textId="77777777" w:rsidR="00C972CB" w:rsidRDefault="002457F6">
            <w:pPr>
              <w:pStyle w:val="P68B1DB1-Normal11"/>
              <w:spacing w:before="120" w:after="120"/>
              <w:jc w:val="center"/>
              <w:rPr>
                <w:noProof/>
              </w:rPr>
            </w:pPr>
            <w:r>
              <w:rPr>
                <w:noProof/>
              </w:rPr>
              <w:t>Ieguldījums 3: Ātrā interneta savienojumi (platjosla un 5G)</w:t>
            </w:r>
          </w:p>
        </w:tc>
        <w:tc>
          <w:tcPr>
            <w:tcW w:w="1078" w:type="dxa"/>
            <w:shd w:val="clear" w:color="auto" w:fill="C6EFCE"/>
            <w:vAlign w:val="center"/>
          </w:tcPr>
          <w:p w14:paraId="54CC3C39"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3A2F43E1" w14:textId="77777777" w:rsidR="00C972CB" w:rsidRDefault="002457F6">
            <w:pPr>
              <w:pStyle w:val="P68B1DB1-Normal11"/>
              <w:spacing w:before="120" w:after="120"/>
              <w:jc w:val="center"/>
              <w:rPr>
                <w:noProof/>
              </w:rPr>
            </w:pPr>
            <w:r>
              <w:rPr>
                <w:noProof/>
              </w:rPr>
              <w:t>Tirgus nepilnību zonas, kurās iespējama 5G aptvērums</w:t>
            </w:r>
          </w:p>
        </w:tc>
        <w:tc>
          <w:tcPr>
            <w:tcW w:w="1275" w:type="dxa"/>
            <w:shd w:val="clear" w:color="auto" w:fill="C6EFCE"/>
            <w:vAlign w:val="center"/>
          </w:tcPr>
          <w:p w14:paraId="424BDB2A"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7323BE96" w14:textId="77777777"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3D5362A6"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42FC5258" w14:textId="77777777" w:rsidR="00C972CB" w:rsidRDefault="002457F6">
            <w:pPr>
              <w:pStyle w:val="P68B1DB1-Normal11"/>
              <w:spacing w:before="120" w:after="120"/>
              <w:jc w:val="center"/>
              <w:rPr>
                <w:noProof/>
              </w:rPr>
            </w:pPr>
            <w:r>
              <w:rPr>
                <w:noProof/>
              </w:rPr>
              <w:t>1 400</w:t>
            </w:r>
          </w:p>
        </w:tc>
        <w:tc>
          <w:tcPr>
            <w:tcW w:w="850" w:type="dxa"/>
            <w:shd w:val="clear" w:color="auto" w:fill="C6EFCE"/>
            <w:vAlign w:val="center"/>
          </w:tcPr>
          <w:p w14:paraId="64EFE437" w14:textId="77777777" w:rsidR="00C972CB" w:rsidRDefault="002457F6">
            <w:pPr>
              <w:pStyle w:val="P68B1DB1-Normal11"/>
              <w:spacing w:before="120" w:after="120"/>
              <w:jc w:val="center"/>
              <w:rPr>
                <w:noProof/>
              </w:rPr>
            </w:pPr>
            <w:r>
              <w:rPr>
                <w:noProof/>
              </w:rPr>
              <w:t>2. CET.</w:t>
            </w:r>
          </w:p>
        </w:tc>
        <w:tc>
          <w:tcPr>
            <w:tcW w:w="709" w:type="dxa"/>
            <w:shd w:val="clear" w:color="auto" w:fill="C6EFCE"/>
            <w:vAlign w:val="center"/>
          </w:tcPr>
          <w:p w14:paraId="6213018C" w14:textId="77777777" w:rsidR="00C972CB" w:rsidRDefault="002457F6">
            <w:pPr>
              <w:pStyle w:val="P68B1DB1-Normal11"/>
              <w:spacing w:before="120" w:after="120"/>
              <w:jc w:val="center"/>
              <w:rPr>
                <w:noProof/>
              </w:rPr>
            </w:pPr>
            <w:r>
              <w:rPr>
                <w:noProof/>
              </w:rPr>
              <w:t>2026</w:t>
            </w:r>
          </w:p>
        </w:tc>
        <w:tc>
          <w:tcPr>
            <w:tcW w:w="3794" w:type="dxa"/>
            <w:shd w:val="clear" w:color="auto" w:fill="C6EFCE"/>
            <w:vAlign w:val="center"/>
          </w:tcPr>
          <w:p w14:paraId="0E2F4376" w14:textId="77777777" w:rsidR="00C972CB" w:rsidRDefault="002457F6">
            <w:pPr>
              <w:pStyle w:val="P68B1DB1-Normal11"/>
              <w:spacing w:before="120" w:after="120"/>
              <w:rPr>
                <w:noProof/>
              </w:rPr>
            </w:pPr>
            <w:r>
              <w:rPr>
                <w:noProof/>
              </w:rPr>
              <w:t xml:space="preserve">Vismaz 1400 kvadrātkilometru no tirgus </w:t>
            </w:r>
            <w:r>
              <w:rPr>
                <w:noProof/>
              </w:rPr>
              <w:t>nepilnību apgabaliem, kuros ir 5G pārklājums, no kuriem vismaz 500 kvadrātkilometri ir nodrošināti ar 5G pārklājumu.</w:t>
            </w:r>
          </w:p>
        </w:tc>
      </w:tr>
      <w:tr w:rsidR="00C972CB" w14:paraId="760A162D" w14:textId="77777777">
        <w:trPr>
          <w:trHeight w:val="315"/>
        </w:trPr>
        <w:tc>
          <w:tcPr>
            <w:tcW w:w="1424" w:type="dxa"/>
            <w:shd w:val="clear" w:color="auto" w:fill="C6EFCE"/>
            <w:vAlign w:val="center"/>
          </w:tcPr>
          <w:p w14:paraId="7B50C180" w14:textId="77777777" w:rsidR="00C972CB" w:rsidRDefault="002457F6">
            <w:pPr>
              <w:pStyle w:val="P68B1DB1-Normal11"/>
              <w:spacing w:before="120" w:after="120"/>
              <w:jc w:val="center"/>
              <w:rPr>
                <w:noProof/>
              </w:rPr>
            </w:pPr>
            <w:r>
              <w:rPr>
                <w:noProof/>
              </w:rPr>
              <w:t>M1C2–22</w:t>
            </w:r>
          </w:p>
        </w:tc>
        <w:tc>
          <w:tcPr>
            <w:tcW w:w="1578" w:type="dxa"/>
            <w:shd w:val="clear" w:color="auto" w:fill="C6EFCE"/>
            <w:vAlign w:val="center"/>
          </w:tcPr>
          <w:p w14:paraId="641C4C26" w14:textId="77777777" w:rsidR="00C972CB" w:rsidRDefault="002457F6">
            <w:pPr>
              <w:pStyle w:val="P68B1DB1-Normal11"/>
              <w:spacing w:before="120" w:after="120"/>
              <w:jc w:val="center"/>
              <w:rPr>
                <w:noProof/>
              </w:rPr>
            </w:pPr>
            <w:r>
              <w:rPr>
                <w:noProof/>
              </w:rPr>
              <w:t>Ieguldījums Nr. 4: Satelīttehnoloģijas un kosmosa ekonomika</w:t>
            </w:r>
          </w:p>
        </w:tc>
        <w:tc>
          <w:tcPr>
            <w:tcW w:w="1078" w:type="dxa"/>
            <w:shd w:val="clear" w:color="auto" w:fill="C6EFCE"/>
            <w:vAlign w:val="center"/>
          </w:tcPr>
          <w:p w14:paraId="2CA2495D" w14:textId="77777777" w:rsidR="00C972CB" w:rsidRDefault="002457F6">
            <w:pPr>
              <w:pStyle w:val="P68B1DB1-Normal11"/>
              <w:spacing w:before="120" w:after="120"/>
              <w:jc w:val="center"/>
              <w:rPr>
                <w:noProof/>
              </w:rPr>
            </w:pPr>
            <w:r>
              <w:rPr>
                <w:noProof/>
              </w:rPr>
              <w:t>Starpposma mērķis</w:t>
            </w:r>
          </w:p>
        </w:tc>
        <w:tc>
          <w:tcPr>
            <w:tcW w:w="1329" w:type="dxa"/>
            <w:shd w:val="clear" w:color="auto" w:fill="C6EFCE"/>
            <w:vAlign w:val="center"/>
          </w:tcPr>
          <w:p w14:paraId="68E53C6A" w14:textId="77777777" w:rsidR="00C972CB" w:rsidRDefault="002457F6">
            <w:pPr>
              <w:pStyle w:val="P68B1DB1-Normal11"/>
              <w:spacing w:before="120" w:after="120"/>
              <w:jc w:val="center"/>
              <w:rPr>
                <w:noProof/>
              </w:rPr>
            </w:pPr>
            <w:r>
              <w:rPr>
                <w:noProof/>
              </w:rPr>
              <w:t xml:space="preserve">Visu publiskā iepirkuma līgumu slēgšanas tiesību </w:t>
            </w:r>
            <w:r>
              <w:rPr>
                <w:noProof/>
              </w:rPr>
              <w:t>piešķiršana satelītu tehnoloģiju un kosmosa projektiem</w:t>
            </w:r>
          </w:p>
        </w:tc>
        <w:tc>
          <w:tcPr>
            <w:tcW w:w="1275" w:type="dxa"/>
            <w:shd w:val="clear" w:color="auto" w:fill="C6EFCE"/>
            <w:vAlign w:val="center"/>
          </w:tcPr>
          <w:p w14:paraId="3D4BA139" w14:textId="77777777" w:rsidR="00C972CB" w:rsidRDefault="002457F6">
            <w:pPr>
              <w:pStyle w:val="P68B1DB1-Normal11"/>
              <w:spacing w:before="120" w:after="120"/>
              <w:jc w:val="center"/>
              <w:rPr>
                <w:noProof/>
              </w:rPr>
            </w:pPr>
            <w:r>
              <w:rPr>
                <w:noProof/>
              </w:rPr>
              <w:t>Paziņojums par visu publiskā iepirkuma līgumu slēgšanas tiesību piešķiršanu satelītu tehnoloģiju un kosmosa projektiem</w:t>
            </w:r>
          </w:p>
        </w:tc>
        <w:tc>
          <w:tcPr>
            <w:tcW w:w="1134" w:type="dxa"/>
            <w:shd w:val="clear" w:color="auto" w:fill="C6EFCE"/>
            <w:vAlign w:val="center"/>
          </w:tcPr>
          <w:p w14:paraId="1974E512" w14:textId="77777777" w:rsidR="00C972CB" w:rsidRDefault="002457F6">
            <w:pPr>
              <w:pStyle w:val="P68B1DB1-Normal11"/>
              <w:spacing w:before="120" w:after="120"/>
              <w:jc w:val="center"/>
              <w:rPr>
                <w:noProof/>
              </w:rPr>
            </w:pPr>
            <w:r>
              <w:rPr>
                <w:noProof/>
              </w:rPr>
              <w:t>NEPIEMĒRO</w:t>
            </w:r>
          </w:p>
        </w:tc>
        <w:tc>
          <w:tcPr>
            <w:tcW w:w="993" w:type="dxa"/>
            <w:shd w:val="clear" w:color="auto" w:fill="C6EFCE"/>
            <w:vAlign w:val="center"/>
          </w:tcPr>
          <w:p w14:paraId="3484A374" w14:textId="77777777" w:rsidR="00C972CB" w:rsidRDefault="002457F6">
            <w:pPr>
              <w:pStyle w:val="P68B1DB1-Normal11"/>
              <w:spacing w:before="120" w:after="120"/>
              <w:jc w:val="center"/>
              <w:rPr>
                <w:noProof/>
              </w:rPr>
            </w:pPr>
            <w:r>
              <w:rPr>
                <w:noProof/>
              </w:rPr>
              <w:t>NEPIEMĒRO</w:t>
            </w:r>
          </w:p>
        </w:tc>
        <w:tc>
          <w:tcPr>
            <w:tcW w:w="992" w:type="dxa"/>
            <w:shd w:val="clear" w:color="auto" w:fill="C6EFCE"/>
            <w:vAlign w:val="center"/>
          </w:tcPr>
          <w:p w14:paraId="5F7F70A8" w14:textId="77777777" w:rsidR="00C972CB" w:rsidRDefault="002457F6">
            <w:pPr>
              <w:pStyle w:val="P68B1DB1-Normal11"/>
              <w:spacing w:before="120" w:after="120"/>
              <w:jc w:val="center"/>
              <w:rPr>
                <w:noProof/>
              </w:rPr>
            </w:pPr>
            <w:r>
              <w:rPr>
                <w:noProof/>
              </w:rPr>
              <w:t>NEPIEMĒRO</w:t>
            </w:r>
          </w:p>
        </w:tc>
        <w:tc>
          <w:tcPr>
            <w:tcW w:w="850" w:type="dxa"/>
            <w:shd w:val="clear" w:color="auto" w:fill="C6EFCE"/>
            <w:vAlign w:val="center"/>
          </w:tcPr>
          <w:p w14:paraId="3711BCDE" w14:textId="77777777" w:rsidR="00C972CB" w:rsidRDefault="002457F6">
            <w:pPr>
              <w:pStyle w:val="P68B1DB1-Normal11"/>
              <w:spacing w:before="120" w:after="120"/>
              <w:jc w:val="center"/>
              <w:rPr>
                <w:noProof/>
              </w:rPr>
            </w:pPr>
            <w:r>
              <w:rPr>
                <w:noProof/>
              </w:rPr>
              <w:t>1. CET.</w:t>
            </w:r>
          </w:p>
        </w:tc>
        <w:tc>
          <w:tcPr>
            <w:tcW w:w="709" w:type="dxa"/>
            <w:shd w:val="clear" w:color="auto" w:fill="C6EFCE"/>
            <w:vAlign w:val="center"/>
          </w:tcPr>
          <w:p w14:paraId="3E875057" w14:textId="77777777" w:rsidR="00C972CB" w:rsidRDefault="002457F6">
            <w:pPr>
              <w:pStyle w:val="P68B1DB1-Normal11"/>
              <w:spacing w:before="120" w:after="120"/>
              <w:jc w:val="center"/>
              <w:rPr>
                <w:noProof/>
              </w:rPr>
            </w:pPr>
            <w:r>
              <w:rPr>
                <w:noProof/>
              </w:rPr>
              <w:t>2023</w:t>
            </w:r>
          </w:p>
        </w:tc>
        <w:tc>
          <w:tcPr>
            <w:tcW w:w="3794" w:type="dxa"/>
            <w:shd w:val="clear" w:color="auto" w:fill="C6EFCE"/>
            <w:vAlign w:val="center"/>
          </w:tcPr>
          <w:p w14:paraId="6821DC37" w14:textId="77777777" w:rsidR="00C972CB" w:rsidRDefault="002457F6">
            <w:pPr>
              <w:pStyle w:val="P68B1DB1-Normal11"/>
              <w:spacing w:before="120" w:after="120"/>
              <w:rPr>
                <w:noProof/>
              </w:rPr>
            </w:pPr>
            <w:r>
              <w:rPr>
                <w:noProof/>
              </w:rPr>
              <w:t xml:space="preserve">Paziņojums par visu publisko līgumu </w:t>
            </w:r>
            <w:r>
              <w:rPr>
                <w:noProof/>
              </w:rPr>
              <w:t>slēgšanas tiesību piešķiršanu satelīttehnoloģiju un kosmosa projektiem, kas sastāv no i) Satcom, ii) Zemes novērošanas, iii) kosmosa rūpnīcas un iv) orbītās ekonomikas.</w:t>
            </w:r>
          </w:p>
        </w:tc>
      </w:tr>
      <w:tr w:rsidR="00C972CB" w14:paraId="5C2CEBE0" w14:textId="77777777">
        <w:trPr>
          <w:trHeight w:val="315"/>
        </w:trPr>
        <w:tc>
          <w:tcPr>
            <w:tcW w:w="1424" w:type="dxa"/>
            <w:shd w:val="clear" w:color="auto" w:fill="C6EFCE"/>
            <w:vAlign w:val="center"/>
          </w:tcPr>
          <w:p w14:paraId="7C01A146" w14:textId="77777777" w:rsidR="00C972CB" w:rsidRDefault="002457F6">
            <w:pPr>
              <w:pStyle w:val="P68B1DB1-Normal11"/>
              <w:spacing w:before="120" w:after="120"/>
              <w:jc w:val="center"/>
              <w:rPr>
                <w:noProof/>
              </w:rPr>
            </w:pPr>
            <w:r>
              <w:rPr>
                <w:noProof/>
              </w:rPr>
              <w:t>M1C2–23</w:t>
            </w:r>
          </w:p>
        </w:tc>
        <w:tc>
          <w:tcPr>
            <w:tcW w:w="1578" w:type="dxa"/>
            <w:shd w:val="clear" w:color="auto" w:fill="C6EFCE"/>
            <w:vAlign w:val="center"/>
          </w:tcPr>
          <w:p w14:paraId="6594EE0B" w14:textId="77777777" w:rsidR="00C972CB" w:rsidRDefault="002457F6">
            <w:pPr>
              <w:pStyle w:val="P68B1DB1-Normal11"/>
              <w:spacing w:before="120" w:after="120"/>
              <w:jc w:val="center"/>
              <w:rPr>
                <w:noProof/>
              </w:rPr>
            </w:pPr>
            <w:r>
              <w:rPr>
                <w:noProof/>
              </w:rPr>
              <w:t>Ieguldījums Nr. 4: Satelīttehnoloģijas un kosmosa ekonomika</w:t>
            </w:r>
          </w:p>
        </w:tc>
        <w:tc>
          <w:tcPr>
            <w:tcW w:w="1078" w:type="dxa"/>
            <w:shd w:val="clear" w:color="auto" w:fill="C6EFCE"/>
            <w:vAlign w:val="center"/>
          </w:tcPr>
          <w:p w14:paraId="1D7D0054"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5F82524F" w14:textId="77777777" w:rsidR="00C972CB" w:rsidRDefault="002457F6">
            <w:pPr>
              <w:pStyle w:val="P68B1DB1-Normal11"/>
              <w:spacing w:before="120" w:after="120"/>
              <w:jc w:val="center"/>
              <w:rPr>
                <w:noProof/>
              </w:rPr>
            </w:pPr>
            <w:r>
              <w:rPr>
                <w:noProof/>
              </w:rPr>
              <w:t xml:space="preserve">Izvietoti </w:t>
            </w:r>
            <w:r>
              <w:rPr>
                <w:noProof/>
              </w:rPr>
              <w:t>zemes teleskopi, operacionālais SST centrs, kosmosa rūpnīca un šķidrās piedziņas demonstrators</w:t>
            </w:r>
          </w:p>
        </w:tc>
        <w:tc>
          <w:tcPr>
            <w:tcW w:w="1275" w:type="dxa"/>
            <w:shd w:val="clear" w:color="auto" w:fill="C6EFCE"/>
            <w:vAlign w:val="center"/>
          </w:tcPr>
          <w:p w14:paraId="259C7898"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7ECB152A" w14:textId="77777777"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4FF7E411"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73F54B18" w14:textId="77777777" w:rsidR="00C972CB" w:rsidRDefault="002457F6">
            <w:pPr>
              <w:pStyle w:val="P68B1DB1-Normal11"/>
              <w:spacing w:before="120" w:after="120"/>
              <w:jc w:val="center"/>
              <w:rPr>
                <w:noProof/>
              </w:rPr>
            </w:pPr>
            <w:r>
              <w:rPr>
                <w:noProof/>
              </w:rPr>
              <w:t>6</w:t>
            </w:r>
          </w:p>
        </w:tc>
        <w:tc>
          <w:tcPr>
            <w:tcW w:w="850" w:type="dxa"/>
            <w:shd w:val="clear" w:color="auto" w:fill="C6EFCE"/>
            <w:vAlign w:val="center"/>
          </w:tcPr>
          <w:p w14:paraId="244EDFA4" w14:textId="77777777" w:rsidR="00C972CB" w:rsidRDefault="002457F6">
            <w:pPr>
              <w:pStyle w:val="P68B1DB1-Normal11"/>
              <w:spacing w:before="120" w:after="120"/>
              <w:jc w:val="center"/>
              <w:rPr>
                <w:noProof/>
              </w:rPr>
            </w:pPr>
            <w:r>
              <w:rPr>
                <w:noProof/>
              </w:rPr>
              <w:t>2. CET.</w:t>
            </w:r>
          </w:p>
        </w:tc>
        <w:tc>
          <w:tcPr>
            <w:tcW w:w="709" w:type="dxa"/>
            <w:shd w:val="clear" w:color="auto" w:fill="C6EFCE"/>
            <w:vAlign w:val="center"/>
          </w:tcPr>
          <w:p w14:paraId="00E65D3D" w14:textId="77777777" w:rsidR="00C972CB" w:rsidRDefault="002457F6">
            <w:pPr>
              <w:pStyle w:val="P68B1DB1-Normal11"/>
              <w:spacing w:before="120" w:after="120"/>
              <w:jc w:val="center"/>
              <w:rPr>
                <w:noProof/>
              </w:rPr>
            </w:pPr>
            <w:r>
              <w:rPr>
                <w:noProof/>
              </w:rPr>
              <w:t>2026</w:t>
            </w:r>
          </w:p>
        </w:tc>
        <w:tc>
          <w:tcPr>
            <w:tcW w:w="3794" w:type="dxa"/>
            <w:shd w:val="clear" w:color="auto" w:fill="C6EFCE"/>
            <w:vAlign w:val="center"/>
          </w:tcPr>
          <w:p w14:paraId="2093ABA7" w14:textId="77777777" w:rsidR="00C972CB" w:rsidRDefault="002457F6">
            <w:pPr>
              <w:pStyle w:val="P68B1DB1-Normal11"/>
              <w:spacing w:before="120" w:after="120"/>
              <w:rPr>
                <w:noProof/>
              </w:rPr>
            </w:pPr>
            <w:r>
              <w:rPr>
                <w:noProof/>
              </w:rPr>
              <w:t xml:space="preserve">Vismaz trīs papildu augstas veiktspējas teleskopi, kas spēj identificēt kosmiskos objektus, viens operatīvais kosmisko objektu </w:t>
            </w:r>
            <w:r>
              <w:rPr>
                <w:noProof/>
              </w:rPr>
              <w:t>novērošanas un uzraudzības centrs (SST) (kosmisko atkritumu novērošanas un izsekošanas tīkls), viens kosmiskais objekts (integrētas līnijas mazu satelītu ražošanai, montāžai, integrēšanai un testēšanai (M-AIT)), viens šķidrās piedziņas demonstrators jaunas</w:t>
            </w:r>
            <w:r>
              <w:rPr>
                <w:noProof/>
              </w:rPr>
              <w:t xml:space="preserve"> paaudzes nesējraķešu izmantošanai.</w:t>
            </w:r>
          </w:p>
        </w:tc>
      </w:tr>
      <w:tr w:rsidR="00C972CB" w14:paraId="3883CBF0" w14:textId="77777777">
        <w:trPr>
          <w:trHeight w:val="315"/>
        </w:trPr>
        <w:tc>
          <w:tcPr>
            <w:tcW w:w="1424" w:type="dxa"/>
            <w:shd w:val="clear" w:color="auto" w:fill="C6EFCE"/>
            <w:vAlign w:val="center"/>
          </w:tcPr>
          <w:p w14:paraId="4261DD49" w14:textId="77777777" w:rsidR="00C972CB" w:rsidRDefault="002457F6">
            <w:pPr>
              <w:pStyle w:val="P68B1DB1-Normal11"/>
              <w:spacing w:before="120" w:after="120"/>
              <w:jc w:val="center"/>
              <w:rPr>
                <w:noProof/>
              </w:rPr>
            </w:pPr>
            <w:r>
              <w:rPr>
                <w:noProof/>
              </w:rPr>
              <w:t>M1C2–24</w:t>
            </w:r>
          </w:p>
        </w:tc>
        <w:tc>
          <w:tcPr>
            <w:tcW w:w="1578" w:type="dxa"/>
            <w:shd w:val="clear" w:color="auto" w:fill="C6EFCE"/>
            <w:vAlign w:val="center"/>
          </w:tcPr>
          <w:p w14:paraId="3F7300B4" w14:textId="77777777" w:rsidR="00C972CB" w:rsidRDefault="002457F6">
            <w:pPr>
              <w:pStyle w:val="P68B1DB1-Normal11"/>
              <w:spacing w:before="120" w:after="120"/>
              <w:jc w:val="center"/>
              <w:rPr>
                <w:rFonts w:eastAsia="Calibri"/>
                <w:noProof/>
              </w:rPr>
            </w:pPr>
            <w:r>
              <w:rPr>
                <w:noProof/>
              </w:rPr>
              <w:t>Ieguldījums Nr. 4: Satelīttehnoloģijas un kosmosa ekonomika</w:t>
            </w:r>
          </w:p>
        </w:tc>
        <w:tc>
          <w:tcPr>
            <w:tcW w:w="1078" w:type="dxa"/>
            <w:shd w:val="clear" w:color="auto" w:fill="C6EFCE"/>
            <w:vAlign w:val="center"/>
          </w:tcPr>
          <w:p w14:paraId="39EEC24C"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17A0AD56" w14:textId="77777777" w:rsidR="00C972CB" w:rsidRDefault="002457F6">
            <w:pPr>
              <w:pStyle w:val="P68B1DB1-Normal11"/>
              <w:spacing w:before="120" w:after="120"/>
              <w:jc w:val="center"/>
              <w:rPr>
                <w:noProof/>
              </w:rPr>
            </w:pPr>
            <w:r>
              <w:rPr>
                <w:noProof/>
              </w:rPr>
              <w:t>Izvietoto konstelāciju konstelācijas vai koncepcijas pierādījums</w:t>
            </w:r>
          </w:p>
        </w:tc>
        <w:tc>
          <w:tcPr>
            <w:tcW w:w="1275" w:type="dxa"/>
            <w:shd w:val="clear" w:color="auto" w:fill="C6EFCE"/>
            <w:vAlign w:val="center"/>
          </w:tcPr>
          <w:p w14:paraId="0A2679E9"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011FA5EE" w14:textId="77777777"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362D5D79"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0567C5C6" w14:textId="77777777" w:rsidR="00C972CB" w:rsidRDefault="002457F6">
            <w:pPr>
              <w:pStyle w:val="P68B1DB1-Normal11"/>
              <w:spacing w:before="120" w:after="120"/>
              <w:jc w:val="center"/>
              <w:rPr>
                <w:noProof/>
              </w:rPr>
            </w:pPr>
            <w:r>
              <w:rPr>
                <w:noProof/>
              </w:rPr>
              <w:t>2</w:t>
            </w:r>
          </w:p>
        </w:tc>
        <w:tc>
          <w:tcPr>
            <w:tcW w:w="850" w:type="dxa"/>
            <w:shd w:val="clear" w:color="auto" w:fill="C6EFCE"/>
            <w:vAlign w:val="center"/>
          </w:tcPr>
          <w:p w14:paraId="791B0190" w14:textId="77777777" w:rsidR="00C972CB" w:rsidRDefault="002457F6">
            <w:pPr>
              <w:pStyle w:val="P68B1DB1-Normal11"/>
              <w:spacing w:before="120" w:after="120"/>
              <w:jc w:val="center"/>
              <w:rPr>
                <w:noProof/>
              </w:rPr>
            </w:pPr>
            <w:r>
              <w:rPr>
                <w:noProof/>
              </w:rPr>
              <w:t>2. CET.</w:t>
            </w:r>
          </w:p>
        </w:tc>
        <w:tc>
          <w:tcPr>
            <w:tcW w:w="709" w:type="dxa"/>
            <w:shd w:val="clear" w:color="auto" w:fill="C6EFCE"/>
            <w:vAlign w:val="center"/>
          </w:tcPr>
          <w:p w14:paraId="1C17D9D7" w14:textId="77777777" w:rsidR="00C972CB" w:rsidRDefault="002457F6">
            <w:pPr>
              <w:pStyle w:val="P68B1DB1-Normal11"/>
              <w:spacing w:before="120" w:after="120"/>
              <w:jc w:val="center"/>
              <w:rPr>
                <w:noProof/>
              </w:rPr>
            </w:pPr>
            <w:r>
              <w:rPr>
                <w:noProof/>
              </w:rPr>
              <w:t>2026</w:t>
            </w:r>
          </w:p>
        </w:tc>
        <w:tc>
          <w:tcPr>
            <w:tcW w:w="3794" w:type="dxa"/>
            <w:shd w:val="clear" w:color="auto" w:fill="C6EFCE"/>
            <w:vAlign w:val="center"/>
          </w:tcPr>
          <w:p w14:paraId="5A0CCF91" w14:textId="77777777" w:rsidR="00C972CB" w:rsidRDefault="002457F6">
            <w:pPr>
              <w:pStyle w:val="P68B1DB1-Normal11"/>
              <w:spacing w:before="120" w:after="120"/>
              <w:rPr>
                <w:noProof/>
              </w:rPr>
            </w:pPr>
            <w:r>
              <w:rPr>
                <w:noProof/>
              </w:rPr>
              <w:t xml:space="preserve">Vismaz divas papildu konstelācijas vai </w:t>
            </w:r>
            <w:r>
              <w:rPr>
                <w:noProof/>
              </w:rPr>
              <w:t>konstelāciju koncepcijas pierādījums, kas izvietotas saskaņā ar Satcom un Zemes novērošanas iniciatīvām</w:t>
            </w:r>
          </w:p>
        </w:tc>
      </w:tr>
      <w:tr w:rsidR="00C972CB" w14:paraId="52476225" w14:textId="77777777">
        <w:trPr>
          <w:trHeight w:val="315"/>
        </w:trPr>
        <w:tc>
          <w:tcPr>
            <w:tcW w:w="1424" w:type="dxa"/>
            <w:shd w:val="clear" w:color="auto" w:fill="C6EFCE"/>
            <w:vAlign w:val="center"/>
          </w:tcPr>
          <w:p w14:paraId="33337CFF" w14:textId="77777777" w:rsidR="00C972CB" w:rsidRDefault="002457F6">
            <w:pPr>
              <w:pStyle w:val="P68B1DB1-Normal11"/>
              <w:spacing w:before="120" w:after="120"/>
              <w:jc w:val="center"/>
              <w:rPr>
                <w:noProof/>
              </w:rPr>
            </w:pPr>
            <w:r>
              <w:rPr>
                <w:noProof/>
              </w:rPr>
              <w:t>M1C2–25</w:t>
            </w:r>
          </w:p>
        </w:tc>
        <w:tc>
          <w:tcPr>
            <w:tcW w:w="1578" w:type="dxa"/>
            <w:shd w:val="clear" w:color="auto" w:fill="C6EFCE"/>
            <w:vAlign w:val="center"/>
          </w:tcPr>
          <w:p w14:paraId="594F0F10" w14:textId="77777777" w:rsidR="00C972CB" w:rsidRDefault="002457F6">
            <w:pPr>
              <w:pStyle w:val="P68B1DB1-Normal11"/>
              <w:spacing w:before="120" w:after="120"/>
              <w:jc w:val="center"/>
              <w:rPr>
                <w:rFonts w:eastAsia="Calibri"/>
                <w:noProof/>
              </w:rPr>
            </w:pPr>
            <w:r>
              <w:rPr>
                <w:noProof/>
              </w:rPr>
              <w:t>Ieguldījums Nr. 4: Satelīttehnoloģijas un kosmosa ekonomika</w:t>
            </w:r>
          </w:p>
        </w:tc>
        <w:tc>
          <w:tcPr>
            <w:tcW w:w="1078" w:type="dxa"/>
            <w:shd w:val="clear" w:color="auto" w:fill="C6EFCE"/>
            <w:vAlign w:val="center"/>
          </w:tcPr>
          <w:p w14:paraId="4901BD24"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62C1F03B" w14:textId="77777777" w:rsidR="00C972CB" w:rsidRDefault="002457F6">
            <w:pPr>
              <w:pStyle w:val="P68B1DB1-Normal11"/>
              <w:spacing w:before="120" w:after="120"/>
              <w:jc w:val="center"/>
              <w:rPr>
                <w:noProof/>
              </w:rPr>
            </w:pPr>
            <w:r>
              <w:rPr>
                <w:noProof/>
              </w:rPr>
              <w:t>Valsts pārvaldes iestādēm sniegtie pakalpojumi</w:t>
            </w:r>
          </w:p>
        </w:tc>
        <w:tc>
          <w:tcPr>
            <w:tcW w:w="1275" w:type="dxa"/>
            <w:shd w:val="clear" w:color="auto" w:fill="C6EFCE"/>
            <w:vAlign w:val="center"/>
          </w:tcPr>
          <w:p w14:paraId="452A05B0"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78290D3F" w14:textId="77777777"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59EE21B2"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1F8F9497" w14:textId="77777777" w:rsidR="00C972CB" w:rsidRDefault="002457F6">
            <w:pPr>
              <w:pStyle w:val="P68B1DB1-Normal11"/>
              <w:spacing w:before="120" w:after="120"/>
              <w:jc w:val="center"/>
              <w:rPr>
                <w:noProof/>
              </w:rPr>
            </w:pPr>
            <w:r>
              <w:rPr>
                <w:noProof/>
              </w:rPr>
              <w:t>8</w:t>
            </w:r>
          </w:p>
        </w:tc>
        <w:tc>
          <w:tcPr>
            <w:tcW w:w="850" w:type="dxa"/>
            <w:shd w:val="clear" w:color="auto" w:fill="C6EFCE"/>
            <w:vAlign w:val="center"/>
          </w:tcPr>
          <w:p w14:paraId="6244200C" w14:textId="77777777" w:rsidR="00C972CB" w:rsidRDefault="002457F6">
            <w:pPr>
              <w:pStyle w:val="P68B1DB1-Normal11"/>
              <w:spacing w:before="120" w:after="120"/>
              <w:jc w:val="center"/>
              <w:rPr>
                <w:noProof/>
              </w:rPr>
            </w:pPr>
            <w:r>
              <w:rPr>
                <w:noProof/>
              </w:rPr>
              <w:t>2. CET.</w:t>
            </w:r>
          </w:p>
        </w:tc>
        <w:tc>
          <w:tcPr>
            <w:tcW w:w="709" w:type="dxa"/>
            <w:shd w:val="clear" w:color="auto" w:fill="C6EFCE"/>
            <w:vAlign w:val="center"/>
          </w:tcPr>
          <w:p w14:paraId="6A8E593A" w14:textId="77777777" w:rsidR="00C972CB" w:rsidRDefault="002457F6">
            <w:pPr>
              <w:pStyle w:val="P68B1DB1-Normal11"/>
              <w:spacing w:before="120" w:after="120"/>
              <w:jc w:val="center"/>
              <w:rPr>
                <w:noProof/>
              </w:rPr>
            </w:pPr>
            <w:r>
              <w:rPr>
                <w:noProof/>
              </w:rPr>
              <w:t>2026</w:t>
            </w:r>
          </w:p>
        </w:tc>
        <w:tc>
          <w:tcPr>
            <w:tcW w:w="3794" w:type="dxa"/>
            <w:shd w:val="clear" w:color="auto" w:fill="C6EFCE"/>
            <w:vAlign w:val="center"/>
          </w:tcPr>
          <w:p w14:paraId="72020359" w14:textId="77777777" w:rsidR="00C972CB" w:rsidRDefault="002457F6">
            <w:pPr>
              <w:pStyle w:val="P68B1DB1-Normal11"/>
              <w:spacing w:before="120" w:after="120"/>
              <w:rPr>
                <w:noProof/>
              </w:rPr>
            </w:pPr>
            <w:r>
              <w:rPr>
                <w:noProof/>
              </w:rPr>
              <w:t>Vismaz astoņi papildu pakalpojumi, ko sniedz publiskās pārvaldes iestādēm un kas izriet no atbalstītām kosmosa iniciatīvām, piemēram, piekrastes pakalpojumi un jūras piekrastes monitorings, gaisa kvalitātes pakalpojumi, zemes kustības pakalpojumi, mon</w:t>
            </w:r>
            <w:r>
              <w:rPr>
                <w:noProof/>
              </w:rPr>
              <w:t>itoringa pakalpojumu pārklājums un zemes izmantošana, hidrometeoroloģiskie pakalpojumi, ūdens resursu pakalpojumi, neatliekamās palīdzības dienesti, drošības pakalpojumi.</w:t>
            </w:r>
          </w:p>
        </w:tc>
      </w:tr>
      <w:tr w:rsidR="00C972CB" w14:paraId="7056D564" w14:textId="77777777">
        <w:trPr>
          <w:trHeight w:val="315"/>
        </w:trPr>
        <w:tc>
          <w:tcPr>
            <w:tcW w:w="1424" w:type="dxa"/>
            <w:shd w:val="clear" w:color="auto" w:fill="C6EFCE"/>
            <w:vAlign w:val="center"/>
          </w:tcPr>
          <w:p w14:paraId="178D062D" w14:textId="77777777" w:rsidR="00C972CB" w:rsidRDefault="002457F6">
            <w:pPr>
              <w:pStyle w:val="P68B1DB1-Normal11"/>
              <w:spacing w:before="120" w:after="120"/>
              <w:jc w:val="center"/>
              <w:rPr>
                <w:noProof/>
              </w:rPr>
            </w:pPr>
            <w:r>
              <w:rPr>
                <w:noProof/>
              </w:rPr>
              <w:t>M1C2–26</w:t>
            </w:r>
          </w:p>
        </w:tc>
        <w:tc>
          <w:tcPr>
            <w:tcW w:w="1578" w:type="dxa"/>
            <w:shd w:val="clear" w:color="auto" w:fill="C6EFCE"/>
            <w:vAlign w:val="center"/>
          </w:tcPr>
          <w:p w14:paraId="1832B2EF" w14:textId="77777777" w:rsidR="00C972CB" w:rsidRDefault="002457F6">
            <w:pPr>
              <w:pStyle w:val="P68B1DB1-Normal11"/>
              <w:spacing w:before="120" w:after="120"/>
              <w:jc w:val="center"/>
              <w:rPr>
                <w:noProof/>
              </w:rPr>
            </w:pPr>
            <w:r>
              <w:rPr>
                <w:noProof/>
              </w:rPr>
              <w:t xml:space="preserve">Ieguldījums 5.1.: SIMEST pārvaldītā fonda 394/81 refinansēšana un </w:t>
            </w:r>
            <w:r>
              <w:rPr>
                <w:noProof/>
              </w:rPr>
              <w:t>pārveidošana</w:t>
            </w:r>
          </w:p>
        </w:tc>
        <w:tc>
          <w:tcPr>
            <w:tcW w:w="1078" w:type="dxa"/>
            <w:shd w:val="clear" w:color="auto" w:fill="C6EFCE"/>
            <w:vAlign w:val="center"/>
          </w:tcPr>
          <w:p w14:paraId="6C073258" w14:textId="77777777" w:rsidR="00C972CB" w:rsidRDefault="002457F6">
            <w:pPr>
              <w:pStyle w:val="P68B1DB1-Normal11"/>
              <w:spacing w:before="120" w:after="120"/>
              <w:jc w:val="center"/>
              <w:rPr>
                <w:noProof/>
              </w:rPr>
            </w:pPr>
            <w:r>
              <w:rPr>
                <w:noProof/>
              </w:rPr>
              <w:t>Starpposma mērķis</w:t>
            </w:r>
          </w:p>
        </w:tc>
        <w:tc>
          <w:tcPr>
            <w:tcW w:w="1329" w:type="dxa"/>
            <w:shd w:val="clear" w:color="auto" w:fill="C6EFCE"/>
            <w:vAlign w:val="center"/>
          </w:tcPr>
          <w:p w14:paraId="6B234AA9" w14:textId="77777777" w:rsidR="00C972CB" w:rsidRDefault="002457F6">
            <w:pPr>
              <w:pStyle w:val="P68B1DB1-Normal11"/>
              <w:spacing w:before="120" w:after="120"/>
              <w:jc w:val="center"/>
              <w:rPr>
                <w:noProof/>
              </w:rPr>
            </w:pPr>
            <w:r>
              <w:rPr>
                <w:noProof/>
              </w:rPr>
              <w:t>Fonda 394/81 atkārtota finansējuma stāšanās spēkā un ieguldījumu politikas pieņemšana</w:t>
            </w:r>
          </w:p>
        </w:tc>
        <w:tc>
          <w:tcPr>
            <w:tcW w:w="1275" w:type="dxa"/>
            <w:shd w:val="clear" w:color="auto" w:fill="C6EFCE"/>
            <w:vAlign w:val="center"/>
          </w:tcPr>
          <w:p w14:paraId="43F4166D" w14:textId="77777777" w:rsidR="00C972CB" w:rsidRDefault="002457F6">
            <w:pPr>
              <w:pStyle w:val="P68B1DB1-Normal11"/>
              <w:spacing w:before="120" w:after="120"/>
              <w:jc w:val="center"/>
              <w:rPr>
                <w:noProof/>
              </w:rPr>
            </w:pPr>
            <w:r>
              <w:rPr>
                <w:noProof/>
              </w:rPr>
              <w:t>Likuma noteikums, kas norāda, ka stājas spēkā Dekrēts(-i) dekrēts(-i), ar ko refinansē fonda 394/81 dotācijas un aizdevuma komponentu</w:t>
            </w:r>
          </w:p>
          <w:p w14:paraId="060D3622" w14:textId="77777777" w:rsidR="00C972CB" w:rsidRDefault="00C972CB">
            <w:pPr>
              <w:spacing w:before="120" w:after="120"/>
              <w:jc w:val="center"/>
              <w:rPr>
                <w:rFonts w:ascii="Arial Narrow" w:hAnsi="Arial Narrow"/>
                <w:noProof/>
                <w:sz w:val="20"/>
              </w:rPr>
            </w:pPr>
          </w:p>
          <w:p w14:paraId="43E2645C" w14:textId="77777777" w:rsidR="00C972CB" w:rsidRDefault="002457F6">
            <w:pPr>
              <w:pStyle w:val="P68B1DB1-Normal11"/>
              <w:spacing w:before="120" w:after="120"/>
              <w:jc w:val="center"/>
              <w:rPr>
                <w:noProof/>
              </w:rPr>
            </w:pPr>
            <w:r>
              <w:rPr>
                <w:noProof/>
              </w:rPr>
              <w:t>Valdes lēmuma, ar ko nosaka finansējamo projektu atlases kritērijus, apstiprināšana</w:t>
            </w:r>
          </w:p>
        </w:tc>
        <w:tc>
          <w:tcPr>
            <w:tcW w:w="1134" w:type="dxa"/>
            <w:shd w:val="clear" w:color="auto" w:fill="C6EFCE"/>
            <w:vAlign w:val="center"/>
          </w:tcPr>
          <w:p w14:paraId="5F30E520" w14:textId="77777777" w:rsidR="00C972CB" w:rsidRDefault="002457F6">
            <w:pPr>
              <w:pStyle w:val="P68B1DB1-Normal11"/>
              <w:spacing w:before="120" w:after="120"/>
              <w:jc w:val="center"/>
              <w:rPr>
                <w:noProof/>
              </w:rPr>
            </w:pPr>
            <w:r>
              <w:rPr>
                <w:noProof/>
              </w:rPr>
              <w:t>NEPIEMĒRO</w:t>
            </w:r>
          </w:p>
        </w:tc>
        <w:tc>
          <w:tcPr>
            <w:tcW w:w="993" w:type="dxa"/>
            <w:shd w:val="clear" w:color="auto" w:fill="C6EFCE"/>
            <w:vAlign w:val="center"/>
          </w:tcPr>
          <w:p w14:paraId="71D2F64E" w14:textId="77777777" w:rsidR="00C972CB" w:rsidRDefault="002457F6">
            <w:pPr>
              <w:pStyle w:val="P68B1DB1-Normal11"/>
              <w:spacing w:before="120" w:after="120"/>
              <w:jc w:val="center"/>
              <w:rPr>
                <w:noProof/>
              </w:rPr>
            </w:pPr>
            <w:r>
              <w:rPr>
                <w:noProof/>
              </w:rPr>
              <w:t>NEPIEMĒRO</w:t>
            </w:r>
          </w:p>
        </w:tc>
        <w:tc>
          <w:tcPr>
            <w:tcW w:w="992" w:type="dxa"/>
            <w:shd w:val="clear" w:color="auto" w:fill="C6EFCE"/>
            <w:vAlign w:val="center"/>
          </w:tcPr>
          <w:p w14:paraId="45400DF0" w14:textId="77777777" w:rsidR="00C972CB" w:rsidRDefault="002457F6">
            <w:pPr>
              <w:pStyle w:val="P68B1DB1-Normal11"/>
              <w:spacing w:before="120" w:after="120"/>
              <w:jc w:val="center"/>
              <w:rPr>
                <w:noProof/>
              </w:rPr>
            </w:pPr>
            <w:r>
              <w:rPr>
                <w:noProof/>
              </w:rPr>
              <w:t>NEPIEMĒRO</w:t>
            </w:r>
          </w:p>
        </w:tc>
        <w:tc>
          <w:tcPr>
            <w:tcW w:w="850" w:type="dxa"/>
            <w:shd w:val="clear" w:color="auto" w:fill="C6EFCE"/>
            <w:vAlign w:val="center"/>
          </w:tcPr>
          <w:p w14:paraId="456396EA" w14:textId="77777777" w:rsidR="00C972CB" w:rsidRDefault="002457F6">
            <w:pPr>
              <w:pStyle w:val="P68B1DB1-Normal11"/>
              <w:spacing w:before="120" w:after="120"/>
              <w:jc w:val="center"/>
              <w:rPr>
                <w:noProof/>
              </w:rPr>
            </w:pPr>
            <w:r>
              <w:rPr>
                <w:noProof/>
              </w:rPr>
              <w:t>3. CET.</w:t>
            </w:r>
          </w:p>
        </w:tc>
        <w:tc>
          <w:tcPr>
            <w:tcW w:w="709" w:type="dxa"/>
            <w:shd w:val="clear" w:color="auto" w:fill="C6EFCE"/>
            <w:vAlign w:val="center"/>
          </w:tcPr>
          <w:p w14:paraId="18A169F9" w14:textId="77777777" w:rsidR="00C972CB" w:rsidRDefault="002457F6">
            <w:pPr>
              <w:pStyle w:val="P68B1DB1-Normal11"/>
              <w:spacing w:before="120" w:after="120"/>
              <w:jc w:val="center"/>
              <w:rPr>
                <w:noProof/>
              </w:rPr>
            </w:pPr>
            <w:r>
              <w:rPr>
                <w:noProof/>
              </w:rPr>
              <w:t>2021</w:t>
            </w:r>
          </w:p>
        </w:tc>
        <w:tc>
          <w:tcPr>
            <w:tcW w:w="3794" w:type="dxa"/>
            <w:shd w:val="clear" w:color="auto" w:fill="C6EFCE"/>
            <w:vAlign w:val="center"/>
          </w:tcPr>
          <w:p w14:paraId="036B3C91" w14:textId="77777777" w:rsidR="00C972CB" w:rsidRDefault="002457F6">
            <w:pPr>
              <w:pStyle w:val="P68B1DB1-Normal11"/>
              <w:spacing w:before="120"/>
              <w:rPr>
                <w:noProof/>
              </w:rPr>
            </w:pPr>
            <w:r>
              <w:rPr>
                <w:noProof/>
              </w:rPr>
              <w:t>Dekrētā(-os) ir paredzēta fonda 394/81 dotācijas un aizdevuma daļas refinansēšana. Fonda valde apstiprina lēmumu, ar ko nosaka ie</w:t>
            </w:r>
            <w:r>
              <w:rPr>
                <w:noProof/>
              </w:rPr>
              <w:t>guldījumu politiku.</w:t>
            </w:r>
          </w:p>
          <w:p w14:paraId="43FF489D" w14:textId="77777777" w:rsidR="00C972CB" w:rsidRDefault="002457F6">
            <w:pPr>
              <w:pStyle w:val="P68B1DB1-Normal11"/>
              <w:spacing w:before="120"/>
              <w:rPr>
                <w:noProof/>
              </w:rPr>
            </w:pPr>
            <w:r>
              <w:rPr>
                <w:noProof/>
              </w:rPr>
              <w:t>Ieguldījumu politikā, kas saistīta ar fonda 394/81 refinansēšanu, nosaka vismaz: atbalstīto projektu veids un tvērums, kas atbilst Regulas (ES) 2021/241 mērķiem; darba uzdevumā iekļauj atbilstības kritērijus, kas vajadzīgi, lai nodrošin</w:t>
            </w:r>
            <w:r>
              <w:rPr>
                <w:noProof/>
              </w:rPr>
              <w:t>ātu atbilstību Tehniskajiem norādījumiem “nenodari būtisku kaitējumu” (2021/C58/01) attiecībā uz atbalstītajiem projektiem saskaņā ar šo pasākumu, izmantojot ilgtspējas pārbaudi, izslēgšanas sarakstu un prasību par atbilstību attiecīgajiem ES un valstu tie</w:t>
            </w:r>
            <w:r>
              <w:rPr>
                <w:noProof/>
              </w:rPr>
              <w:t>sību aktiem vides jomā, ii) atbalstīto darbību veidu, iii) paredzēto atbalsta saņēmēju, kuros dominē MVU, un to atbilstības kritērijiem, iv) noteikumus par iespējamu atkārtotu ieguldīšanu līdzīgu politikas mērķu sasniegšanai, arī pēc 2026. gada, ja tie net</w:t>
            </w:r>
            <w:r>
              <w:rPr>
                <w:noProof/>
              </w:rPr>
              <w:t>iek atkārtoti izmantoti, lai atkārtoti atmaksātu procentu likmes, kas izriet no aizdevumiem, kuri piešķirti saskaņā ar Regulu (ES) 2021/241.</w:t>
            </w:r>
          </w:p>
          <w:p w14:paraId="339182E2" w14:textId="77777777" w:rsidR="00C972CB" w:rsidRDefault="002457F6">
            <w:pPr>
              <w:pStyle w:val="P68B1DB1-Normal11"/>
              <w:spacing w:before="120"/>
              <w:rPr>
                <w:noProof/>
              </w:rPr>
            </w:pPr>
            <w:r>
              <w:rPr>
                <w:noProof/>
              </w:rPr>
              <w:t>Līgumiskā vienošanās ar pilnvaroto vienību vai finanšu starpnieku prasa izmantot tehniskos norādījumus “nenodari bū</w:t>
            </w:r>
            <w:r>
              <w:rPr>
                <w:noProof/>
              </w:rPr>
              <w:t>tisku kaitējumu” (2021/C58/01).</w:t>
            </w:r>
          </w:p>
        </w:tc>
      </w:tr>
      <w:tr w:rsidR="00C972CB" w14:paraId="3AB2A2E6" w14:textId="77777777">
        <w:trPr>
          <w:trHeight w:val="315"/>
        </w:trPr>
        <w:tc>
          <w:tcPr>
            <w:tcW w:w="1424" w:type="dxa"/>
            <w:shd w:val="clear" w:color="auto" w:fill="C6EFCE"/>
            <w:vAlign w:val="center"/>
          </w:tcPr>
          <w:p w14:paraId="4E454D7F" w14:textId="77777777" w:rsidR="00C972CB" w:rsidRDefault="002457F6">
            <w:pPr>
              <w:pStyle w:val="P68B1DB1-Normal11"/>
              <w:spacing w:before="120" w:after="120"/>
              <w:jc w:val="center"/>
              <w:rPr>
                <w:noProof/>
              </w:rPr>
            </w:pPr>
            <w:r>
              <w:rPr>
                <w:noProof/>
              </w:rPr>
              <w:t>M1C2–27</w:t>
            </w:r>
          </w:p>
        </w:tc>
        <w:tc>
          <w:tcPr>
            <w:tcW w:w="1578" w:type="dxa"/>
            <w:shd w:val="clear" w:color="auto" w:fill="C6EFCE"/>
            <w:vAlign w:val="center"/>
          </w:tcPr>
          <w:p w14:paraId="53BAD7D4" w14:textId="77777777" w:rsidR="00C972CB" w:rsidRDefault="002457F6">
            <w:pPr>
              <w:pStyle w:val="P68B1DB1-Normal11"/>
              <w:spacing w:before="120" w:after="120"/>
              <w:jc w:val="center"/>
              <w:rPr>
                <w:noProof/>
              </w:rPr>
            </w:pPr>
            <w:r>
              <w:rPr>
                <w:noProof/>
              </w:rPr>
              <w:t>Ieguldījums 5.1.: SIMEST pārvaldītā fonda 394/81 refinansēšana un pārveidošana</w:t>
            </w:r>
          </w:p>
        </w:tc>
        <w:tc>
          <w:tcPr>
            <w:tcW w:w="1078" w:type="dxa"/>
            <w:shd w:val="clear" w:color="auto" w:fill="C6EFCE"/>
            <w:vAlign w:val="center"/>
          </w:tcPr>
          <w:p w14:paraId="41F6BFED"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322DADC2" w14:textId="77777777" w:rsidR="00C972CB" w:rsidRDefault="002457F6">
            <w:pPr>
              <w:pStyle w:val="P68B1DB1-Normal11"/>
              <w:spacing w:before="120" w:after="120"/>
              <w:jc w:val="center"/>
              <w:rPr>
                <w:noProof/>
              </w:rPr>
            </w:pPr>
            <w:r>
              <w:rPr>
                <w:noProof/>
              </w:rPr>
              <w:t>MVU, kas saņēmuši atbalstu no fonda 394/81</w:t>
            </w:r>
          </w:p>
        </w:tc>
        <w:tc>
          <w:tcPr>
            <w:tcW w:w="1275" w:type="dxa"/>
            <w:shd w:val="clear" w:color="auto" w:fill="C6EFCE"/>
            <w:vAlign w:val="center"/>
          </w:tcPr>
          <w:p w14:paraId="1D6FA9F8" w14:textId="77777777" w:rsidR="00C972CB" w:rsidRDefault="002457F6">
            <w:pPr>
              <w:pStyle w:val="P68B1DB1-Normal11"/>
              <w:spacing w:before="120" w:after="120"/>
              <w:jc w:val="center"/>
              <w:rPr>
                <w:noProof/>
              </w:rPr>
            </w:pPr>
            <w:r>
              <w:rPr>
                <w:noProof/>
              </w:rPr>
              <w:t>NEPIEMĒRO</w:t>
            </w:r>
          </w:p>
        </w:tc>
        <w:tc>
          <w:tcPr>
            <w:tcW w:w="1134" w:type="dxa"/>
            <w:shd w:val="clear" w:color="auto" w:fill="C6EFCE"/>
            <w:vAlign w:val="center"/>
          </w:tcPr>
          <w:p w14:paraId="5FD8554D" w14:textId="77777777" w:rsidR="00C972CB" w:rsidRDefault="002457F6">
            <w:pPr>
              <w:pStyle w:val="P68B1DB1-Normal11"/>
              <w:spacing w:before="120" w:after="120"/>
              <w:jc w:val="center"/>
              <w:rPr>
                <w:noProof/>
              </w:rPr>
            </w:pPr>
            <w:r>
              <w:rPr>
                <w:noProof/>
              </w:rPr>
              <w:t>Skaits</w:t>
            </w:r>
          </w:p>
        </w:tc>
        <w:tc>
          <w:tcPr>
            <w:tcW w:w="993" w:type="dxa"/>
            <w:shd w:val="clear" w:color="auto" w:fill="C6EFCE"/>
            <w:vAlign w:val="center"/>
          </w:tcPr>
          <w:p w14:paraId="094D4C62" w14:textId="77777777" w:rsidR="00C972CB" w:rsidRDefault="002457F6">
            <w:pPr>
              <w:pStyle w:val="P68B1DB1-Normal11"/>
              <w:spacing w:before="120" w:after="120"/>
              <w:jc w:val="center"/>
              <w:rPr>
                <w:noProof/>
              </w:rPr>
            </w:pPr>
            <w:r>
              <w:rPr>
                <w:noProof/>
              </w:rPr>
              <w:t>0</w:t>
            </w:r>
          </w:p>
        </w:tc>
        <w:tc>
          <w:tcPr>
            <w:tcW w:w="992" w:type="dxa"/>
            <w:shd w:val="clear" w:color="auto" w:fill="C6EFCE"/>
            <w:vAlign w:val="center"/>
          </w:tcPr>
          <w:p w14:paraId="7578042B" w14:textId="400C7AE4" w:rsidR="00C972CB" w:rsidRDefault="002457F6">
            <w:pPr>
              <w:pStyle w:val="P68B1DB1-Normal11"/>
              <w:spacing w:before="120" w:after="120"/>
              <w:jc w:val="center"/>
              <w:rPr>
                <w:noProof/>
              </w:rPr>
            </w:pPr>
            <w:r>
              <w:rPr>
                <w:noProof/>
              </w:rPr>
              <w:t>4 000</w:t>
            </w:r>
          </w:p>
        </w:tc>
        <w:tc>
          <w:tcPr>
            <w:tcW w:w="850" w:type="dxa"/>
            <w:shd w:val="clear" w:color="auto" w:fill="C6EFCE"/>
            <w:vAlign w:val="center"/>
          </w:tcPr>
          <w:p w14:paraId="1844EB25" w14:textId="77777777" w:rsidR="00C972CB" w:rsidRDefault="002457F6">
            <w:pPr>
              <w:pStyle w:val="P68B1DB1-Normal11"/>
              <w:spacing w:before="120" w:after="120"/>
              <w:jc w:val="center"/>
              <w:rPr>
                <w:noProof/>
              </w:rPr>
            </w:pPr>
            <w:r>
              <w:rPr>
                <w:noProof/>
              </w:rPr>
              <w:t>4. CET.</w:t>
            </w:r>
          </w:p>
        </w:tc>
        <w:tc>
          <w:tcPr>
            <w:tcW w:w="709" w:type="dxa"/>
            <w:shd w:val="clear" w:color="auto" w:fill="C6EFCE"/>
            <w:vAlign w:val="center"/>
          </w:tcPr>
          <w:p w14:paraId="26FDB84B" w14:textId="77777777" w:rsidR="00C972CB" w:rsidRDefault="002457F6">
            <w:pPr>
              <w:pStyle w:val="P68B1DB1-Normal11"/>
              <w:spacing w:before="120" w:after="120"/>
              <w:jc w:val="center"/>
              <w:rPr>
                <w:noProof/>
              </w:rPr>
            </w:pPr>
            <w:r>
              <w:rPr>
                <w:noProof/>
              </w:rPr>
              <w:t>2021</w:t>
            </w:r>
          </w:p>
        </w:tc>
        <w:tc>
          <w:tcPr>
            <w:tcW w:w="3794" w:type="dxa"/>
            <w:shd w:val="clear" w:color="auto" w:fill="C6EFCE"/>
            <w:vAlign w:val="center"/>
          </w:tcPr>
          <w:p w14:paraId="6E93E485" w14:textId="790A4E50" w:rsidR="00C972CB" w:rsidRDefault="002457F6">
            <w:pPr>
              <w:pStyle w:val="P68B1DB1-Normal11"/>
              <w:spacing w:before="120" w:after="120"/>
              <w:rPr>
                <w:noProof/>
              </w:rPr>
            </w:pPr>
            <w:r>
              <w:rPr>
                <w:noProof/>
              </w:rPr>
              <w:t xml:space="preserve">Vismaz 4000 MVU, sākot no 2021. gada 1. janvāra, </w:t>
            </w:r>
            <w:r>
              <w:rPr>
                <w:noProof/>
              </w:rPr>
              <w:t>saņēma atbalstu no fonda 394/81.</w:t>
            </w:r>
          </w:p>
        </w:tc>
      </w:tr>
      <w:tr w:rsidR="00C972CB" w14:paraId="3A60A892" w14:textId="77777777">
        <w:trPr>
          <w:trHeight w:val="315"/>
        </w:trPr>
        <w:tc>
          <w:tcPr>
            <w:tcW w:w="1424" w:type="dxa"/>
            <w:shd w:val="clear" w:color="auto" w:fill="C6EFCE"/>
            <w:vAlign w:val="center"/>
          </w:tcPr>
          <w:p w14:paraId="722030A3" w14:textId="77777777" w:rsidR="00C972CB" w:rsidRDefault="002457F6">
            <w:pPr>
              <w:pStyle w:val="P68B1DB1-Normal11"/>
              <w:spacing w:before="120" w:after="120"/>
              <w:jc w:val="center"/>
              <w:rPr>
                <w:noProof/>
              </w:rPr>
            </w:pPr>
            <w:r>
              <w:rPr>
                <w:noProof/>
              </w:rPr>
              <w:t>M1C2–28</w:t>
            </w:r>
          </w:p>
        </w:tc>
        <w:tc>
          <w:tcPr>
            <w:tcW w:w="1578" w:type="dxa"/>
            <w:shd w:val="clear" w:color="auto" w:fill="C6EFCE"/>
            <w:vAlign w:val="center"/>
          </w:tcPr>
          <w:p w14:paraId="57F6CA4F" w14:textId="77777777" w:rsidR="00C972CB" w:rsidRDefault="002457F6">
            <w:pPr>
              <w:pStyle w:val="P68B1DB1-Normal11"/>
              <w:spacing w:before="120" w:after="120"/>
              <w:jc w:val="center"/>
              <w:rPr>
                <w:noProof/>
              </w:rPr>
            </w:pPr>
            <w:r>
              <w:rPr>
                <w:noProof/>
              </w:rPr>
              <w:t>Ieguldījums 5.2.: Piegādes ķēžu konkurētspēja un noturība</w:t>
            </w:r>
          </w:p>
        </w:tc>
        <w:tc>
          <w:tcPr>
            <w:tcW w:w="1078" w:type="dxa"/>
            <w:shd w:val="clear" w:color="auto" w:fill="C6EFCE"/>
            <w:vAlign w:val="center"/>
          </w:tcPr>
          <w:p w14:paraId="31BC2486" w14:textId="77777777" w:rsidR="00C972CB" w:rsidRDefault="002457F6">
            <w:pPr>
              <w:pStyle w:val="P68B1DB1-Normal11"/>
              <w:spacing w:before="120" w:after="120"/>
              <w:jc w:val="center"/>
              <w:rPr>
                <w:noProof/>
              </w:rPr>
            </w:pPr>
            <w:r>
              <w:rPr>
                <w:noProof/>
              </w:rPr>
              <w:t>Starpposma mērķis</w:t>
            </w:r>
          </w:p>
        </w:tc>
        <w:tc>
          <w:tcPr>
            <w:tcW w:w="1329" w:type="dxa"/>
            <w:shd w:val="clear" w:color="auto" w:fill="C6EFCE"/>
            <w:vAlign w:val="center"/>
          </w:tcPr>
          <w:p w14:paraId="19D1EAC5" w14:textId="77777777" w:rsidR="00C972CB" w:rsidRDefault="002457F6">
            <w:pPr>
              <w:pStyle w:val="P68B1DB1-Normal11"/>
              <w:spacing w:before="120" w:after="120"/>
              <w:jc w:val="center"/>
              <w:rPr>
                <w:noProof/>
              </w:rPr>
            </w:pPr>
            <w:r>
              <w:rPr>
                <w:noProof/>
              </w:rPr>
              <w:t>Stājas spēkā dekrēts, kas ietver attīstības līgumu ieguldījumu politiku</w:t>
            </w:r>
          </w:p>
        </w:tc>
        <w:tc>
          <w:tcPr>
            <w:tcW w:w="1275" w:type="dxa"/>
            <w:shd w:val="clear" w:color="auto" w:fill="C6EFCE"/>
            <w:vAlign w:val="center"/>
          </w:tcPr>
          <w:p w14:paraId="235EDFEC" w14:textId="2EBCDE7A" w:rsidR="00C972CB" w:rsidRDefault="002457F6">
            <w:pPr>
              <w:pStyle w:val="P68B1DB1-Normal11"/>
              <w:spacing w:before="120" w:after="120"/>
              <w:jc w:val="center"/>
              <w:rPr>
                <w:noProof/>
              </w:rPr>
            </w:pPr>
            <w:r>
              <w:rPr>
                <w:noProof/>
              </w:rPr>
              <w:t>Likuma norma, kas norāda uz dekrēta stāšanos spēkā</w:t>
            </w:r>
          </w:p>
        </w:tc>
        <w:tc>
          <w:tcPr>
            <w:tcW w:w="1134" w:type="dxa"/>
            <w:shd w:val="clear" w:color="auto" w:fill="C6EFCE"/>
            <w:vAlign w:val="center"/>
          </w:tcPr>
          <w:p w14:paraId="09C13050" w14:textId="77777777" w:rsidR="00C972CB" w:rsidRDefault="002457F6">
            <w:pPr>
              <w:pStyle w:val="P68B1DB1-Normal11"/>
              <w:spacing w:before="120" w:after="120"/>
              <w:jc w:val="center"/>
              <w:rPr>
                <w:noProof/>
              </w:rPr>
            </w:pPr>
            <w:r>
              <w:rPr>
                <w:noProof/>
              </w:rPr>
              <w:t>NEPIEMĒRO</w:t>
            </w:r>
          </w:p>
        </w:tc>
        <w:tc>
          <w:tcPr>
            <w:tcW w:w="993" w:type="dxa"/>
            <w:shd w:val="clear" w:color="auto" w:fill="C6EFCE"/>
            <w:vAlign w:val="center"/>
          </w:tcPr>
          <w:p w14:paraId="53671CCA" w14:textId="77777777" w:rsidR="00C972CB" w:rsidRDefault="002457F6">
            <w:pPr>
              <w:pStyle w:val="P68B1DB1-Normal11"/>
              <w:spacing w:before="120" w:after="120"/>
              <w:jc w:val="center"/>
              <w:rPr>
                <w:noProof/>
              </w:rPr>
            </w:pPr>
            <w:r>
              <w:rPr>
                <w:noProof/>
              </w:rPr>
              <w:t>NEPIEMĒRO</w:t>
            </w:r>
          </w:p>
        </w:tc>
        <w:tc>
          <w:tcPr>
            <w:tcW w:w="992" w:type="dxa"/>
            <w:shd w:val="clear" w:color="auto" w:fill="C6EFCE"/>
            <w:vAlign w:val="center"/>
          </w:tcPr>
          <w:p w14:paraId="35C86646" w14:textId="77777777" w:rsidR="00C972CB" w:rsidRDefault="002457F6">
            <w:pPr>
              <w:pStyle w:val="P68B1DB1-Normal11"/>
              <w:spacing w:before="120" w:after="120"/>
              <w:jc w:val="center"/>
              <w:rPr>
                <w:noProof/>
              </w:rPr>
            </w:pPr>
            <w:r>
              <w:rPr>
                <w:noProof/>
              </w:rPr>
              <w:t>NEPIEMĒRO</w:t>
            </w:r>
          </w:p>
        </w:tc>
        <w:tc>
          <w:tcPr>
            <w:tcW w:w="850" w:type="dxa"/>
            <w:shd w:val="clear" w:color="auto" w:fill="C6EFCE"/>
            <w:vAlign w:val="center"/>
          </w:tcPr>
          <w:p w14:paraId="64084CB1" w14:textId="77777777" w:rsidR="00C972CB" w:rsidRDefault="002457F6">
            <w:pPr>
              <w:pStyle w:val="P68B1DB1-Normal11"/>
              <w:spacing w:before="120" w:after="120"/>
              <w:jc w:val="center"/>
              <w:rPr>
                <w:noProof/>
              </w:rPr>
            </w:pPr>
            <w:r>
              <w:rPr>
                <w:noProof/>
              </w:rPr>
              <w:t>1. CET.</w:t>
            </w:r>
          </w:p>
        </w:tc>
        <w:tc>
          <w:tcPr>
            <w:tcW w:w="709" w:type="dxa"/>
            <w:shd w:val="clear" w:color="auto" w:fill="C6EFCE"/>
            <w:vAlign w:val="center"/>
          </w:tcPr>
          <w:p w14:paraId="2D730429" w14:textId="77777777" w:rsidR="00C972CB" w:rsidRDefault="002457F6">
            <w:pPr>
              <w:pStyle w:val="P68B1DB1-Normal11"/>
              <w:spacing w:before="120" w:after="120"/>
              <w:jc w:val="center"/>
              <w:rPr>
                <w:noProof/>
              </w:rPr>
            </w:pPr>
            <w:r>
              <w:rPr>
                <w:noProof/>
              </w:rPr>
              <w:t>2022</w:t>
            </w:r>
          </w:p>
        </w:tc>
        <w:tc>
          <w:tcPr>
            <w:tcW w:w="3794" w:type="dxa"/>
            <w:shd w:val="clear" w:color="auto" w:fill="C6EFCE"/>
            <w:vAlign w:val="center"/>
          </w:tcPr>
          <w:p w14:paraId="307354EA" w14:textId="77777777" w:rsidR="00C972CB" w:rsidRDefault="002457F6">
            <w:pPr>
              <w:pStyle w:val="P68B1DB1-Normal11"/>
              <w:rPr>
                <w:noProof/>
              </w:rPr>
            </w:pPr>
            <w:r>
              <w:rPr>
                <w:noProof/>
              </w:rPr>
              <w:t>Attīstības līgumu ieguldījumu politikā nosaka vismaz: atbalstīto projektu veids un tvērums, kas atbilst Regulas (ES) 2021/241 mērķiem; darba uzdevumā iekļauj atbilstības kritērijus, kas vajadzīgi, lai nodrošinātu atbilstību</w:t>
            </w:r>
            <w:r>
              <w:rPr>
                <w:noProof/>
              </w:rPr>
              <w:t xml:space="preserve"> Tehniskajiem norādījumiem “nenodari būtisku kaitējumu” (2021/C58/01) attiecībā uz atbalstītajiem projektiem saskaņā ar šo pasākumu, izmantojot ilgtspējas pārbaudi, izslēgšanas sarakstu un prasību par atbilstību attiecīgajiem ES un valstu tiesību aktiem vi</w:t>
            </w:r>
            <w:r>
              <w:rPr>
                <w:noProof/>
              </w:rPr>
              <w:t>des jomā, ii) atbalstīto darbību veidu, iii) paredzēto atbalsta saņēmējus un to atbilstības kritērijus, iv) noteikumus par iespējamu reinvestēšanu līdzīgu politikas mērķu sasniegšanai, arī pēc 2026. gada, ja tie netiek atkārtoti izmantoti, lai atmaksātu pr</w:t>
            </w:r>
            <w:r>
              <w:rPr>
                <w:noProof/>
              </w:rPr>
              <w:t>ocentu likmes, kas izriet no aizdevumiem, kuri piešķirti saskaņā ar Regulu (ES) 2021/241.</w:t>
            </w:r>
          </w:p>
          <w:p w14:paraId="538D5B71" w14:textId="77777777" w:rsidR="00C972CB" w:rsidRDefault="00C972CB">
            <w:pPr>
              <w:rPr>
                <w:rFonts w:ascii="Arial Narrow" w:hAnsi="Arial Narrow"/>
                <w:noProof/>
                <w:color w:val="006100"/>
                <w:sz w:val="20"/>
              </w:rPr>
            </w:pPr>
          </w:p>
          <w:p w14:paraId="70F9CDFF" w14:textId="77777777" w:rsidR="00C972CB" w:rsidRDefault="002457F6">
            <w:pPr>
              <w:pStyle w:val="P68B1DB1-Normal11"/>
              <w:rPr>
                <w:noProof/>
              </w:rPr>
            </w:pPr>
            <w:r>
              <w:rPr>
                <w:noProof/>
              </w:rPr>
              <w:t>Līgumiskā vienošanās ar pilnvaroto vienību vai finanšu starpnieku prasa izmantot tehniskos norādījumus “nenodari būtisku kaitējumu” (2021/C58/01).</w:t>
            </w:r>
          </w:p>
        </w:tc>
      </w:tr>
      <w:tr w:rsidR="00C972CB" w14:paraId="7DCE3B31" w14:textId="77777777">
        <w:trPr>
          <w:trHeight w:val="315"/>
        </w:trPr>
        <w:tc>
          <w:tcPr>
            <w:tcW w:w="1424" w:type="dxa"/>
            <w:shd w:val="clear" w:color="auto" w:fill="C6EFCE"/>
            <w:vAlign w:val="center"/>
          </w:tcPr>
          <w:p w14:paraId="292FC979" w14:textId="77777777" w:rsidR="00C972CB" w:rsidRDefault="002457F6">
            <w:pPr>
              <w:pStyle w:val="P68B1DB1-Normal11"/>
              <w:spacing w:before="120" w:after="120"/>
              <w:jc w:val="center"/>
              <w:rPr>
                <w:noProof/>
              </w:rPr>
            </w:pPr>
            <w:r>
              <w:rPr>
                <w:noProof/>
              </w:rPr>
              <w:t>M1C2–29</w:t>
            </w:r>
          </w:p>
        </w:tc>
        <w:tc>
          <w:tcPr>
            <w:tcW w:w="1578" w:type="dxa"/>
            <w:shd w:val="clear" w:color="auto" w:fill="C6EFCE"/>
            <w:vAlign w:val="center"/>
          </w:tcPr>
          <w:p w14:paraId="2950F808" w14:textId="77777777" w:rsidR="00C972CB" w:rsidRDefault="002457F6">
            <w:pPr>
              <w:pStyle w:val="P68B1DB1-Normal11"/>
              <w:spacing w:before="120" w:after="120"/>
              <w:jc w:val="center"/>
              <w:rPr>
                <w:noProof/>
              </w:rPr>
            </w:pPr>
            <w:r>
              <w:rPr>
                <w:noProof/>
              </w:rPr>
              <w:t>Ieguldījums 5.2.: Piegādes ķēžu konkurētspēja un noturība</w:t>
            </w:r>
          </w:p>
        </w:tc>
        <w:tc>
          <w:tcPr>
            <w:tcW w:w="1078" w:type="dxa"/>
            <w:shd w:val="clear" w:color="auto" w:fill="C6EFCE"/>
            <w:vAlign w:val="center"/>
          </w:tcPr>
          <w:p w14:paraId="224812EA"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420A63D7" w14:textId="77777777" w:rsidR="00C972CB" w:rsidRDefault="002457F6">
            <w:pPr>
              <w:pStyle w:val="P68B1DB1-Normal11"/>
              <w:spacing w:before="120" w:after="120"/>
              <w:jc w:val="center"/>
              <w:rPr>
                <w:noProof/>
              </w:rPr>
            </w:pPr>
            <w:r>
              <w:rPr>
                <w:noProof/>
              </w:rPr>
              <w:t>Apstiprinātie attīstības līgumi</w:t>
            </w:r>
          </w:p>
        </w:tc>
        <w:tc>
          <w:tcPr>
            <w:tcW w:w="1275" w:type="dxa"/>
            <w:shd w:val="clear" w:color="auto" w:fill="C6EFCE"/>
            <w:vAlign w:val="center"/>
          </w:tcPr>
          <w:p w14:paraId="23A4F7DD" w14:textId="77777777" w:rsidR="00C972CB" w:rsidRDefault="002457F6">
            <w:pPr>
              <w:pStyle w:val="P68B1DB1-Normal11"/>
              <w:jc w:val="center"/>
              <w:rPr>
                <w:noProof/>
              </w:rPr>
            </w:pPr>
            <w:r>
              <w:rPr>
                <w:noProof/>
              </w:rPr>
              <w:t>NEPIEMĒRO</w:t>
            </w:r>
          </w:p>
        </w:tc>
        <w:tc>
          <w:tcPr>
            <w:tcW w:w="1134" w:type="dxa"/>
            <w:shd w:val="clear" w:color="auto" w:fill="C6EFCE"/>
            <w:vAlign w:val="center"/>
          </w:tcPr>
          <w:p w14:paraId="0AC59B13" w14:textId="77777777" w:rsidR="00C972CB" w:rsidRDefault="002457F6">
            <w:pPr>
              <w:pStyle w:val="P68B1DB1-Normal11"/>
              <w:jc w:val="center"/>
              <w:rPr>
                <w:noProof/>
              </w:rPr>
            </w:pPr>
            <w:r>
              <w:rPr>
                <w:noProof/>
              </w:rPr>
              <w:t>Skaits</w:t>
            </w:r>
          </w:p>
        </w:tc>
        <w:tc>
          <w:tcPr>
            <w:tcW w:w="993" w:type="dxa"/>
            <w:shd w:val="clear" w:color="auto" w:fill="C6EFCE"/>
            <w:vAlign w:val="center"/>
          </w:tcPr>
          <w:p w14:paraId="59DAEDCF" w14:textId="1B344965" w:rsidR="00C972CB" w:rsidRDefault="002457F6">
            <w:pPr>
              <w:pStyle w:val="P68B1DB1-Normal11"/>
              <w:jc w:val="center"/>
              <w:rPr>
                <w:noProof/>
              </w:rPr>
            </w:pPr>
            <w:r>
              <w:rPr>
                <w:noProof/>
              </w:rPr>
              <w:t>0</w:t>
            </w:r>
          </w:p>
        </w:tc>
        <w:tc>
          <w:tcPr>
            <w:tcW w:w="992" w:type="dxa"/>
            <w:shd w:val="clear" w:color="auto" w:fill="C6EFCE"/>
            <w:vAlign w:val="center"/>
          </w:tcPr>
          <w:p w14:paraId="3EE20A19" w14:textId="41B7969E" w:rsidR="00C972CB" w:rsidRDefault="002457F6">
            <w:pPr>
              <w:pStyle w:val="P68B1DB1-Normal11"/>
              <w:jc w:val="center"/>
              <w:rPr>
                <w:noProof/>
              </w:rPr>
            </w:pPr>
            <w:r>
              <w:rPr>
                <w:noProof/>
              </w:rPr>
              <w:t>40</w:t>
            </w:r>
          </w:p>
        </w:tc>
        <w:tc>
          <w:tcPr>
            <w:tcW w:w="850" w:type="dxa"/>
            <w:shd w:val="clear" w:color="auto" w:fill="C6EFCE"/>
            <w:vAlign w:val="center"/>
          </w:tcPr>
          <w:p w14:paraId="518026DD" w14:textId="024B6745" w:rsidR="00C972CB" w:rsidRDefault="002457F6">
            <w:pPr>
              <w:pStyle w:val="P68B1DB1-Normal11"/>
              <w:jc w:val="center"/>
              <w:rPr>
                <w:noProof/>
              </w:rPr>
            </w:pPr>
            <w:r>
              <w:rPr>
                <w:noProof/>
              </w:rPr>
              <w:t>4. CET.</w:t>
            </w:r>
          </w:p>
        </w:tc>
        <w:tc>
          <w:tcPr>
            <w:tcW w:w="709" w:type="dxa"/>
            <w:shd w:val="clear" w:color="auto" w:fill="C6EFCE"/>
            <w:vAlign w:val="center"/>
          </w:tcPr>
          <w:p w14:paraId="3C5FC4AA" w14:textId="77777777" w:rsidR="00C972CB" w:rsidRDefault="002457F6">
            <w:pPr>
              <w:pStyle w:val="P68B1DB1-Normal11"/>
              <w:spacing w:before="120" w:after="120"/>
              <w:jc w:val="center"/>
              <w:rPr>
                <w:noProof/>
              </w:rPr>
            </w:pPr>
            <w:r>
              <w:rPr>
                <w:noProof/>
              </w:rPr>
              <w:t>2023</w:t>
            </w:r>
          </w:p>
        </w:tc>
        <w:tc>
          <w:tcPr>
            <w:tcW w:w="3794" w:type="dxa"/>
            <w:shd w:val="clear" w:color="auto" w:fill="C6EFCE"/>
            <w:vAlign w:val="center"/>
          </w:tcPr>
          <w:p w14:paraId="41087DC8" w14:textId="1FA0258F" w:rsidR="00C972CB" w:rsidRDefault="002457F6">
            <w:pPr>
              <w:pStyle w:val="P68B1DB1-Normal12"/>
              <w:spacing w:before="120" w:after="120"/>
              <w:rPr>
                <w:rFonts w:ascii="Arial Narrow" w:hAnsi="Arial Narrow"/>
                <w:noProof/>
              </w:rPr>
            </w:pPr>
            <w:r>
              <w:rPr>
                <w:rFonts w:ascii="Arial Narrow" w:hAnsi="Arial Narrow"/>
                <w:noProof/>
              </w:rPr>
              <w:t>Apstiprināti vismaz 40 attīstības līgumi saskaņā ar to ieguldījumu politiku. Mērķrādītāja apmierinoša sasniegšana ir atkarīga</w:t>
            </w:r>
            <w:r>
              <w:rPr>
                <w:rFonts w:ascii="Arial Narrow" w:hAnsi="Arial Narrow"/>
                <w:noProof/>
              </w:rPr>
              <w:t xml:space="preserve"> arī no investīciju aktivizēšanas vismaz 1500 miljonu EUR apmērā.</w:t>
            </w:r>
          </w:p>
        </w:tc>
      </w:tr>
      <w:tr w:rsidR="00C972CB" w14:paraId="3BE11AB6" w14:textId="77777777">
        <w:trPr>
          <w:trHeight w:val="315"/>
        </w:trPr>
        <w:tc>
          <w:tcPr>
            <w:tcW w:w="1424" w:type="dxa"/>
            <w:shd w:val="clear" w:color="auto" w:fill="C6EFCE"/>
            <w:vAlign w:val="center"/>
          </w:tcPr>
          <w:p w14:paraId="6BC1C953" w14:textId="77777777" w:rsidR="00C972CB" w:rsidRDefault="002457F6">
            <w:pPr>
              <w:pStyle w:val="P68B1DB1-Normal11"/>
              <w:spacing w:before="120" w:after="120"/>
              <w:jc w:val="center"/>
              <w:rPr>
                <w:noProof/>
              </w:rPr>
            </w:pPr>
            <w:r>
              <w:rPr>
                <w:noProof/>
              </w:rPr>
              <w:t>M1C2–30</w:t>
            </w:r>
          </w:p>
        </w:tc>
        <w:tc>
          <w:tcPr>
            <w:tcW w:w="1578" w:type="dxa"/>
            <w:shd w:val="clear" w:color="auto" w:fill="C6EFCE"/>
            <w:vAlign w:val="center"/>
          </w:tcPr>
          <w:p w14:paraId="04555F2E" w14:textId="647410A1" w:rsidR="00C972CB" w:rsidRDefault="002457F6">
            <w:pPr>
              <w:pStyle w:val="P68B1DB1-Normal11"/>
              <w:spacing w:before="120" w:after="120"/>
              <w:jc w:val="center"/>
              <w:rPr>
                <w:noProof/>
              </w:rPr>
            </w:pPr>
            <w:r>
              <w:rPr>
                <w:noProof/>
              </w:rPr>
              <w:t>Ieguldījums 7. Atbalsts ražošanas sistēmai ekoloģiskajai pārejai, neto nulles emisiju tehnoloģijām un stratēģisko piegādes ķēžu konkurētspējai un noturībai</w:t>
            </w:r>
          </w:p>
        </w:tc>
        <w:tc>
          <w:tcPr>
            <w:tcW w:w="1078" w:type="dxa"/>
            <w:shd w:val="clear" w:color="auto" w:fill="C6EFCE"/>
            <w:vAlign w:val="center"/>
          </w:tcPr>
          <w:p w14:paraId="5A311C16" w14:textId="77777777" w:rsidR="00C972CB" w:rsidRDefault="002457F6">
            <w:pPr>
              <w:pStyle w:val="P68B1DB1-Normal11"/>
              <w:spacing w:before="120" w:after="120"/>
              <w:rPr>
                <w:noProof/>
              </w:rPr>
            </w:pPr>
            <w:r>
              <w:rPr>
                <w:noProof/>
              </w:rPr>
              <w:t>Starpposma mērķis</w:t>
            </w:r>
          </w:p>
        </w:tc>
        <w:tc>
          <w:tcPr>
            <w:tcW w:w="1329" w:type="dxa"/>
            <w:shd w:val="clear" w:color="auto" w:fill="C6EFCE"/>
            <w:vAlign w:val="center"/>
          </w:tcPr>
          <w:p w14:paraId="290F508F" w14:textId="77777777" w:rsidR="00C972CB" w:rsidRDefault="002457F6">
            <w:pPr>
              <w:pStyle w:val="P68B1DB1-Normal11"/>
              <w:spacing w:before="120" w:after="120"/>
              <w:rPr>
                <w:noProof/>
              </w:rPr>
            </w:pPr>
            <w:r>
              <w:rPr>
                <w:noProof/>
              </w:rPr>
              <w:t>Īstenošanas nolīgums</w:t>
            </w:r>
          </w:p>
        </w:tc>
        <w:tc>
          <w:tcPr>
            <w:tcW w:w="1275" w:type="dxa"/>
            <w:shd w:val="clear" w:color="auto" w:fill="C6EFCE"/>
            <w:vAlign w:val="center"/>
          </w:tcPr>
          <w:p w14:paraId="4B924C40" w14:textId="77777777" w:rsidR="00C972CB" w:rsidRDefault="002457F6">
            <w:pPr>
              <w:pStyle w:val="P68B1DB1-Normal11"/>
              <w:rPr>
                <w:noProof/>
              </w:rPr>
            </w:pPr>
            <w:r>
              <w:rPr>
                <w:noProof/>
              </w:rPr>
              <w:t>Īstenošanas nolīguma stāšanās spēkā</w:t>
            </w:r>
          </w:p>
        </w:tc>
        <w:tc>
          <w:tcPr>
            <w:tcW w:w="1134" w:type="dxa"/>
            <w:shd w:val="clear" w:color="auto" w:fill="C6EFCE"/>
            <w:vAlign w:val="center"/>
          </w:tcPr>
          <w:p w14:paraId="468405F9" w14:textId="331097DC" w:rsidR="00C972CB" w:rsidRDefault="002457F6">
            <w:pPr>
              <w:pStyle w:val="P68B1DB1-Normal11"/>
              <w:jc w:val="center"/>
              <w:rPr>
                <w:noProof/>
              </w:rPr>
            </w:pPr>
            <w:r>
              <w:rPr>
                <w:noProof/>
              </w:rPr>
              <w:t>NEPIEMĒRO</w:t>
            </w:r>
          </w:p>
        </w:tc>
        <w:tc>
          <w:tcPr>
            <w:tcW w:w="993" w:type="dxa"/>
            <w:shd w:val="clear" w:color="auto" w:fill="C6EFCE"/>
            <w:vAlign w:val="center"/>
          </w:tcPr>
          <w:p w14:paraId="51E5E950" w14:textId="45FDC18A" w:rsidR="00C972CB" w:rsidRDefault="002457F6">
            <w:pPr>
              <w:pStyle w:val="P68B1DB1-Normal11"/>
              <w:jc w:val="center"/>
              <w:rPr>
                <w:noProof/>
              </w:rPr>
            </w:pPr>
            <w:r>
              <w:rPr>
                <w:noProof/>
              </w:rPr>
              <w:t>NEPIEMĒRO</w:t>
            </w:r>
          </w:p>
        </w:tc>
        <w:tc>
          <w:tcPr>
            <w:tcW w:w="992" w:type="dxa"/>
            <w:shd w:val="clear" w:color="auto" w:fill="C6EFCE"/>
            <w:vAlign w:val="center"/>
          </w:tcPr>
          <w:p w14:paraId="7C348351" w14:textId="3DAA7908" w:rsidR="00C972CB" w:rsidRDefault="002457F6">
            <w:pPr>
              <w:pStyle w:val="P68B1DB1-Normal11"/>
              <w:jc w:val="center"/>
              <w:rPr>
                <w:noProof/>
              </w:rPr>
            </w:pPr>
            <w:r>
              <w:rPr>
                <w:noProof/>
              </w:rPr>
              <w:t>NEPIEMĒRO</w:t>
            </w:r>
          </w:p>
        </w:tc>
        <w:tc>
          <w:tcPr>
            <w:tcW w:w="850" w:type="dxa"/>
            <w:shd w:val="clear" w:color="auto" w:fill="C6EFCE"/>
            <w:vAlign w:val="center"/>
          </w:tcPr>
          <w:p w14:paraId="059EB1CA" w14:textId="77777777" w:rsidR="00C972CB" w:rsidRDefault="002457F6">
            <w:pPr>
              <w:pStyle w:val="P68B1DB1-Normal11"/>
              <w:jc w:val="center"/>
              <w:rPr>
                <w:noProof/>
              </w:rPr>
            </w:pPr>
            <w:r>
              <w:rPr>
                <w:noProof/>
              </w:rPr>
              <w:t>4. CET.</w:t>
            </w:r>
          </w:p>
        </w:tc>
        <w:tc>
          <w:tcPr>
            <w:tcW w:w="709" w:type="dxa"/>
            <w:shd w:val="clear" w:color="auto" w:fill="C6EFCE"/>
            <w:vAlign w:val="center"/>
          </w:tcPr>
          <w:p w14:paraId="3417537F" w14:textId="77777777" w:rsidR="00C972CB" w:rsidRDefault="002457F6">
            <w:pPr>
              <w:pStyle w:val="P68B1DB1-Normal11"/>
              <w:spacing w:before="120" w:after="120"/>
              <w:jc w:val="center"/>
              <w:rPr>
                <w:noProof/>
              </w:rPr>
            </w:pPr>
            <w:r>
              <w:rPr>
                <w:noProof/>
              </w:rPr>
              <w:t>2024</w:t>
            </w:r>
          </w:p>
        </w:tc>
        <w:tc>
          <w:tcPr>
            <w:tcW w:w="3794" w:type="dxa"/>
            <w:shd w:val="clear" w:color="auto" w:fill="C6EFCE"/>
            <w:vAlign w:val="center"/>
          </w:tcPr>
          <w:p w14:paraId="7DEB030E" w14:textId="11477B88" w:rsidR="00C972CB" w:rsidRDefault="002457F6">
            <w:pPr>
              <w:pStyle w:val="P68B1DB1-Normal11"/>
              <w:spacing w:before="120" w:after="120"/>
              <w:rPr>
                <w:noProof/>
              </w:rPr>
            </w:pPr>
            <w:r>
              <w:rPr>
                <w:noProof/>
              </w:rPr>
              <w:t>Īstenošanas nolīguma stāšanās spēkā.</w:t>
            </w:r>
          </w:p>
        </w:tc>
      </w:tr>
      <w:tr w:rsidR="00C972CB" w14:paraId="57DDA9BB" w14:textId="77777777">
        <w:trPr>
          <w:trHeight w:val="315"/>
        </w:trPr>
        <w:tc>
          <w:tcPr>
            <w:tcW w:w="1424" w:type="dxa"/>
            <w:shd w:val="clear" w:color="auto" w:fill="C6EFCE"/>
            <w:vAlign w:val="center"/>
          </w:tcPr>
          <w:p w14:paraId="45CA7DE0" w14:textId="77777777" w:rsidR="00C972CB" w:rsidRDefault="002457F6">
            <w:pPr>
              <w:pStyle w:val="P68B1DB1-Normal11"/>
              <w:spacing w:before="120" w:after="120"/>
              <w:jc w:val="center"/>
              <w:rPr>
                <w:noProof/>
              </w:rPr>
            </w:pPr>
            <w:r>
              <w:rPr>
                <w:noProof/>
              </w:rPr>
              <w:t>M1C2–31</w:t>
            </w:r>
          </w:p>
        </w:tc>
        <w:tc>
          <w:tcPr>
            <w:tcW w:w="1578" w:type="dxa"/>
            <w:shd w:val="clear" w:color="auto" w:fill="C6EFCE"/>
            <w:vAlign w:val="center"/>
          </w:tcPr>
          <w:p w14:paraId="044BD857" w14:textId="563B3317" w:rsidR="00C972CB" w:rsidRDefault="002457F6">
            <w:pPr>
              <w:pStyle w:val="P68B1DB1-Normal11"/>
              <w:spacing w:before="120" w:after="120"/>
              <w:jc w:val="center"/>
              <w:rPr>
                <w:noProof/>
              </w:rPr>
            </w:pPr>
            <w:r>
              <w:rPr>
                <w:noProof/>
              </w:rPr>
              <w:t xml:space="preserve">Investīcija Nr. 7 Atbalsts ražošanas sistēmai ekoloģiskajai pārejai, neto nulles emisiju tehnoloģijām un </w:t>
            </w:r>
            <w:r>
              <w:rPr>
                <w:noProof/>
              </w:rPr>
              <w:t>stratēģisko piegādes ķēžu konkurētspējai un noturībai</w:t>
            </w:r>
          </w:p>
        </w:tc>
        <w:tc>
          <w:tcPr>
            <w:tcW w:w="1078" w:type="dxa"/>
            <w:shd w:val="clear" w:color="auto" w:fill="C6EFCE"/>
            <w:vAlign w:val="center"/>
          </w:tcPr>
          <w:p w14:paraId="6CB72C89" w14:textId="77777777" w:rsidR="00C972CB" w:rsidRDefault="002457F6">
            <w:pPr>
              <w:pStyle w:val="P68B1DB1-Normal11"/>
              <w:spacing w:before="120" w:after="120"/>
              <w:rPr>
                <w:noProof/>
              </w:rPr>
            </w:pPr>
            <w:r>
              <w:rPr>
                <w:noProof/>
              </w:rPr>
              <w:t>Starpposma mērķis</w:t>
            </w:r>
          </w:p>
        </w:tc>
        <w:tc>
          <w:tcPr>
            <w:tcW w:w="1329" w:type="dxa"/>
            <w:shd w:val="clear" w:color="auto" w:fill="C6EFCE"/>
            <w:vAlign w:val="center"/>
          </w:tcPr>
          <w:p w14:paraId="4A34870B" w14:textId="77777777" w:rsidR="00C972CB" w:rsidRDefault="002457F6">
            <w:pPr>
              <w:pStyle w:val="P68B1DB1-Normal11"/>
              <w:spacing w:before="120" w:after="120"/>
              <w:rPr>
                <w:noProof/>
              </w:rPr>
            </w:pPr>
            <w:r>
              <w:rPr>
                <w:noProof/>
              </w:rPr>
              <w:t>Itālijas Uzņēmumu un Madu ministrija ir pabeigusi ieguldījumu</w:t>
            </w:r>
          </w:p>
        </w:tc>
        <w:tc>
          <w:tcPr>
            <w:tcW w:w="1275" w:type="dxa"/>
            <w:shd w:val="clear" w:color="auto" w:fill="C6EFCE"/>
            <w:vAlign w:val="center"/>
          </w:tcPr>
          <w:p w14:paraId="5C2D93D3" w14:textId="77777777" w:rsidR="00C972CB" w:rsidRDefault="002457F6">
            <w:pPr>
              <w:pStyle w:val="P68B1DB1-Normal11"/>
              <w:rPr>
                <w:noProof/>
              </w:rPr>
            </w:pPr>
            <w:r>
              <w:rPr>
                <w:noProof/>
              </w:rPr>
              <w:t xml:space="preserve">Nodošanas sertifikāts </w:t>
            </w:r>
          </w:p>
        </w:tc>
        <w:tc>
          <w:tcPr>
            <w:tcW w:w="1134" w:type="dxa"/>
            <w:shd w:val="clear" w:color="auto" w:fill="C6EFCE"/>
            <w:vAlign w:val="center"/>
          </w:tcPr>
          <w:p w14:paraId="5B8CF5E5" w14:textId="063FD5D3" w:rsidR="00C972CB" w:rsidRDefault="002457F6">
            <w:pPr>
              <w:pStyle w:val="P68B1DB1-Normal11"/>
              <w:jc w:val="center"/>
              <w:rPr>
                <w:noProof/>
              </w:rPr>
            </w:pPr>
            <w:r>
              <w:rPr>
                <w:noProof/>
              </w:rPr>
              <w:t>NEPIEMĒRO</w:t>
            </w:r>
          </w:p>
        </w:tc>
        <w:tc>
          <w:tcPr>
            <w:tcW w:w="993" w:type="dxa"/>
            <w:shd w:val="clear" w:color="auto" w:fill="C6EFCE"/>
            <w:vAlign w:val="center"/>
          </w:tcPr>
          <w:p w14:paraId="49C22FC7" w14:textId="59FAA62A" w:rsidR="00C972CB" w:rsidRDefault="002457F6">
            <w:pPr>
              <w:pStyle w:val="P68B1DB1-Normal11"/>
              <w:jc w:val="center"/>
              <w:rPr>
                <w:noProof/>
              </w:rPr>
            </w:pPr>
            <w:r>
              <w:rPr>
                <w:noProof/>
              </w:rPr>
              <w:t>NEPIEMĒRO</w:t>
            </w:r>
          </w:p>
        </w:tc>
        <w:tc>
          <w:tcPr>
            <w:tcW w:w="992" w:type="dxa"/>
            <w:shd w:val="clear" w:color="auto" w:fill="C6EFCE"/>
            <w:vAlign w:val="center"/>
          </w:tcPr>
          <w:p w14:paraId="39AFBA1D" w14:textId="7FC58108" w:rsidR="00C972CB" w:rsidRDefault="002457F6">
            <w:pPr>
              <w:pStyle w:val="P68B1DB1-Normal11"/>
              <w:jc w:val="center"/>
              <w:rPr>
                <w:noProof/>
              </w:rPr>
            </w:pPr>
            <w:r>
              <w:rPr>
                <w:noProof/>
              </w:rPr>
              <w:t>NEPIEMĒRO</w:t>
            </w:r>
          </w:p>
        </w:tc>
        <w:tc>
          <w:tcPr>
            <w:tcW w:w="850" w:type="dxa"/>
            <w:shd w:val="clear" w:color="auto" w:fill="C6EFCE"/>
            <w:vAlign w:val="center"/>
          </w:tcPr>
          <w:p w14:paraId="2583B5B1" w14:textId="77777777" w:rsidR="00C972CB" w:rsidRDefault="002457F6">
            <w:pPr>
              <w:pStyle w:val="P68B1DB1-Normal11"/>
              <w:jc w:val="center"/>
              <w:rPr>
                <w:noProof/>
              </w:rPr>
            </w:pPr>
            <w:r>
              <w:rPr>
                <w:noProof/>
              </w:rPr>
              <w:t>4. CET.</w:t>
            </w:r>
          </w:p>
        </w:tc>
        <w:tc>
          <w:tcPr>
            <w:tcW w:w="709" w:type="dxa"/>
            <w:shd w:val="clear" w:color="auto" w:fill="C6EFCE"/>
            <w:vAlign w:val="center"/>
          </w:tcPr>
          <w:p w14:paraId="48DE01E5" w14:textId="77777777" w:rsidR="00C972CB" w:rsidRDefault="002457F6">
            <w:pPr>
              <w:pStyle w:val="P68B1DB1-Normal11"/>
              <w:spacing w:before="120" w:after="120"/>
              <w:jc w:val="center"/>
              <w:rPr>
                <w:noProof/>
              </w:rPr>
            </w:pPr>
            <w:r>
              <w:rPr>
                <w:noProof/>
              </w:rPr>
              <w:t>2024</w:t>
            </w:r>
          </w:p>
        </w:tc>
        <w:tc>
          <w:tcPr>
            <w:tcW w:w="3794" w:type="dxa"/>
            <w:shd w:val="clear" w:color="auto" w:fill="C6EFCE"/>
            <w:vAlign w:val="center"/>
          </w:tcPr>
          <w:p w14:paraId="55A11E7A" w14:textId="1BEC1ABA" w:rsidR="00C972CB" w:rsidRDefault="002457F6">
            <w:pPr>
              <w:pStyle w:val="P68B1DB1-Normal12"/>
              <w:spacing w:before="120" w:after="120"/>
              <w:rPr>
                <w:rFonts w:ascii="Arial Narrow" w:hAnsi="Arial Narrow"/>
                <w:noProof/>
              </w:rPr>
            </w:pPr>
            <w:r>
              <w:rPr>
                <w:rFonts w:ascii="Arial Narrow" w:hAnsi="Arial Narrow"/>
                <w:noProof/>
              </w:rPr>
              <w:t xml:space="preserve">Itālija pārskaita Invitalia EUR  2500000000 Mehānisma </w:t>
            </w:r>
            <w:r>
              <w:rPr>
                <w:rFonts w:ascii="Arial Narrow" w:hAnsi="Arial Narrow"/>
                <w:noProof/>
              </w:rPr>
              <w:t>vajadzībām.</w:t>
            </w:r>
          </w:p>
          <w:p w14:paraId="3B9221AA" w14:textId="30BA8D01" w:rsidR="00C972CB" w:rsidRDefault="002457F6">
            <w:pPr>
              <w:pStyle w:val="P68B1DB1-Normal11"/>
              <w:spacing w:before="120" w:after="120"/>
              <w:rPr>
                <w:noProof/>
              </w:rPr>
            </w:pPr>
            <w:r>
              <w:rPr>
                <w:noProof/>
              </w:rPr>
              <w:t xml:space="preserve">No kā: </w:t>
            </w:r>
          </w:p>
          <w:p w14:paraId="08AD545B" w14:textId="62BB5F17" w:rsidR="00C972CB" w:rsidRDefault="002457F6">
            <w:pPr>
              <w:pStyle w:val="P68B1DB1-ListParagraph22"/>
              <w:numPr>
                <w:ilvl w:val="0"/>
                <w:numId w:val="135"/>
              </w:numPr>
              <w:rPr>
                <w:rFonts w:ascii="Arial Narrow" w:hAnsi="Arial Narrow"/>
                <w:noProof/>
              </w:rPr>
            </w:pPr>
            <w:r>
              <w:rPr>
                <w:rFonts w:ascii="Arial Narrow" w:hAnsi="Arial Narrow"/>
                <w:noProof/>
              </w:rPr>
              <w:t>EUR</w:t>
            </w:r>
            <w:r>
              <w:rPr>
                <w:noProof/>
              </w:rPr>
              <w:t xml:space="preserve"> </w:t>
            </w:r>
            <w:r>
              <w:rPr>
                <w:rFonts w:ascii="Arial Narrow" w:hAnsi="Arial Narrow"/>
                <w:noProof/>
              </w:rPr>
              <w:t>2000000000</w:t>
            </w:r>
            <w:r>
              <w:rPr>
                <w:noProof/>
              </w:rPr>
              <w:t xml:space="preserve"> </w:t>
            </w:r>
            <w:r>
              <w:rPr>
                <w:rFonts w:ascii="Arial Narrow" w:hAnsi="Arial Narrow"/>
                <w:noProof/>
              </w:rPr>
              <w:t>apakšieguldījumam</w:t>
            </w:r>
            <w:r>
              <w:rPr>
                <w:noProof/>
              </w:rPr>
              <w:t xml:space="preserve"> </w:t>
            </w:r>
            <w:r>
              <w:rPr>
                <w:rFonts w:ascii="Arial Narrow" w:hAnsi="Arial Narrow"/>
                <w:noProof/>
              </w:rPr>
              <w:t>1 Neto nulles emisiju tehnoloģijas;</w:t>
            </w:r>
          </w:p>
          <w:p w14:paraId="07FB89AF" w14:textId="4902D946" w:rsidR="00C972CB" w:rsidRDefault="002457F6">
            <w:pPr>
              <w:pStyle w:val="P68B1DB1-ListParagraph22"/>
              <w:numPr>
                <w:ilvl w:val="0"/>
                <w:numId w:val="135"/>
              </w:numPr>
              <w:rPr>
                <w:rFonts w:ascii="Arial Narrow" w:hAnsi="Arial Narrow"/>
                <w:noProof/>
              </w:rPr>
            </w:pPr>
            <w:r>
              <w:rPr>
                <w:rFonts w:ascii="Arial Narrow" w:hAnsi="Arial Narrow"/>
                <w:noProof/>
              </w:rPr>
              <w:t>500000000 EUR</w:t>
            </w:r>
            <w:r>
              <w:rPr>
                <w:noProof/>
              </w:rPr>
              <w:t xml:space="preserve">  </w:t>
            </w:r>
            <w:r>
              <w:rPr>
                <w:rFonts w:ascii="Arial Narrow" w:hAnsi="Arial Narrow"/>
                <w:noProof/>
              </w:rPr>
              <w:t>apakšinvestīcijai Nr. 2 Stratēģisko piegādes ķēžu konkurētspēja un noturība.</w:t>
            </w:r>
          </w:p>
        </w:tc>
      </w:tr>
      <w:tr w:rsidR="00C972CB" w14:paraId="3F255485" w14:textId="77777777">
        <w:trPr>
          <w:trHeight w:val="315"/>
        </w:trPr>
        <w:tc>
          <w:tcPr>
            <w:tcW w:w="1424" w:type="dxa"/>
            <w:shd w:val="clear" w:color="auto" w:fill="C6EFCE"/>
            <w:vAlign w:val="center"/>
          </w:tcPr>
          <w:p w14:paraId="6DC55CBF" w14:textId="77777777" w:rsidR="00C972CB" w:rsidRDefault="002457F6">
            <w:pPr>
              <w:pStyle w:val="P68B1DB1-Normal11"/>
              <w:spacing w:before="120" w:after="120"/>
              <w:jc w:val="center"/>
              <w:rPr>
                <w:noProof/>
              </w:rPr>
            </w:pPr>
            <w:r>
              <w:rPr>
                <w:noProof/>
              </w:rPr>
              <w:t>M1C2–32</w:t>
            </w:r>
          </w:p>
        </w:tc>
        <w:tc>
          <w:tcPr>
            <w:tcW w:w="1578" w:type="dxa"/>
            <w:shd w:val="clear" w:color="auto" w:fill="C6EFCE"/>
            <w:vAlign w:val="center"/>
          </w:tcPr>
          <w:p w14:paraId="47840838" w14:textId="2EACEAD3" w:rsidR="00C972CB" w:rsidRDefault="002457F6">
            <w:pPr>
              <w:pStyle w:val="P68B1DB1-Normal11"/>
              <w:spacing w:before="120" w:after="120"/>
              <w:jc w:val="center"/>
              <w:rPr>
                <w:noProof/>
              </w:rPr>
            </w:pPr>
            <w:r>
              <w:rPr>
                <w:noProof/>
              </w:rPr>
              <w:t xml:space="preserve">Ieguldījums 7. Atbalsts ražošanas sistēmai ekoloģiskajai pārejai, </w:t>
            </w:r>
            <w:r>
              <w:rPr>
                <w:noProof/>
              </w:rPr>
              <w:t>neto nulles emisiju tehnoloģijām un stratēģisko piegādes ķēžu konkurētspējai un noturībai</w:t>
            </w:r>
          </w:p>
        </w:tc>
        <w:tc>
          <w:tcPr>
            <w:tcW w:w="1078" w:type="dxa"/>
            <w:shd w:val="clear" w:color="auto" w:fill="C6EFCE"/>
            <w:vAlign w:val="center"/>
          </w:tcPr>
          <w:p w14:paraId="2F3C1780" w14:textId="77777777" w:rsidR="00C972CB" w:rsidRDefault="002457F6">
            <w:pPr>
              <w:pStyle w:val="P68B1DB1-Normal11"/>
              <w:spacing w:before="120" w:after="120"/>
              <w:jc w:val="center"/>
              <w:rPr>
                <w:noProof/>
              </w:rPr>
            </w:pPr>
            <w:r>
              <w:rPr>
                <w:noProof/>
              </w:rPr>
              <w:t>Mērķa</w:t>
            </w:r>
          </w:p>
        </w:tc>
        <w:tc>
          <w:tcPr>
            <w:tcW w:w="1329" w:type="dxa"/>
            <w:shd w:val="clear" w:color="auto" w:fill="C6EFCE"/>
            <w:vAlign w:val="center"/>
          </w:tcPr>
          <w:p w14:paraId="2F5E4418" w14:textId="77777777" w:rsidR="00C972CB" w:rsidRDefault="002457F6">
            <w:pPr>
              <w:pStyle w:val="P68B1DB1-Normal11"/>
              <w:spacing w:before="120" w:after="120"/>
              <w:rPr>
                <w:noProof/>
              </w:rPr>
            </w:pPr>
            <w:r>
              <w:rPr>
                <w:noProof/>
              </w:rPr>
              <w:t>Ar galīgajiem saņēmējiem parakstītie juridiskie nolīgumi</w:t>
            </w:r>
          </w:p>
        </w:tc>
        <w:tc>
          <w:tcPr>
            <w:tcW w:w="1275" w:type="dxa"/>
            <w:shd w:val="clear" w:color="auto" w:fill="C6EFCE"/>
            <w:vAlign w:val="center"/>
          </w:tcPr>
          <w:p w14:paraId="4E672835" w14:textId="77777777" w:rsidR="00C972CB" w:rsidRDefault="002457F6">
            <w:pPr>
              <w:pStyle w:val="P68B1DB1-Normal11"/>
              <w:rPr>
                <w:noProof/>
              </w:rPr>
            </w:pPr>
            <w:r>
              <w:rPr>
                <w:noProof/>
              </w:rPr>
              <w:t>Juridiskas finansēšanas nolīgumu stāšanās spēkā</w:t>
            </w:r>
          </w:p>
        </w:tc>
        <w:tc>
          <w:tcPr>
            <w:tcW w:w="1134" w:type="dxa"/>
            <w:shd w:val="clear" w:color="auto" w:fill="C6EFCE"/>
            <w:vAlign w:val="center"/>
          </w:tcPr>
          <w:p w14:paraId="667E4AC6" w14:textId="77777777" w:rsidR="00C972CB" w:rsidRDefault="002457F6">
            <w:pPr>
              <w:pStyle w:val="P68B1DB1-Normal11"/>
              <w:jc w:val="center"/>
              <w:rPr>
                <w:noProof/>
              </w:rPr>
            </w:pPr>
            <w:r>
              <w:rPr>
                <w:noProof/>
              </w:rPr>
              <w:t>Procentuālā daļa</w:t>
            </w:r>
          </w:p>
        </w:tc>
        <w:tc>
          <w:tcPr>
            <w:tcW w:w="993" w:type="dxa"/>
            <w:shd w:val="clear" w:color="auto" w:fill="C6EFCE"/>
            <w:vAlign w:val="center"/>
          </w:tcPr>
          <w:p w14:paraId="16077FC0" w14:textId="77777777" w:rsidR="00C972CB" w:rsidRDefault="002457F6">
            <w:pPr>
              <w:pStyle w:val="P68B1DB1-Normal11"/>
              <w:jc w:val="center"/>
              <w:rPr>
                <w:noProof/>
              </w:rPr>
            </w:pPr>
            <w:r>
              <w:rPr>
                <w:noProof/>
              </w:rPr>
              <w:t>0</w:t>
            </w:r>
          </w:p>
        </w:tc>
        <w:tc>
          <w:tcPr>
            <w:tcW w:w="992" w:type="dxa"/>
            <w:shd w:val="clear" w:color="auto" w:fill="C6EFCE"/>
            <w:vAlign w:val="center"/>
          </w:tcPr>
          <w:p w14:paraId="38BC98DB" w14:textId="77777777" w:rsidR="00C972CB" w:rsidRDefault="002457F6">
            <w:pPr>
              <w:pStyle w:val="P68B1DB1-Normal11"/>
              <w:jc w:val="center"/>
              <w:rPr>
                <w:noProof/>
              </w:rPr>
            </w:pPr>
            <w:r>
              <w:rPr>
                <w:noProof/>
              </w:rPr>
              <w:t>100</w:t>
            </w:r>
          </w:p>
        </w:tc>
        <w:tc>
          <w:tcPr>
            <w:tcW w:w="850" w:type="dxa"/>
            <w:shd w:val="clear" w:color="auto" w:fill="C6EFCE"/>
            <w:vAlign w:val="center"/>
          </w:tcPr>
          <w:p w14:paraId="3640D490" w14:textId="77777777" w:rsidR="00C972CB" w:rsidRDefault="002457F6">
            <w:pPr>
              <w:pStyle w:val="P68B1DB1-Normal11"/>
              <w:jc w:val="center"/>
              <w:rPr>
                <w:noProof/>
              </w:rPr>
            </w:pPr>
            <w:r>
              <w:rPr>
                <w:noProof/>
              </w:rPr>
              <w:t>2. CET.</w:t>
            </w:r>
          </w:p>
        </w:tc>
        <w:tc>
          <w:tcPr>
            <w:tcW w:w="709" w:type="dxa"/>
            <w:shd w:val="clear" w:color="auto" w:fill="C6EFCE"/>
            <w:vAlign w:val="center"/>
          </w:tcPr>
          <w:p w14:paraId="70276B55" w14:textId="77777777" w:rsidR="00C972CB" w:rsidRDefault="002457F6">
            <w:pPr>
              <w:pStyle w:val="P68B1DB1-Normal11"/>
              <w:spacing w:before="120" w:after="120"/>
              <w:jc w:val="center"/>
              <w:rPr>
                <w:noProof/>
              </w:rPr>
            </w:pPr>
            <w:r>
              <w:rPr>
                <w:noProof/>
              </w:rPr>
              <w:t>2026</w:t>
            </w:r>
          </w:p>
        </w:tc>
        <w:tc>
          <w:tcPr>
            <w:tcW w:w="3794" w:type="dxa"/>
            <w:shd w:val="clear" w:color="auto" w:fill="C6EFCE"/>
            <w:vAlign w:val="center"/>
          </w:tcPr>
          <w:p w14:paraId="7070375E" w14:textId="442CFA33" w:rsidR="00C972CB" w:rsidRDefault="002457F6">
            <w:pPr>
              <w:pStyle w:val="P68B1DB1-Normal23"/>
              <w:spacing w:before="120" w:after="120"/>
              <w:rPr>
                <w:rFonts w:ascii="Arial Narrow" w:hAnsi="Arial Narrow"/>
                <w:noProof/>
                <w:sz w:val="20"/>
              </w:rPr>
            </w:pPr>
            <w:r>
              <w:rPr>
                <w:rFonts w:ascii="Arial Narrow" w:hAnsi="Arial Narrow"/>
                <w:noProof/>
                <w:sz w:val="20"/>
              </w:rPr>
              <w:t xml:space="preserve">Invitalia ir </w:t>
            </w:r>
            <w:r>
              <w:rPr>
                <w:rFonts w:ascii="Arial Narrow" w:hAnsi="Arial Narrow"/>
                <w:noProof/>
                <w:sz w:val="20"/>
              </w:rPr>
              <w:t>noslēgusi juridiska finansējuma nolīgumus ar galasaņēmējiem par summu, kas nepieciešama, lai izmantotu 100 % no ANM ieguldījuma 2500000000 EUR apmērā</w:t>
            </w:r>
            <w:r>
              <w:rPr>
                <w:noProof/>
                <w:sz w:val="20"/>
              </w:rPr>
              <w:t xml:space="preserve">   </w:t>
            </w:r>
            <w:r>
              <w:rPr>
                <w:rFonts w:ascii="Arial Narrow" w:hAnsi="Arial Narrow"/>
                <w:noProof/>
                <w:sz w:val="22"/>
              </w:rPr>
              <w:t>(ņemot vērā pārvaldības maksas).</w:t>
            </w:r>
          </w:p>
          <w:p w14:paraId="7766FAF9" w14:textId="178B2DF3" w:rsidR="00C972CB" w:rsidRDefault="002457F6">
            <w:pPr>
              <w:pStyle w:val="P68B1DB1-Normal11"/>
              <w:spacing w:before="120" w:after="120"/>
              <w:rPr>
                <w:noProof/>
              </w:rPr>
            </w:pPr>
            <w:r>
              <w:rPr>
                <w:noProof/>
              </w:rPr>
              <w:t xml:space="preserve">Konkrēti: </w:t>
            </w:r>
          </w:p>
          <w:p w14:paraId="44B71A31" w14:textId="600DDE95" w:rsidR="00C972CB" w:rsidRDefault="002457F6">
            <w:pPr>
              <w:pStyle w:val="P68B1DB1-ListParagraph22"/>
              <w:numPr>
                <w:ilvl w:val="0"/>
                <w:numId w:val="135"/>
              </w:numPr>
              <w:rPr>
                <w:rFonts w:ascii="Arial Narrow" w:hAnsi="Arial Narrow"/>
                <w:noProof/>
              </w:rPr>
            </w:pPr>
            <w:r>
              <w:rPr>
                <w:rFonts w:ascii="Arial Narrow" w:hAnsi="Arial Narrow"/>
                <w:noProof/>
              </w:rPr>
              <w:t>EUR</w:t>
            </w:r>
            <w:r>
              <w:rPr>
                <w:noProof/>
              </w:rPr>
              <w:t xml:space="preserve"> </w:t>
            </w:r>
            <w:r>
              <w:rPr>
                <w:rFonts w:ascii="Arial Narrow" w:hAnsi="Arial Narrow"/>
                <w:noProof/>
              </w:rPr>
              <w:t>2000000000</w:t>
            </w:r>
            <w:r>
              <w:rPr>
                <w:noProof/>
              </w:rPr>
              <w:t xml:space="preserve"> </w:t>
            </w:r>
            <w:r>
              <w:rPr>
                <w:rFonts w:ascii="Arial Narrow" w:hAnsi="Arial Narrow"/>
                <w:noProof/>
              </w:rPr>
              <w:t>apakšieguldījumam</w:t>
            </w:r>
            <w:r>
              <w:rPr>
                <w:noProof/>
              </w:rPr>
              <w:t xml:space="preserve"> </w:t>
            </w:r>
            <w:r>
              <w:rPr>
                <w:rFonts w:ascii="Arial Narrow" w:hAnsi="Arial Narrow"/>
                <w:noProof/>
              </w:rPr>
              <w:t>1 Neto nulles emisiju tehno</w:t>
            </w:r>
            <w:r>
              <w:rPr>
                <w:rFonts w:ascii="Arial Narrow" w:hAnsi="Arial Narrow"/>
                <w:noProof/>
              </w:rPr>
              <w:t>loģijas;</w:t>
            </w:r>
          </w:p>
          <w:p w14:paraId="334D7F9C" w14:textId="13632E28" w:rsidR="00C972CB" w:rsidRDefault="002457F6">
            <w:pPr>
              <w:pStyle w:val="P68B1DB1-ListParagraph22"/>
              <w:numPr>
                <w:ilvl w:val="0"/>
                <w:numId w:val="135"/>
              </w:numPr>
              <w:rPr>
                <w:rFonts w:ascii="Arial Narrow" w:hAnsi="Arial Narrow"/>
                <w:noProof/>
              </w:rPr>
            </w:pPr>
            <w:r>
              <w:rPr>
                <w:rFonts w:ascii="Arial Narrow" w:hAnsi="Arial Narrow"/>
                <w:noProof/>
              </w:rPr>
              <w:t>500000000 EUR</w:t>
            </w:r>
            <w:r>
              <w:rPr>
                <w:noProof/>
              </w:rPr>
              <w:t xml:space="preserve">  </w:t>
            </w:r>
            <w:r>
              <w:rPr>
                <w:rFonts w:ascii="Arial Narrow" w:hAnsi="Arial Narrow"/>
                <w:noProof/>
              </w:rPr>
              <w:t>apakšinvestīcijai Nr. 2 Stratēģisko piegādes ķēžu konkurētspēja un noturība.</w:t>
            </w:r>
          </w:p>
        </w:tc>
      </w:tr>
    </w:tbl>
    <w:p w14:paraId="16284BC9" w14:textId="77777777" w:rsidR="00C972CB" w:rsidRDefault="00C972CB">
      <w:pPr>
        <w:spacing w:before="120" w:after="120"/>
        <w:jc w:val="both"/>
        <w:rPr>
          <w:b/>
          <w:noProof/>
        </w:rPr>
      </w:pPr>
    </w:p>
    <w:p w14:paraId="22F00CDA" w14:textId="77777777" w:rsidR="00C972CB" w:rsidRDefault="00C972CB">
      <w:pPr>
        <w:rPr>
          <w:b/>
          <w:noProof/>
        </w:rPr>
        <w:sectPr w:rsidR="00C972CB" w:rsidSect="001354D1">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2514A4A3" w14:textId="77777777" w:rsidR="00C972CB" w:rsidRDefault="002457F6">
      <w:pPr>
        <w:pStyle w:val="Heading2"/>
        <w:numPr>
          <w:ilvl w:val="0"/>
          <w:numId w:val="0"/>
        </w:numPr>
        <w:ind w:left="850" w:hanging="850"/>
        <w:rPr>
          <w:noProof/>
          <w:u w:val="single"/>
        </w:rPr>
      </w:pPr>
      <w:r>
        <w:rPr>
          <w:noProof/>
        </w:rPr>
        <w:t xml:space="preserve">C. 1. MISIJAS 3. ELEMENTS: </w:t>
      </w:r>
      <w:r>
        <w:rPr>
          <w:noProof/>
          <w:u w:val="single"/>
        </w:rPr>
        <w:t>Tūrisms un kultūra 4.0</w:t>
      </w:r>
      <w:r>
        <w:rPr>
          <w:noProof/>
        </w:rPr>
        <w:t xml:space="preserve">. </w:t>
      </w:r>
    </w:p>
    <w:p w14:paraId="23FCB66B" w14:textId="77777777" w:rsidR="00C972CB" w:rsidRDefault="002457F6">
      <w:pPr>
        <w:spacing w:before="120" w:after="120"/>
        <w:jc w:val="both"/>
        <w:rPr>
          <w:noProof/>
        </w:rPr>
      </w:pPr>
      <w:r>
        <w:rPr>
          <w:noProof/>
        </w:rPr>
        <w:t>Šis Itālijas atveseļošanas un noturības plāna komponents ir vērsts uz to, lai atjaunotu divas nozares, kuras smagi skārusi Covid krīze: kultūra un tūrisms. Ar kultūras nozari saistīto pasākumu mērķis ir padarīt kultūras objektus pieejamākus gan digitāli, g</w:t>
      </w:r>
      <w:r>
        <w:rPr>
          <w:noProof/>
        </w:rPr>
        <w:t>an fiziski, energoefektīvākus un drošākus attiecībā uz dabas katastrofām, atbalstīt kultūras un radošo nozaru atveseļošanu, tostarp atbalstot mazu kultūras objektu un lauku arhitektūras pievilcību, kā arī lai uzlabotu teritoriālo kohēziju. Ir paredzēti trī</w:t>
      </w:r>
      <w:r>
        <w:rPr>
          <w:noProof/>
        </w:rPr>
        <w:t>s pasākumu kopumi: intervences pasākumi, kuru mērķis ir attīstīt kultūras mantojumu nākamajai paaudzei, tostarp investīcijas digitālajā pārkārtošanā un kultūras objektu energoefektivitātes uzlabošanā, ii) kultūras virzīta mazu vēsturisko objektu, reliģiskā</w:t>
      </w:r>
      <w:r>
        <w:rPr>
          <w:noProof/>
        </w:rPr>
        <w:t xml:space="preserve"> un lauku mantojuma atjaunošana; III) intervences pasākumi kultūras un radošajām nozarēm 4.0. Ar tūrismu saistīto pasākumu mērķis ir uzlabot nozares konkurētspēju, tostarp samazinot nozares sadrumstalotību un uzlabojot apjomradītus ietaupījumus, uzlabojot </w:t>
      </w:r>
      <w:r>
        <w:rPr>
          <w:noProof/>
        </w:rPr>
        <w:t>un uzlabojot viesmīlības nozares standartus, veicinot digitālo inovāciju un to, ka operatori izmanto jaunās tehnoloģijas, un atbalstīt nozares zaļo pārkārtošanos. Šajā sakarā ir paredzēti pasākumi, lai atbalstītu tūrisma nozarē strādājošos uzņēmumus, tosta</w:t>
      </w:r>
      <w:r>
        <w:rPr>
          <w:noProof/>
        </w:rPr>
        <w:t xml:space="preserve">rp MVU, un tūrisma operatorus, tostarp veicot ieguldījumus digitālajos rīkos. </w:t>
      </w:r>
    </w:p>
    <w:p w14:paraId="30EEF001" w14:textId="77777777" w:rsidR="00C972CB" w:rsidRDefault="002457F6">
      <w:pPr>
        <w:spacing w:before="120" w:after="120"/>
        <w:jc w:val="both"/>
        <w:rPr>
          <w:noProof/>
        </w:rPr>
      </w:pPr>
      <w:r>
        <w:rPr>
          <w:noProof/>
        </w:rPr>
        <w:t>Investīcijas un reformas saskaņā ar šo komponentu palīdz īstenot Itālijai adresētos konkrētai valstij adresētos ieteikumus, jo īpaši par nepieciešamību “veicināt privātās invest</w:t>
      </w:r>
      <w:r>
        <w:rPr>
          <w:noProof/>
        </w:rPr>
        <w:t xml:space="preserve">īcijas, lai veicinātu ekonomikas atveseļošanu un koncentrētu investīcijas uz zaļo un digitālo pārkārtošanos” (valsts īpašais ieteikums Nr. 3, 2020). Tie arī atbalsta sociālo un teritoriālo kohēziju un Itālijas ekonomikas konkurētspēju, vienlaikus veicinot </w:t>
      </w:r>
      <w:r>
        <w:rPr>
          <w:noProof/>
        </w:rPr>
        <w:t xml:space="preserve">tūrisma nozares digitalizāciju un ilgtspēju. </w:t>
      </w:r>
    </w:p>
    <w:p w14:paraId="597A14A1" w14:textId="77777777" w:rsidR="00C972CB" w:rsidRDefault="002457F6">
      <w:pPr>
        <w:pStyle w:val="Heading3"/>
        <w:numPr>
          <w:ilvl w:val="0"/>
          <w:numId w:val="0"/>
        </w:numPr>
        <w:ind w:left="850" w:hanging="850"/>
        <w:rPr>
          <w:rFonts w:eastAsia="Times New Roman"/>
          <w:b/>
          <w:i w:val="0"/>
          <w:noProof/>
          <w:u w:val="single"/>
        </w:rPr>
      </w:pPr>
      <w:r>
        <w:rPr>
          <w:b/>
          <w:i w:val="0"/>
          <w:noProof/>
          <w:u w:val="single"/>
        </w:rPr>
        <w:t xml:space="preserve">C.1. </w:t>
      </w:r>
      <w:r>
        <w:rPr>
          <w:noProof/>
        </w:rPr>
        <w:tab/>
      </w:r>
      <w:r>
        <w:rPr>
          <w:b/>
          <w:i w:val="0"/>
          <w:noProof/>
          <w:u w:val="single"/>
        </w:rPr>
        <w:t>Neatmaksājamam finansiālajam atbalstam pieteikto reformu un investīciju apraksts</w:t>
      </w:r>
    </w:p>
    <w:p w14:paraId="3B763C28" w14:textId="77777777" w:rsidR="00C972CB" w:rsidRDefault="002457F6">
      <w:pPr>
        <w:pStyle w:val="P68B1DB1-Normal2"/>
        <w:spacing w:before="120" w:after="120"/>
        <w:jc w:val="both"/>
        <w:rPr>
          <w:noProof/>
        </w:rPr>
      </w:pPr>
      <w:r>
        <w:rPr>
          <w:noProof/>
        </w:rPr>
        <w:t xml:space="preserve">Ieguldījums 1.1. Digitālā stratēģija un kultūras mantojuma platformas </w:t>
      </w:r>
    </w:p>
    <w:p w14:paraId="41EE91F0" w14:textId="77777777" w:rsidR="00C972CB" w:rsidRDefault="002457F6">
      <w:pPr>
        <w:spacing w:before="120" w:after="120"/>
        <w:jc w:val="both"/>
        <w:rPr>
          <w:noProof/>
        </w:rPr>
      </w:pPr>
      <w:r>
        <w:rPr>
          <w:noProof/>
        </w:rPr>
        <w:t>Pasākums ietver darbības Itālijas kultūras mantojuma</w:t>
      </w:r>
      <w:r>
        <w:rPr>
          <w:noProof/>
        </w:rPr>
        <w:t xml:space="preserve"> digitalizācijai, lai uzlabotu piekļuvi kultūras resursiem un digitālajiem pakalpojumiem.</w:t>
      </w:r>
    </w:p>
    <w:p w14:paraId="786181FF" w14:textId="77777777" w:rsidR="00C972CB" w:rsidRDefault="002457F6">
      <w:pPr>
        <w:spacing w:before="120" w:after="120"/>
        <w:jc w:val="both"/>
        <w:rPr>
          <w:noProof/>
        </w:rPr>
      </w:pPr>
      <w:r>
        <w:rPr>
          <w:noProof/>
        </w:rPr>
        <w:t>Intervence izveido jaunu valsts digitālo infrastruktūru digitālo resursu vākšanai, integrēšanai un saglabāšanai, darot tos pieejamus publiskai izmantošanai, izmantojo</w:t>
      </w:r>
      <w:r>
        <w:rPr>
          <w:noProof/>
        </w:rPr>
        <w:t xml:space="preserve">t īpašas platformas. Pasākumus saistībā ar “fizisko” mantojumu papildina muzeju, arhīvu, bibliotēku un kultūras objektu digitalizācija, lai iedzīvotāji varētu izpētīt jaunus veidus, kā gūt labumu no kultūras mantojuma. </w:t>
      </w:r>
    </w:p>
    <w:p w14:paraId="4FC4FD5C" w14:textId="77777777" w:rsidR="00C972CB" w:rsidRDefault="002457F6">
      <w:pPr>
        <w:pStyle w:val="P68B1DB1-Normal2"/>
        <w:spacing w:before="120" w:after="120"/>
        <w:jc w:val="both"/>
        <w:rPr>
          <w:noProof/>
        </w:rPr>
      </w:pPr>
      <w:r>
        <w:rPr>
          <w:noProof/>
        </w:rPr>
        <w:t>Ieguldījums 1.2: Fizisku un kognitīv</w:t>
      </w:r>
      <w:r>
        <w:rPr>
          <w:noProof/>
        </w:rPr>
        <w:t>u šķēršļu likvidēšana muzejos, bibliotēkās un arhīvos, lai nodrošinātu plašāku piekļuvi kultūrai un līdzdalību tajā</w:t>
      </w:r>
    </w:p>
    <w:p w14:paraId="533897A6" w14:textId="77777777" w:rsidR="00C972CB" w:rsidRDefault="002457F6">
      <w:pPr>
        <w:spacing w:before="120" w:after="120"/>
        <w:jc w:val="both"/>
        <w:rPr>
          <w:noProof/>
        </w:rPr>
      </w:pPr>
      <w:r>
        <w:rPr>
          <w:noProof/>
        </w:rPr>
        <w:t>Pasākuma mērķis ir likvidēt arhitektūras, kultūras un kognitīvos šķēršļus vairākās Itālijas kultūras iestādēs. Intervences apvieno ar admini</w:t>
      </w:r>
      <w:r>
        <w:rPr>
          <w:noProof/>
        </w:rPr>
        <w:t>stratīvā personāla un kultūras darbinieku apmācību, veicinot pieejamības kultūru un attīstot speciālās zināšanas par juridiskajiem aspektiem, uzņemšanu, kultūras starpniecību un popularizēšanu.</w:t>
      </w:r>
    </w:p>
    <w:p w14:paraId="3D1EA45B" w14:textId="77777777" w:rsidR="00C972CB" w:rsidRDefault="002457F6">
      <w:pPr>
        <w:pStyle w:val="P68B1DB1-Normal2"/>
        <w:spacing w:before="120" w:after="120"/>
        <w:jc w:val="both"/>
        <w:rPr>
          <w:noProof/>
        </w:rPr>
      </w:pPr>
      <w:r>
        <w:rPr>
          <w:noProof/>
        </w:rPr>
        <w:t>Ieguldījums 1.3. Uzlabot energoefektivitāti kinoteātros, teātr</w:t>
      </w:r>
      <w:r>
        <w:rPr>
          <w:noProof/>
        </w:rPr>
        <w:t>os un muzejos</w:t>
      </w:r>
    </w:p>
    <w:p w14:paraId="5B9403DC" w14:textId="77777777" w:rsidR="00C972CB" w:rsidRDefault="002457F6">
      <w:pPr>
        <w:spacing w:before="120" w:after="120"/>
        <w:jc w:val="both"/>
        <w:rPr>
          <w:noProof/>
        </w:rPr>
      </w:pPr>
      <w:r>
        <w:rPr>
          <w:noProof/>
        </w:rPr>
        <w:t>Pasākums uzlabo ar kultūras un radošo nozari saistīto ēku energoefektivitāti. Tās bieži vien atrodas novecojušās, energoneefektīvās iekārtās, kas rada augstas uzturēšanas izmaksas saistībā ar gaisa kondicionēšanu, apgaismojumu, saziņu un droš</w:t>
      </w:r>
      <w:r>
        <w:rPr>
          <w:noProof/>
        </w:rPr>
        <w:t>ību. Ar šo ieguldījumu finansē darbības, kuru mērķis ir uzlabot Itālijas muzeju, kinoteātru un teātru (gan publisko, gan privāto) energoefektivitāti.</w:t>
      </w:r>
    </w:p>
    <w:p w14:paraId="5864EFBA" w14:textId="77777777" w:rsidR="00C972CB" w:rsidRDefault="002457F6">
      <w:pPr>
        <w:pStyle w:val="P68B1DB1-Normal2"/>
        <w:spacing w:before="120" w:after="120"/>
        <w:jc w:val="both"/>
        <w:rPr>
          <w:noProof/>
        </w:rPr>
      </w:pPr>
      <w:r>
        <w:rPr>
          <w:noProof/>
        </w:rPr>
        <w:t>Reforma. Minimālo vides kritēriju pieņemšana kultūras pasākumiem</w:t>
      </w:r>
    </w:p>
    <w:p w14:paraId="334DA67C" w14:textId="77777777" w:rsidR="00C972CB" w:rsidRDefault="002457F6">
      <w:pPr>
        <w:spacing w:before="120" w:after="120"/>
        <w:jc w:val="both"/>
        <w:rPr>
          <w:noProof/>
        </w:rPr>
      </w:pPr>
      <w:r>
        <w:rPr>
          <w:noProof/>
        </w:rPr>
        <w:t>Reformas mērķis ir uzlabot kultūras pasāk</w:t>
      </w:r>
      <w:r>
        <w:rPr>
          <w:noProof/>
        </w:rPr>
        <w:t>umu (piemēram, izstāžu, festivālu, kultūras pasākumu un mūzikas pasākumu) ekoloģisko pēdu, iekļaujot sociālos un vides kritērijus valsts iestādes finansēto, veicināto vai organizēto kultūras pasākumu publiskajā iepirkumā.</w:t>
      </w:r>
    </w:p>
    <w:p w14:paraId="44F8BCD0" w14:textId="77777777" w:rsidR="00C972CB" w:rsidRDefault="002457F6">
      <w:pPr>
        <w:pStyle w:val="P68B1DB1-Normal24"/>
        <w:spacing w:before="120" w:after="120"/>
        <w:jc w:val="both"/>
        <w:rPr>
          <w:noProof/>
        </w:rPr>
      </w:pPr>
      <w:r>
        <w:rPr>
          <w:noProof/>
        </w:rPr>
        <w:t>Ieguldījums 3.3. Kultūras operator</w:t>
      </w:r>
      <w:r>
        <w:rPr>
          <w:noProof/>
        </w:rPr>
        <w:t xml:space="preserve">u spēju veidošana digitālās un zaļās pārkārtošanās pārvaldībai </w:t>
      </w:r>
    </w:p>
    <w:p w14:paraId="15704245" w14:textId="77777777" w:rsidR="00C972CB" w:rsidRDefault="002457F6">
      <w:pPr>
        <w:spacing w:before="120" w:after="120"/>
        <w:jc w:val="both"/>
        <w:rPr>
          <w:noProof/>
        </w:rPr>
      </w:pPr>
      <w:r>
        <w:rPr>
          <w:noProof/>
        </w:rPr>
        <w:t xml:space="preserve">Ieguldījuma vispārējais mērķis ir atbalstīt kultūras un radošo nozaru atveseļošanu. Tas sastāv no divām intervencēm. </w:t>
      </w:r>
    </w:p>
    <w:p w14:paraId="0EAB0838" w14:textId="77777777" w:rsidR="00C972CB" w:rsidRDefault="002457F6">
      <w:pPr>
        <w:spacing w:before="120" w:after="120"/>
        <w:jc w:val="both"/>
        <w:rPr>
          <w:noProof/>
        </w:rPr>
      </w:pPr>
      <w:r>
        <w:rPr>
          <w:noProof/>
        </w:rPr>
        <w:t>Pirmās intervences (“Atbalsts kultūras pasākumu atveseļošanai, veicinot in</w:t>
      </w:r>
      <w:r>
        <w:rPr>
          <w:noProof/>
        </w:rPr>
        <w:t>ovāciju un digitālo tehnoloģiju izmantošanu visā vērtību ķēdē”) mērķis ir atbalstīt kultūras un radošos dalībniekus digitālo stratēģiju īstenošanā un to pārvaldības spēju palielināšanā.</w:t>
      </w:r>
    </w:p>
    <w:p w14:paraId="5266F3D5" w14:textId="4CC2F72C" w:rsidR="00C972CB" w:rsidRDefault="002457F6">
      <w:pPr>
        <w:spacing w:before="120" w:after="120"/>
        <w:jc w:val="both"/>
        <w:rPr>
          <w:noProof/>
        </w:rPr>
      </w:pPr>
      <w:r>
        <w:rPr>
          <w:noProof/>
        </w:rPr>
        <w:t>Otrās intervences (“Zaļās pieejas veicināšana visā kultūras un radošaj</w:t>
      </w:r>
      <w:r>
        <w:rPr>
          <w:noProof/>
        </w:rPr>
        <w:t>ā ķēdē”) mērķis ir veicināt vides ziņā ilgtspējīgu pieeju visā ķēdē, samazinot ekoloģisko pēdu, veicinot inovatīvu un iekļaujošu ekodizainu, tostarp aprites ekonomikas kontekstā, lai sabiedrību virzītu uz atbildīgāku rīcību vides jomā.</w:t>
      </w:r>
    </w:p>
    <w:p w14:paraId="52A501A7" w14:textId="2D09B1E6" w:rsidR="00C972CB" w:rsidRDefault="002457F6">
      <w:pPr>
        <w:spacing w:before="120" w:after="120"/>
        <w:jc w:val="both"/>
        <w:rPr>
          <w:noProof/>
        </w:rPr>
      </w:pPr>
      <w:r>
        <w:rPr>
          <w:noProof/>
        </w:rPr>
        <w:t xml:space="preserve">Lai nodrošinātu, ka </w:t>
      </w:r>
      <w:r>
        <w:rPr>
          <w:noProof/>
        </w:rPr>
        <w:t>pasākums atbilst Tehniskajām vadlīnijām “Nenodari būtisku kaitējumu” (2021/C58/01), atbilstības kritērijos, kas ietverti darba uzdevumā turpmākajiem uzaicinājumiem iesniegt projektus, izslēdz šādu darbību sarakstu: darbības, kas saistītas ar fosilajiem kur</w:t>
      </w:r>
      <w:r>
        <w:rPr>
          <w:noProof/>
        </w:rPr>
        <w:t>ināmajiem, tostarp pakārtota izmantošana</w:t>
      </w:r>
      <w:r>
        <w:rPr>
          <w:rStyle w:val="FootnoteReference"/>
          <w:noProof/>
        </w:rPr>
        <w:footnoteReference w:id="19"/>
      </w:r>
      <w:r>
        <w:rPr>
          <w:noProof/>
        </w:rPr>
        <w:t>; darbības ES emisijas kvotu tirdzniecības sistēmas (ETS) ietvaros, lai sasniegtu prognozētās siltumnīcefekta gāzu emisijas, kas nav zemākas par attiecīgajām līmeņatzīmēm</w:t>
      </w:r>
      <w:r>
        <w:rPr>
          <w:rStyle w:val="FootnoteReference"/>
          <w:noProof/>
        </w:rPr>
        <w:footnoteReference w:id="20"/>
      </w:r>
      <w:r>
        <w:rPr>
          <w:noProof/>
        </w:rPr>
        <w:t xml:space="preserve">; III) darbības, kas saistītas ar atkritumu </w:t>
      </w:r>
      <w:r>
        <w:rPr>
          <w:noProof/>
        </w:rPr>
        <w:t>poligoniem, atkritumu sadedzināšanas iekārtām</w:t>
      </w:r>
      <w:r>
        <w:rPr>
          <w:rStyle w:val="FootnoteReference"/>
          <w:noProof/>
        </w:rPr>
        <w:footnoteReference w:id="21"/>
      </w:r>
      <w:r>
        <w:rPr>
          <w:noProof/>
        </w:rPr>
        <w:t xml:space="preserve"> un mehāniski bioloģiskās apstrādes iekārtām</w:t>
      </w:r>
      <w:r>
        <w:rPr>
          <w:rStyle w:val="FootnoteReference"/>
          <w:noProof/>
        </w:rPr>
        <w:footnoteReference w:id="22"/>
      </w:r>
      <w:r>
        <w:rPr>
          <w:noProof/>
        </w:rPr>
        <w:t>; un iv) darbības, kurās atkritumu ilgtermiņa apglabāšana var radīt kaitējumu videi. Darba uzdevumā papildus nosaka, ka var atlasīt tikai tās darbības, kas atbilst a</w:t>
      </w:r>
      <w:r>
        <w:rPr>
          <w:noProof/>
        </w:rPr>
        <w:t>ttiecīgajiem ES un valsts tiesību aktiem vides jomā.</w:t>
      </w:r>
    </w:p>
    <w:p w14:paraId="1F3D4441" w14:textId="6995E33B" w:rsidR="00C972CB" w:rsidRDefault="002457F6">
      <w:pPr>
        <w:pStyle w:val="P68B1DB1-Normal2"/>
        <w:rPr>
          <w:i/>
          <w:noProof/>
        </w:rPr>
      </w:pPr>
      <w:r>
        <w:rPr>
          <w:noProof/>
        </w:rPr>
        <w:t>Ieguldījums 4.1. Digitālā tūrisma centrs</w:t>
      </w:r>
    </w:p>
    <w:p w14:paraId="0C702A43" w14:textId="77777777" w:rsidR="00C972CB" w:rsidRDefault="002457F6">
      <w:pPr>
        <w:spacing w:before="120" w:after="120"/>
        <w:jc w:val="both"/>
        <w:rPr>
          <w:noProof/>
        </w:rPr>
      </w:pPr>
      <w:r>
        <w:rPr>
          <w:noProof/>
        </w:rPr>
        <w:t>Pasākuma mērķis ir izveidot digitālo tūrisma centru, kas būtu pieejams, izmantojot īpašu tīmekļa platformu, kas dotu iespēju visai tūrisma ekosistēmai uzlabot, in</w:t>
      </w:r>
      <w:r>
        <w:rPr>
          <w:noProof/>
        </w:rPr>
        <w:t>tegrēt un popularizēt savu piedāvājumu. Ar šo ieguldījumu finansē jaunu digitālo infrastruktūru un atbalsta uzņēmumus, izmantojot Valsts tūrisma observatorijas nodrošinātos datu analīzes rīkus.</w:t>
      </w:r>
    </w:p>
    <w:p w14:paraId="46120C1B" w14:textId="047888E3" w:rsidR="00C972CB" w:rsidRDefault="002457F6">
      <w:pPr>
        <w:spacing w:before="120" w:after="120"/>
        <w:jc w:val="both"/>
        <w:rPr>
          <w:noProof/>
        </w:rPr>
      </w:pPr>
      <w:r>
        <w:rPr>
          <w:noProof/>
        </w:rPr>
        <w:t>Visbeidzot, pasākums paredz arī kompetences centra izveidi, la</w:t>
      </w:r>
      <w:r>
        <w:rPr>
          <w:noProof/>
        </w:rPr>
        <w:t>i atbalstītu paātrināšanas programmas.</w:t>
      </w:r>
    </w:p>
    <w:p w14:paraId="3D673163" w14:textId="407C4A56" w:rsidR="00C972CB" w:rsidRDefault="002457F6">
      <w:pPr>
        <w:spacing w:before="120" w:after="120"/>
        <w:jc w:val="both"/>
        <w:rPr>
          <w:noProof/>
        </w:rPr>
      </w:pPr>
      <w:r>
        <w:rPr>
          <w:noProof/>
        </w:rPr>
        <w:t xml:space="preserve">Lai nodrošinātu, ka pasākums atbilst Tehniskajām vadlīnijām “Nenodari būtisku kaitējumu” (2021/C58/01), atbilstības kritērijos, kas ietverti darba uzdevumā turpmākajiem uzaicinājumiem iesniegt projektus, izslēdz šādu </w:t>
      </w:r>
      <w:r>
        <w:rPr>
          <w:noProof/>
        </w:rPr>
        <w:t>darbību sarakstu: darbības, kas saistītas ar fosilajiem kurināmajiem, tostarp pakārtota izmantošana</w:t>
      </w:r>
      <w:r>
        <w:rPr>
          <w:rStyle w:val="FootnoteReference"/>
          <w:noProof/>
        </w:rPr>
        <w:footnoteReference w:id="23"/>
      </w:r>
      <w:r>
        <w:rPr>
          <w:noProof/>
        </w:rPr>
        <w:t>; darbības ES emisijas kvotu tirdzniecības sistēmas (ETS) ietvaros, lai sasniegtu prognozētās siltumnīcefekta gāzu emisijas, kas nav zemākas par attiecīgajā</w:t>
      </w:r>
      <w:r>
        <w:rPr>
          <w:noProof/>
        </w:rPr>
        <w:t>m līmeņatzīmēm</w:t>
      </w:r>
      <w:r>
        <w:rPr>
          <w:rStyle w:val="FootnoteReference"/>
          <w:noProof/>
        </w:rPr>
        <w:footnoteReference w:id="24"/>
      </w:r>
      <w:r>
        <w:rPr>
          <w:noProof/>
        </w:rPr>
        <w:t>; III) darbības, kas saistītas ar atkritumu poligoniem, atkritumu sadedzināšanas iekārtām</w:t>
      </w:r>
      <w:r>
        <w:rPr>
          <w:rStyle w:val="FootnoteReference"/>
          <w:noProof/>
        </w:rPr>
        <w:footnoteReference w:id="25"/>
      </w:r>
      <w:r>
        <w:rPr>
          <w:noProof/>
        </w:rPr>
        <w:t xml:space="preserve"> un mehāniski bioloģiskās apstrādes iekārtām</w:t>
      </w:r>
      <w:r>
        <w:rPr>
          <w:rStyle w:val="FootnoteReference"/>
          <w:noProof/>
        </w:rPr>
        <w:footnoteReference w:id="26"/>
      </w:r>
      <w:r>
        <w:rPr>
          <w:noProof/>
        </w:rPr>
        <w:t>; un iv) darbības, kurās atkritumu ilgtermiņa apglabāšana var radīt kaitējumu videi. Darba uzdevumā papild</w:t>
      </w:r>
      <w:r>
        <w:rPr>
          <w:noProof/>
        </w:rPr>
        <w:t>us nosaka, ka var izvēlēties tikai tās darbības, kas atbilst attiecīgajiem ES un valsts tiesību aktiem vides jomā.</w:t>
      </w:r>
    </w:p>
    <w:p w14:paraId="3ADE8B0A" w14:textId="77777777" w:rsidR="00C972CB" w:rsidRDefault="002457F6">
      <w:pPr>
        <w:pStyle w:val="P68B1DB1-Normal24"/>
        <w:jc w:val="both"/>
        <w:rPr>
          <w:noProof/>
        </w:rPr>
      </w:pPr>
      <w:r>
        <w:rPr>
          <w:noProof/>
        </w:rPr>
        <w:t>Reforma: Noteikumi par tūristu gidu profesiju noteikšanu</w:t>
      </w:r>
    </w:p>
    <w:p w14:paraId="0688E3F1" w14:textId="77777777" w:rsidR="00C972CB" w:rsidRDefault="002457F6">
      <w:pPr>
        <w:spacing w:before="120" w:after="120"/>
        <w:jc w:val="both"/>
        <w:rPr>
          <w:noProof/>
        </w:rPr>
      </w:pPr>
      <w:r>
        <w:rPr>
          <w:noProof/>
        </w:rPr>
        <w:t>Investīcijas digitālajā tūrisma centrā papildina reforma, kuras mērķis ir racionaliz</w:t>
      </w:r>
      <w:r>
        <w:rPr>
          <w:noProof/>
        </w:rPr>
        <w:t>ēt tūrisma gidu noteikumus. Pasākums, pienācīgi ņemot vērā vietējo regulējumu, paredz profesionālu organizāciju tūristu gidiem un to izcelsmes teritorijai. Sistemātiska un vienveidīga reformas piemērošana ļautu regulēt profesijas pamatprincipus un standart</w:t>
      </w:r>
      <w:r>
        <w:rPr>
          <w:noProof/>
        </w:rPr>
        <w:t>izēt pakalpojumu sniegšanas līmeņus visā valsts teritorijā, pozitīvi ietekmējot tirgu. Reforma ietver apmācību un tālākizglītību, lai vislabāk atbalstītu piedāvājumu.</w:t>
      </w:r>
    </w:p>
    <w:p w14:paraId="4C9D37D7" w14:textId="77777777" w:rsidR="00C972CB" w:rsidRDefault="00C972CB">
      <w:pPr>
        <w:pStyle w:val="Heading3"/>
        <w:numPr>
          <w:ilvl w:val="0"/>
          <w:numId w:val="0"/>
        </w:numPr>
        <w:ind w:left="850" w:hanging="850"/>
        <w:rPr>
          <w:rFonts w:eastAsia="Calibri"/>
          <w:noProof/>
          <w:color w:val="000000" w:themeColor="text1"/>
        </w:rPr>
        <w:sectPr w:rsidR="00C972CB">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46742226" w14:textId="58259A6B" w:rsidR="00C972CB" w:rsidRDefault="002457F6">
      <w:pPr>
        <w:pStyle w:val="Heading3"/>
        <w:numPr>
          <w:ilvl w:val="0"/>
          <w:numId w:val="0"/>
        </w:numPr>
        <w:ind w:left="850" w:hanging="850"/>
        <w:rPr>
          <w:b/>
          <w:i w:val="0"/>
          <w:noProof/>
          <w:u w:val="single"/>
        </w:rPr>
      </w:pPr>
      <w:r>
        <w:rPr>
          <w:b/>
          <w:i w:val="0"/>
          <w:noProof/>
          <w:u w:val="single"/>
        </w:rPr>
        <w:t xml:space="preserve">C.2. </w:t>
      </w:r>
      <w:r>
        <w:rPr>
          <w:noProof/>
        </w:rPr>
        <w:tab/>
      </w:r>
      <w:r>
        <w:rPr>
          <w:b/>
          <w:i w:val="0"/>
          <w:noProof/>
          <w:u w:val="single"/>
        </w:rPr>
        <w:t xml:space="preserve">Atskaites punkti, mērķrādītāji, </w:t>
      </w:r>
      <w:r>
        <w:rPr>
          <w:b/>
          <w:i w:val="0"/>
          <w:noProof/>
          <w:u w:val="single"/>
        </w:rPr>
        <w:t>citi rādītāji un neatmaksājamā finansiālā atbalsta uzraudzības un īstenošanas grafiks</w:t>
      </w: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5"/>
        <w:gridCol w:w="1344"/>
        <w:gridCol w:w="1603"/>
        <w:gridCol w:w="1135"/>
        <w:gridCol w:w="1135"/>
        <w:gridCol w:w="1162"/>
        <w:gridCol w:w="990"/>
        <w:gridCol w:w="694"/>
        <w:gridCol w:w="3672"/>
      </w:tblGrid>
      <w:tr w:rsidR="00C972CB" w14:paraId="49A5B195" w14:textId="77777777">
        <w:trPr>
          <w:trHeight w:val="1013"/>
          <w:tblHeader/>
        </w:trPr>
        <w:tc>
          <w:tcPr>
            <w:tcW w:w="366" w:type="pct"/>
            <w:vMerge w:val="restart"/>
            <w:shd w:val="clear" w:color="auto" w:fill="BDD7EE"/>
            <w:vAlign w:val="center"/>
          </w:tcPr>
          <w:p w14:paraId="704EECFC" w14:textId="77777777" w:rsidR="00C972CB" w:rsidRDefault="002457F6">
            <w:pPr>
              <w:pStyle w:val="P68B1DB1-Normal9"/>
              <w:spacing w:after="200" w:line="276" w:lineRule="auto"/>
              <w:rPr>
                <w:noProof/>
              </w:rPr>
            </w:pPr>
            <w:r>
              <w:rPr>
                <w:noProof/>
              </w:rPr>
              <w:t>Kārtas numurs</w:t>
            </w:r>
          </w:p>
        </w:tc>
        <w:tc>
          <w:tcPr>
            <w:tcW w:w="460" w:type="pct"/>
            <w:vMerge w:val="restart"/>
            <w:shd w:val="clear" w:color="auto" w:fill="BDD7EE"/>
            <w:vAlign w:val="center"/>
          </w:tcPr>
          <w:p w14:paraId="1EE66FF1" w14:textId="77777777" w:rsidR="00C972CB" w:rsidRDefault="002457F6">
            <w:pPr>
              <w:pStyle w:val="P68B1DB1-Normal9"/>
              <w:jc w:val="center"/>
              <w:rPr>
                <w:noProof/>
              </w:rPr>
            </w:pPr>
            <w:r>
              <w:rPr>
                <w:noProof/>
              </w:rPr>
              <w:t>Pasākums</w:t>
            </w:r>
          </w:p>
        </w:tc>
        <w:tc>
          <w:tcPr>
            <w:tcW w:w="368" w:type="pct"/>
            <w:vMerge w:val="restart"/>
            <w:shd w:val="clear" w:color="auto" w:fill="BDD7EE"/>
            <w:vAlign w:val="center"/>
          </w:tcPr>
          <w:p w14:paraId="096135B7" w14:textId="77777777" w:rsidR="00C972CB" w:rsidRDefault="002457F6">
            <w:pPr>
              <w:pStyle w:val="P68B1DB1-Normal9"/>
              <w:jc w:val="center"/>
              <w:rPr>
                <w:noProof/>
              </w:rPr>
            </w:pPr>
            <w:r>
              <w:rPr>
                <w:noProof/>
              </w:rPr>
              <w:t>Atskaites punkts/mērķrādītājs</w:t>
            </w:r>
          </w:p>
        </w:tc>
        <w:tc>
          <w:tcPr>
            <w:tcW w:w="436" w:type="pct"/>
            <w:vMerge w:val="restart"/>
            <w:shd w:val="clear" w:color="auto" w:fill="BDD7EE"/>
            <w:vAlign w:val="center"/>
          </w:tcPr>
          <w:p w14:paraId="715653B1" w14:textId="77777777" w:rsidR="00C972CB" w:rsidRDefault="002457F6">
            <w:pPr>
              <w:pStyle w:val="P68B1DB1-Normal9"/>
              <w:jc w:val="center"/>
              <w:rPr>
                <w:noProof/>
              </w:rPr>
            </w:pPr>
            <w:r>
              <w:rPr>
                <w:noProof/>
              </w:rPr>
              <w:t>Uzvārds</w:t>
            </w:r>
          </w:p>
        </w:tc>
        <w:tc>
          <w:tcPr>
            <w:tcW w:w="520" w:type="pct"/>
            <w:vMerge w:val="restart"/>
            <w:shd w:val="clear" w:color="auto" w:fill="BDD7EE"/>
            <w:vAlign w:val="center"/>
          </w:tcPr>
          <w:p w14:paraId="17D59F92" w14:textId="77777777" w:rsidR="00C972CB" w:rsidRDefault="002457F6">
            <w:pPr>
              <w:pStyle w:val="P68B1DB1-Normal19"/>
              <w:jc w:val="center"/>
              <w:rPr>
                <w:b/>
                <w:noProof/>
              </w:rPr>
            </w:pPr>
            <w:r>
              <w:rPr>
                <w:b/>
                <w:noProof/>
              </w:rPr>
              <w:t>Kvalitātes rādītāji</w:t>
            </w:r>
            <w:r>
              <w:rPr>
                <w:noProof/>
              </w:rPr>
              <w:t xml:space="preserve"> </w:t>
            </w:r>
            <w:r>
              <w:rPr>
                <w:noProof/>
              </w:rPr>
              <w:br/>
            </w:r>
            <w:r>
              <w:rPr>
                <w:b/>
                <w:noProof/>
              </w:rPr>
              <w:t>(attiecībā uz starpposma mērķiem)</w:t>
            </w:r>
          </w:p>
        </w:tc>
        <w:tc>
          <w:tcPr>
            <w:tcW w:w="1113" w:type="pct"/>
            <w:gridSpan w:val="3"/>
            <w:shd w:val="clear" w:color="auto" w:fill="BDD7EE"/>
            <w:vAlign w:val="center"/>
          </w:tcPr>
          <w:p w14:paraId="795757A9" w14:textId="77777777" w:rsidR="00C972CB" w:rsidRDefault="002457F6">
            <w:pPr>
              <w:pStyle w:val="P68B1DB1-Normal19"/>
              <w:jc w:val="center"/>
              <w:rPr>
                <w:b/>
                <w:noProof/>
              </w:rPr>
            </w:pPr>
            <w:r>
              <w:rPr>
                <w:b/>
                <w:noProof/>
              </w:rPr>
              <w:t>Kvantitatīvie rādītāji</w:t>
            </w:r>
            <w:r>
              <w:rPr>
                <w:noProof/>
              </w:rPr>
              <w:t xml:space="preserve"> </w:t>
            </w:r>
            <w:r>
              <w:rPr>
                <w:noProof/>
              </w:rPr>
              <w:br/>
            </w:r>
            <w:r>
              <w:rPr>
                <w:b/>
                <w:noProof/>
              </w:rPr>
              <w:t>(mērķiem)</w:t>
            </w:r>
          </w:p>
        </w:tc>
        <w:tc>
          <w:tcPr>
            <w:tcW w:w="546" w:type="pct"/>
            <w:gridSpan w:val="2"/>
            <w:shd w:val="clear" w:color="auto" w:fill="BDD7EE"/>
            <w:vAlign w:val="center"/>
          </w:tcPr>
          <w:p w14:paraId="26CAF45E" w14:textId="77777777" w:rsidR="00C972CB" w:rsidRDefault="002457F6">
            <w:pPr>
              <w:pStyle w:val="P68B1DB1-Normal9"/>
              <w:jc w:val="center"/>
              <w:rPr>
                <w:noProof/>
              </w:rPr>
            </w:pPr>
            <w:r>
              <w:rPr>
                <w:noProof/>
              </w:rPr>
              <w:t xml:space="preserve">Orientējošs </w:t>
            </w:r>
            <w:r>
              <w:rPr>
                <w:noProof/>
              </w:rPr>
              <w:t>pabeigšanas termiņš</w:t>
            </w:r>
          </w:p>
        </w:tc>
        <w:tc>
          <w:tcPr>
            <w:tcW w:w="1192" w:type="pct"/>
            <w:vMerge w:val="restart"/>
            <w:shd w:val="clear" w:color="auto" w:fill="BDD7EE"/>
            <w:vAlign w:val="center"/>
          </w:tcPr>
          <w:p w14:paraId="530D8B4C" w14:textId="77777777" w:rsidR="00C972CB" w:rsidRDefault="002457F6">
            <w:pPr>
              <w:pStyle w:val="P68B1DB1-Normal9"/>
              <w:rPr>
                <w:noProof/>
              </w:rPr>
            </w:pPr>
            <w:r>
              <w:rPr>
                <w:noProof/>
              </w:rPr>
              <w:t>Apraksts par katru atskaites punktu un mērķrādītāju</w:t>
            </w:r>
          </w:p>
        </w:tc>
      </w:tr>
      <w:tr w:rsidR="00C972CB" w14:paraId="68C0102A" w14:textId="77777777">
        <w:trPr>
          <w:trHeight w:val="1013"/>
          <w:tblHeader/>
        </w:trPr>
        <w:tc>
          <w:tcPr>
            <w:tcW w:w="366" w:type="pct"/>
            <w:vMerge/>
            <w:vAlign w:val="center"/>
            <w:hideMark/>
          </w:tcPr>
          <w:p w14:paraId="749A8C33" w14:textId="77777777" w:rsidR="00C972CB" w:rsidRDefault="00C972CB">
            <w:pPr>
              <w:spacing w:after="200" w:line="276" w:lineRule="auto"/>
              <w:rPr>
                <w:rFonts w:ascii="Arial Narrow" w:hAnsi="Arial Narrow"/>
                <w:b/>
                <w:noProof/>
                <w:sz w:val="20"/>
              </w:rPr>
            </w:pPr>
          </w:p>
        </w:tc>
        <w:tc>
          <w:tcPr>
            <w:tcW w:w="460" w:type="pct"/>
            <w:vMerge/>
            <w:vAlign w:val="center"/>
            <w:hideMark/>
          </w:tcPr>
          <w:p w14:paraId="68017005" w14:textId="77777777" w:rsidR="00C972CB" w:rsidRDefault="00C972CB">
            <w:pPr>
              <w:jc w:val="center"/>
              <w:rPr>
                <w:rFonts w:ascii="Arial Narrow" w:hAnsi="Arial Narrow"/>
                <w:b/>
                <w:noProof/>
                <w:sz w:val="20"/>
              </w:rPr>
            </w:pPr>
          </w:p>
        </w:tc>
        <w:tc>
          <w:tcPr>
            <w:tcW w:w="368" w:type="pct"/>
            <w:vMerge/>
            <w:vAlign w:val="center"/>
            <w:hideMark/>
          </w:tcPr>
          <w:p w14:paraId="1A335473" w14:textId="77777777" w:rsidR="00C972CB" w:rsidRDefault="00C972CB">
            <w:pPr>
              <w:jc w:val="center"/>
              <w:rPr>
                <w:rFonts w:ascii="Arial Narrow" w:hAnsi="Arial Narrow"/>
                <w:b/>
                <w:noProof/>
                <w:sz w:val="20"/>
              </w:rPr>
            </w:pPr>
          </w:p>
        </w:tc>
        <w:tc>
          <w:tcPr>
            <w:tcW w:w="436" w:type="pct"/>
            <w:vMerge/>
            <w:vAlign w:val="center"/>
            <w:hideMark/>
          </w:tcPr>
          <w:p w14:paraId="3E3B7115" w14:textId="77777777" w:rsidR="00C972CB" w:rsidRDefault="00C972CB">
            <w:pPr>
              <w:jc w:val="center"/>
              <w:rPr>
                <w:rFonts w:ascii="Arial Narrow" w:hAnsi="Arial Narrow"/>
                <w:b/>
                <w:noProof/>
                <w:sz w:val="20"/>
              </w:rPr>
            </w:pPr>
          </w:p>
        </w:tc>
        <w:tc>
          <w:tcPr>
            <w:tcW w:w="520" w:type="pct"/>
            <w:vMerge/>
            <w:vAlign w:val="center"/>
            <w:hideMark/>
          </w:tcPr>
          <w:p w14:paraId="096DFA0A" w14:textId="77777777" w:rsidR="00C972CB" w:rsidRDefault="00C972CB">
            <w:pPr>
              <w:jc w:val="center"/>
              <w:rPr>
                <w:rFonts w:ascii="Arial Narrow" w:hAnsi="Arial Narrow"/>
                <w:b/>
                <w:noProof/>
                <w:sz w:val="20"/>
              </w:rPr>
            </w:pPr>
          </w:p>
        </w:tc>
        <w:tc>
          <w:tcPr>
            <w:tcW w:w="368" w:type="pct"/>
            <w:shd w:val="clear" w:color="auto" w:fill="BDD7EE"/>
            <w:vAlign w:val="center"/>
            <w:hideMark/>
          </w:tcPr>
          <w:p w14:paraId="5B1E0914" w14:textId="77777777" w:rsidR="00C972CB" w:rsidRDefault="002457F6">
            <w:pPr>
              <w:pStyle w:val="P68B1DB1-Normal9"/>
              <w:jc w:val="center"/>
              <w:rPr>
                <w:noProof/>
              </w:rPr>
            </w:pPr>
            <w:r>
              <w:rPr>
                <w:noProof/>
              </w:rPr>
              <w:t>Mēra vienība</w:t>
            </w:r>
          </w:p>
        </w:tc>
        <w:tc>
          <w:tcPr>
            <w:tcW w:w="368" w:type="pct"/>
            <w:shd w:val="clear" w:color="auto" w:fill="BDD7EE"/>
            <w:vAlign w:val="center"/>
            <w:hideMark/>
          </w:tcPr>
          <w:p w14:paraId="2A4F2DFE" w14:textId="77777777" w:rsidR="00C972CB" w:rsidRDefault="002457F6">
            <w:pPr>
              <w:pStyle w:val="P68B1DB1-Normal9"/>
              <w:jc w:val="center"/>
              <w:rPr>
                <w:noProof/>
              </w:rPr>
            </w:pPr>
            <w:r>
              <w:rPr>
                <w:noProof/>
              </w:rPr>
              <w:t>Pamatscenārijs</w:t>
            </w:r>
          </w:p>
        </w:tc>
        <w:tc>
          <w:tcPr>
            <w:tcW w:w="377" w:type="pct"/>
            <w:shd w:val="clear" w:color="auto" w:fill="BDD7EE"/>
            <w:vAlign w:val="center"/>
            <w:hideMark/>
          </w:tcPr>
          <w:p w14:paraId="3AA42810" w14:textId="77777777" w:rsidR="00C972CB" w:rsidRDefault="002457F6">
            <w:pPr>
              <w:pStyle w:val="P68B1DB1-Normal9"/>
              <w:jc w:val="center"/>
              <w:rPr>
                <w:noProof/>
              </w:rPr>
            </w:pPr>
            <w:r>
              <w:rPr>
                <w:noProof/>
              </w:rPr>
              <w:t>Mērķis</w:t>
            </w:r>
          </w:p>
        </w:tc>
        <w:tc>
          <w:tcPr>
            <w:tcW w:w="321" w:type="pct"/>
            <w:shd w:val="clear" w:color="auto" w:fill="BDD7EE"/>
            <w:vAlign w:val="center"/>
            <w:hideMark/>
          </w:tcPr>
          <w:p w14:paraId="46A1CFE5" w14:textId="77777777" w:rsidR="00C972CB" w:rsidRDefault="002457F6">
            <w:pPr>
              <w:pStyle w:val="P68B1DB1-Normal9"/>
              <w:jc w:val="center"/>
              <w:rPr>
                <w:noProof/>
              </w:rPr>
            </w:pPr>
            <w:r>
              <w:rPr>
                <w:noProof/>
              </w:rPr>
              <w:t>Ceturtdaļa</w:t>
            </w:r>
          </w:p>
        </w:tc>
        <w:tc>
          <w:tcPr>
            <w:tcW w:w="224" w:type="pct"/>
            <w:shd w:val="clear" w:color="auto" w:fill="BDD7EE"/>
            <w:vAlign w:val="center"/>
            <w:hideMark/>
          </w:tcPr>
          <w:p w14:paraId="48B1551D" w14:textId="77777777" w:rsidR="00C972CB" w:rsidRDefault="002457F6">
            <w:pPr>
              <w:pStyle w:val="P68B1DB1-Normal9"/>
              <w:jc w:val="center"/>
              <w:rPr>
                <w:noProof/>
              </w:rPr>
            </w:pPr>
            <w:r>
              <w:rPr>
                <w:noProof/>
              </w:rPr>
              <w:t>Gadā</w:t>
            </w:r>
          </w:p>
        </w:tc>
        <w:tc>
          <w:tcPr>
            <w:tcW w:w="1192" w:type="pct"/>
            <w:vMerge/>
            <w:vAlign w:val="center"/>
            <w:hideMark/>
          </w:tcPr>
          <w:p w14:paraId="561B19F8" w14:textId="77777777" w:rsidR="00C972CB" w:rsidRDefault="00C972CB">
            <w:pPr>
              <w:rPr>
                <w:rFonts w:ascii="Arial Narrow" w:hAnsi="Arial Narrow"/>
                <w:b/>
                <w:noProof/>
                <w:sz w:val="20"/>
              </w:rPr>
            </w:pPr>
          </w:p>
        </w:tc>
      </w:tr>
      <w:tr w:rsidR="00C972CB" w14:paraId="47B14BBD" w14:textId="77777777">
        <w:trPr>
          <w:trHeight w:val="309"/>
        </w:trPr>
        <w:tc>
          <w:tcPr>
            <w:tcW w:w="366" w:type="pct"/>
            <w:shd w:val="clear" w:color="auto" w:fill="C6EFCE"/>
            <w:noWrap/>
            <w:vAlign w:val="center"/>
            <w:hideMark/>
          </w:tcPr>
          <w:p w14:paraId="2B3909A1" w14:textId="77777777" w:rsidR="00C972CB" w:rsidRDefault="002457F6">
            <w:pPr>
              <w:pStyle w:val="P68B1DB1-Normal11"/>
              <w:jc w:val="center"/>
              <w:rPr>
                <w:noProof/>
              </w:rPr>
            </w:pPr>
            <w:r>
              <w:rPr>
                <w:noProof/>
              </w:rPr>
              <w:t>M1C3–1</w:t>
            </w:r>
          </w:p>
        </w:tc>
        <w:tc>
          <w:tcPr>
            <w:tcW w:w="460" w:type="pct"/>
            <w:shd w:val="clear" w:color="auto" w:fill="C6EFCE"/>
            <w:noWrap/>
            <w:vAlign w:val="center"/>
            <w:hideMark/>
          </w:tcPr>
          <w:p w14:paraId="46332E52" w14:textId="77777777" w:rsidR="00C972CB" w:rsidRDefault="002457F6">
            <w:pPr>
              <w:pStyle w:val="P68B1DB1-Normal11"/>
              <w:jc w:val="center"/>
              <w:rPr>
                <w:noProof/>
              </w:rPr>
            </w:pPr>
            <w:r>
              <w:rPr>
                <w:noProof/>
              </w:rPr>
              <w:t>Ieguldījums 1.1. Digitālā stratēģija un kultūras mantojuma platformas</w:t>
            </w:r>
          </w:p>
        </w:tc>
        <w:tc>
          <w:tcPr>
            <w:tcW w:w="368" w:type="pct"/>
            <w:shd w:val="clear" w:color="auto" w:fill="C6EFCE"/>
            <w:noWrap/>
            <w:vAlign w:val="center"/>
            <w:hideMark/>
          </w:tcPr>
          <w:p w14:paraId="3484C88C" w14:textId="77777777" w:rsidR="00C972CB" w:rsidRDefault="002457F6">
            <w:pPr>
              <w:pStyle w:val="P68B1DB1-Normal11"/>
              <w:jc w:val="center"/>
              <w:rPr>
                <w:noProof/>
              </w:rPr>
            </w:pPr>
            <w:r>
              <w:rPr>
                <w:noProof/>
              </w:rPr>
              <w:t>Mērķa</w:t>
            </w:r>
          </w:p>
        </w:tc>
        <w:tc>
          <w:tcPr>
            <w:tcW w:w="436" w:type="pct"/>
            <w:shd w:val="clear" w:color="auto" w:fill="C6EFCE"/>
            <w:noWrap/>
            <w:vAlign w:val="center"/>
            <w:hideMark/>
          </w:tcPr>
          <w:p w14:paraId="650E64A5" w14:textId="77777777" w:rsidR="00C972CB" w:rsidRDefault="002457F6">
            <w:pPr>
              <w:pStyle w:val="P68B1DB1-Normal11"/>
              <w:jc w:val="center"/>
              <w:rPr>
                <w:noProof/>
              </w:rPr>
            </w:pPr>
            <w:r>
              <w:rPr>
                <w:noProof/>
              </w:rPr>
              <w:t xml:space="preserve">Lietotāji, kas apmācīti, izmantojot </w:t>
            </w:r>
            <w:r>
              <w:rPr>
                <w:noProof/>
              </w:rPr>
              <w:t>kultūras mantojuma e-mācību platformu</w:t>
            </w:r>
          </w:p>
        </w:tc>
        <w:tc>
          <w:tcPr>
            <w:tcW w:w="520" w:type="pct"/>
            <w:shd w:val="clear" w:color="auto" w:fill="C6EFCE"/>
            <w:noWrap/>
            <w:vAlign w:val="center"/>
            <w:hideMark/>
          </w:tcPr>
          <w:p w14:paraId="7437FA36"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2286D584" w14:textId="77777777" w:rsidR="00C972CB" w:rsidRDefault="002457F6">
            <w:pPr>
              <w:pStyle w:val="P68B1DB1-Normal11"/>
              <w:jc w:val="center"/>
              <w:rPr>
                <w:noProof/>
              </w:rPr>
            </w:pPr>
            <w:r>
              <w:rPr>
                <w:noProof/>
              </w:rPr>
              <w:t>Skaits</w:t>
            </w:r>
          </w:p>
        </w:tc>
        <w:tc>
          <w:tcPr>
            <w:tcW w:w="368" w:type="pct"/>
            <w:shd w:val="clear" w:color="auto" w:fill="C6EFCE"/>
            <w:noWrap/>
            <w:vAlign w:val="center"/>
            <w:hideMark/>
          </w:tcPr>
          <w:p w14:paraId="29B9F203" w14:textId="77777777" w:rsidR="00C972CB" w:rsidRDefault="002457F6">
            <w:pPr>
              <w:pStyle w:val="P68B1DB1-Normal11"/>
              <w:jc w:val="center"/>
              <w:rPr>
                <w:noProof/>
              </w:rPr>
            </w:pPr>
            <w:r>
              <w:rPr>
                <w:noProof/>
              </w:rPr>
              <w:t>0</w:t>
            </w:r>
          </w:p>
        </w:tc>
        <w:tc>
          <w:tcPr>
            <w:tcW w:w="377" w:type="pct"/>
            <w:shd w:val="clear" w:color="auto" w:fill="C6EFCE"/>
            <w:noWrap/>
            <w:vAlign w:val="center"/>
            <w:hideMark/>
          </w:tcPr>
          <w:p w14:paraId="5D861463" w14:textId="06C300C0" w:rsidR="00C972CB" w:rsidRDefault="002457F6">
            <w:pPr>
              <w:pStyle w:val="P68B1DB1-Normal11"/>
              <w:jc w:val="center"/>
              <w:rPr>
                <w:noProof/>
              </w:rPr>
            </w:pPr>
            <w:r>
              <w:rPr>
                <w:noProof/>
              </w:rPr>
              <w:t>30 000</w:t>
            </w:r>
          </w:p>
        </w:tc>
        <w:tc>
          <w:tcPr>
            <w:tcW w:w="321" w:type="pct"/>
            <w:shd w:val="clear" w:color="auto" w:fill="C6EFCE"/>
            <w:noWrap/>
            <w:vAlign w:val="center"/>
            <w:hideMark/>
          </w:tcPr>
          <w:p w14:paraId="7BC8F5C0" w14:textId="77777777" w:rsidR="00C972CB" w:rsidRDefault="002457F6">
            <w:pPr>
              <w:pStyle w:val="P68B1DB1-Normal11"/>
              <w:jc w:val="center"/>
              <w:rPr>
                <w:noProof/>
              </w:rPr>
            </w:pPr>
            <w:r>
              <w:rPr>
                <w:noProof/>
              </w:rPr>
              <w:t>4. CET.</w:t>
            </w:r>
          </w:p>
        </w:tc>
        <w:tc>
          <w:tcPr>
            <w:tcW w:w="224" w:type="pct"/>
            <w:shd w:val="clear" w:color="auto" w:fill="C6EFCE"/>
            <w:noWrap/>
            <w:vAlign w:val="center"/>
            <w:hideMark/>
          </w:tcPr>
          <w:p w14:paraId="6788B425" w14:textId="77777777" w:rsidR="00C972CB" w:rsidRDefault="002457F6">
            <w:pPr>
              <w:pStyle w:val="P68B1DB1-Normal11"/>
              <w:jc w:val="center"/>
              <w:rPr>
                <w:noProof/>
              </w:rPr>
            </w:pPr>
            <w:r>
              <w:rPr>
                <w:noProof/>
              </w:rPr>
              <w:t>2025</w:t>
            </w:r>
          </w:p>
        </w:tc>
        <w:tc>
          <w:tcPr>
            <w:tcW w:w="1192" w:type="pct"/>
            <w:shd w:val="clear" w:color="auto" w:fill="C6EFCE"/>
            <w:noWrap/>
            <w:vAlign w:val="center"/>
            <w:hideMark/>
          </w:tcPr>
          <w:p w14:paraId="0273D0C7" w14:textId="77777777" w:rsidR="00C972CB" w:rsidRDefault="002457F6">
            <w:pPr>
              <w:pStyle w:val="P68B1DB1-Normal11"/>
              <w:rPr>
                <w:noProof/>
              </w:rPr>
            </w:pPr>
            <w:r>
              <w:rPr>
                <w:noProof/>
              </w:rPr>
              <w:t>Apmācītie mērķa lietotāji novērtē mūžizglītības programmai digitāli sniedzamā mācību piedāvājuma efektivitāti.</w:t>
            </w:r>
          </w:p>
          <w:p w14:paraId="301D13E6" w14:textId="77777777" w:rsidR="00C972CB" w:rsidRDefault="002457F6">
            <w:pPr>
              <w:pStyle w:val="P68B1DB1-Normal11"/>
              <w:rPr>
                <w:noProof/>
              </w:rPr>
            </w:pPr>
            <w:r>
              <w:rPr>
                <w:noProof/>
              </w:rPr>
              <w:t>Intervences veidi ietver:</w:t>
            </w:r>
          </w:p>
          <w:p w14:paraId="66911B79" w14:textId="77777777" w:rsidR="00C972CB" w:rsidRDefault="002457F6">
            <w:pPr>
              <w:pStyle w:val="P68B1DB1-Normal11"/>
              <w:rPr>
                <w:noProof/>
              </w:rPr>
            </w:pPr>
            <w:r>
              <w:rPr>
                <w:noProof/>
              </w:rPr>
              <w:t>mācību kursu izstrāde, īstenošana ar front</w:t>
            </w:r>
            <w:r>
              <w:rPr>
                <w:noProof/>
              </w:rPr>
              <w:t>ālās mācīšanas un e-mācību programmām, kas izstrādātas, pamatojoties uz dažādu izglītojamo mērķgrupu kompetences novērtējumu (atbilstoši trim kursu līmeņiem: pamatprasmes, speciālistu prasmes, vadības prasmes).</w:t>
            </w:r>
          </w:p>
          <w:p w14:paraId="67D7D549" w14:textId="77777777" w:rsidR="00C972CB" w:rsidRDefault="002457F6">
            <w:pPr>
              <w:pStyle w:val="P68B1DB1-Normal11"/>
              <w:rPr>
                <w:noProof/>
              </w:rPr>
            </w:pPr>
            <w:r>
              <w:rPr>
                <w:noProof/>
              </w:rPr>
              <w:t>Šā pasākuma saņēmēji ir: ministrijas darbinie</w:t>
            </w:r>
            <w:r>
              <w:rPr>
                <w:noProof/>
              </w:rPr>
              <w:t>ki, vietējo pašvaldību kultūras institūtu darbinieki, ārštata kultūras darbinieki.</w:t>
            </w:r>
          </w:p>
          <w:p w14:paraId="5E1E33AD" w14:textId="77777777" w:rsidR="00C972CB" w:rsidRDefault="00C972CB">
            <w:pPr>
              <w:rPr>
                <w:rFonts w:ascii="Arial Narrow" w:hAnsi="Arial Narrow"/>
                <w:noProof/>
                <w:color w:val="006100"/>
                <w:sz w:val="20"/>
              </w:rPr>
            </w:pPr>
          </w:p>
        </w:tc>
      </w:tr>
      <w:tr w:rsidR="00C972CB" w14:paraId="341D5C18" w14:textId="77777777">
        <w:trPr>
          <w:trHeight w:val="309"/>
        </w:trPr>
        <w:tc>
          <w:tcPr>
            <w:tcW w:w="366" w:type="pct"/>
            <w:shd w:val="clear" w:color="auto" w:fill="C6EFCE"/>
            <w:noWrap/>
            <w:vAlign w:val="center"/>
            <w:hideMark/>
          </w:tcPr>
          <w:p w14:paraId="77B36DF8" w14:textId="77777777" w:rsidR="00C972CB" w:rsidRDefault="002457F6">
            <w:pPr>
              <w:pStyle w:val="P68B1DB1-Normal11"/>
              <w:jc w:val="center"/>
              <w:rPr>
                <w:noProof/>
              </w:rPr>
            </w:pPr>
            <w:r>
              <w:rPr>
                <w:noProof/>
              </w:rPr>
              <w:t>M1C3–2</w:t>
            </w:r>
          </w:p>
        </w:tc>
        <w:tc>
          <w:tcPr>
            <w:tcW w:w="460" w:type="pct"/>
            <w:shd w:val="clear" w:color="auto" w:fill="C6EFCE"/>
            <w:noWrap/>
            <w:vAlign w:val="center"/>
            <w:hideMark/>
          </w:tcPr>
          <w:p w14:paraId="398EBAE8" w14:textId="77777777" w:rsidR="00C972CB" w:rsidRDefault="002457F6">
            <w:pPr>
              <w:pStyle w:val="P68B1DB1-Normal11"/>
              <w:jc w:val="center"/>
              <w:rPr>
                <w:noProof/>
              </w:rPr>
            </w:pPr>
            <w:r>
              <w:rPr>
                <w:noProof/>
              </w:rPr>
              <w:t>Ieguldījumi — 1.1. Digitālā stratēģija un kultūras mantojuma platformas</w:t>
            </w:r>
          </w:p>
        </w:tc>
        <w:tc>
          <w:tcPr>
            <w:tcW w:w="368" w:type="pct"/>
            <w:shd w:val="clear" w:color="auto" w:fill="C6EFCE"/>
            <w:noWrap/>
            <w:vAlign w:val="center"/>
            <w:hideMark/>
          </w:tcPr>
          <w:p w14:paraId="33A51AD7" w14:textId="77777777" w:rsidR="00C972CB" w:rsidRDefault="002457F6">
            <w:pPr>
              <w:pStyle w:val="P68B1DB1-Normal11"/>
              <w:jc w:val="center"/>
              <w:rPr>
                <w:noProof/>
              </w:rPr>
            </w:pPr>
            <w:r>
              <w:rPr>
                <w:noProof/>
              </w:rPr>
              <w:t>Mērķa</w:t>
            </w:r>
          </w:p>
        </w:tc>
        <w:tc>
          <w:tcPr>
            <w:tcW w:w="436" w:type="pct"/>
            <w:shd w:val="clear" w:color="auto" w:fill="C6EFCE"/>
            <w:noWrap/>
            <w:vAlign w:val="center"/>
            <w:hideMark/>
          </w:tcPr>
          <w:p w14:paraId="60038BA9" w14:textId="77777777" w:rsidR="00C972CB" w:rsidRDefault="002457F6">
            <w:pPr>
              <w:pStyle w:val="P68B1DB1-Normal11"/>
              <w:jc w:val="center"/>
              <w:rPr>
                <w:noProof/>
              </w:rPr>
            </w:pPr>
            <w:r>
              <w:rPr>
                <w:noProof/>
              </w:rPr>
              <w:t>Digitālajā bibliotēkā sagatavoti un publicēti digitālie resursi</w:t>
            </w:r>
          </w:p>
          <w:p w14:paraId="0311BF45" w14:textId="77777777" w:rsidR="00C972CB" w:rsidRDefault="00C972CB">
            <w:pPr>
              <w:jc w:val="center"/>
              <w:rPr>
                <w:rFonts w:ascii="Arial Narrow" w:hAnsi="Arial Narrow"/>
                <w:noProof/>
                <w:color w:val="006100"/>
                <w:sz w:val="20"/>
              </w:rPr>
            </w:pPr>
          </w:p>
        </w:tc>
        <w:tc>
          <w:tcPr>
            <w:tcW w:w="520" w:type="pct"/>
            <w:shd w:val="clear" w:color="auto" w:fill="C6EFCE"/>
            <w:noWrap/>
            <w:vAlign w:val="center"/>
            <w:hideMark/>
          </w:tcPr>
          <w:p w14:paraId="5AE36A9E"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617E2436" w14:textId="77777777" w:rsidR="00C972CB" w:rsidRDefault="002457F6">
            <w:pPr>
              <w:pStyle w:val="P68B1DB1-Normal11"/>
              <w:jc w:val="center"/>
              <w:rPr>
                <w:noProof/>
              </w:rPr>
            </w:pPr>
            <w:r>
              <w:rPr>
                <w:noProof/>
              </w:rPr>
              <w:t>Skaits</w:t>
            </w:r>
          </w:p>
        </w:tc>
        <w:tc>
          <w:tcPr>
            <w:tcW w:w="368" w:type="pct"/>
            <w:shd w:val="clear" w:color="auto" w:fill="C6EFCE"/>
            <w:noWrap/>
            <w:vAlign w:val="center"/>
            <w:hideMark/>
          </w:tcPr>
          <w:p w14:paraId="3F402347" w14:textId="77777777" w:rsidR="00C972CB" w:rsidRDefault="002457F6">
            <w:pPr>
              <w:pStyle w:val="P68B1DB1-Normal11"/>
              <w:jc w:val="center"/>
              <w:rPr>
                <w:noProof/>
              </w:rPr>
            </w:pPr>
            <w:r>
              <w:rPr>
                <w:noProof/>
              </w:rPr>
              <w:t>0</w:t>
            </w:r>
          </w:p>
        </w:tc>
        <w:tc>
          <w:tcPr>
            <w:tcW w:w="377" w:type="pct"/>
            <w:shd w:val="clear" w:color="auto" w:fill="C6EFCE"/>
            <w:noWrap/>
            <w:vAlign w:val="center"/>
            <w:hideMark/>
          </w:tcPr>
          <w:p w14:paraId="1A9637B5" w14:textId="2BCB918E" w:rsidR="00C972CB" w:rsidRDefault="002457F6">
            <w:pPr>
              <w:pStyle w:val="P68B1DB1-Normal11"/>
              <w:jc w:val="center"/>
              <w:rPr>
                <w:noProof/>
              </w:rPr>
            </w:pPr>
            <w:r>
              <w:rPr>
                <w:noProof/>
              </w:rPr>
              <w:t>65 000 000</w:t>
            </w:r>
          </w:p>
        </w:tc>
        <w:tc>
          <w:tcPr>
            <w:tcW w:w="321" w:type="pct"/>
            <w:shd w:val="clear" w:color="auto" w:fill="C6EFCE"/>
            <w:noWrap/>
            <w:vAlign w:val="center"/>
            <w:hideMark/>
          </w:tcPr>
          <w:p w14:paraId="0FE3D739" w14:textId="77777777" w:rsidR="00C972CB" w:rsidRDefault="002457F6">
            <w:pPr>
              <w:pStyle w:val="P68B1DB1-Normal11"/>
              <w:jc w:val="center"/>
              <w:rPr>
                <w:noProof/>
              </w:rPr>
            </w:pPr>
            <w:r>
              <w:rPr>
                <w:noProof/>
              </w:rPr>
              <w:t>4. CET.</w:t>
            </w:r>
          </w:p>
        </w:tc>
        <w:tc>
          <w:tcPr>
            <w:tcW w:w="224" w:type="pct"/>
            <w:shd w:val="clear" w:color="auto" w:fill="C6EFCE"/>
            <w:noWrap/>
            <w:vAlign w:val="center"/>
            <w:hideMark/>
          </w:tcPr>
          <w:p w14:paraId="32C46F96" w14:textId="77777777" w:rsidR="00C972CB" w:rsidRDefault="00C972CB">
            <w:pPr>
              <w:jc w:val="center"/>
              <w:rPr>
                <w:rFonts w:ascii="Arial Narrow" w:hAnsi="Arial Narrow"/>
                <w:noProof/>
                <w:color w:val="006100"/>
                <w:sz w:val="20"/>
              </w:rPr>
            </w:pPr>
          </w:p>
          <w:p w14:paraId="34F9AB14" w14:textId="77777777" w:rsidR="00C972CB" w:rsidRDefault="002457F6">
            <w:pPr>
              <w:pStyle w:val="P68B1DB1-Normal11"/>
              <w:jc w:val="center"/>
              <w:rPr>
                <w:noProof/>
              </w:rPr>
            </w:pPr>
            <w:r>
              <w:rPr>
                <w:noProof/>
              </w:rPr>
              <w:t>2025</w:t>
            </w:r>
          </w:p>
          <w:p w14:paraId="6924F315" w14:textId="77777777" w:rsidR="00C972CB" w:rsidRDefault="00C972CB">
            <w:pPr>
              <w:jc w:val="center"/>
              <w:rPr>
                <w:rFonts w:ascii="Arial Narrow" w:hAnsi="Arial Narrow"/>
                <w:noProof/>
                <w:color w:val="006100"/>
                <w:sz w:val="20"/>
              </w:rPr>
            </w:pPr>
          </w:p>
        </w:tc>
        <w:tc>
          <w:tcPr>
            <w:tcW w:w="1192" w:type="pct"/>
            <w:shd w:val="clear" w:color="auto" w:fill="C6EFCE"/>
            <w:noWrap/>
            <w:vAlign w:val="center"/>
            <w:hideMark/>
          </w:tcPr>
          <w:p w14:paraId="498E5E25" w14:textId="77777777" w:rsidR="00C972CB" w:rsidRDefault="002457F6">
            <w:pPr>
              <w:pStyle w:val="P68B1DB1-Normal11"/>
              <w:rPr>
                <w:noProof/>
              </w:rPr>
            </w:pPr>
            <w:r>
              <w:rPr>
                <w:noProof/>
              </w:rPr>
              <w:t>Mērķa digitālie resursi mēra to digitalizēto kultūras priekšmetu skaita pieaugumu, kuru digitālo reproducēšanu var izmantot tiešsaistē, izmantojot digitālās tehnoloģijas.</w:t>
            </w:r>
          </w:p>
          <w:p w14:paraId="75BE9265" w14:textId="77777777" w:rsidR="00C972CB" w:rsidRDefault="002457F6">
            <w:pPr>
              <w:pStyle w:val="P68B1DB1-Normal11"/>
              <w:rPr>
                <w:noProof/>
              </w:rPr>
            </w:pPr>
            <w:r>
              <w:rPr>
                <w:noProof/>
              </w:rPr>
              <w:t>Digitālo resursu veidi, kas jāpabeidz, ietver: grāmatu un m</w:t>
            </w:r>
            <w:r>
              <w:rPr>
                <w:noProof/>
              </w:rPr>
              <w:t>anuskriptu, dokumentu un fotogrāfiju, mākslas darbu un vēsturisku un arheoloģisku artefaktu, pieminekļu un arheoloģisko vietņu, audio-video materiālu digitalizācija, tostarp iepriekšējo digitalizācijas un metadatu normalizēšana</w:t>
            </w:r>
          </w:p>
          <w:p w14:paraId="2B032E8B" w14:textId="77777777" w:rsidR="00C972CB" w:rsidRDefault="002457F6">
            <w:pPr>
              <w:pStyle w:val="P68B1DB1-Normal11"/>
              <w:rPr>
                <w:noProof/>
              </w:rPr>
            </w:pPr>
            <w:r>
              <w:rPr>
                <w:noProof/>
              </w:rPr>
              <w:t>Saņēmēji: muzeji, arhīvi, bi</w:t>
            </w:r>
            <w:r>
              <w:rPr>
                <w:noProof/>
              </w:rPr>
              <w:t>bliotēkas un kultūras institūti</w:t>
            </w:r>
          </w:p>
        </w:tc>
      </w:tr>
      <w:tr w:rsidR="00C972CB" w14:paraId="6A56286B" w14:textId="77777777">
        <w:trPr>
          <w:trHeight w:val="309"/>
        </w:trPr>
        <w:tc>
          <w:tcPr>
            <w:tcW w:w="366" w:type="pct"/>
            <w:shd w:val="clear" w:color="auto" w:fill="C6EFCE"/>
            <w:noWrap/>
            <w:vAlign w:val="center"/>
            <w:hideMark/>
          </w:tcPr>
          <w:p w14:paraId="6562D723" w14:textId="77777777" w:rsidR="00C972CB" w:rsidRDefault="002457F6">
            <w:pPr>
              <w:pStyle w:val="P68B1DB1-Normal11"/>
              <w:jc w:val="center"/>
              <w:rPr>
                <w:noProof/>
              </w:rPr>
            </w:pPr>
            <w:r>
              <w:rPr>
                <w:noProof/>
              </w:rPr>
              <w:t>M1C3–3</w:t>
            </w:r>
          </w:p>
        </w:tc>
        <w:tc>
          <w:tcPr>
            <w:tcW w:w="460" w:type="pct"/>
            <w:shd w:val="clear" w:color="auto" w:fill="C6EFCE"/>
            <w:noWrap/>
            <w:vAlign w:val="center"/>
            <w:hideMark/>
          </w:tcPr>
          <w:p w14:paraId="1BE4526D" w14:textId="77777777" w:rsidR="00C972CB" w:rsidRDefault="002457F6">
            <w:pPr>
              <w:pStyle w:val="P68B1DB1-Normal11"/>
              <w:jc w:val="center"/>
              <w:rPr>
                <w:noProof/>
              </w:rPr>
            </w:pPr>
            <w:r>
              <w:rPr>
                <w:noProof/>
              </w:rPr>
              <w:t>Ieguldījumi — Fizisko un kognitīvo šķēršļu likvidēšana muzejos, bibliotēkās un arhīvos, lai nodrošinātu plašāku piekļuvi kultūrai un līdzdalību tajā</w:t>
            </w:r>
          </w:p>
        </w:tc>
        <w:tc>
          <w:tcPr>
            <w:tcW w:w="368" w:type="pct"/>
            <w:shd w:val="clear" w:color="auto" w:fill="C6EFCE"/>
            <w:noWrap/>
            <w:vAlign w:val="center"/>
            <w:hideMark/>
          </w:tcPr>
          <w:p w14:paraId="213AEAFA" w14:textId="77777777" w:rsidR="00C972CB" w:rsidRDefault="002457F6">
            <w:pPr>
              <w:pStyle w:val="P68B1DB1-Normal11"/>
              <w:jc w:val="center"/>
              <w:rPr>
                <w:noProof/>
              </w:rPr>
            </w:pPr>
            <w:r>
              <w:rPr>
                <w:noProof/>
              </w:rPr>
              <w:t>Mērķa</w:t>
            </w:r>
          </w:p>
        </w:tc>
        <w:tc>
          <w:tcPr>
            <w:tcW w:w="436" w:type="pct"/>
            <w:shd w:val="clear" w:color="auto" w:fill="C6EFCE"/>
            <w:noWrap/>
            <w:vAlign w:val="center"/>
            <w:hideMark/>
          </w:tcPr>
          <w:p w14:paraId="6C554851" w14:textId="77777777" w:rsidR="00C972CB" w:rsidRDefault="002457F6">
            <w:pPr>
              <w:pStyle w:val="P68B1DB1-Normal11"/>
              <w:jc w:val="center"/>
              <w:rPr>
                <w:noProof/>
              </w:rPr>
            </w:pPr>
            <w:r>
              <w:rPr>
                <w:noProof/>
              </w:rPr>
              <w:t xml:space="preserve">Pasākumi fiziskās un kognitīvās pieejamības uzlabošanai </w:t>
            </w:r>
            <w:r>
              <w:rPr>
                <w:noProof/>
              </w:rPr>
              <w:t>kultūras vietās</w:t>
            </w:r>
          </w:p>
        </w:tc>
        <w:tc>
          <w:tcPr>
            <w:tcW w:w="520" w:type="pct"/>
            <w:shd w:val="clear" w:color="auto" w:fill="C6EFCE"/>
            <w:noWrap/>
            <w:vAlign w:val="center"/>
            <w:hideMark/>
          </w:tcPr>
          <w:p w14:paraId="1EC440EA"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69FB23A7" w14:textId="77777777" w:rsidR="00C972CB" w:rsidRDefault="002457F6">
            <w:pPr>
              <w:pStyle w:val="P68B1DB1-Normal11"/>
              <w:jc w:val="center"/>
              <w:rPr>
                <w:noProof/>
              </w:rPr>
            </w:pPr>
            <w:r>
              <w:rPr>
                <w:noProof/>
              </w:rPr>
              <w:t>Skaits</w:t>
            </w:r>
          </w:p>
        </w:tc>
        <w:tc>
          <w:tcPr>
            <w:tcW w:w="368" w:type="pct"/>
            <w:shd w:val="clear" w:color="auto" w:fill="C6EFCE"/>
            <w:noWrap/>
            <w:vAlign w:val="center"/>
            <w:hideMark/>
          </w:tcPr>
          <w:p w14:paraId="6293A4EB" w14:textId="77777777" w:rsidR="00C972CB" w:rsidRDefault="002457F6">
            <w:pPr>
              <w:pStyle w:val="P68B1DB1-Normal11"/>
              <w:jc w:val="center"/>
              <w:rPr>
                <w:noProof/>
              </w:rPr>
            </w:pPr>
            <w:r>
              <w:rPr>
                <w:noProof/>
              </w:rPr>
              <w:t>0</w:t>
            </w:r>
          </w:p>
        </w:tc>
        <w:tc>
          <w:tcPr>
            <w:tcW w:w="377" w:type="pct"/>
            <w:shd w:val="clear" w:color="auto" w:fill="C6EFCE"/>
            <w:noWrap/>
            <w:vAlign w:val="center"/>
            <w:hideMark/>
          </w:tcPr>
          <w:p w14:paraId="552AB0C0" w14:textId="77777777" w:rsidR="00C972CB" w:rsidRDefault="002457F6">
            <w:pPr>
              <w:pStyle w:val="P68B1DB1-Normal11"/>
              <w:jc w:val="center"/>
              <w:rPr>
                <w:noProof/>
              </w:rPr>
            </w:pPr>
            <w:r>
              <w:rPr>
                <w:noProof/>
              </w:rPr>
              <w:t>617</w:t>
            </w:r>
          </w:p>
        </w:tc>
        <w:tc>
          <w:tcPr>
            <w:tcW w:w="321" w:type="pct"/>
            <w:shd w:val="clear" w:color="auto" w:fill="C6EFCE"/>
            <w:noWrap/>
            <w:vAlign w:val="center"/>
            <w:hideMark/>
          </w:tcPr>
          <w:p w14:paraId="61CB865F" w14:textId="77777777" w:rsidR="00C972CB" w:rsidRDefault="002457F6">
            <w:pPr>
              <w:pStyle w:val="P68B1DB1-Normal11"/>
              <w:jc w:val="center"/>
              <w:rPr>
                <w:noProof/>
              </w:rPr>
            </w:pPr>
            <w:r>
              <w:rPr>
                <w:noProof/>
              </w:rPr>
              <w:t>2. CET.</w:t>
            </w:r>
          </w:p>
        </w:tc>
        <w:tc>
          <w:tcPr>
            <w:tcW w:w="224" w:type="pct"/>
            <w:shd w:val="clear" w:color="auto" w:fill="C6EFCE"/>
            <w:noWrap/>
            <w:vAlign w:val="center"/>
            <w:hideMark/>
          </w:tcPr>
          <w:p w14:paraId="57EED56F" w14:textId="77777777" w:rsidR="00C972CB" w:rsidRDefault="002457F6">
            <w:pPr>
              <w:pStyle w:val="P68B1DB1-Normal11"/>
              <w:jc w:val="center"/>
              <w:rPr>
                <w:noProof/>
              </w:rPr>
            </w:pPr>
            <w:r>
              <w:rPr>
                <w:noProof/>
              </w:rPr>
              <w:t>2026</w:t>
            </w:r>
          </w:p>
        </w:tc>
        <w:tc>
          <w:tcPr>
            <w:tcW w:w="1192" w:type="pct"/>
            <w:shd w:val="clear" w:color="auto" w:fill="C6EFCE"/>
            <w:noWrap/>
            <w:vAlign w:val="center"/>
            <w:hideMark/>
          </w:tcPr>
          <w:p w14:paraId="007EE4E3" w14:textId="77777777" w:rsidR="00C972CB" w:rsidRDefault="00C972CB">
            <w:pPr>
              <w:rPr>
                <w:rFonts w:ascii="Arial Narrow" w:hAnsi="Arial Narrow"/>
                <w:noProof/>
                <w:color w:val="006100"/>
                <w:sz w:val="20"/>
              </w:rPr>
            </w:pPr>
          </w:p>
          <w:p w14:paraId="1F1F789D" w14:textId="77777777" w:rsidR="00C972CB" w:rsidRDefault="002457F6">
            <w:pPr>
              <w:pStyle w:val="P68B1DB1-Normal11"/>
              <w:rPr>
                <w:noProof/>
              </w:rPr>
            </w:pPr>
            <w:r>
              <w:rPr>
                <w:noProof/>
              </w:rPr>
              <w:t>352 muzeji, pieminekļi/, arheoloģiskie rajoni un parki, 129 arhīvi, 46 bibliotēkas un 90 nevalstiski kultūras objekti.</w:t>
            </w:r>
          </w:p>
          <w:p w14:paraId="1562CF98" w14:textId="77777777" w:rsidR="00C972CB" w:rsidRDefault="00C972CB">
            <w:pPr>
              <w:rPr>
                <w:rFonts w:ascii="Arial Narrow" w:hAnsi="Arial Narrow"/>
                <w:noProof/>
                <w:color w:val="006100"/>
                <w:sz w:val="20"/>
              </w:rPr>
            </w:pPr>
          </w:p>
          <w:p w14:paraId="0AC2ADCF" w14:textId="77777777" w:rsidR="00C972CB" w:rsidRDefault="002457F6">
            <w:pPr>
              <w:pStyle w:val="P68B1DB1-Normal11"/>
              <w:rPr>
                <w:noProof/>
              </w:rPr>
            </w:pPr>
            <w:r>
              <w:rPr>
                <w:noProof/>
              </w:rPr>
              <w:t>Intervences attiecas uz fiziskām intervencēm arhitektonisko šķēršļu likvidēšanai un</w:t>
            </w:r>
            <w:r>
              <w:rPr>
                <w:noProof/>
              </w:rPr>
              <w:t xml:space="preserve"> tehnoloģisku rīku uzstādīšanu, lai varētu izmantot pētāmās personas ar ierobežotām sensoriskajām spējām (skarstīgu, skaņu, ožas pieredzi).</w:t>
            </w:r>
          </w:p>
          <w:p w14:paraId="6992A724" w14:textId="77777777" w:rsidR="00C972CB" w:rsidRDefault="00C972CB">
            <w:pPr>
              <w:rPr>
                <w:rFonts w:ascii="Arial Narrow" w:hAnsi="Arial Narrow"/>
                <w:noProof/>
                <w:color w:val="006100"/>
                <w:sz w:val="20"/>
              </w:rPr>
            </w:pPr>
          </w:p>
          <w:p w14:paraId="3A22F678" w14:textId="77777777" w:rsidR="00C972CB" w:rsidRDefault="002457F6">
            <w:pPr>
              <w:pStyle w:val="P68B1DB1-Normal11"/>
              <w:rPr>
                <w:noProof/>
              </w:rPr>
            </w:pPr>
            <w:r>
              <w:rPr>
                <w:noProof/>
              </w:rPr>
              <w:t>37 % intervenču īsteno dienvidu reģionos.</w:t>
            </w:r>
          </w:p>
        </w:tc>
      </w:tr>
      <w:tr w:rsidR="00C972CB" w14:paraId="137FD82E" w14:textId="77777777">
        <w:trPr>
          <w:trHeight w:val="309"/>
        </w:trPr>
        <w:tc>
          <w:tcPr>
            <w:tcW w:w="366" w:type="pct"/>
            <w:shd w:val="clear" w:color="auto" w:fill="C6EFCE"/>
            <w:noWrap/>
            <w:vAlign w:val="center"/>
            <w:hideMark/>
          </w:tcPr>
          <w:p w14:paraId="06596E03" w14:textId="77777777" w:rsidR="00C972CB" w:rsidRDefault="002457F6">
            <w:pPr>
              <w:pStyle w:val="P68B1DB1-Normal11"/>
              <w:jc w:val="center"/>
              <w:rPr>
                <w:noProof/>
              </w:rPr>
            </w:pPr>
            <w:r>
              <w:rPr>
                <w:noProof/>
              </w:rPr>
              <w:t>M1C3–4</w:t>
            </w:r>
          </w:p>
        </w:tc>
        <w:tc>
          <w:tcPr>
            <w:tcW w:w="460" w:type="pct"/>
            <w:shd w:val="clear" w:color="auto" w:fill="C6EFCE"/>
            <w:noWrap/>
            <w:vAlign w:val="center"/>
            <w:hideMark/>
          </w:tcPr>
          <w:p w14:paraId="2FDE141A" w14:textId="77777777" w:rsidR="00C972CB" w:rsidRDefault="002457F6">
            <w:pPr>
              <w:pStyle w:val="P68B1DB1-Normal11"/>
              <w:jc w:val="center"/>
              <w:rPr>
                <w:noProof/>
              </w:rPr>
            </w:pPr>
            <w:r>
              <w:rPr>
                <w:noProof/>
              </w:rPr>
              <w:t xml:space="preserve">Ieguldījumi — 1.3. Uzlabot energoefektivitāti kinoteātros, </w:t>
            </w:r>
            <w:r>
              <w:rPr>
                <w:noProof/>
              </w:rPr>
              <w:t>teātros un muzejos</w:t>
            </w:r>
          </w:p>
        </w:tc>
        <w:tc>
          <w:tcPr>
            <w:tcW w:w="368" w:type="pct"/>
            <w:shd w:val="clear" w:color="auto" w:fill="C6EFCE"/>
            <w:noWrap/>
            <w:vAlign w:val="center"/>
            <w:hideMark/>
          </w:tcPr>
          <w:p w14:paraId="75B5E6F5" w14:textId="77777777" w:rsidR="00C972CB" w:rsidRDefault="002457F6">
            <w:pPr>
              <w:pStyle w:val="P68B1DB1-Normal11"/>
              <w:jc w:val="center"/>
              <w:rPr>
                <w:noProof/>
              </w:rPr>
            </w:pPr>
            <w:r>
              <w:rPr>
                <w:noProof/>
              </w:rPr>
              <w:t>Mērķa</w:t>
            </w:r>
          </w:p>
        </w:tc>
        <w:tc>
          <w:tcPr>
            <w:tcW w:w="436" w:type="pct"/>
            <w:shd w:val="clear" w:color="auto" w:fill="C6EFCE"/>
            <w:noWrap/>
            <w:vAlign w:val="center"/>
            <w:hideMark/>
          </w:tcPr>
          <w:p w14:paraId="5E6A4A13" w14:textId="77777777" w:rsidR="00C972CB" w:rsidRDefault="002457F6">
            <w:pPr>
              <w:pStyle w:val="P68B1DB1-Normal11"/>
              <w:jc w:val="center"/>
              <w:rPr>
                <w:noProof/>
              </w:rPr>
            </w:pPr>
            <w:r>
              <w:rPr>
                <w:noProof/>
              </w:rPr>
              <w:t>Pabeigtas intervences saistībā ar valsts muzejiem un kultūras objektiem, teātra hallēm un kinoteātriem (pirmā partija)</w:t>
            </w:r>
          </w:p>
        </w:tc>
        <w:tc>
          <w:tcPr>
            <w:tcW w:w="520" w:type="pct"/>
            <w:shd w:val="clear" w:color="auto" w:fill="C6EFCE"/>
            <w:noWrap/>
            <w:vAlign w:val="center"/>
            <w:hideMark/>
          </w:tcPr>
          <w:p w14:paraId="2EA8AB85"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17C8E762" w14:textId="77777777" w:rsidR="00C972CB" w:rsidRDefault="002457F6">
            <w:pPr>
              <w:pStyle w:val="P68B1DB1-Normal11"/>
              <w:jc w:val="center"/>
              <w:rPr>
                <w:noProof/>
              </w:rPr>
            </w:pPr>
            <w:r>
              <w:rPr>
                <w:noProof/>
              </w:rPr>
              <w:t>Skaits</w:t>
            </w:r>
          </w:p>
        </w:tc>
        <w:tc>
          <w:tcPr>
            <w:tcW w:w="368" w:type="pct"/>
            <w:shd w:val="clear" w:color="auto" w:fill="C6EFCE"/>
            <w:noWrap/>
            <w:vAlign w:val="center"/>
            <w:hideMark/>
          </w:tcPr>
          <w:p w14:paraId="11615AD1" w14:textId="77777777" w:rsidR="00C972CB" w:rsidRDefault="002457F6">
            <w:pPr>
              <w:pStyle w:val="P68B1DB1-Normal11"/>
              <w:jc w:val="center"/>
              <w:rPr>
                <w:noProof/>
              </w:rPr>
            </w:pPr>
            <w:r>
              <w:rPr>
                <w:noProof/>
              </w:rPr>
              <w:t>0</w:t>
            </w:r>
          </w:p>
        </w:tc>
        <w:tc>
          <w:tcPr>
            <w:tcW w:w="377" w:type="pct"/>
            <w:shd w:val="clear" w:color="auto" w:fill="C6EFCE"/>
            <w:noWrap/>
            <w:vAlign w:val="center"/>
            <w:hideMark/>
          </w:tcPr>
          <w:p w14:paraId="5EE5D0F3" w14:textId="77777777" w:rsidR="00C972CB" w:rsidRDefault="002457F6">
            <w:pPr>
              <w:pStyle w:val="P68B1DB1-Normal11"/>
              <w:jc w:val="center"/>
              <w:rPr>
                <w:noProof/>
              </w:rPr>
            </w:pPr>
            <w:r>
              <w:rPr>
                <w:noProof/>
              </w:rPr>
              <w:t>80</w:t>
            </w:r>
          </w:p>
        </w:tc>
        <w:tc>
          <w:tcPr>
            <w:tcW w:w="321" w:type="pct"/>
            <w:shd w:val="clear" w:color="auto" w:fill="C6EFCE"/>
            <w:noWrap/>
            <w:vAlign w:val="center"/>
            <w:hideMark/>
          </w:tcPr>
          <w:p w14:paraId="318DEFFE" w14:textId="77777777" w:rsidR="00C972CB" w:rsidRDefault="002457F6">
            <w:pPr>
              <w:pStyle w:val="P68B1DB1-Normal11"/>
              <w:jc w:val="center"/>
              <w:rPr>
                <w:noProof/>
              </w:rPr>
            </w:pPr>
            <w:r>
              <w:rPr>
                <w:noProof/>
              </w:rPr>
              <w:t>3. CET.</w:t>
            </w:r>
          </w:p>
        </w:tc>
        <w:tc>
          <w:tcPr>
            <w:tcW w:w="224" w:type="pct"/>
            <w:shd w:val="clear" w:color="auto" w:fill="C6EFCE"/>
            <w:noWrap/>
            <w:vAlign w:val="center"/>
            <w:hideMark/>
          </w:tcPr>
          <w:p w14:paraId="2D3CA476" w14:textId="77777777" w:rsidR="00C972CB" w:rsidRDefault="002457F6">
            <w:pPr>
              <w:pStyle w:val="P68B1DB1-Normal11"/>
              <w:jc w:val="center"/>
              <w:rPr>
                <w:noProof/>
              </w:rPr>
            </w:pPr>
            <w:r>
              <w:rPr>
                <w:noProof/>
              </w:rPr>
              <w:t>2023</w:t>
            </w:r>
          </w:p>
        </w:tc>
        <w:tc>
          <w:tcPr>
            <w:tcW w:w="1192" w:type="pct"/>
            <w:shd w:val="clear" w:color="auto" w:fill="C6EFCE"/>
            <w:noWrap/>
            <w:vAlign w:val="center"/>
            <w:hideMark/>
          </w:tcPr>
          <w:p w14:paraId="0A7E1DC2" w14:textId="77777777" w:rsidR="00C972CB" w:rsidRDefault="002457F6">
            <w:pPr>
              <w:pStyle w:val="P68B1DB1-Normal11"/>
              <w:rPr>
                <w:noProof/>
              </w:rPr>
            </w:pPr>
            <w:r>
              <w:rPr>
                <w:noProof/>
              </w:rPr>
              <w:t>Rādītājs attiecas uz pabeigto intervenču skaitu, par ko liecina apliecinājums</w:t>
            </w:r>
            <w:r>
              <w:rPr>
                <w:noProof/>
              </w:rPr>
              <w:t xml:space="preserve"> par darbu regulāru izpildi.</w:t>
            </w:r>
          </w:p>
          <w:p w14:paraId="29EF8275" w14:textId="149DC8DA" w:rsidR="00C972CB" w:rsidRDefault="002457F6">
            <w:pPr>
              <w:pStyle w:val="P68B1DB1-Normal11"/>
              <w:rPr>
                <w:noProof/>
              </w:rPr>
            </w:pPr>
            <w:r>
              <w:rPr>
                <w:noProof/>
              </w:rPr>
              <w:t>Veicamo intervenču veidi ir šādi:</w:t>
            </w:r>
          </w:p>
          <w:p w14:paraId="646C95F9" w14:textId="77777777" w:rsidR="00C972CB" w:rsidRDefault="002457F6">
            <w:pPr>
              <w:pStyle w:val="P68B1DB1-Normal10"/>
              <w:ind w:left="315" w:hanging="315"/>
              <w:rPr>
                <w:noProof/>
                <w:color w:val="006100"/>
                <w:sz w:val="20"/>
              </w:rPr>
            </w:pPr>
            <w:r>
              <w:rPr>
                <w:noProof/>
                <w:color w:val="006100"/>
                <w:sz w:val="20"/>
              </w:rPr>
              <w:t>-</w:t>
            </w:r>
            <w:r>
              <w:rPr>
                <w:noProof/>
              </w:rPr>
              <w:tab/>
            </w:r>
            <w:r>
              <w:rPr>
                <w:noProof/>
                <w:color w:val="006100"/>
                <w:sz w:val="20"/>
              </w:rPr>
              <w:t>tehniskā un ekonomiskā plānošana, energoauditi, sākotnējā vides analīze, ietekmes uz vidi novērtējums, atvieglojumi un novērtējumi, kuru mērķis ir apzināt kritiskas problēmas, apzināt attiecī</w:t>
            </w:r>
            <w:r>
              <w:rPr>
                <w:noProof/>
                <w:color w:val="006100"/>
                <w:sz w:val="20"/>
              </w:rPr>
              <w:t>gus pasākumus energoefektivitātes uzlabošanai;</w:t>
            </w:r>
          </w:p>
          <w:p w14:paraId="34C258A2" w14:textId="77777777" w:rsidR="00C972CB" w:rsidRDefault="002457F6">
            <w:pPr>
              <w:pStyle w:val="P68B1DB1-Normal10"/>
              <w:ind w:left="315" w:hanging="315"/>
              <w:rPr>
                <w:noProof/>
                <w:color w:val="006100"/>
                <w:sz w:val="20"/>
              </w:rPr>
            </w:pPr>
            <w:r>
              <w:rPr>
                <w:noProof/>
                <w:color w:val="006100"/>
                <w:sz w:val="20"/>
              </w:rPr>
              <w:t>-</w:t>
            </w:r>
            <w:r>
              <w:rPr>
                <w:noProof/>
              </w:rPr>
              <w:tab/>
            </w:r>
            <w:r>
              <w:rPr>
                <w:noProof/>
                <w:color w:val="006100"/>
                <w:sz w:val="20"/>
              </w:rPr>
              <w:t>intervences saistībā ar norobežojošām konstrukcijām;</w:t>
            </w:r>
          </w:p>
          <w:p w14:paraId="1ECF1D43" w14:textId="77777777" w:rsidR="00C972CB" w:rsidRDefault="002457F6">
            <w:pPr>
              <w:pStyle w:val="P68B1DB1-Normal10"/>
              <w:ind w:left="315" w:hanging="315"/>
              <w:rPr>
                <w:noProof/>
                <w:color w:val="006100"/>
                <w:sz w:val="20"/>
              </w:rPr>
            </w:pPr>
            <w:r>
              <w:rPr>
                <w:noProof/>
                <w:color w:val="006100"/>
                <w:sz w:val="20"/>
              </w:rPr>
              <w:t>-</w:t>
            </w:r>
            <w:r>
              <w:rPr>
                <w:noProof/>
              </w:rPr>
              <w:tab/>
            </w:r>
            <w:r>
              <w:rPr>
                <w:noProof/>
                <w:color w:val="006100"/>
                <w:sz w:val="20"/>
              </w:rPr>
              <w:t>aprīkojuma, rīku, sistēmu, ierīču, digitālās lietojumprogrammas programmatūras, kā arī palīginstrumentu aizstāšanas/iegādāšanās iejaukšanās to darbībai,</w:t>
            </w:r>
            <w:r>
              <w:rPr>
                <w:noProof/>
                <w:color w:val="006100"/>
                <w:sz w:val="20"/>
              </w:rPr>
              <w:t xml:space="preserve"> patentu, licenču un zinātības iegādei;</w:t>
            </w:r>
          </w:p>
          <w:p w14:paraId="0AA26816" w14:textId="77777777" w:rsidR="00C972CB" w:rsidRDefault="002457F6">
            <w:pPr>
              <w:pStyle w:val="P68B1DB1-Normal10"/>
              <w:ind w:left="315" w:hanging="315"/>
              <w:rPr>
                <w:noProof/>
                <w:color w:val="006100"/>
                <w:sz w:val="20"/>
              </w:rPr>
            </w:pPr>
            <w:r>
              <w:rPr>
                <w:noProof/>
                <w:color w:val="006100"/>
                <w:sz w:val="20"/>
              </w:rPr>
              <w:t>-</w:t>
            </w:r>
            <w:r>
              <w:rPr>
                <w:noProof/>
              </w:rPr>
              <w:tab/>
            </w:r>
            <w:r>
              <w:rPr>
                <w:noProof/>
                <w:color w:val="006100"/>
                <w:sz w:val="20"/>
              </w:rPr>
              <w:t>viedo sistēmu uzstādīšana tālvadībai, regulēšanai, pārvaldībai, monitoringam un optimizācijai attiecībā uz enerģijas patēriņu (viedās ēkas) un piesārņojošām emisijām, izmantojot arī tehnoloģiju kombināciju.</w:t>
            </w:r>
          </w:p>
        </w:tc>
      </w:tr>
      <w:tr w:rsidR="00C972CB" w14:paraId="7CEB9B37" w14:textId="77777777">
        <w:trPr>
          <w:trHeight w:val="309"/>
        </w:trPr>
        <w:tc>
          <w:tcPr>
            <w:tcW w:w="366" w:type="pct"/>
            <w:shd w:val="clear" w:color="auto" w:fill="C6EFCE"/>
            <w:noWrap/>
            <w:vAlign w:val="center"/>
            <w:hideMark/>
          </w:tcPr>
          <w:p w14:paraId="2A951B6D" w14:textId="77777777" w:rsidR="00C972CB" w:rsidRDefault="002457F6">
            <w:pPr>
              <w:pStyle w:val="P68B1DB1-Normal11"/>
              <w:jc w:val="center"/>
              <w:rPr>
                <w:noProof/>
              </w:rPr>
            </w:pPr>
            <w:r>
              <w:rPr>
                <w:noProof/>
              </w:rPr>
              <w:t>M1C3–5</w:t>
            </w:r>
          </w:p>
        </w:tc>
        <w:tc>
          <w:tcPr>
            <w:tcW w:w="460" w:type="pct"/>
            <w:shd w:val="clear" w:color="auto" w:fill="C6EFCE"/>
            <w:noWrap/>
            <w:vAlign w:val="center"/>
            <w:hideMark/>
          </w:tcPr>
          <w:p w14:paraId="3549FFB6" w14:textId="77777777" w:rsidR="00C972CB" w:rsidRDefault="002457F6">
            <w:pPr>
              <w:pStyle w:val="P68B1DB1-Normal11"/>
              <w:jc w:val="center"/>
              <w:rPr>
                <w:noProof/>
              </w:rPr>
            </w:pPr>
            <w:r>
              <w:rPr>
                <w:noProof/>
              </w:rPr>
              <w:t>Ieguldījumi — 1.3. Uzlabot energoefektivitāti kinoteātros, teātros un muzejos</w:t>
            </w:r>
          </w:p>
        </w:tc>
        <w:tc>
          <w:tcPr>
            <w:tcW w:w="368" w:type="pct"/>
            <w:shd w:val="clear" w:color="auto" w:fill="C6EFCE"/>
            <w:noWrap/>
            <w:vAlign w:val="center"/>
            <w:hideMark/>
          </w:tcPr>
          <w:p w14:paraId="72E3BE28" w14:textId="77777777" w:rsidR="00C972CB" w:rsidRDefault="002457F6">
            <w:pPr>
              <w:pStyle w:val="P68B1DB1-Normal11"/>
              <w:jc w:val="center"/>
              <w:rPr>
                <w:noProof/>
              </w:rPr>
            </w:pPr>
            <w:r>
              <w:rPr>
                <w:noProof/>
              </w:rPr>
              <w:t>Mērķa</w:t>
            </w:r>
          </w:p>
        </w:tc>
        <w:tc>
          <w:tcPr>
            <w:tcW w:w="436" w:type="pct"/>
            <w:shd w:val="clear" w:color="auto" w:fill="C6EFCE"/>
            <w:noWrap/>
            <w:vAlign w:val="center"/>
            <w:hideMark/>
          </w:tcPr>
          <w:p w14:paraId="26030AF4" w14:textId="77777777" w:rsidR="00C972CB" w:rsidRDefault="002457F6">
            <w:pPr>
              <w:pStyle w:val="P68B1DB1-Normal11"/>
              <w:jc w:val="center"/>
              <w:rPr>
                <w:noProof/>
              </w:rPr>
            </w:pPr>
            <w:r>
              <w:rPr>
                <w:noProof/>
              </w:rPr>
              <w:t>Tiek pabeigtas intervences saistībā ar valsts muzejiem un kultūras objektiem, teātra hallēm un kinoteātriem (otrā partija)</w:t>
            </w:r>
          </w:p>
        </w:tc>
        <w:tc>
          <w:tcPr>
            <w:tcW w:w="520" w:type="pct"/>
            <w:shd w:val="clear" w:color="auto" w:fill="C6EFCE"/>
            <w:noWrap/>
            <w:vAlign w:val="center"/>
            <w:hideMark/>
          </w:tcPr>
          <w:p w14:paraId="5DC80762"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5DD02526" w14:textId="77777777" w:rsidR="00C972CB" w:rsidRDefault="002457F6">
            <w:pPr>
              <w:pStyle w:val="P68B1DB1-Normal11"/>
              <w:jc w:val="center"/>
              <w:rPr>
                <w:noProof/>
              </w:rPr>
            </w:pPr>
            <w:r>
              <w:rPr>
                <w:noProof/>
              </w:rPr>
              <w:t>Skaits</w:t>
            </w:r>
          </w:p>
        </w:tc>
        <w:tc>
          <w:tcPr>
            <w:tcW w:w="368" w:type="pct"/>
            <w:shd w:val="clear" w:color="auto" w:fill="C6EFCE"/>
            <w:noWrap/>
            <w:vAlign w:val="center"/>
            <w:hideMark/>
          </w:tcPr>
          <w:p w14:paraId="152E07E3" w14:textId="77777777" w:rsidR="00C972CB" w:rsidRDefault="002457F6">
            <w:pPr>
              <w:pStyle w:val="P68B1DB1-Normal11"/>
              <w:jc w:val="center"/>
              <w:rPr>
                <w:noProof/>
              </w:rPr>
            </w:pPr>
            <w:r>
              <w:rPr>
                <w:noProof/>
              </w:rPr>
              <w:t>0</w:t>
            </w:r>
          </w:p>
        </w:tc>
        <w:tc>
          <w:tcPr>
            <w:tcW w:w="377" w:type="pct"/>
            <w:shd w:val="clear" w:color="auto" w:fill="C6EFCE"/>
            <w:noWrap/>
            <w:vAlign w:val="center"/>
            <w:hideMark/>
          </w:tcPr>
          <w:p w14:paraId="21F14437" w14:textId="77777777" w:rsidR="00C972CB" w:rsidRDefault="002457F6">
            <w:pPr>
              <w:pStyle w:val="P68B1DB1-Normal11"/>
              <w:jc w:val="center"/>
              <w:rPr>
                <w:noProof/>
              </w:rPr>
            </w:pPr>
            <w:r>
              <w:rPr>
                <w:noProof/>
              </w:rPr>
              <w:t>420</w:t>
            </w:r>
          </w:p>
        </w:tc>
        <w:tc>
          <w:tcPr>
            <w:tcW w:w="321" w:type="pct"/>
            <w:shd w:val="clear" w:color="auto" w:fill="C6EFCE"/>
            <w:noWrap/>
            <w:vAlign w:val="center"/>
            <w:hideMark/>
          </w:tcPr>
          <w:p w14:paraId="3FD2C706" w14:textId="77777777" w:rsidR="00C972CB" w:rsidRDefault="002457F6">
            <w:pPr>
              <w:pStyle w:val="P68B1DB1-Normal11"/>
              <w:jc w:val="center"/>
              <w:rPr>
                <w:noProof/>
              </w:rPr>
            </w:pPr>
            <w:r>
              <w:rPr>
                <w:noProof/>
              </w:rPr>
              <w:t>4. CET.</w:t>
            </w:r>
          </w:p>
        </w:tc>
        <w:tc>
          <w:tcPr>
            <w:tcW w:w="224" w:type="pct"/>
            <w:shd w:val="clear" w:color="auto" w:fill="C6EFCE"/>
            <w:noWrap/>
            <w:vAlign w:val="center"/>
            <w:hideMark/>
          </w:tcPr>
          <w:p w14:paraId="142A113E" w14:textId="77777777" w:rsidR="00C972CB" w:rsidRDefault="002457F6">
            <w:pPr>
              <w:pStyle w:val="P68B1DB1-Normal11"/>
              <w:jc w:val="center"/>
              <w:rPr>
                <w:noProof/>
              </w:rPr>
            </w:pPr>
            <w:r>
              <w:rPr>
                <w:noProof/>
              </w:rPr>
              <w:t>2025</w:t>
            </w:r>
          </w:p>
        </w:tc>
        <w:tc>
          <w:tcPr>
            <w:tcW w:w="1192" w:type="pct"/>
            <w:shd w:val="clear" w:color="auto" w:fill="C6EFCE"/>
            <w:noWrap/>
            <w:vAlign w:val="center"/>
            <w:hideMark/>
          </w:tcPr>
          <w:p w14:paraId="2CE425C1" w14:textId="77777777" w:rsidR="00C972CB" w:rsidRDefault="002457F6">
            <w:pPr>
              <w:pStyle w:val="P68B1DB1-Normal11"/>
              <w:rPr>
                <w:noProof/>
              </w:rPr>
            </w:pPr>
            <w:r>
              <w:rPr>
                <w:noProof/>
              </w:rPr>
              <w:t xml:space="preserve">Rādītājs </w:t>
            </w:r>
            <w:r>
              <w:rPr>
                <w:noProof/>
              </w:rPr>
              <w:t>attiecas uz 55 intervencēm valsts muzejos un kultūras objektos, 230 teātru zālēs un 135 kinoteātros, kas noslēgti ar apliecinājumu par darbu regulāru izpildi.</w:t>
            </w:r>
          </w:p>
          <w:p w14:paraId="478939B9" w14:textId="77777777" w:rsidR="00C972CB" w:rsidRDefault="002457F6">
            <w:pPr>
              <w:pStyle w:val="P68B1DB1-Normal11"/>
              <w:rPr>
                <w:noProof/>
              </w:rPr>
            </w:pPr>
            <w:r>
              <w:rPr>
                <w:noProof/>
              </w:rPr>
              <w:t>Veicamo intervenču veidi ir šādi:</w:t>
            </w:r>
          </w:p>
          <w:p w14:paraId="76785B86" w14:textId="77777777" w:rsidR="00C972CB" w:rsidRDefault="002457F6">
            <w:pPr>
              <w:pStyle w:val="P68B1DB1-Normal10"/>
              <w:ind w:left="173" w:hanging="173"/>
              <w:rPr>
                <w:noProof/>
                <w:color w:val="006100"/>
                <w:sz w:val="20"/>
              </w:rPr>
            </w:pPr>
            <w:r>
              <w:rPr>
                <w:noProof/>
                <w:color w:val="006100"/>
                <w:sz w:val="20"/>
              </w:rPr>
              <w:t>-</w:t>
            </w:r>
            <w:r>
              <w:rPr>
                <w:noProof/>
              </w:rPr>
              <w:tab/>
            </w:r>
            <w:r>
              <w:rPr>
                <w:noProof/>
                <w:color w:val="006100"/>
                <w:sz w:val="20"/>
              </w:rPr>
              <w:t>tehniskā un ekonomiskā plānošana, energoauditi, sākotnējā vid</w:t>
            </w:r>
            <w:r>
              <w:rPr>
                <w:noProof/>
                <w:color w:val="006100"/>
                <w:sz w:val="20"/>
              </w:rPr>
              <w:t>es analīze, ietekmes uz vidi novērtējums, atvieglojumi un novērtējumi, kuru mērķis ir apzināt kritiskas problēmas, apzināt attiecīgus pasākumus energoefektivitātes uzlabošanai;</w:t>
            </w:r>
          </w:p>
          <w:p w14:paraId="025C2469" w14:textId="77777777" w:rsidR="00C972CB" w:rsidRDefault="002457F6">
            <w:pPr>
              <w:pStyle w:val="P68B1DB1-Normal10"/>
              <w:ind w:left="173" w:hanging="173"/>
              <w:rPr>
                <w:noProof/>
                <w:color w:val="006100"/>
                <w:sz w:val="20"/>
              </w:rPr>
            </w:pPr>
            <w:r>
              <w:rPr>
                <w:noProof/>
                <w:color w:val="006100"/>
                <w:sz w:val="20"/>
              </w:rPr>
              <w:t>-</w:t>
            </w:r>
            <w:r>
              <w:rPr>
                <w:noProof/>
              </w:rPr>
              <w:tab/>
            </w:r>
            <w:r>
              <w:rPr>
                <w:noProof/>
                <w:color w:val="006100"/>
                <w:sz w:val="20"/>
              </w:rPr>
              <w:t>intervences saistībā ar norobežojošām konstrukcijām;</w:t>
            </w:r>
          </w:p>
          <w:p w14:paraId="23ED8605" w14:textId="77777777" w:rsidR="00C972CB" w:rsidRDefault="002457F6">
            <w:pPr>
              <w:pStyle w:val="P68B1DB1-Normal10"/>
              <w:ind w:left="173" w:hanging="173"/>
              <w:rPr>
                <w:noProof/>
                <w:color w:val="006100"/>
                <w:sz w:val="20"/>
              </w:rPr>
            </w:pPr>
            <w:r>
              <w:rPr>
                <w:noProof/>
                <w:color w:val="006100"/>
                <w:sz w:val="20"/>
              </w:rPr>
              <w:t>-</w:t>
            </w:r>
            <w:r>
              <w:rPr>
                <w:noProof/>
              </w:rPr>
              <w:tab/>
            </w:r>
            <w:r>
              <w:rPr>
                <w:noProof/>
                <w:color w:val="006100"/>
                <w:sz w:val="20"/>
              </w:rPr>
              <w:t>aprīkojuma, rīku, sist</w:t>
            </w:r>
            <w:r>
              <w:rPr>
                <w:noProof/>
                <w:color w:val="006100"/>
                <w:sz w:val="20"/>
              </w:rPr>
              <w:t>ēmu, ierīču, digitālās lietojumprogrammas programmatūras, kā arī palīginstrumentu aizstāšanas/iegādāšanās iejaukšanās to darbībai, patentu, licenču un zinātības iegādei;</w:t>
            </w:r>
          </w:p>
          <w:p w14:paraId="6A3B384C" w14:textId="77777777" w:rsidR="00C972CB" w:rsidRDefault="002457F6">
            <w:pPr>
              <w:pStyle w:val="P68B1DB1-Normal10"/>
              <w:ind w:left="173" w:hanging="173"/>
              <w:rPr>
                <w:noProof/>
                <w:color w:val="006100"/>
                <w:sz w:val="20"/>
              </w:rPr>
            </w:pPr>
            <w:r>
              <w:rPr>
                <w:noProof/>
                <w:color w:val="006100"/>
                <w:sz w:val="20"/>
              </w:rPr>
              <w:t>-</w:t>
            </w:r>
            <w:r>
              <w:rPr>
                <w:noProof/>
              </w:rPr>
              <w:tab/>
            </w:r>
            <w:r>
              <w:rPr>
                <w:noProof/>
                <w:color w:val="006100"/>
                <w:sz w:val="20"/>
              </w:rPr>
              <w:t>viedo sistēmu uzstādīšana tālvadībai, regulēšanai, pārvaldībai, monitoringam un opti</w:t>
            </w:r>
            <w:r>
              <w:rPr>
                <w:noProof/>
                <w:color w:val="006100"/>
                <w:sz w:val="20"/>
              </w:rPr>
              <w:t>mizācijai attiecībā uz enerģijas patēriņu (viedās ēkas) un piesārņojošām emisijām, izmantojot arī tehnoloģiju kombināciju.</w:t>
            </w:r>
          </w:p>
        </w:tc>
      </w:tr>
      <w:tr w:rsidR="00C972CB" w14:paraId="1DFA948A" w14:textId="77777777">
        <w:trPr>
          <w:trHeight w:val="309"/>
        </w:trPr>
        <w:tc>
          <w:tcPr>
            <w:tcW w:w="366" w:type="pct"/>
            <w:shd w:val="clear" w:color="auto" w:fill="C6EFCE"/>
            <w:noWrap/>
            <w:vAlign w:val="center"/>
            <w:hideMark/>
          </w:tcPr>
          <w:p w14:paraId="75AE847D" w14:textId="77777777" w:rsidR="00C972CB" w:rsidRDefault="002457F6">
            <w:pPr>
              <w:pStyle w:val="P68B1DB1-Normal11"/>
              <w:jc w:val="center"/>
              <w:rPr>
                <w:noProof/>
              </w:rPr>
            </w:pPr>
            <w:r>
              <w:rPr>
                <w:noProof/>
              </w:rPr>
              <w:t>M1C3–6</w:t>
            </w:r>
          </w:p>
        </w:tc>
        <w:tc>
          <w:tcPr>
            <w:tcW w:w="460" w:type="pct"/>
            <w:shd w:val="clear" w:color="auto" w:fill="C6EFCE"/>
            <w:noWrap/>
            <w:vAlign w:val="center"/>
            <w:hideMark/>
          </w:tcPr>
          <w:p w14:paraId="431DA4D3" w14:textId="77777777" w:rsidR="00C972CB" w:rsidRDefault="002457F6">
            <w:pPr>
              <w:pStyle w:val="P68B1DB1-Normal11"/>
              <w:jc w:val="center"/>
              <w:rPr>
                <w:noProof/>
              </w:rPr>
            </w:pPr>
            <w:r>
              <w:rPr>
                <w:noProof/>
              </w:rPr>
              <w:t>Reforma — 3.1. Minimālie vides kritēriji kultūras pasākumiem</w:t>
            </w:r>
          </w:p>
        </w:tc>
        <w:tc>
          <w:tcPr>
            <w:tcW w:w="368" w:type="pct"/>
            <w:shd w:val="clear" w:color="auto" w:fill="C6EFCE"/>
            <w:noWrap/>
            <w:vAlign w:val="center"/>
            <w:hideMark/>
          </w:tcPr>
          <w:p w14:paraId="6348FE67" w14:textId="77777777" w:rsidR="00C972CB" w:rsidRDefault="002457F6">
            <w:pPr>
              <w:pStyle w:val="P68B1DB1-Normal11"/>
              <w:jc w:val="center"/>
              <w:rPr>
                <w:noProof/>
              </w:rPr>
            </w:pPr>
            <w:r>
              <w:rPr>
                <w:noProof/>
              </w:rPr>
              <w:t>Starpposma mērķis</w:t>
            </w:r>
          </w:p>
        </w:tc>
        <w:tc>
          <w:tcPr>
            <w:tcW w:w="436" w:type="pct"/>
            <w:shd w:val="clear" w:color="auto" w:fill="C6EFCE"/>
            <w:noWrap/>
            <w:vAlign w:val="center"/>
            <w:hideMark/>
          </w:tcPr>
          <w:p w14:paraId="0254A7C3" w14:textId="77777777" w:rsidR="00C972CB" w:rsidRDefault="002457F6">
            <w:pPr>
              <w:pStyle w:val="P68B1DB1-Normal11"/>
              <w:jc w:val="center"/>
              <w:rPr>
                <w:noProof/>
              </w:rPr>
            </w:pPr>
            <w:r>
              <w:rPr>
                <w:noProof/>
              </w:rPr>
              <w:t xml:space="preserve">Stājies spēkā dekrēts, ar ko nosaka sociālos </w:t>
            </w:r>
            <w:r>
              <w:rPr>
                <w:noProof/>
              </w:rPr>
              <w:t>un vides kritērijus publiskā iepirkuma konkursos par publiski finansētiem kultūras pasākumiem</w:t>
            </w:r>
          </w:p>
        </w:tc>
        <w:tc>
          <w:tcPr>
            <w:tcW w:w="520" w:type="pct"/>
            <w:shd w:val="clear" w:color="auto" w:fill="C6EFCE"/>
            <w:noWrap/>
            <w:vAlign w:val="center"/>
            <w:hideMark/>
          </w:tcPr>
          <w:p w14:paraId="04B49E5D" w14:textId="77777777" w:rsidR="00C972CB" w:rsidRDefault="002457F6">
            <w:pPr>
              <w:pStyle w:val="P68B1DB1-Normal11"/>
              <w:jc w:val="center"/>
              <w:rPr>
                <w:noProof/>
              </w:rPr>
            </w:pPr>
            <w:r>
              <w:rPr>
                <w:noProof/>
              </w:rPr>
              <w:t>Noteikums dekrētā, kurā minēta dekrēta stāšanās spēkā, lai pieņemtu minimālos vides kritērijus kultūras pasākumiem</w:t>
            </w:r>
          </w:p>
        </w:tc>
        <w:tc>
          <w:tcPr>
            <w:tcW w:w="368" w:type="pct"/>
            <w:shd w:val="clear" w:color="auto" w:fill="C6EFCE"/>
            <w:noWrap/>
            <w:vAlign w:val="center"/>
            <w:hideMark/>
          </w:tcPr>
          <w:p w14:paraId="202C03F2"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53A02130" w14:textId="77777777" w:rsidR="00C972CB" w:rsidRDefault="002457F6">
            <w:pPr>
              <w:pStyle w:val="P68B1DB1-Normal11"/>
              <w:jc w:val="center"/>
              <w:rPr>
                <w:noProof/>
              </w:rPr>
            </w:pPr>
            <w:r>
              <w:rPr>
                <w:noProof/>
              </w:rPr>
              <w:t>NEPIEMĒRO</w:t>
            </w:r>
          </w:p>
        </w:tc>
        <w:tc>
          <w:tcPr>
            <w:tcW w:w="377" w:type="pct"/>
            <w:shd w:val="clear" w:color="auto" w:fill="C6EFCE"/>
            <w:noWrap/>
            <w:vAlign w:val="center"/>
            <w:hideMark/>
          </w:tcPr>
          <w:p w14:paraId="41260791" w14:textId="77777777" w:rsidR="00C972CB" w:rsidRDefault="002457F6">
            <w:pPr>
              <w:pStyle w:val="P68B1DB1-Normal11"/>
              <w:jc w:val="center"/>
              <w:rPr>
                <w:noProof/>
              </w:rPr>
            </w:pPr>
            <w:r>
              <w:rPr>
                <w:noProof/>
              </w:rPr>
              <w:t>NEPIEMĒRO</w:t>
            </w:r>
          </w:p>
        </w:tc>
        <w:tc>
          <w:tcPr>
            <w:tcW w:w="321" w:type="pct"/>
            <w:shd w:val="clear" w:color="auto" w:fill="C6EFCE"/>
            <w:noWrap/>
            <w:vAlign w:val="center"/>
            <w:hideMark/>
          </w:tcPr>
          <w:p w14:paraId="6AFD0EA7" w14:textId="77777777" w:rsidR="00C972CB" w:rsidRDefault="002457F6">
            <w:pPr>
              <w:pStyle w:val="P68B1DB1-Normal11"/>
              <w:jc w:val="center"/>
              <w:rPr>
                <w:noProof/>
              </w:rPr>
            </w:pPr>
            <w:r>
              <w:rPr>
                <w:noProof/>
              </w:rPr>
              <w:t>4. CET.</w:t>
            </w:r>
          </w:p>
        </w:tc>
        <w:tc>
          <w:tcPr>
            <w:tcW w:w="224" w:type="pct"/>
            <w:shd w:val="clear" w:color="auto" w:fill="C6EFCE"/>
            <w:noWrap/>
            <w:vAlign w:val="center"/>
            <w:hideMark/>
          </w:tcPr>
          <w:p w14:paraId="092819BA" w14:textId="77777777" w:rsidR="00C972CB" w:rsidRDefault="002457F6">
            <w:pPr>
              <w:pStyle w:val="P68B1DB1-Normal11"/>
              <w:jc w:val="center"/>
              <w:rPr>
                <w:noProof/>
              </w:rPr>
            </w:pPr>
            <w:r>
              <w:rPr>
                <w:noProof/>
              </w:rPr>
              <w:t>2022</w:t>
            </w:r>
          </w:p>
        </w:tc>
        <w:tc>
          <w:tcPr>
            <w:tcW w:w="1192" w:type="pct"/>
            <w:shd w:val="clear" w:color="auto" w:fill="C6EFCE"/>
            <w:noWrap/>
            <w:vAlign w:val="center"/>
            <w:hideMark/>
          </w:tcPr>
          <w:p w14:paraId="626FAE30" w14:textId="77777777" w:rsidR="00C972CB" w:rsidRDefault="002457F6">
            <w:pPr>
              <w:pStyle w:val="P68B1DB1-Normal11"/>
              <w:rPr>
                <w:noProof/>
              </w:rPr>
            </w:pPr>
            <w:r>
              <w:rPr>
                <w:noProof/>
              </w:rPr>
              <w:t>Kritērijus pieņem šādiem aspektiem: papīra un drukas izmantošanas samazināšana, videi draudzīgu materiālu izmantošana, posma iekārtojums, kas izgatavots no pārstrādātiem un atkārtoti izmantojamiem materiāliem un ilgtspējīgiem mēbelēm, mazsvarīgas vides iet</w:t>
            </w:r>
            <w:r>
              <w:rPr>
                <w:noProof/>
              </w:rPr>
              <w:t>ekmes materiāli, vietas izvēle, pamatojoties uz bioloģiskās daudzveidības aizsardzību, ēdināšanas pakalpojumi ar zemu ietekmi uz vidi, transports pasākuma īstenošanai un materiālu transportēšana, enerģijas patēriņš pasākuma organizēšanai.</w:t>
            </w:r>
          </w:p>
          <w:p w14:paraId="717A5B6C" w14:textId="77777777" w:rsidR="00C972CB" w:rsidRDefault="002457F6">
            <w:pPr>
              <w:pStyle w:val="P68B1DB1-Normal11"/>
              <w:rPr>
                <w:noProof/>
              </w:rPr>
            </w:pPr>
            <w:r>
              <w:rPr>
                <w:noProof/>
              </w:rPr>
              <w:t>Sociālie kritērij</w:t>
            </w:r>
            <w:r>
              <w:rPr>
                <w:noProof/>
              </w:rPr>
              <w:t>i, kas veicina pieejamību un iekļaušanu, ietver: piekļuves veicināšana personām ar invaliditāti; veicināt jauniešu nodarbinātības iespējas, ilgtermiņa bezdarbniekiem, cilvēkiem, kas pieder pie nelabvēlīgā situācijā esošām grupām (piemēram, migrējošiem darb</w:t>
            </w:r>
            <w:r>
              <w:rPr>
                <w:noProof/>
              </w:rPr>
              <w:t>a ņēmējiem un etniskajām minoritātēm), un personām ar invaliditāti; nodrošināt vienlīdzīgu piekļuvi iepirkumam uzņēmumiem, kuru īpašnieki vai darbinieki pieder pie etniskām vai minoritāšu grupām, piemēram, kooperatīviem, sociālajiem uzņēmumiem un bezpeļņas</w:t>
            </w:r>
            <w:r>
              <w:rPr>
                <w:noProof/>
              </w:rPr>
              <w:t xml:space="preserve"> organizācijām; “pienācīgas kvalitātes darba” veicināšana, ko saprot kā tiesības uz produktīvu un brīvi izvēlētu darbu, uz pamatprincipiem un tiesībām darbā, uz pienācīgu atalgojumu, sociālo aizsardzību un sociālo dialogu.</w:t>
            </w:r>
          </w:p>
          <w:p w14:paraId="7E124554" w14:textId="77777777" w:rsidR="00C972CB" w:rsidRDefault="002457F6">
            <w:pPr>
              <w:pStyle w:val="P68B1DB1-Normal11"/>
              <w:rPr>
                <w:noProof/>
              </w:rPr>
            </w:pPr>
            <w:r>
              <w:rPr>
                <w:noProof/>
              </w:rPr>
              <w:t>Reforma attiecas uz kultūras pasā</w:t>
            </w:r>
            <w:r>
              <w:rPr>
                <w:noProof/>
              </w:rPr>
              <w:t>kumiem, piemēram, izstādēm, festivāliem un izpildītājmākslas pasākumiem.</w:t>
            </w:r>
          </w:p>
        </w:tc>
      </w:tr>
      <w:tr w:rsidR="00C972CB" w14:paraId="4B5AAAD1" w14:textId="77777777">
        <w:trPr>
          <w:trHeight w:val="309"/>
        </w:trPr>
        <w:tc>
          <w:tcPr>
            <w:tcW w:w="366" w:type="pct"/>
            <w:shd w:val="clear" w:color="auto" w:fill="C6EFCE"/>
            <w:noWrap/>
            <w:vAlign w:val="center"/>
            <w:hideMark/>
          </w:tcPr>
          <w:p w14:paraId="312130B3" w14:textId="77777777" w:rsidR="00C972CB" w:rsidRDefault="002457F6">
            <w:pPr>
              <w:pStyle w:val="P68B1DB1-Normal11"/>
              <w:jc w:val="center"/>
              <w:rPr>
                <w:noProof/>
              </w:rPr>
            </w:pPr>
            <w:r>
              <w:rPr>
                <w:noProof/>
              </w:rPr>
              <w:t>M1C3–7</w:t>
            </w:r>
          </w:p>
        </w:tc>
        <w:tc>
          <w:tcPr>
            <w:tcW w:w="460" w:type="pct"/>
            <w:shd w:val="clear" w:color="auto" w:fill="C6EFCE"/>
            <w:noWrap/>
            <w:vAlign w:val="center"/>
            <w:hideMark/>
          </w:tcPr>
          <w:p w14:paraId="61561034" w14:textId="77777777" w:rsidR="00C972CB" w:rsidRDefault="002457F6">
            <w:pPr>
              <w:pStyle w:val="P68B1DB1-Normal11"/>
              <w:jc w:val="center"/>
              <w:rPr>
                <w:noProof/>
              </w:rPr>
            </w:pPr>
            <w:r>
              <w:rPr>
                <w:noProof/>
              </w:rPr>
              <w:t>Investīcijas — 3.3. Kultūras operatoru spēju veidošana digitālās un zaļās pārkārtošanās pārvaldībai.</w:t>
            </w:r>
          </w:p>
        </w:tc>
        <w:tc>
          <w:tcPr>
            <w:tcW w:w="368" w:type="pct"/>
            <w:shd w:val="clear" w:color="auto" w:fill="C6EFCE"/>
            <w:noWrap/>
            <w:vAlign w:val="center"/>
            <w:hideMark/>
          </w:tcPr>
          <w:p w14:paraId="3DB8782D" w14:textId="77777777" w:rsidR="00C972CB" w:rsidRDefault="002457F6">
            <w:pPr>
              <w:pStyle w:val="P68B1DB1-Normal11"/>
              <w:jc w:val="center"/>
              <w:rPr>
                <w:noProof/>
              </w:rPr>
            </w:pPr>
            <w:r>
              <w:rPr>
                <w:noProof/>
              </w:rPr>
              <w:t>Starpposma mērķis</w:t>
            </w:r>
          </w:p>
        </w:tc>
        <w:tc>
          <w:tcPr>
            <w:tcW w:w="436" w:type="pct"/>
            <w:shd w:val="clear" w:color="auto" w:fill="C6EFCE"/>
            <w:noWrap/>
            <w:vAlign w:val="center"/>
            <w:hideMark/>
          </w:tcPr>
          <w:p w14:paraId="68E735A7" w14:textId="77777777" w:rsidR="00C972CB" w:rsidRDefault="002457F6">
            <w:pPr>
              <w:pStyle w:val="P68B1DB1-Normal11"/>
              <w:jc w:val="center"/>
              <w:rPr>
                <w:noProof/>
              </w:rPr>
            </w:pPr>
            <w:r>
              <w:rPr>
                <w:noProof/>
              </w:rPr>
              <w:t xml:space="preserve">Visu publiskā iepirkuma līgumu slēgšanas tiesību </w:t>
            </w:r>
            <w:r>
              <w:rPr>
                <w:noProof/>
              </w:rPr>
              <w:t>piešķiršana ar īstenotāju organizāciju/saņēmējiem par visām intervencēm, kuru mērķis ir pārvaldīt kultūras dalībnieku digitālo un zaļo pārkārtošanos</w:t>
            </w:r>
          </w:p>
        </w:tc>
        <w:tc>
          <w:tcPr>
            <w:tcW w:w="520" w:type="pct"/>
            <w:shd w:val="clear" w:color="auto" w:fill="C6EFCE"/>
            <w:noWrap/>
            <w:vAlign w:val="center"/>
            <w:hideMark/>
          </w:tcPr>
          <w:p w14:paraId="090249AC" w14:textId="77777777" w:rsidR="00C972CB" w:rsidRDefault="002457F6">
            <w:pPr>
              <w:pStyle w:val="P68B1DB1-Normal11"/>
              <w:jc w:val="center"/>
              <w:rPr>
                <w:noProof/>
              </w:rPr>
            </w:pPr>
            <w:r>
              <w:rPr>
                <w:noProof/>
              </w:rPr>
              <w:t xml:space="preserve">Paziņojums par visu publisko līgumu slēgšanas tiesību piešķiršanu organizācijām un tīkliem, kas atbild par </w:t>
            </w:r>
            <w:r>
              <w:rPr>
                <w:noProof/>
              </w:rPr>
              <w:t>spēju veidošanas pasākumu īstenošanu</w:t>
            </w:r>
          </w:p>
        </w:tc>
        <w:tc>
          <w:tcPr>
            <w:tcW w:w="368" w:type="pct"/>
            <w:shd w:val="clear" w:color="auto" w:fill="C6EFCE"/>
            <w:noWrap/>
            <w:vAlign w:val="center"/>
            <w:hideMark/>
          </w:tcPr>
          <w:p w14:paraId="37D10495"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68A98B56" w14:textId="77777777" w:rsidR="00C972CB" w:rsidRDefault="002457F6">
            <w:pPr>
              <w:pStyle w:val="P68B1DB1-Normal11"/>
              <w:jc w:val="center"/>
              <w:rPr>
                <w:noProof/>
              </w:rPr>
            </w:pPr>
            <w:r>
              <w:rPr>
                <w:noProof/>
              </w:rPr>
              <w:t>NEPIEMĒRO</w:t>
            </w:r>
          </w:p>
        </w:tc>
        <w:tc>
          <w:tcPr>
            <w:tcW w:w="377" w:type="pct"/>
            <w:shd w:val="clear" w:color="auto" w:fill="C6EFCE"/>
            <w:noWrap/>
            <w:vAlign w:val="center"/>
            <w:hideMark/>
          </w:tcPr>
          <w:p w14:paraId="4B535FD2" w14:textId="77777777" w:rsidR="00C972CB" w:rsidRDefault="002457F6">
            <w:pPr>
              <w:pStyle w:val="P68B1DB1-Normal11"/>
              <w:jc w:val="center"/>
              <w:rPr>
                <w:noProof/>
              </w:rPr>
            </w:pPr>
            <w:r>
              <w:rPr>
                <w:noProof/>
              </w:rPr>
              <w:t>NEPIEMĒRO</w:t>
            </w:r>
          </w:p>
        </w:tc>
        <w:tc>
          <w:tcPr>
            <w:tcW w:w="321" w:type="pct"/>
            <w:shd w:val="clear" w:color="auto" w:fill="C6EFCE"/>
            <w:noWrap/>
            <w:vAlign w:val="center"/>
            <w:hideMark/>
          </w:tcPr>
          <w:p w14:paraId="588FE59C" w14:textId="77777777" w:rsidR="00C972CB" w:rsidRDefault="002457F6">
            <w:pPr>
              <w:pStyle w:val="P68B1DB1-Normal11"/>
              <w:jc w:val="center"/>
              <w:rPr>
                <w:noProof/>
              </w:rPr>
            </w:pPr>
            <w:r>
              <w:rPr>
                <w:noProof/>
              </w:rPr>
              <w:t>4. CET.</w:t>
            </w:r>
          </w:p>
        </w:tc>
        <w:tc>
          <w:tcPr>
            <w:tcW w:w="224" w:type="pct"/>
            <w:shd w:val="clear" w:color="auto" w:fill="C6EFCE"/>
            <w:noWrap/>
            <w:vAlign w:val="center"/>
            <w:hideMark/>
          </w:tcPr>
          <w:p w14:paraId="23688836" w14:textId="77777777" w:rsidR="00C972CB" w:rsidRDefault="002457F6">
            <w:pPr>
              <w:pStyle w:val="P68B1DB1-Normal11"/>
              <w:jc w:val="center"/>
              <w:rPr>
                <w:noProof/>
              </w:rPr>
            </w:pPr>
            <w:r>
              <w:rPr>
                <w:noProof/>
              </w:rPr>
              <w:t>2023</w:t>
            </w:r>
          </w:p>
        </w:tc>
        <w:tc>
          <w:tcPr>
            <w:tcW w:w="1192" w:type="pct"/>
            <w:shd w:val="clear" w:color="auto" w:fill="C6EFCE"/>
            <w:noWrap/>
            <w:vAlign w:val="center"/>
            <w:hideMark/>
          </w:tcPr>
          <w:p w14:paraId="7C3E40BA" w14:textId="77777777" w:rsidR="00C972CB" w:rsidRDefault="002457F6">
            <w:pPr>
              <w:pStyle w:val="P68B1DB1-Normal11"/>
              <w:rPr>
                <w:noProof/>
              </w:rPr>
            </w:pPr>
            <w:r>
              <w:rPr>
                <w:noProof/>
              </w:rPr>
              <w:t xml:space="preserve">Izraudzītās īstenotājas struktūras ir specializētas organizācijas vai tīkli, kam ir prasmes un pieredze gan apmācības, gan kultūras ražošanas, vides, kultūras pārvaldības un </w:t>
            </w:r>
            <w:r>
              <w:rPr>
                <w:noProof/>
              </w:rPr>
              <w:t>apmācības jomā.</w:t>
            </w:r>
          </w:p>
          <w:p w14:paraId="7B4619DA" w14:textId="77777777" w:rsidR="00C972CB" w:rsidRDefault="002457F6">
            <w:pPr>
              <w:pStyle w:val="P68B1DB1-Normal11"/>
              <w:rPr>
                <w:noProof/>
              </w:rPr>
            </w:pPr>
            <w:r>
              <w:rPr>
                <w:noProof/>
              </w:rPr>
              <w:t>Paziņojums par visu publiskā iepirkuma līgumu slēgšanas tiesību piešķiršanu projektiem, kas atlasīti konkursa uzaicinājumos iesniegt priekšlikumus, atbilst Tehniskajiem norādījumiem “nenodari būtisku kaitējumu” (2021/C58/01), izmantojot izs</w:t>
            </w:r>
            <w:r>
              <w:rPr>
                <w:noProof/>
              </w:rPr>
              <w:t>lēgšanas sarakstu un prasību par atbilstību attiecīgajiem ES un valsts tiesību aktiem vides jomā.</w:t>
            </w:r>
          </w:p>
        </w:tc>
      </w:tr>
      <w:tr w:rsidR="00C972CB" w14:paraId="2937AE53" w14:textId="77777777">
        <w:trPr>
          <w:trHeight w:val="309"/>
        </w:trPr>
        <w:tc>
          <w:tcPr>
            <w:tcW w:w="366" w:type="pct"/>
            <w:shd w:val="clear" w:color="auto" w:fill="C6EFCE"/>
            <w:noWrap/>
            <w:vAlign w:val="center"/>
            <w:hideMark/>
          </w:tcPr>
          <w:p w14:paraId="7058000B" w14:textId="77777777" w:rsidR="00C972CB" w:rsidRDefault="002457F6">
            <w:pPr>
              <w:pStyle w:val="P68B1DB1-Normal11"/>
              <w:jc w:val="center"/>
              <w:rPr>
                <w:noProof/>
              </w:rPr>
            </w:pPr>
            <w:r>
              <w:rPr>
                <w:noProof/>
              </w:rPr>
              <w:t>M1C3–8</w:t>
            </w:r>
          </w:p>
        </w:tc>
        <w:tc>
          <w:tcPr>
            <w:tcW w:w="460" w:type="pct"/>
            <w:shd w:val="clear" w:color="auto" w:fill="C6EFCE"/>
            <w:noWrap/>
            <w:vAlign w:val="center"/>
            <w:hideMark/>
          </w:tcPr>
          <w:p w14:paraId="7B06AA51" w14:textId="77777777" w:rsidR="00C972CB" w:rsidRDefault="002457F6">
            <w:pPr>
              <w:pStyle w:val="P68B1DB1-Normal11"/>
              <w:jc w:val="center"/>
              <w:rPr>
                <w:noProof/>
              </w:rPr>
            </w:pPr>
            <w:r>
              <w:rPr>
                <w:noProof/>
              </w:rPr>
              <w:t>Investīcijas — 4.1. Digitālais tūrisma centrs</w:t>
            </w:r>
          </w:p>
        </w:tc>
        <w:tc>
          <w:tcPr>
            <w:tcW w:w="368" w:type="pct"/>
            <w:shd w:val="clear" w:color="auto" w:fill="C6EFCE"/>
            <w:noWrap/>
            <w:vAlign w:val="center"/>
            <w:hideMark/>
          </w:tcPr>
          <w:p w14:paraId="49C0DD3C" w14:textId="77777777" w:rsidR="00C972CB" w:rsidRDefault="002457F6">
            <w:pPr>
              <w:pStyle w:val="P68B1DB1-Normal11"/>
              <w:jc w:val="center"/>
              <w:rPr>
                <w:noProof/>
              </w:rPr>
            </w:pPr>
            <w:r>
              <w:rPr>
                <w:noProof/>
              </w:rPr>
              <w:t>Starpposma mērķis</w:t>
            </w:r>
          </w:p>
        </w:tc>
        <w:tc>
          <w:tcPr>
            <w:tcW w:w="436" w:type="pct"/>
            <w:shd w:val="clear" w:color="auto" w:fill="C6EFCE"/>
            <w:noWrap/>
            <w:vAlign w:val="center"/>
            <w:hideMark/>
          </w:tcPr>
          <w:p w14:paraId="06F431B9" w14:textId="77777777" w:rsidR="00C972CB" w:rsidRDefault="002457F6">
            <w:pPr>
              <w:pStyle w:val="P68B1DB1-Normal11"/>
              <w:jc w:val="center"/>
              <w:rPr>
                <w:noProof/>
              </w:rPr>
            </w:pPr>
            <w:r>
              <w:rPr>
                <w:noProof/>
              </w:rPr>
              <w:t>Digitālā tūrisma portāla izstrādes līgumu slēgšanas tiesību piešķiršana</w:t>
            </w:r>
          </w:p>
        </w:tc>
        <w:tc>
          <w:tcPr>
            <w:tcW w:w="520" w:type="pct"/>
            <w:shd w:val="clear" w:color="auto" w:fill="C6EFCE"/>
            <w:noWrap/>
            <w:vAlign w:val="center"/>
            <w:hideMark/>
          </w:tcPr>
          <w:p w14:paraId="61244166" w14:textId="77777777" w:rsidR="00C972CB" w:rsidRDefault="002457F6">
            <w:pPr>
              <w:pStyle w:val="P68B1DB1-Normal11"/>
              <w:jc w:val="center"/>
              <w:rPr>
                <w:noProof/>
              </w:rPr>
            </w:pPr>
            <w:r>
              <w:rPr>
                <w:noProof/>
              </w:rPr>
              <w:t>Paziņojums par</w:t>
            </w:r>
            <w:r>
              <w:rPr>
                <w:noProof/>
              </w:rPr>
              <w:t xml:space="preserve"> visu publiskā iepirkuma līgumu slēgšanas tiesību piešķiršanu digitālā tūrisma portāla izveidei</w:t>
            </w:r>
          </w:p>
        </w:tc>
        <w:tc>
          <w:tcPr>
            <w:tcW w:w="368" w:type="pct"/>
            <w:shd w:val="clear" w:color="auto" w:fill="C6EFCE"/>
            <w:noWrap/>
            <w:vAlign w:val="center"/>
            <w:hideMark/>
          </w:tcPr>
          <w:p w14:paraId="46EDD2ED"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2CC1A504" w14:textId="77777777" w:rsidR="00C972CB" w:rsidRDefault="002457F6">
            <w:pPr>
              <w:pStyle w:val="P68B1DB1-Normal11"/>
              <w:jc w:val="center"/>
              <w:rPr>
                <w:noProof/>
              </w:rPr>
            </w:pPr>
            <w:r>
              <w:rPr>
                <w:noProof/>
              </w:rPr>
              <w:t>NEPIEMĒRO</w:t>
            </w:r>
          </w:p>
        </w:tc>
        <w:tc>
          <w:tcPr>
            <w:tcW w:w="377" w:type="pct"/>
            <w:shd w:val="clear" w:color="auto" w:fill="C6EFCE"/>
            <w:noWrap/>
            <w:vAlign w:val="center"/>
            <w:hideMark/>
          </w:tcPr>
          <w:p w14:paraId="1BE458E8" w14:textId="77777777" w:rsidR="00C972CB" w:rsidRDefault="002457F6">
            <w:pPr>
              <w:pStyle w:val="P68B1DB1-Normal11"/>
              <w:jc w:val="center"/>
              <w:rPr>
                <w:noProof/>
              </w:rPr>
            </w:pPr>
            <w:r>
              <w:rPr>
                <w:noProof/>
              </w:rPr>
              <w:t>NEPIEMĒRO</w:t>
            </w:r>
          </w:p>
        </w:tc>
        <w:tc>
          <w:tcPr>
            <w:tcW w:w="321" w:type="pct"/>
            <w:shd w:val="clear" w:color="auto" w:fill="C6EFCE"/>
            <w:noWrap/>
            <w:vAlign w:val="center"/>
            <w:hideMark/>
          </w:tcPr>
          <w:p w14:paraId="22337694" w14:textId="77777777" w:rsidR="00C972CB" w:rsidRDefault="002457F6">
            <w:pPr>
              <w:pStyle w:val="P68B1DB1-Normal11"/>
              <w:jc w:val="center"/>
              <w:rPr>
                <w:noProof/>
              </w:rPr>
            </w:pPr>
            <w:r>
              <w:rPr>
                <w:noProof/>
              </w:rPr>
              <w:t>4. CET.</w:t>
            </w:r>
          </w:p>
        </w:tc>
        <w:tc>
          <w:tcPr>
            <w:tcW w:w="224" w:type="pct"/>
            <w:shd w:val="clear" w:color="auto" w:fill="C6EFCE"/>
            <w:noWrap/>
            <w:vAlign w:val="center"/>
            <w:hideMark/>
          </w:tcPr>
          <w:p w14:paraId="2B58CB62" w14:textId="77777777" w:rsidR="00C972CB" w:rsidRDefault="002457F6">
            <w:pPr>
              <w:pStyle w:val="P68B1DB1-Normal11"/>
              <w:jc w:val="center"/>
              <w:rPr>
                <w:noProof/>
              </w:rPr>
            </w:pPr>
            <w:r>
              <w:rPr>
                <w:noProof/>
              </w:rPr>
              <w:t>2021</w:t>
            </w:r>
          </w:p>
        </w:tc>
        <w:tc>
          <w:tcPr>
            <w:tcW w:w="1192" w:type="pct"/>
            <w:shd w:val="clear" w:color="auto" w:fill="C6EFCE"/>
            <w:noWrap/>
            <w:vAlign w:val="center"/>
            <w:hideMark/>
          </w:tcPr>
          <w:p w14:paraId="087F2A40" w14:textId="77777777" w:rsidR="00C972CB" w:rsidRDefault="002457F6">
            <w:pPr>
              <w:pStyle w:val="P68B1DB1-Normal11"/>
              <w:rPr>
                <w:noProof/>
              </w:rPr>
            </w:pPr>
            <w:r>
              <w:rPr>
                <w:noProof/>
              </w:rPr>
              <w:t>Paziņojums par (visu) publiskā iepirkuma līgumu slēgšanas tiesību piešķiršanu digitālā tūrisma portāla izveidei.</w:t>
            </w:r>
          </w:p>
          <w:p w14:paraId="11847CD8" w14:textId="77777777" w:rsidR="00C972CB" w:rsidRDefault="002457F6">
            <w:pPr>
              <w:pStyle w:val="P68B1DB1-Normal11"/>
              <w:rPr>
                <w:noProof/>
              </w:rPr>
            </w:pPr>
            <w:r>
              <w:rPr>
                <w:noProof/>
              </w:rPr>
              <w:t>Digi</w:t>
            </w:r>
            <w:r>
              <w:rPr>
                <w:noProof/>
              </w:rPr>
              <w:t>tālais tūrisma portāls modernizē pašreizējo Italia.it portālu, ieviešot mākoņdatošanu un atvērtu arhitektūru, kas lielā mērā veicina starpsavienojumu ar ekosistēmu. Atjauninātajā portālā iekļauj: jaunas priekšgala saskarnes un navigācijas koka izveide; sad</w:t>
            </w:r>
            <w:r>
              <w:rPr>
                <w:noProof/>
              </w:rPr>
              <w:t>aļu, lappušu un rakstu izkārtojuma, struktūras un funkcionalitātes pārskatīšana; karšu ieviešana; daudzvalodu pārvaldība (pārejas brīdī portāls tiks prezentēts itāļu un angļu valodā). Paredzams, ka vēl citas valodas, kas pašlaik tiek atbalstītas, tiks inte</w:t>
            </w:r>
            <w:r>
              <w:rPr>
                <w:noProof/>
              </w:rPr>
              <w:t>grētas uzreiz pēc pasūtīšanas.</w:t>
            </w:r>
          </w:p>
          <w:p w14:paraId="22B628A9" w14:textId="77777777" w:rsidR="00C972CB" w:rsidRDefault="00C972CB">
            <w:pPr>
              <w:rPr>
                <w:rFonts w:ascii="Arial Narrow" w:hAnsi="Arial Narrow"/>
                <w:noProof/>
                <w:color w:val="006100"/>
                <w:sz w:val="20"/>
              </w:rPr>
            </w:pPr>
          </w:p>
          <w:p w14:paraId="4142AC18" w14:textId="77777777" w:rsidR="00C972CB" w:rsidRDefault="002457F6">
            <w:pPr>
              <w:pStyle w:val="P68B1DB1-Normal11"/>
              <w:rPr>
                <w:noProof/>
              </w:rPr>
            </w:pPr>
            <w:r>
              <w:rPr>
                <w:noProof/>
              </w:rPr>
              <w:t xml:space="preserve">Līgumslēgšanas tiesību piešķiršana projektiem, kas atlasīti konkursa uzaicinājumos iesniegt priekšlikumus, saskaņā ar Tehniskajiem norādījumiem “Nenodarīt būtisku kaitējumu” (2021/C58/01), izmantojot izslēgšanas sarakstu un </w:t>
            </w:r>
            <w:r>
              <w:rPr>
                <w:noProof/>
              </w:rPr>
              <w:t>prasību par atbilstību attiecīgajiem ES un valstu tiesību aktiem vides jomā.</w:t>
            </w:r>
          </w:p>
          <w:p w14:paraId="35D0E03F" w14:textId="77777777" w:rsidR="00C972CB" w:rsidRDefault="00C972CB">
            <w:pPr>
              <w:rPr>
                <w:rFonts w:ascii="Arial Narrow" w:hAnsi="Arial Narrow"/>
                <w:noProof/>
                <w:color w:val="006100"/>
                <w:sz w:val="20"/>
              </w:rPr>
            </w:pPr>
          </w:p>
        </w:tc>
      </w:tr>
      <w:tr w:rsidR="00C972CB" w14:paraId="40E94FD7" w14:textId="77777777">
        <w:trPr>
          <w:trHeight w:val="309"/>
        </w:trPr>
        <w:tc>
          <w:tcPr>
            <w:tcW w:w="366" w:type="pct"/>
            <w:shd w:val="clear" w:color="auto" w:fill="C6EFCE"/>
            <w:noWrap/>
            <w:vAlign w:val="center"/>
            <w:hideMark/>
          </w:tcPr>
          <w:p w14:paraId="58276D09" w14:textId="77777777" w:rsidR="00C972CB" w:rsidRDefault="002457F6">
            <w:pPr>
              <w:pStyle w:val="P68B1DB1-Normal11"/>
              <w:jc w:val="center"/>
              <w:rPr>
                <w:noProof/>
              </w:rPr>
            </w:pPr>
            <w:r>
              <w:rPr>
                <w:noProof/>
              </w:rPr>
              <w:t>M1C3–9</w:t>
            </w:r>
          </w:p>
        </w:tc>
        <w:tc>
          <w:tcPr>
            <w:tcW w:w="460" w:type="pct"/>
            <w:shd w:val="clear" w:color="auto" w:fill="C6EFCE"/>
            <w:noWrap/>
            <w:vAlign w:val="center"/>
            <w:hideMark/>
          </w:tcPr>
          <w:p w14:paraId="7B8EC5A9" w14:textId="77777777" w:rsidR="00C972CB" w:rsidRDefault="002457F6">
            <w:pPr>
              <w:pStyle w:val="P68B1DB1-Normal11"/>
              <w:jc w:val="center"/>
              <w:rPr>
                <w:noProof/>
              </w:rPr>
            </w:pPr>
            <w:r>
              <w:rPr>
                <w:noProof/>
              </w:rPr>
              <w:t>Investīcija 4.1. Digitālais tūrisma centrs</w:t>
            </w:r>
          </w:p>
        </w:tc>
        <w:tc>
          <w:tcPr>
            <w:tcW w:w="368" w:type="pct"/>
            <w:shd w:val="clear" w:color="auto" w:fill="C6EFCE"/>
            <w:noWrap/>
            <w:vAlign w:val="center"/>
            <w:hideMark/>
          </w:tcPr>
          <w:p w14:paraId="2F41EAF8" w14:textId="77777777" w:rsidR="00C972CB" w:rsidRDefault="002457F6">
            <w:pPr>
              <w:pStyle w:val="P68B1DB1-Normal11"/>
              <w:jc w:val="center"/>
              <w:rPr>
                <w:noProof/>
              </w:rPr>
            </w:pPr>
            <w:r>
              <w:rPr>
                <w:noProof/>
              </w:rPr>
              <w:t>Mērķa</w:t>
            </w:r>
          </w:p>
        </w:tc>
        <w:tc>
          <w:tcPr>
            <w:tcW w:w="436" w:type="pct"/>
            <w:shd w:val="clear" w:color="auto" w:fill="C6EFCE"/>
            <w:noWrap/>
            <w:vAlign w:val="center"/>
            <w:hideMark/>
          </w:tcPr>
          <w:p w14:paraId="0EDFE844" w14:textId="77777777" w:rsidR="00C972CB" w:rsidRDefault="002457F6">
            <w:pPr>
              <w:pStyle w:val="P68B1DB1-Normal11"/>
              <w:jc w:val="center"/>
              <w:rPr>
                <w:noProof/>
              </w:rPr>
            </w:pPr>
            <w:r>
              <w:rPr>
                <w:noProof/>
              </w:rPr>
              <w:t>Tūrisma operatoru iesaistīšana digitālajā tūrisma centrā</w:t>
            </w:r>
          </w:p>
        </w:tc>
        <w:tc>
          <w:tcPr>
            <w:tcW w:w="520" w:type="pct"/>
            <w:shd w:val="clear" w:color="auto" w:fill="C6EFCE"/>
            <w:noWrap/>
            <w:vAlign w:val="center"/>
            <w:hideMark/>
          </w:tcPr>
          <w:p w14:paraId="3EDE26B6"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6B7FDBD2" w14:textId="77777777" w:rsidR="00C972CB" w:rsidRDefault="002457F6">
            <w:pPr>
              <w:pStyle w:val="P68B1DB1-Normal11"/>
              <w:jc w:val="center"/>
              <w:rPr>
                <w:noProof/>
              </w:rPr>
            </w:pPr>
            <w:r>
              <w:rPr>
                <w:noProof/>
              </w:rPr>
              <w:t>Skaits</w:t>
            </w:r>
          </w:p>
        </w:tc>
        <w:tc>
          <w:tcPr>
            <w:tcW w:w="368" w:type="pct"/>
            <w:shd w:val="clear" w:color="auto" w:fill="C6EFCE"/>
            <w:noWrap/>
            <w:vAlign w:val="center"/>
            <w:hideMark/>
          </w:tcPr>
          <w:p w14:paraId="232100FA" w14:textId="77777777" w:rsidR="00C972CB" w:rsidRDefault="002457F6">
            <w:pPr>
              <w:pStyle w:val="P68B1DB1-Normal11"/>
              <w:jc w:val="center"/>
              <w:rPr>
                <w:noProof/>
              </w:rPr>
            </w:pPr>
            <w:r>
              <w:rPr>
                <w:noProof/>
              </w:rPr>
              <w:t>0</w:t>
            </w:r>
          </w:p>
        </w:tc>
        <w:tc>
          <w:tcPr>
            <w:tcW w:w="377" w:type="pct"/>
            <w:shd w:val="clear" w:color="auto" w:fill="C6EFCE"/>
            <w:noWrap/>
            <w:vAlign w:val="center"/>
            <w:hideMark/>
          </w:tcPr>
          <w:p w14:paraId="442F29B2" w14:textId="5E31F7FB" w:rsidR="00C972CB" w:rsidRDefault="002457F6">
            <w:pPr>
              <w:pStyle w:val="P68B1DB1-Normal11"/>
              <w:jc w:val="center"/>
              <w:rPr>
                <w:noProof/>
              </w:rPr>
            </w:pPr>
            <w:r>
              <w:rPr>
                <w:noProof/>
              </w:rPr>
              <w:t>20 000</w:t>
            </w:r>
          </w:p>
        </w:tc>
        <w:tc>
          <w:tcPr>
            <w:tcW w:w="321" w:type="pct"/>
            <w:shd w:val="clear" w:color="auto" w:fill="C6EFCE"/>
            <w:noWrap/>
            <w:vAlign w:val="center"/>
            <w:hideMark/>
          </w:tcPr>
          <w:p w14:paraId="605F7850" w14:textId="77777777" w:rsidR="00C972CB" w:rsidRDefault="002457F6">
            <w:pPr>
              <w:pStyle w:val="P68B1DB1-Normal11"/>
              <w:jc w:val="center"/>
              <w:rPr>
                <w:noProof/>
              </w:rPr>
            </w:pPr>
            <w:r>
              <w:rPr>
                <w:noProof/>
              </w:rPr>
              <w:t>2. CET.</w:t>
            </w:r>
          </w:p>
        </w:tc>
        <w:tc>
          <w:tcPr>
            <w:tcW w:w="224" w:type="pct"/>
            <w:shd w:val="clear" w:color="auto" w:fill="C6EFCE"/>
            <w:noWrap/>
            <w:vAlign w:val="center"/>
            <w:hideMark/>
          </w:tcPr>
          <w:p w14:paraId="49978F6C" w14:textId="77777777" w:rsidR="00C972CB" w:rsidRDefault="002457F6">
            <w:pPr>
              <w:pStyle w:val="P68B1DB1-Normal11"/>
              <w:jc w:val="center"/>
              <w:rPr>
                <w:noProof/>
              </w:rPr>
            </w:pPr>
            <w:r>
              <w:rPr>
                <w:noProof/>
              </w:rPr>
              <w:t>2024</w:t>
            </w:r>
          </w:p>
        </w:tc>
        <w:tc>
          <w:tcPr>
            <w:tcW w:w="1192" w:type="pct"/>
            <w:shd w:val="clear" w:color="auto" w:fill="C6EFCE"/>
            <w:noWrap/>
            <w:vAlign w:val="center"/>
            <w:hideMark/>
          </w:tcPr>
          <w:p w14:paraId="5665ED76" w14:textId="7796C960" w:rsidR="00C972CB" w:rsidRDefault="002457F6">
            <w:pPr>
              <w:pStyle w:val="P68B1DB1-Normal12"/>
              <w:jc w:val="both"/>
              <w:rPr>
                <w:rFonts w:ascii="Arial Narrow" w:hAnsi="Arial Narrow"/>
                <w:noProof/>
              </w:rPr>
            </w:pPr>
            <w:r>
              <w:rPr>
                <w:noProof/>
              </w:rPr>
              <w:t xml:space="preserve">Iesaistīto tūrisma </w:t>
            </w:r>
            <w:r>
              <w:rPr>
                <w:noProof/>
              </w:rPr>
              <w:t>operatoru</w:t>
            </w:r>
            <w:r>
              <w:rPr>
                <w:rFonts w:ascii="Arial Narrow" w:hAnsi="Arial Narrow"/>
                <w:noProof/>
              </w:rPr>
              <w:t>skaits (piemēram, viesnīca, ceļojumu rīkotājs un uzņēmumi, kas definēti ar ATECO kodiem 55.00.00; 56.00.00; 79.00.00 un citas nozares struktūras) atbilst 4 % no aplēstajiem 500000</w:t>
            </w:r>
            <w:r>
              <w:rPr>
                <w:noProof/>
              </w:rPr>
              <w:t xml:space="preserve"> </w:t>
            </w:r>
            <w:r>
              <w:rPr>
                <w:rFonts w:ascii="Arial Narrow" w:hAnsi="Arial Narrow"/>
                <w:noProof/>
              </w:rPr>
              <w:t>Itālijas operatoriem (prasmju pilnveide, apmācības pasākumi, komuni</w:t>
            </w:r>
            <w:r>
              <w:rPr>
                <w:rFonts w:ascii="Arial Narrow" w:hAnsi="Arial Narrow"/>
                <w:noProof/>
              </w:rPr>
              <w:t>kācija, datu analīze, risinājumi inovācijas atbalstam).</w:t>
            </w:r>
          </w:p>
          <w:p w14:paraId="1F53AFCC" w14:textId="77777777" w:rsidR="00C972CB" w:rsidRDefault="00C972CB">
            <w:pPr>
              <w:jc w:val="both"/>
              <w:rPr>
                <w:rFonts w:ascii="Arial Narrow" w:hAnsi="Arial Narrow"/>
                <w:noProof/>
                <w:color w:val="006100"/>
                <w:sz w:val="20"/>
              </w:rPr>
            </w:pPr>
          </w:p>
          <w:p w14:paraId="57A1E86E" w14:textId="042F10A4" w:rsidR="00C972CB" w:rsidRDefault="002457F6">
            <w:pPr>
              <w:pStyle w:val="P68B1DB1-Normal11"/>
              <w:jc w:val="both"/>
              <w:rPr>
                <w:noProof/>
              </w:rPr>
            </w:pPr>
            <w:r>
              <w:rPr>
                <w:noProof/>
              </w:rPr>
              <w:t>Vismaz 37 % iesaistīto tūrisma operatoru atrodas dienvidos.</w:t>
            </w:r>
          </w:p>
          <w:p w14:paraId="795EB241" w14:textId="77777777" w:rsidR="00C972CB" w:rsidRDefault="00C972CB">
            <w:pPr>
              <w:rPr>
                <w:rFonts w:ascii="Arial Narrow" w:hAnsi="Arial Narrow"/>
                <w:noProof/>
                <w:color w:val="006100"/>
                <w:sz w:val="20"/>
              </w:rPr>
            </w:pPr>
          </w:p>
        </w:tc>
      </w:tr>
      <w:tr w:rsidR="00C972CB" w14:paraId="655CDADE" w14:textId="77777777">
        <w:trPr>
          <w:trHeight w:val="309"/>
        </w:trPr>
        <w:tc>
          <w:tcPr>
            <w:tcW w:w="366" w:type="pct"/>
            <w:shd w:val="clear" w:color="auto" w:fill="C6EFCE"/>
            <w:noWrap/>
            <w:vAlign w:val="center"/>
            <w:hideMark/>
          </w:tcPr>
          <w:p w14:paraId="51A8B80E" w14:textId="77777777" w:rsidR="00C972CB" w:rsidRDefault="002457F6">
            <w:pPr>
              <w:pStyle w:val="P68B1DB1-Normal11"/>
              <w:jc w:val="center"/>
              <w:rPr>
                <w:noProof/>
              </w:rPr>
            </w:pPr>
            <w:r>
              <w:rPr>
                <w:noProof/>
              </w:rPr>
              <w:t>M1C3–10</w:t>
            </w:r>
          </w:p>
        </w:tc>
        <w:tc>
          <w:tcPr>
            <w:tcW w:w="460" w:type="pct"/>
            <w:shd w:val="clear" w:color="auto" w:fill="C6EFCE"/>
            <w:noWrap/>
            <w:vAlign w:val="center"/>
            <w:hideMark/>
          </w:tcPr>
          <w:p w14:paraId="50A9DFD4" w14:textId="77777777" w:rsidR="00C972CB" w:rsidRDefault="002457F6">
            <w:pPr>
              <w:pStyle w:val="P68B1DB1-Normal11"/>
              <w:jc w:val="center"/>
              <w:rPr>
                <w:noProof/>
              </w:rPr>
            </w:pPr>
            <w:r>
              <w:rPr>
                <w:noProof/>
              </w:rPr>
              <w:t>Reforma. Noteikums par tūristu gidu profesijām.</w:t>
            </w:r>
          </w:p>
          <w:p w14:paraId="1FFCB3B1" w14:textId="77777777" w:rsidR="00C972CB" w:rsidRDefault="00C972CB">
            <w:pPr>
              <w:jc w:val="center"/>
              <w:rPr>
                <w:rFonts w:ascii="Arial Narrow" w:hAnsi="Arial Narrow"/>
                <w:noProof/>
                <w:color w:val="006100"/>
                <w:sz w:val="20"/>
              </w:rPr>
            </w:pPr>
          </w:p>
        </w:tc>
        <w:tc>
          <w:tcPr>
            <w:tcW w:w="368" w:type="pct"/>
            <w:shd w:val="clear" w:color="auto" w:fill="C6EFCE"/>
            <w:noWrap/>
            <w:vAlign w:val="center"/>
            <w:hideMark/>
          </w:tcPr>
          <w:p w14:paraId="3C864174" w14:textId="77777777" w:rsidR="00C972CB" w:rsidRDefault="002457F6">
            <w:pPr>
              <w:pStyle w:val="P68B1DB1-Normal11"/>
              <w:jc w:val="center"/>
              <w:rPr>
                <w:noProof/>
              </w:rPr>
            </w:pPr>
            <w:r>
              <w:rPr>
                <w:noProof/>
              </w:rPr>
              <w:t>Starpposma mērķis</w:t>
            </w:r>
          </w:p>
        </w:tc>
        <w:tc>
          <w:tcPr>
            <w:tcW w:w="436" w:type="pct"/>
            <w:shd w:val="clear" w:color="auto" w:fill="C6EFCE"/>
            <w:noWrap/>
            <w:vAlign w:val="center"/>
            <w:hideMark/>
          </w:tcPr>
          <w:p w14:paraId="0589C2CE" w14:textId="77777777" w:rsidR="00C972CB" w:rsidRDefault="002457F6">
            <w:pPr>
              <w:pStyle w:val="P68B1DB1-Normal11"/>
              <w:jc w:val="center"/>
              <w:rPr>
                <w:noProof/>
              </w:rPr>
            </w:pPr>
            <w:r>
              <w:rPr>
                <w:noProof/>
              </w:rPr>
              <w:t>Valsts standarta noteikšana tūristu gidiem</w:t>
            </w:r>
          </w:p>
        </w:tc>
        <w:tc>
          <w:tcPr>
            <w:tcW w:w="520" w:type="pct"/>
            <w:shd w:val="clear" w:color="auto" w:fill="C6EFCE"/>
            <w:noWrap/>
            <w:vAlign w:val="center"/>
            <w:hideMark/>
          </w:tcPr>
          <w:p w14:paraId="11030D24" w14:textId="77777777" w:rsidR="00C972CB" w:rsidRDefault="002457F6">
            <w:pPr>
              <w:pStyle w:val="P68B1DB1-Normal11"/>
              <w:jc w:val="center"/>
              <w:rPr>
                <w:noProof/>
              </w:rPr>
            </w:pPr>
            <w:r>
              <w:rPr>
                <w:noProof/>
              </w:rPr>
              <w:t xml:space="preserve">Minimālā valsts </w:t>
            </w:r>
            <w:r>
              <w:rPr>
                <w:noProof/>
              </w:rPr>
              <w:t>standarta definīcija nenozīmē jaunas reglamentētas profesijas izveidi.</w:t>
            </w:r>
          </w:p>
        </w:tc>
        <w:tc>
          <w:tcPr>
            <w:tcW w:w="368" w:type="pct"/>
            <w:shd w:val="clear" w:color="auto" w:fill="C6EFCE"/>
            <w:noWrap/>
            <w:vAlign w:val="center"/>
            <w:hideMark/>
          </w:tcPr>
          <w:p w14:paraId="3D1BC950" w14:textId="77777777" w:rsidR="00C972CB" w:rsidRDefault="002457F6">
            <w:pPr>
              <w:pStyle w:val="P68B1DB1-Normal11"/>
              <w:jc w:val="center"/>
              <w:rPr>
                <w:noProof/>
              </w:rPr>
            </w:pPr>
            <w:r>
              <w:rPr>
                <w:noProof/>
              </w:rPr>
              <w:t>NEPIEMĒRO</w:t>
            </w:r>
          </w:p>
        </w:tc>
        <w:tc>
          <w:tcPr>
            <w:tcW w:w="368" w:type="pct"/>
            <w:shd w:val="clear" w:color="auto" w:fill="C6EFCE"/>
            <w:noWrap/>
            <w:vAlign w:val="center"/>
            <w:hideMark/>
          </w:tcPr>
          <w:p w14:paraId="6E06D47B" w14:textId="77777777" w:rsidR="00C972CB" w:rsidRDefault="002457F6">
            <w:pPr>
              <w:pStyle w:val="P68B1DB1-Normal11"/>
              <w:jc w:val="center"/>
              <w:rPr>
                <w:noProof/>
              </w:rPr>
            </w:pPr>
            <w:r>
              <w:rPr>
                <w:noProof/>
              </w:rPr>
              <w:t>NEPIEMĒRO</w:t>
            </w:r>
          </w:p>
        </w:tc>
        <w:tc>
          <w:tcPr>
            <w:tcW w:w="377" w:type="pct"/>
            <w:shd w:val="clear" w:color="auto" w:fill="C6EFCE"/>
            <w:noWrap/>
            <w:vAlign w:val="center"/>
            <w:hideMark/>
          </w:tcPr>
          <w:p w14:paraId="17126B65" w14:textId="77777777" w:rsidR="00C972CB" w:rsidRDefault="002457F6">
            <w:pPr>
              <w:pStyle w:val="P68B1DB1-Normal11"/>
              <w:jc w:val="center"/>
              <w:rPr>
                <w:noProof/>
              </w:rPr>
            </w:pPr>
            <w:r>
              <w:rPr>
                <w:noProof/>
              </w:rPr>
              <w:t>NEPIEMĒRO</w:t>
            </w:r>
          </w:p>
        </w:tc>
        <w:tc>
          <w:tcPr>
            <w:tcW w:w="321" w:type="pct"/>
            <w:shd w:val="clear" w:color="auto" w:fill="C6EFCE"/>
            <w:noWrap/>
            <w:vAlign w:val="center"/>
            <w:hideMark/>
          </w:tcPr>
          <w:p w14:paraId="38AECD25" w14:textId="77777777" w:rsidR="00C972CB" w:rsidRDefault="002457F6">
            <w:pPr>
              <w:pStyle w:val="P68B1DB1-Normal11"/>
              <w:jc w:val="center"/>
              <w:rPr>
                <w:noProof/>
              </w:rPr>
            </w:pPr>
            <w:r>
              <w:rPr>
                <w:noProof/>
              </w:rPr>
              <w:t>2. CET.</w:t>
            </w:r>
          </w:p>
          <w:p w14:paraId="2500DAE9" w14:textId="77777777" w:rsidR="00C972CB" w:rsidRDefault="00C972CB">
            <w:pPr>
              <w:jc w:val="center"/>
              <w:rPr>
                <w:rFonts w:ascii="Arial Narrow" w:hAnsi="Arial Narrow"/>
                <w:noProof/>
                <w:color w:val="006100"/>
                <w:sz w:val="20"/>
              </w:rPr>
            </w:pPr>
          </w:p>
        </w:tc>
        <w:tc>
          <w:tcPr>
            <w:tcW w:w="224" w:type="pct"/>
            <w:shd w:val="clear" w:color="auto" w:fill="C6EFCE"/>
            <w:noWrap/>
            <w:vAlign w:val="center"/>
            <w:hideMark/>
          </w:tcPr>
          <w:p w14:paraId="2CDAE7A6" w14:textId="77777777" w:rsidR="00C972CB" w:rsidRDefault="002457F6">
            <w:pPr>
              <w:pStyle w:val="P68B1DB1-Normal11"/>
              <w:jc w:val="center"/>
              <w:rPr>
                <w:noProof/>
              </w:rPr>
            </w:pPr>
            <w:r>
              <w:rPr>
                <w:noProof/>
              </w:rPr>
              <w:t>2024</w:t>
            </w:r>
          </w:p>
          <w:p w14:paraId="64F59E53" w14:textId="77777777" w:rsidR="00C972CB" w:rsidRDefault="00C972CB">
            <w:pPr>
              <w:jc w:val="center"/>
              <w:rPr>
                <w:rFonts w:ascii="Arial Narrow" w:hAnsi="Arial Narrow"/>
                <w:noProof/>
                <w:color w:val="006100"/>
                <w:sz w:val="20"/>
              </w:rPr>
            </w:pPr>
          </w:p>
        </w:tc>
        <w:tc>
          <w:tcPr>
            <w:tcW w:w="1192" w:type="pct"/>
            <w:shd w:val="clear" w:color="auto" w:fill="C6EFCE"/>
            <w:noWrap/>
            <w:vAlign w:val="center"/>
            <w:hideMark/>
          </w:tcPr>
          <w:p w14:paraId="3DC7B9E2" w14:textId="77777777" w:rsidR="00C972CB" w:rsidRDefault="002457F6">
            <w:pPr>
              <w:pStyle w:val="P68B1DB1-Normal11"/>
              <w:rPr>
                <w:noProof/>
              </w:rPr>
            </w:pPr>
            <w:r>
              <w:rPr>
                <w:noProof/>
              </w:rPr>
              <w:t>Minimālā valsts standarta definīcija nenozīmē jaunas reglamentētas profesijas izveidi.</w:t>
            </w:r>
          </w:p>
          <w:p w14:paraId="3232E3E0" w14:textId="654B9FCB" w:rsidR="00C972CB" w:rsidRDefault="002457F6">
            <w:pPr>
              <w:pStyle w:val="P68B1DB1-Normal11"/>
              <w:rPr>
                <w:noProof/>
              </w:rPr>
            </w:pPr>
            <w:r>
              <w:rPr>
                <w:noProof/>
              </w:rPr>
              <w:t xml:space="preserve">Reforma paredz arī apmācību un profesionālu </w:t>
            </w:r>
            <w:r>
              <w:rPr>
                <w:noProof/>
              </w:rPr>
              <w:t>atjaunināšanu, lai labāk atbalstītu piedāvājumu. Reforma ir kvalificējama kā metode, lai iegūtu unikālu profesionālo kvalifikāciju, kas valsts līmenī pieņemta ar vienotiem standartiem valsts līmenī ar valsts likumu un turpmākiem ministru saprašanās dekrēti</w:t>
            </w:r>
            <w:r>
              <w:rPr>
                <w:noProof/>
              </w:rPr>
              <w:t>em par valsts reģioniem.</w:t>
            </w:r>
          </w:p>
        </w:tc>
      </w:tr>
      <w:tr w:rsidR="00C972CB" w14:paraId="19500451" w14:textId="77777777">
        <w:trPr>
          <w:trHeight w:val="309"/>
        </w:trPr>
        <w:tc>
          <w:tcPr>
            <w:tcW w:w="366" w:type="pct"/>
            <w:shd w:val="clear" w:color="auto" w:fill="C6EFCE"/>
            <w:noWrap/>
            <w:vAlign w:val="center"/>
          </w:tcPr>
          <w:p w14:paraId="36457654" w14:textId="77777777" w:rsidR="00C972CB" w:rsidRDefault="002457F6">
            <w:pPr>
              <w:pStyle w:val="P68B1DB1-Normal11"/>
              <w:jc w:val="center"/>
              <w:rPr>
                <w:noProof/>
              </w:rPr>
            </w:pPr>
            <w:r>
              <w:rPr>
                <w:noProof/>
              </w:rPr>
              <w:t>M1C3–11</w:t>
            </w:r>
          </w:p>
        </w:tc>
        <w:tc>
          <w:tcPr>
            <w:tcW w:w="460" w:type="pct"/>
            <w:shd w:val="clear" w:color="auto" w:fill="C6EFCE"/>
            <w:noWrap/>
            <w:vAlign w:val="center"/>
          </w:tcPr>
          <w:p w14:paraId="21D93BC6" w14:textId="77777777" w:rsidR="00C972CB" w:rsidRDefault="002457F6">
            <w:pPr>
              <w:pStyle w:val="P68B1DB1-Normal11"/>
              <w:jc w:val="center"/>
              <w:rPr>
                <w:noProof/>
              </w:rPr>
            </w:pPr>
            <w:r>
              <w:rPr>
                <w:noProof/>
              </w:rPr>
              <w:t>Ieguldījums 1.3. Uzlabot energoefektivitāti kinoteātros, teātros un muzejos</w:t>
            </w:r>
          </w:p>
        </w:tc>
        <w:tc>
          <w:tcPr>
            <w:tcW w:w="368" w:type="pct"/>
            <w:shd w:val="clear" w:color="auto" w:fill="C6EFCE"/>
            <w:noWrap/>
            <w:vAlign w:val="center"/>
          </w:tcPr>
          <w:p w14:paraId="25D6EACE" w14:textId="77777777" w:rsidR="00C972CB" w:rsidRDefault="002457F6">
            <w:pPr>
              <w:pStyle w:val="P68B1DB1-Normal11"/>
              <w:jc w:val="center"/>
              <w:rPr>
                <w:noProof/>
              </w:rPr>
            </w:pPr>
            <w:r>
              <w:rPr>
                <w:noProof/>
              </w:rPr>
              <w:t>Starpposma mērķis</w:t>
            </w:r>
          </w:p>
        </w:tc>
        <w:tc>
          <w:tcPr>
            <w:tcW w:w="436" w:type="pct"/>
            <w:shd w:val="clear" w:color="auto" w:fill="C6EFCE"/>
            <w:noWrap/>
            <w:vAlign w:val="center"/>
          </w:tcPr>
          <w:p w14:paraId="40FAAC70" w14:textId="77777777" w:rsidR="00C972CB" w:rsidRDefault="002457F6">
            <w:pPr>
              <w:pStyle w:val="P68B1DB1-Normal11"/>
              <w:spacing w:line="276" w:lineRule="auto"/>
              <w:jc w:val="center"/>
              <w:rPr>
                <w:noProof/>
              </w:rPr>
            </w:pPr>
            <w:r>
              <w:rPr>
                <w:noProof/>
              </w:rPr>
              <w:t>Stājas spēkā Kultūras ministrijas dekrēts par resursu piešķiršanu:</w:t>
            </w:r>
          </w:p>
          <w:p w14:paraId="6BB62917" w14:textId="77777777" w:rsidR="00C972CB" w:rsidRDefault="002457F6">
            <w:pPr>
              <w:pStyle w:val="P68B1DB1-Normal11"/>
              <w:spacing w:line="276" w:lineRule="auto"/>
              <w:jc w:val="center"/>
              <w:rPr>
                <w:noProof/>
              </w:rPr>
            </w:pPr>
            <w:r>
              <w:rPr>
                <w:noProof/>
              </w:rPr>
              <w:t>uzlabot energoefektivitāti kultūras vietās</w:t>
            </w:r>
          </w:p>
          <w:p w14:paraId="4653407B" w14:textId="77777777" w:rsidR="00C972CB" w:rsidRDefault="00C972CB">
            <w:pPr>
              <w:jc w:val="center"/>
              <w:rPr>
                <w:rFonts w:ascii="Arial Narrow" w:hAnsi="Arial Narrow"/>
                <w:noProof/>
                <w:color w:val="006100"/>
                <w:sz w:val="20"/>
              </w:rPr>
            </w:pPr>
          </w:p>
        </w:tc>
        <w:tc>
          <w:tcPr>
            <w:tcW w:w="520" w:type="pct"/>
            <w:shd w:val="clear" w:color="auto" w:fill="C6EFCE"/>
            <w:noWrap/>
            <w:vAlign w:val="center"/>
          </w:tcPr>
          <w:p w14:paraId="02DD8288" w14:textId="77777777" w:rsidR="00C972CB" w:rsidRDefault="002457F6">
            <w:pPr>
              <w:pStyle w:val="P68B1DB1-Normal11"/>
              <w:jc w:val="center"/>
              <w:rPr>
                <w:noProof/>
              </w:rPr>
            </w:pPr>
            <w:r>
              <w:rPr>
                <w:noProof/>
              </w:rPr>
              <w:t xml:space="preserve">Dekrēta par </w:t>
            </w:r>
            <w:r>
              <w:rPr>
                <w:noProof/>
              </w:rPr>
              <w:t>Kultūras ministrijas (MIC) dekrēta stāšanos spēkā noteikums par resursu piešķiršanu energoefektivitātes uzlabošanai kultūras vietās</w:t>
            </w:r>
          </w:p>
          <w:p w14:paraId="06E558B4" w14:textId="77777777" w:rsidR="00C972CB" w:rsidRDefault="00C972CB">
            <w:pPr>
              <w:jc w:val="center"/>
              <w:rPr>
                <w:rFonts w:ascii="Arial Narrow" w:hAnsi="Arial Narrow"/>
                <w:noProof/>
                <w:color w:val="006100"/>
                <w:sz w:val="20"/>
              </w:rPr>
            </w:pPr>
          </w:p>
        </w:tc>
        <w:tc>
          <w:tcPr>
            <w:tcW w:w="368" w:type="pct"/>
            <w:shd w:val="clear" w:color="auto" w:fill="C6EFCE"/>
            <w:noWrap/>
            <w:vAlign w:val="center"/>
          </w:tcPr>
          <w:p w14:paraId="278894D6" w14:textId="77777777" w:rsidR="00C972CB" w:rsidRDefault="002457F6">
            <w:pPr>
              <w:pStyle w:val="P68B1DB1-Normal11"/>
              <w:jc w:val="center"/>
              <w:rPr>
                <w:noProof/>
              </w:rPr>
            </w:pPr>
            <w:r>
              <w:rPr>
                <w:noProof/>
              </w:rPr>
              <w:t>NEPIEMĒRO</w:t>
            </w:r>
          </w:p>
        </w:tc>
        <w:tc>
          <w:tcPr>
            <w:tcW w:w="368" w:type="pct"/>
            <w:shd w:val="clear" w:color="auto" w:fill="C6EFCE"/>
            <w:noWrap/>
            <w:vAlign w:val="center"/>
          </w:tcPr>
          <w:p w14:paraId="3DC29CFD" w14:textId="77777777" w:rsidR="00C972CB" w:rsidRDefault="002457F6">
            <w:pPr>
              <w:pStyle w:val="P68B1DB1-Normal11"/>
              <w:jc w:val="center"/>
              <w:rPr>
                <w:noProof/>
              </w:rPr>
            </w:pPr>
            <w:r>
              <w:rPr>
                <w:noProof/>
              </w:rPr>
              <w:t>NEPIEMĒRO</w:t>
            </w:r>
          </w:p>
        </w:tc>
        <w:tc>
          <w:tcPr>
            <w:tcW w:w="377" w:type="pct"/>
            <w:shd w:val="clear" w:color="auto" w:fill="C6EFCE"/>
            <w:noWrap/>
            <w:vAlign w:val="center"/>
          </w:tcPr>
          <w:p w14:paraId="6E0D7CE6" w14:textId="77777777" w:rsidR="00C972CB" w:rsidRDefault="002457F6">
            <w:pPr>
              <w:pStyle w:val="P68B1DB1-Normal11"/>
              <w:jc w:val="center"/>
              <w:rPr>
                <w:noProof/>
              </w:rPr>
            </w:pPr>
            <w:r>
              <w:rPr>
                <w:noProof/>
              </w:rPr>
              <w:t>NEPIEMĒRO</w:t>
            </w:r>
          </w:p>
        </w:tc>
        <w:tc>
          <w:tcPr>
            <w:tcW w:w="321" w:type="pct"/>
            <w:shd w:val="clear" w:color="auto" w:fill="C6EFCE"/>
            <w:noWrap/>
            <w:vAlign w:val="center"/>
          </w:tcPr>
          <w:p w14:paraId="167D63C4" w14:textId="77777777" w:rsidR="00C972CB" w:rsidRDefault="002457F6">
            <w:pPr>
              <w:pStyle w:val="P68B1DB1-Normal11"/>
              <w:jc w:val="center"/>
              <w:rPr>
                <w:noProof/>
              </w:rPr>
            </w:pPr>
            <w:r>
              <w:rPr>
                <w:noProof/>
              </w:rPr>
              <w:t>2. CET.</w:t>
            </w:r>
          </w:p>
        </w:tc>
        <w:tc>
          <w:tcPr>
            <w:tcW w:w="224" w:type="pct"/>
            <w:shd w:val="clear" w:color="auto" w:fill="C6EFCE"/>
            <w:noWrap/>
            <w:vAlign w:val="center"/>
          </w:tcPr>
          <w:p w14:paraId="6369125E" w14:textId="77777777" w:rsidR="00C972CB" w:rsidRDefault="002457F6">
            <w:pPr>
              <w:pStyle w:val="P68B1DB1-Normal11"/>
              <w:jc w:val="center"/>
              <w:rPr>
                <w:noProof/>
              </w:rPr>
            </w:pPr>
            <w:r>
              <w:rPr>
                <w:noProof/>
              </w:rPr>
              <w:t>2022</w:t>
            </w:r>
          </w:p>
        </w:tc>
        <w:tc>
          <w:tcPr>
            <w:tcW w:w="1192" w:type="pct"/>
            <w:shd w:val="clear" w:color="auto" w:fill="C6EFCE"/>
            <w:noWrap/>
            <w:vAlign w:val="center"/>
          </w:tcPr>
          <w:p w14:paraId="50F29AE1" w14:textId="77777777" w:rsidR="00C972CB" w:rsidRDefault="002457F6">
            <w:pPr>
              <w:pStyle w:val="P68B1DB1-Normal11"/>
              <w:rPr>
                <w:noProof/>
              </w:rPr>
            </w:pPr>
            <w:r>
              <w:rPr>
                <w:noProof/>
              </w:rPr>
              <w:t>Kultūras vietas ir kinoteātri, teātri un muzeji.</w:t>
            </w:r>
          </w:p>
          <w:p w14:paraId="062C97D0" w14:textId="77777777" w:rsidR="00C972CB" w:rsidRDefault="002457F6">
            <w:pPr>
              <w:pStyle w:val="P68B1DB1-Normal11"/>
              <w:rPr>
                <w:noProof/>
              </w:rPr>
            </w:pPr>
            <w:r>
              <w:rPr>
                <w:noProof/>
              </w:rPr>
              <w:t>(INV. 1.3) Attiecībā uz muzejie</w:t>
            </w:r>
            <w:r>
              <w:rPr>
                <w:noProof/>
              </w:rPr>
              <w:t xml:space="preserve">m un kultūras vietām, lai uzlabotu energoefektivitāti, intervence tiek īstenota, 1. mērķa gadījumā atzīstot projektu priekšlikumus Valsts kultūras objektos Kultūras ministrijā (MiC). Pretējā gadījumā nevalstisko iestāžu noteikšanu 2. un 3. mērķa gadījumos </w:t>
            </w:r>
            <w:r>
              <w:rPr>
                <w:noProof/>
              </w:rPr>
              <w:t>veic, izmantojot uzaicinājumus iesniegt piedāvājumus.</w:t>
            </w:r>
          </w:p>
          <w:p w14:paraId="77C8B384" w14:textId="77777777" w:rsidR="00C972CB" w:rsidRDefault="002457F6">
            <w:pPr>
              <w:pStyle w:val="P68B1DB1-Normal11"/>
              <w:rPr>
                <w:noProof/>
              </w:rPr>
            </w:pPr>
            <w:r>
              <w:rPr>
                <w:noProof/>
              </w:rPr>
              <w:t>Līgumslēgšanas tiesību piešķiršana projektiem, kas atlasīti konkursa uzaicinājumos iesniegt priekšlikumus, atbilst Tehniskajiem norādījumiem “nenodari būtisku kaitējumu” (2021/C58/01), izmantojot izslēg</w:t>
            </w:r>
            <w:r>
              <w:rPr>
                <w:noProof/>
              </w:rPr>
              <w:t>šanas sarakstu un prasību par atbilstību attiecīgajiem ES un valsts tiesību aktiem vides jomā.</w:t>
            </w:r>
          </w:p>
          <w:p w14:paraId="699BCE8E" w14:textId="77777777" w:rsidR="00C972CB" w:rsidRDefault="00C972CB">
            <w:pPr>
              <w:rPr>
                <w:rFonts w:ascii="Arial Narrow" w:hAnsi="Arial Narrow"/>
                <w:noProof/>
                <w:color w:val="006100"/>
                <w:sz w:val="20"/>
              </w:rPr>
            </w:pPr>
          </w:p>
        </w:tc>
      </w:tr>
    </w:tbl>
    <w:p w14:paraId="2DC24C07" w14:textId="77777777" w:rsidR="00C972CB" w:rsidRDefault="00C972CB">
      <w:pPr>
        <w:spacing w:before="120" w:after="120"/>
        <w:ind w:left="709"/>
        <w:jc w:val="both"/>
        <w:rPr>
          <w:noProof/>
        </w:rPr>
      </w:pPr>
    </w:p>
    <w:p w14:paraId="11EB6FA7" w14:textId="77777777" w:rsidR="00C972CB" w:rsidRDefault="00C972CB">
      <w:pPr>
        <w:spacing w:before="120" w:after="120"/>
        <w:ind w:left="709"/>
        <w:jc w:val="both"/>
        <w:rPr>
          <w:noProof/>
        </w:rPr>
        <w:sectPr w:rsidR="00C972CB" w:rsidSect="001354D1">
          <w:headerReference w:type="even" r:id="rId74"/>
          <w:headerReference w:type="default" r:id="rId75"/>
          <w:footerReference w:type="even" r:id="rId76"/>
          <w:footerReference w:type="default" r:id="rId77"/>
          <w:headerReference w:type="first" r:id="rId78"/>
          <w:footerReference w:type="first" r:id="rId79"/>
          <w:pgSz w:w="16839" w:h="11907" w:orient="landscape"/>
          <w:pgMar w:top="1134" w:right="1134" w:bottom="1134" w:left="1134" w:header="567" w:footer="567" w:gutter="0"/>
          <w:cols w:space="720"/>
          <w:docGrid w:linePitch="360"/>
        </w:sectPr>
      </w:pPr>
    </w:p>
    <w:p w14:paraId="10271B9C" w14:textId="77777777" w:rsidR="00C972CB" w:rsidRDefault="002457F6">
      <w:pPr>
        <w:pStyle w:val="Heading3"/>
        <w:numPr>
          <w:ilvl w:val="0"/>
          <w:numId w:val="0"/>
        </w:numPr>
        <w:ind w:left="850" w:hanging="850"/>
        <w:rPr>
          <w:b/>
          <w:i w:val="0"/>
          <w:noProof/>
          <w:u w:val="single"/>
        </w:rPr>
      </w:pPr>
      <w:r>
        <w:rPr>
          <w:b/>
          <w:i w:val="0"/>
          <w:noProof/>
          <w:u w:val="single"/>
        </w:rPr>
        <w:t xml:space="preserve">C3. </w:t>
      </w:r>
      <w:r>
        <w:rPr>
          <w:noProof/>
        </w:rPr>
        <w:tab/>
      </w:r>
      <w:r>
        <w:rPr>
          <w:b/>
          <w:i w:val="0"/>
          <w:noProof/>
          <w:u w:val="single"/>
        </w:rPr>
        <w:t xml:space="preserve">Aizdevumam pieteikto reformu un investīciju apraksts </w:t>
      </w:r>
    </w:p>
    <w:p w14:paraId="475ADD27" w14:textId="77777777" w:rsidR="00C972CB" w:rsidRDefault="002457F6">
      <w:pPr>
        <w:pStyle w:val="P68B1DB1-Normal2"/>
        <w:jc w:val="both"/>
        <w:rPr>
          <w:noProof/>
        </w:rPr>
      </w:pPr>
      <w:r>
        <w:rPr>
          <w:noProof/>
        </w:rPr>
        <w:t xml:space="preserve">Ieguldījums 2.1.: Mazo vēsturisko </w:t>
      </w:r>
      <w:r>
        <w:rPr>
          <w:noProof/>
        </w:rPr>
        <w:t>pilsētu pievilcība</w:t>
      </w:r>
    </w:p>
    <w:p w14:paraId="03E304D4" w14:textId="77777777" w:rsidR="00C972CB" w:rsidRDefault="00C972CB">
      <w:pPr>
        <w:jc w:val="both"/>
        <w:rPr>
          <w:noProof/>
        </w:rPr>
      </w:pPr>
    </w:p>
    <w:p w14:paraId="373CDC75" w14:textId="77777777" w:rsidR="00C972CB" w:rsidRDefault="002457F6">
      <w:pPr>
        <w:jc w:val="both"/>
        <w:rPr>
          <w:noProof/>
        </w:rPr>
      </w:pPr>
      <w:r>
        <w:rPr>
          <w:noProof/>
        </w:rPr>
        <w:t>Šis ieguldījums ir integrēts “Piano Nazionale Borghi” programmā, kuras mērķis ir atbalstīt nelabvēlīgā situācijā esošu reģionu ekonomisko un sociālo attīstību, pamatojoties uz mazpilsētu kultūras atjaunošanu un tūrisma atdzīvināšanu. Da</w:t>
      </w:r>
      <w:r>
        <w:rPr>
          <w:noProof/>
        </w:rPr>
        <w:t>rbības ir strukturētas, pamatojoties uz integrētiem kultūras vietējā līmeņa projektiem.</w:t>
      </w:r>
    </w:p>
    <w:p w14:paraId="34E24B1F" w14:textId="77777777" w:rsidR="00C972CB" w:rsidRDefault="00C972CB">
      <w:pPr>
        <w:jc w:val="both"/>
        <w:rPr>
          <w:noProof/>
        </w:rPr>
      </w:pPr>
    </w:p>
    <w:p w14:paraId="6868BD33" w14:textId="77777777" w:rsidR="00C972CB" w:rsidRDefault="002457F6">
      <w:pPr>
        <w:spacing w:after="120"/>
        <w:jc w:val="both"/>
        <w:rPr>
          <w:noProof/>
        </w:rPr>
      </w:pPr>
      <w:r>
        <w:rPr>
          <w:noProof/>
        </w:rPr>
        <w:t>Pasākumi ir vērsti uz: vēsturiskā mantojuma atjaunošana, atklātu sabiedrisko vietu uzlabošana (piemēram, arhitektonisko šķēršļu likvidēšana, pilsētu mēbeļu uzlabošana)</w:t>
      </w:r>
      <w:r>
        <w:rPr>
          <w:noProof/>
        </w:rPr>
        <w:t>, nelielu kultūras pakalpojumu radīšana, tostarp tūrisma vajadzībām; jāveicina jaunu maršrutu izveide un veicināšana (piemēram, tematiskie maršruti, vēsturiskie maršruti) un ekskursijas gida pavadībā; finanšu atbalsta ieviešana kultūras, radošajām, tūrisma</w:t>
      </w:r>
      <w:r>
        <w:rPr>
          <w:noProof/>
        </w:rPr>
        <w:t>, komerciālajām, lauksaimniecības pārtikas un amatnieciskajām darbībām, kuru mērķis ir atdzīvināt vietējo ekonomiku, uzlabojot vietējos produktus, zināšanas un paņēmienus.</w:t>
      </w:r>
    </w:p>
    <w:p w14:paraId="50840A99" w14:textId="38F90647" w:rsidR="00C972CB" w:rsidRDefault="002457F6">
      <w:pPr>
        <w:spacing w:after="120"/>
        <w:jc w:val="both"/>
        <w:rPr>
          <w:noProof/>
        </w:rPr>
      </w:pPr>
      <w:r>
        <w:rPr>
          <w:noProof/>
        </w:rPr>
        <w:t>Lai nodrošinātu, ka pasākums atbilst Tehniskajām vadlīnijām “Nenodari būtisku kaitēj</w:t>
      </w:r>
      <w:r>
        <w:rPr>
          <w:noProof/>
        </w:rPr>
        <w:t>umu” (2021/C58/01), atbilstības kritērijos, kas ietverti darba uzdevumā turpmākajiem uzaicinājumiem iesniegt projektus, izslēdz šādu darbību sarakstu: darbības, kas saistītas ar fosilajiem kurināmajiem, tostarp pakārtota izmantošana</w:t>
      </w:r>
      <w:r>
        <w:rPr>
          <w:rStyle w:val="FootnoteReference"/>
          <w:noProof/>
        </w:rPr>
        <w:footnoteReference w:id="27"/>
      </w:r>
      <w:r>
        <w:rPr>
          <w:noProof/>
        </w:rPr>
        <w:t xml:space="preserve">; darbības ES emisijas </w:t>
      </w:r>
      <w:r>
        <w:rPr>
          <w:noProof/>
        </w:rPr>
        <w:t>kvotu tirdzniecības sistēmas (ETS) ietvaros, lai sasniegtu prognozētās siltumnīcefekta gāzu emisijas, kas nav zemākas par attiecīgajām līmeņatzīmēm</w:t>
      </w:r>
      <w:r>
        <w:rPr>
          <w:rStyle w:val="FootnoteReference"/>
          <w:noProof/>
        </w:rPr>
        <w:footnoteReference w:id="28"/>
      </w:r>
      <w:r>
        <w:rPr>
          <w:noProof/>
        </w:rPr>
        <w:t>; III) darbības, kas saistītas ar atkritumu poligoniem, atkritumu sadedzināšanas iekārtām</w:t>
      </w:r>
      <w:r>
        <w:rPr>
          <w:rStyle w:val="FootnoteReference"/>
          <w:noProof/>
        </w:rPr>
        <w:footnoteReference w:id="29"/>
      </w:r>
      <w:r>
        <w:rPr>
          <w:noProof/>
        </w:rPr>
        <w:t xml:space="preserve"> un mehāniski biol</w:t>
      </w:r>
      <w:r>
        <w:rPr>
          <w:noProof/>
        </w:rPr>
        <w:t>oģiskās apstrādes iekārtām</w:t>
      </w:r>
      <w:r>
        <w:rPr>
          <w:rStyle w:val="FootnoteReference"/>
          <w:noProof/>
        </w:rPr>
        <w:footnoteReference w:id="30"/>
      </w:r>
      <w:r>
        <w:rPr>
          <w:noProof/>
        </w:rPr>
        <w:t>; un iv) darbības, kurās atkritumu ilgtermiņa apglabāšana var radīt kaitējumu videi. Darba uzdevumā papildus nosaka, ka atlasa tikai tās darbības, kas atbilst attiecīgajiem ES un valsts tiesību aktiem vides jomā.</w:t>
      </w:r>
    </w:p>
    <w:p w14:paraId="7309DF7E" w14:textId="1F1084FE" w:rsidR="00C972CB" w:rsidRDefault="002457F6">
      <w:pPr>
        <w:pStyle w:val="P68B1DB1-Normal2"/>
        <w:spacing w:after="120"/>
        <w:jc w:val="both"/>
        <w:rPr>
          <w:noProof/>
        </w:rPr>
      </w:pPr>
      <w:r>
        <w:rPr>
          <w:noProof/>
        </w:rPr>
        <w:t>Ieguldījums 2.2.</w:t>
      </w:r>
      <w:r>
        <w:rPr>
          <w:noProof/>
        </w:rPr>
        <w:t xml:space="preserve">: Lauku arhitektūras un ainavas aizsardzība un uzlabošana </w:t>
      </w:r>
    </w:p>
    <w:p w14:paraId="2F0E96E1" w14:textId="225206C7" w:rsidR="00C972CB" w:rsidRDefault="002457F6">
      <w:pPr>
        <w:spacing w:after="120"/>
        <w:jc w:val="both"/>
        <w:rPr>
          <w:noProof/>
        </w:rPr>
      </w:pPr>
      <w:r>
        <w:rPr>
          <w:noProof/>
        </w:rPr>
        <w:t>Šis ieguldījums stimulē sistemātisku vēsturisku lauku ēku (privātā vai trešā sektora struktūru) modernizācijas procesu un ainavu aizsardzību.</w:t>
      </w:r>
    </w:p>
    <w:p w14:paraId="5DBEFA39" w14:textId="77777777" w:rsidR="00C972CB" w:rsidRDefault="002457F6">
      <w:pPr>
        <w:spacing w:after="120"/>
        <w:jc w:val="both"/>
        <w:rPr>
          <w:noProof/>
        </w:rPr>
      </w:pPr>
      <w:r>
        <w:rPr>
          <w:noProof/>
        </w:rPr>
        <w:t>Daudzās lauku ēkās un lauksaimniecības struktūrās ir pa</w:t>
      </w:r>
      <w:r>
        <w:rPr>
          <w:noProof/>
        </w:rPr>
        <w:t>kāpeniski pamestas, noplicinātas un pārveidotas, kas ir mazinājušas to raksturīgās īpašības un saikni ar apkārtējo vidi. Atjaunojot lauku ēku fondu, pasākums uzlabo lauku ainavas kvalitāti, atgriežot kopienā nepietiekami izmantotu ēku fondu, kas nav publis</w:t>
      </w:r>
      <w:r>
        <w:rPr>
          <w:noProof/>
        </w:rPr>
        <w:t xml:space="preserve">ki pieejams. </w:t>
      </w:r>
    </w:p>
    <w:p w14:paraId="3E60293D" w14:textId="35299CFB" w:rsidR="00C972CB" w:rsidRDefault="002457F6">
      <w:pPr>
        <w:pStyle w:val="P68B1DB1-Normal2"/>
        <w:spacing w:after="120"/>
        <w:jc w:val="both"/>
        <w:rPr>
          <w:noProof/>
        </w:rPr>
      </w:pPr>
      <w:r>
        <w:rPr>
          <w:noProof/>
        </w:rPr>
        <w:t xml:space="preserve">Ieguldījums 2.3. Programmas vietu identitātes uzlabošanai: parki un vēsturiskie dārzi </w:t>
      </w:r>
    </w:p>
    <w:p w14:paraId="0A1ADFB5" w14:textId="77777777" w:rsidR="00C972CB" w:rsidRDefault="002457F6">
      <w:pPr>
        <w:spacing w:after="120"/>
        <w:jc w:val="both"/>
        <w:rPr>
          <w:noProof/>
        </w:rPr>
      </w:pPr>
      <w:r>
        <w:rPr>
          <w:noProof/>
        </w:rPr>
        <w:t>Šā ieguldījuma mērķis ir novērst pilsētu lejupslīdi un atjaunot kopīgu vietu identitāti, radot jaunas iespējas atdzīvināt vietējo ekonomiku un mazināt krīz</w:t>
      </w:r>
      <w:r>
        <w:rPr>
          <w:noProof/>
        </w:rPr>
        <w:t xml:space="preserve">es ietekmi, kā arī uzlabot prasmes vēsturisko parku un dārzu pārvaldībai un uzturēšanai. </w:t>
      </w:r>
    </w:p>
    <w:p w14:paraId="4404E55E" w14:textId="77777777" w:rsidR="00C972CB" w:rsidRDefault="002457F6">
      <w:pPr>
        <w:spacing w:after="120"/>
        <w:jc w:val="both"/>
        <w:rPr>
          <w:noProof/>
        </w:rPr>
      </w:pPr>
      <w:r>
        <w:rPr>
          <w:noProof/>
        </w:rPr>
        <w:t>Ieguldījums paredz atjaunot vēsturiskos parkus un dārzos un nodrošina plašas zināšanas par Itālijas vēsturiskajiem parkiem un dārziem un to atjaunošanu, lai tos pienā</w:t>
      </w:r>
      <w:r>
        <w:rPr>
          <w:noProof/>
        </w:rPr>
        <w:t>cīgi uzturētu, apsaimniekotu un izmantotu sabiedrībai. Resursus piešķir šo teritoriju atjaunošanai un to vietējo darbinieku apmācībai, kuri var tos apstrādāt/saglabāt laika gaitā.</w:t>
      </w:r>
    </w:p>
    <w:p w14:paraId="505EDE1D" w14:textId="52A49F2F" w:rsidR="00C972CB" w:rsidRDefault="002457F6">
      <w:pPr>
        <w:spacing w:after="120"/>
        <w:jc w:val="both"/>
        <w:rPr>
          <w:noProof/>
        </w:rPr>
      </w:pPr>
      <w:r>
        <w:rPr>
          <w:noProof/>
        </w:rPr>
        <w:t>Papildus kultūras un vēsturiskajai vērtībai dārzi un vēsturiskie parki palīd</w:t>
      </w:r>
      <w:r>
        <w:rPr>
          <w:noProof/>
        </w:rPr>
        <w:t>z uzlabot vides vērtības un tiem ir svarīga nozīme saglabāšanā, skābekļa radīšanā, vides piesārņojuma un trokšņa samazināšanā un mikroklimata regulēšanā.</w:t>
      </w:r>
    </w:p>
    <w:p w14:paraId="627BCBB6" w14:textId="77777777" w:rsidR="00C972CB" w:rsidRDefault="002457F6">
      <w:pPr>
        <w:pStyle w:val="P68B1DB1-Normal2"/>
        <w:spacing w:after="120"/>
        <w:jc w:val="both"/>
        <w:rPr>
          <w:noProof/>
        </w:rPr>
      </w:pPr>
      <w:r>
        <w:rPr>
          <w:noProof/>
        </w:rPr>
        <w:t xml:space="preserve">Ieguldījums 2.4. Kulta vietu seismiskā drošība, FEC mantojuma atjaunošana un mākslas darbu patversmes </w:t>
      </w:r>
      <w:r>
        <w:rPr>
          <w:noProof/>
        </w:rPr>
        <w:t>(atgūšanas māksla)</w:t>
      </w:r>
    </w:p>
    <w:p w14:paraId="1AF468BB" w14:textId="04FFF39A" w:rsidR="00C972CB" w:rsidRDefault="002457F6">
      <w:pPr>
        <w:spacing w:after="120"/>
        <w:jc w:val="both"/>
        <w:rPr>
          <w:noProof/>
        </w:rPr>
      </w:pPr>
      <w:r>
        <w:rPr>
          <w:noProof/>
        </w:rPr>
        <w:t>Lai būtiski samazinātu risku kulta vietām un tādējādi izvairītos no iespējamām atjaunošanas izmaksām pēc katastrofām, kā arī no daudzu aktīvu pastāvīgas zaudēšanas, ir jāizstrādā pret seismiskas preventīvas rīcības plāns. Rīcības plānā i</w:t>
      </w:r>
      <w:r>
        <w:rPr>
          <w:noProof/>
        </w:rPr>
        <w:t>r trīs darbības virzieni:  kulta vietu aizsardzība pret seismiskiem riskiem; kulta vietu fonda (FEC) mantojuma atjaunošana un noliktavu būvniecība kā mākslas darbu patversme katastrofālu notikumu gadījumā.</w:t>
      </w:r>
    </w:p>
    <w:p w14:paraId="375067B7" w14:textId="5E4E8C85" w:rsidR="00C972CB" w:rsidRDefault="002457F6">
      <w:pPr>
        <w:spacing w:after="120"/>
        <w:jc w:val="both"/>
        <w:rPr>
          <w:b/>
          <w:noProof/>
          <w:u w:val="single"/>
        </w:rPr>
      </w:pPr>
      <w:r>
        <w:rPr>
          <w:noProof/>
        </w:rPr>
        <w:t xml:space="preserve">Ieguldījums paredz arī izveidot Nacionālo </w:t>
      </w:r>
      <w:r>
        <w:rPr>
          <w:noProof/>
        </w:rPr>
        <w:t>funkcionālo centru kultūras vērtību aizsardzībai pret cilvēku un dabas riskiem (CEFURISC), kas ļautu sinerģiskāk izmantot esošās tehnoloģijas un vides sistēmas kultūras objektu uzraudzībai, uzraudzībai un pārvaldībai.</w:t>
      </w:r>
      <w:r>
        <w:rPr>
          <w:b/>
          <w:noProof/>
          <w:u w:val="single"/>
        </w:rPr>
        <w:t xml:space="preserve"> </w:t>
      </w:r>
    </w:p>
    <w:p w14:paraId="12E64F85" w14:textId="0F13C509" w:rsidR="00C972CB" w:rsidRDefault="002457F6">
      <w:pPr>
        <w:pStyle w:val="P68B1DB1-Normal2"/>
        <w:spacing w:after="120"/>
        <w:jc w:val="both"/>
        <w:rPr>
          <w:noProof/>
        </w:rPr>
      </w:pPr>
      <w:r>
        <w:rPr>
          <w:noProof/>
        </w:rPr>
        <w:t xml:space="preserve">Ieguldījums 4.2.: Fondi tūrisma </w:t>
      </w:r>
      <w:r>
        <w:rPr>
          <w:noProof/>
        </w:rPr>
        <w:t>uzņēmumu konkurētspējai</w:t>
      </w:r>
    </w:p>
    <w:p w14:paraId="28856547" w14:textId="77777777" w:rsidR="00C972CB" w:rsidRDefault="002457F6">
      <w:pPr>
        <w:spacing w:after="120"/>
        <w:jc w:val="both"/>
        <w:rPr>
          <w:noProof/>
        </w:rPr>
      </w:pPr>
      <w:r>
        <w:rPr>
          <w:noProof/>
        </w:rPr>
        <w:t>Pasākuma mērķis ir atbalstīt uzņēmumus, kas darbojas tūrisma nozarē.  Tas ietver nodokļu kredītu darbiem, kuru mērķis ir uzlabot izmitināšanas iespējas, garantiju fondu, lai atvieglotu kredītu pieejamību nozares uzņēmumiem (izmantoj</w:t>
      </w:r>
      <w:r>
        <w:rPr>
          <w:noProof/>
        </w:rPr>
        <w:t>ot īpašu MVU garantiju fonda sadaļu), EIB Tūrisma tematiskā fonda aktivizēšanu, lai atbalstītu inovatīvus ieguldījumus nozarē, pašu kapitāla fondu (Valsts tūrisma fondu), lai atjaunotu īpašumus ar augstu tūrisma potenciālu. Papildu finanšu instruments (FRI</w:t>
      </w:r>
      <w:r>
        <w:rPr>
          <w:noProof/>
        </w:rPr>
        <w:t xml:space="preserve"> — Fondo Rotativo) papildina iepriekš minētos pasākumus, lai atbalstītu uzņēmumus, kas darbojas tūrisma nozarē. Minētās intervences veic saskaņā ar investīciju politiku, kas atbilst Regulas (ES) 2021/241 mērķiem, tostarp attiecībā uz principa “nenodari būt</w:t>
      </w:r>
      <w:r>
        <w:rPr>
          <w:noProof/>
        </w:rPr>
        <w:t>isku kaitējumu” piemērošanu, kā sīkāk norādīts Tehniskajās norādēs par principa “nenodari būtisku kaitējumu” piemērošanu saskaņā ar Atveseļošanas un noturības mehānisma regulu (2021/C58/01).</w:t>
      </w:r>
    </w:p>
    <w:p w14:paraId="208B24F8" w14:textId="38B667E3" w:rsidR="00C972CB" w:rsidRDefault="002457F6">
      <w:pPr>
        <w:pStyle w:val="Text1"/>
        <w:spacing w:before="0"/>
        <w:ind w:left="0"/>
        <w:rPr>
          <w:noProof/>
        </w:rPr>
      </w:pPr>
      <w:r>
        <w:rPr>
          <w:noProof/>
        </w:rPr>
        <w:t>Lai nodrošinātu, ka pasākums atbilst Tehniskajiem norādījumiem “n</w:t>
      </w:r>
      <w:r>
        <w:rPr>
          <w:noProof/>
        </w:rPr>
        <w:t xml:space="preserve">enodari būtisku kaitējumu” (2021/C58/01), juridiskajam nolīgumam un tai sekojošajai finanšu instrumentu ieguldījumu politikai: </w:t>
      </w:r>
    </w:p>
    <w:p w14:paraId="1515FF36" w14:textId="77777777" w:rsidR="00C972CB" w:rsidRDefault="002457F6">
      <w:pPr>
        <w:pStyle w:val="Text1"/>
        <w:numPr>
          <w:ilvl w:val="0"/>
          <w:numId w:val="78"/>
        </w:numPr>
        <w:spacing w:before="0"/>
        <w:ind w:left="567" w:hanging="283"/>
        <w:rPr>
          <w:noProof/>
        </w:rPr>
      </w:pPr>
      <w:r>
        <w:rPr>
          <w:noProof/>
        </w:rPr>
        <w:t>pieprasīt, lai fondam InvestEU tiktu piemēroti Komisijas tehniskie norādījumi par ilgtspējas pārbaudi; un</w:t>
      </w:r>
    </w:p>
    <w:p w14:paraId="07EC682D" w14:textId="744129E1" w:rsidR="00C972CB" w:rsidRDefault="002457F6">
      <w:pPr>
        <w:pStyle w:val="Text1"/>
        <w:numPr>
          <w:ilvl w:val="0"/>
          <w:numId w:val="78"/>
        </w:numPr>
        <w:spacing w:before="0"/>
        <w:ind w:left="567" w:hanging="283"/>
        <w:rPr>
          <w:noProof/>
        </w:rPr>
      </w:pPr>
      <w:r>
        <w:rPr>
          <w:noProof/>
        </w:rPr>
        <w:t>izslēgt šādu darbību s</w:t>
      </w:r>
      <w:r>
        <w:rPr>
          <w:noProof/>
        </w:rPr>
        <w:t>arakstu: darbības, kas saistītas ar fosilajiem kurināmajiem, tostarp pakārtota izmantošana</w:t>
      </w:r>
      <w:r>
        <w:rPr>
          <w:rStyle w:val="FootnoteReference"/>
          <w:noProof/>
        </w:rPr>
        <w:footnoteReference w:id="31"/>
      </w:r>
      <w:r>
        <w:rPr>
          <w:noProof/>
        </w:rPr>
        <w:t>; darbības ES emisijas kvotu tirdzniecības sistēmas (ETS) ietvaros, lai sasniegtu prognozētās siltumnīcefekta gāzu emisijas, kas nav zemākas par attiecīgajām līmeņat</w:t>
      </w:r>
      <w:r>
        <w:rPr>
          <w:noProof/>
        </w:rPr>
        <w:t>zīmēm</w:t>
      </w:r>
      <w:r>
        <w:rPr>
          <w:rStyle w:val="FootnoteReference"/>
          <w:noProof/>
        </w:rPr>
        <w:footnoteReference w:id="32"/>
      </w:r>
      <w:r>
        <w:rPr>
          <w:noProof/>
        </w:rPr>
        <w:t>; III) darbības, kas saistītas ar atkritumu poligoniem, atkritumu sadedzināšanas iekārtām</w:t>
      </w:r>
      <w:r>
        <w:rPr>
          <w:rStyle w:val="FootnoteReference"/>
          <w:noProof/>
        </w:rPr>
        <w:footnoteReference w:id="33"/>
      </w:r>
      <w:r>
        <w:rPr>
          <w:noProof/>
        </w:rPr>
        <w:t xml:space="preserve"> un mehāniski bioloģiskās apstrādes iekārtām</w:t>
      </w:r>
      <w:r>
        <w:rPr>
          <w:rStyle w:val="FootnoteReference"/>
          <w:noProof/>
        </w:rPr>
        <w:footnoteReference w:id="34"/>
      </w:r>
      <w:r>
        <w:rPr>
          <w:noProof/>
        </w:rPr>
        <w:t>; un iv) darbības, kurās atkritumu ilgtermiņa apglabāšana var radīt kaitējumu videi; un</w:t>
      </w:r>
    </w:p>
    <w:p w14:paraId="13654A9C" w14:textId="77777777" w:rsidR="00C972CB" w:rsidRDefault="002457F6">
      <w:pPr>
        <w:pStyle w:val="Text1"/>
        <w:numPr>
          <w:ilvl w:val="0"/>
          <w:numId w:val="78"/>
        </w:numPr>
        <w:spacing w:before="0"/>
        <w:ind w:left="567" w:hanging="283"/>
        <w:rPr>
          <w:noProof/>
        </w:rPr>
      </w:pPr>
      <w:r>
        <w:rPr>
          <w:noProof/>
        </w:rPr>
        <w:t>pieprasīt, lai pilnvarotā s</w:t>
      </w:r>
      <w:r>
        <w:rPr>
          <w:noProof/>
        </w:rPr>
        <w:t>truktūra vai finanšu starpnieks pārbaudītu projektu juridisko atbilstību attiecīgajiem ES un valsts vides tiesību aktiem attiecībā uz visiem darījumiem, tostarp tiem, kas atbrīvoti no ilgtspējas pārbaudes.</w:t>
      </w:r>
    </w:p>
    <w:p w14:paraId="0D09620E" w14:textId="618DB066" w:rsidR="00C972CB" w:rsidRDefault="002457F6">
      <w:pPr>
        <w:pStyle w:val="P68B1DB1-Normal2"/>
        <w:spacing w:after="120"/>
        <w:jc w:val="both"/>
        <w:rPr>
          <w:noProof/>
        </w:rPr>
      </w:pPr>
      <w:r>
        <w:rPr>
          <w:noProof/>
        </w:rPr>
        <w:t>Ieguldījums 3.2.: Filmu nozares attīstība (Cinecit</w:t>
      </w:r>
      <w:r>
        <w:rPr>
          <w:noProof/>
        </w:rPr>
        <w:t>tà projekts)</w:t>
      </w:r>
    </w:p>
    <w:p w14:paraId="3C036224" w14:textId="77777777" w:rsidR="00C972CB" w:rsidRDefault="002457F6">
      <w:pPr>
        <w:spacing w:after="120"/>
        <w:jc w:val="both"/>
        <w:rPr>
          <w:noProof/>
        </w:rPr>
      </w:pPr>
      <w:r>
        <w:rPr>
          <w:noProof/>
        </w:rPr>
        <w:t xml:space="preserve"> Ieguldījuma mērķis ir uzlabot Itālijas filmu un audiovizuālās nozares konkurētspēju. Projekta mērķis ir mazināt krīzes sociālo un ekonomisko ietekmi ar mērķi veicināt ekonomikas izaugsmi, nodarbinātību un konkurētspēju, tostarp veicot pasākum</w:t>
      </w:r>
      <w:r>
        <w:rPr>
          <w:noProof/>
        </w:rPr>
        <w:t>us apmācības jomā, izmantojot trīs darbības virzienus.</w:t>
      </w:r>
    </w:p>
    <w:p w14:paraId="68D8DB9D" w14:textId="77777777" w:rsidR="00C972CB" w:rsidRDefault="002457F6">
      <w:pPr>
        <w:pStyle w:val="ListParagraph"/>
        <w:numPr>
          <w:ilvl w:val="0"/>
          <w:numId w:val="77"/>
        </w:numPr>
        <w:spacing w:before="0"/>
        <w:contextualSpacing w:val="0"/>
        <w:rPr>
          <w:noProof/>
        </w:rPr>
      </w:pPr>
      <w:r>
        <w:rPr>
          <w:noProof/>
        </w:rPr>
        <w:t>A rinda: Jaunu studiju būvniecība un esošo studiju un pielikumu, tostarp augsto tehnoloģiju risinājumu, atgūšana.</w:t>
      </w:r>
    </w:p>
    <w:p w14:paraId="626DFC63" w14:textId="77777777" w:rsidR="00C972CB" w:rsidRDefault="002457F6">
      <w:pPr>
        <w:pStyle w:val="ListParagraph"/>
        <w:numPr>
          <w:ilvl w:val="0"/>
          <w:numId w:val="77"/>
        </w:numPr>
        <w:spacing w:before="0"/>
        <w:contextualSpacing w:val="0"/>
        <w:rPr>
          <w:noProof/>
        </w:rPr>
      </w:pPr>
      <w:r>
        <w:rPr>
          <w:noProof/>
        </w:rPr>
        <w:t>B rinda: Inovatīvas investīcijas, lai uzlabotu Kinematogrāfijas eksperimentālā centra p</w:t>
      </w:r>
      <w:r>
        <w:rPr>
          <w:noProof/>
        </w:rPr>
        <w:t>roducēšanu un apmācību, tostarp jaunus instrumentus audiovizuālajai ražošanai, internacionalizācijai, kultūras un izglītības apmaiņai; attīstīt infrastruktūru (virtuālu ražošanu tiešraides iekārtu) profesionālai un izglītojošai izmantošanai, izmantojot e-m</w:t>
      </w:r>
      <w:r>
        <w:rPr>
          <w:noProof/>
        </w:rPr>
        <w:t>ācības, ēku un iekārtu fonda digitalizāciju un modernizāciju, jo īpaši, lai veicinātu tehnoloģisko un vides pārveidi; audiovizuālā mantojuma saglabāšana un digitalizācija</w:t>
      </w:r>
    </w:p>
    <w:p w14:paraId="30784073" w14:textId="77777777" w:rsidR="00C972CB" w:rsidRDefault="002457F6">
      <w:pPr>
        <w:pStyle w:val="ListParagraph"/>
        <w:numPr>
          <w:ilvl w:val="0"/>
          <w:numId w:val="77"/>
        </w:numPr>
        <w:spacing w:before="0"/>
        <w:contextualSpacing w:val="0"/>
        <w:rPr>
          <w:noProof/>
        </w:rPr>
      </w:pPr>
      <w:r>
        <w:rPr>
          <w:noProof/>
        </w:rPr>
        <w:t>C līnija: Profesionālo prasmju un kompetenču stiprināšana audiovizuālajā nozarē 3 pro</w:t>
      </w:r>
      <w:r>
        <w:rPr>
          <w:noProof/>
        </w:rPr>
        <w:t>fesionālajās makrojomās: uzņēmējdarbība/vadība; radoša/mākslīga; tehniskie darbinieki.</w:t>
      </w:r>
    </w:p>
    <w:p w14:paraId="104D577E" w14:textId="77777777" w:rsidR="00C972CB" w:rsidRDefault="002457F6">
      <w:pPr>
        <w:pStyle w:val="P68B1DB1-Normal2"/>
        <w:spacing w:after="120"/>
        <w:jc w:val="both"/>
        <w:rPr>
          <w:noProof/>
        </w:rPr>
      </w:pPr>
      <w:r>
        <w:rPr>
          <w:noProof/>
        </w:rPr>
        <w:t>Ieguldījums 4.3. Caput Mundi Next Generation EU tūrisma lieliskiem pasākumiem.</w:t>
      </w:r>
    </w:p>
    <w:p w14:paraId="02223CD7" w14:textId="48BC50CC" w:rsidR="00C972CB" w:rsidRDefault="002457F6">
      <w:pPr>
        <w:tabs>
          <w:tab w:val="left" w:pos="1340"/>
          <w:tab w:val="left" w:pos="1341"/>
        </w:tabs>
        <w:spacing w:after="120"/>
        <w:ind w:right="-7"/>
        <w:jc w:val="both"/>
        <w:rPr>
          <w:noProof/>
        </w:rPr>
      </w:pPr>
      <w:r>
        <w:rPr>
          <w:noProof/>
        </w:rPr>
        <w:t>Projekts palielina pieejamu tūrisma objektu skaitu, rada derīgas un kvalificētas tūrisma u</w:t>
      </w:r>
      <w:r>
        <w:rPr>
          <w:noProof/>
        </w:rPr>
        <w:t>n kultūras alternatīvas attiecībā uz pārpildītajām centrālajām teritorijām, kā arī palielina digitālo tehnoloģiju izmantošanu, uzlabo zaļās zonas un tūrisma ilgtspēju. Ieguldījumā ir paredzēti seši intervences virzieni:</w:t>
      </w:r>
    </w:p>
    <w:p w14:paraId="7684C331" w14:textId="77777777" w:rsidR="00C972CB" w:rsidRDefault="002457F6">
      <w:pPr>
        <w:pStyle w:val="ListParagraph"/>
        <w:numPr>
          <w:ilvl w:val="0"/>
          <w:numId w:val="139"/>
        </w:numPr>
        <w:tabs>
          <w:tab w:val="left" w:pos="1340"/>
          <w:tab w:val="left" w:pos="1341"/>
        </w:tabs>
        <w:ind w:right="-7"/>
        <w:rPr>
          <w:noProof/>
        </w:rPr>
      </w:pPr>
      <w:r>
        <w:rPr>
          <w:noProof/>
        </w:rPr>
        <w:t>“Romu kultūras mantojums ES un nākam</w:t>
      </w:r>
      <w:r>
        <w:rPr>
          <w:noProof/>
        </w:rPr>
        <w:t xml:space="preserve">ajai paaudzei”, kas aptver Romas pilsētas kultūras un pilsētu mantojuma un kompleksu ar augstu vēsturisko un arhitektonisko vērtību atjaunošanu un atjaunošanu;  </w:t>
      </w:r>
    </w:p>
    <w:p w14:paraId="5E412CC2" w14:textId="3838EE7A" w:rsidR="00C972CB" w:rsidRDefault="002457F6">
      <w:pPr>
        <w:pStyle w:val="ListParagraph"/>
        <w:numPr>
          <w:ilvl w:val="0"/>
          <w:numId w:val="139"/>
        </w:numPr>
        <w:tabs>
          <w:tab w:val="left" w:pos="1340"/>
          <w:tab w:val="left" w:pos="1341"/>
        </w:tabs>
        <w:ind w:right="-7"/>
        <w:rPr>
          <w:noProof/>
        </w:rPr>
      </w:pPr>
      <w:r>
        <w:rPr>
          <w:noProof/>
        </w:rPr>
        <w:t>“Jubilee paths” (no pagana uz Kristīgo Romu), kas vērsta uz uzlabošanu, drošību, pret seismisk</w:t>
      </w:r>
      <w:r>
        <w:rPr>
          <w:noProof/>
        </w:rPr>
        <w:t>o konsolidāciju, vēsturisku vietu un ēku un arheoloģisko ceļu atjaunošanu;</w:t>
      </w:r>
    </w:p>
    <w:p w14:paraId="055EE5EC" w14:textId="77777777" w:rsidR="00C972CB" w:rsidRDefault="002457F6">
      <w:pPr>
        <w:pStyle w:val="ListParagraph"/>
        <w:numPr>
          <w:ilvl w:val="0"/>
          <w:numId w:val="139"/>
        </w:numPr>
        <w:tabs>
          <w:tab w:val="left" w:pos="1340"/>
          <w:tab w:val="left" w:pos="1341"/>
        </w:tabs>
        <w:ind w:right="-7"/>
        <w:rPr>
          <w:noProof/>
        </w:rPr>
      </w:pPr>
      <w:r>
        <w:rPr>
          <w:noProof/>
        </w:rPr>
        <w:t>#LaCittàCondivisa, kas aptver nomaļās teritorijās esošu objektu rekonstrukciju;</w:t>
      </w:r>
    </w:p>
    <w:p w14:paraId="24A7413D" w14:textId="77777777" w:rsidR="00C972CB" w:rsidRDefault="002457F6">
      <w:pPr>
        <w:pStyle w:val="ListParagraph"/>
        <w:numPr>
          <w:ilvl w:val="0"/>
          <w:numId w:val="139"/>
        </w:numPr>
        <w:tabs>
          <w:tab w:val="left" w:pos="1340"/>
          <w:tab w:val="left" w:pos="1341"/>
        </w:tabs>
        <w:ind w:right="-7"/>
        <w:rPr>
          <w:noProof/>
        </w:rPr>
      </w:pPr>
      <w:r>
        <w:rPr>
          <w:noProof/>
        </w:rPr>
        <w:t>#Mitingodiverde, kas attiecas uz intervencēm parkos, vēsturiskajos dārzos, viļās un stieņos;</w:t>
      </w:r>
    </w:p>
    <w:p w14:paraId="3F7E84F8" w14:textId="77777777" w:rsidR="00C972CB" w:rsidRDefault="002457F6">
      <w:pPr>
        <w:pStyle w:val="ListParagraph"/>
        <w:numPr>
          <w:ilvl w:val="0"/>
          <w:numId w:val="139"/>
        </w:numPr>
        <w:tabs>
          <w:tab w:val="left" w:pos="1340"/>
          <w:tab w:val="left" w:pos="1341"/>
        </w:tabs>
        <w:ind w:right="-7"/>
        <w:rPr>
          <w:noProof/>
        </w:rPr>
      </w:pPr>
      <w:r>
        <w:rPr>
          <w:noProof/>
        </w:rPr>
        <w:t>#Roma 4.</w:t>
      </w:r>
      <w:r>
        <w:rPr>
          <w:noProof/>
        </w:rPr>
        <w:t>0, kas aptver kultūras pakalpojumu digitalizāciju un tūristiem paredzētu lietotņu izstrādi;</w:t>
      </w:r>
    </w:p>
    <w:p w14:paraId="73C006B1" w14:textId="77777777" w:rsidR="00C972CB" w:rsidRDefault="002457F6">
      <w:pPr>
        <w:pStyle w:val="ListParagraph"/>
        <w:numPr>
          <w:ilvl w:val="0"/>
          <w:numId w:val="139"/>
        </w:numPr>
        <w:tabs>
          <w:tab w:val="left" w:pos="1340"/>
          <w:tab w:val="left" w:pos="1341"/>
        </w:tabs>
        <w:ind w:right="-7"/>
        <w:rPr>
          <w:noProof/>
          <w:shd w:val="clear" w:color="auto" w:fill="E6E6E6"/>
        </w:rPr>
        <w:sectPr w:rsidR="00C972CB">
          <w:headerReference w:type="even" r:id="rId80"/>
          <w:headerReference w:type="default" r:id="rId81"/>
          <w:footerReference w:type="even" r:id="rId82"/>
          <w:footerReference w:type="default" r:id="rId83"/>
          <w:headerReference w:type="first" r:id="rId84"/>
          <w:footerReference w:type="first" r:id="rId85"/>
          <w:pgSz w:w="11907" w:h="16839"/>
          <w:pgMar w:top="1134" w:right="1134" w:bottom="1134" w:left="1134" w:header="567" w:footer="567" w:gutter="0"/>
          <w:cols w:space="720"/>
          <w:docGrid w:linePitch="360"/>
        </w:sectPr>
      </w:pPr>
      <w:r>
        <w:rPr>
          <w:noProof/>
        </w:rPr>
        <w:t>#Amanotesa, kura mērķis ir palielināt kultūras piedāvājuma piedāvājumu perifērijām sociālajai integrācijai.</w:t>
      </w:r>
    </w:p>
    <w:p w14:paraId="28CDA405" w14:textId="77777777" w:rsidR="00C972CB" w:rsidRDefault="002457F6">
      <w:pPr>
        <w:pStyle w:val="Heading3"/>
        <w:numPr>
          <w:ilvl w:val="0"/>
          <w:numId w:val="0"/>
        </w:numPr>
        <w:ind w:left="850" w:hanging="850"/>
        <w:rPr>
          <w:b/>
          <w:i w:val="0"/>
          <w:noProof/>
          <w:u w:val="single"/>
        </w:rPr>
      </w:pPr>
      <w:r>
        <w:rPr>
          <w:b/>
          <w:i w:val="0"/>
          <w:noProof/>
          <w:u w:val="single"/>
        </w:rPr>
        <w:t xml:space="preserve">C.4. </w:t>
      </w:r>
      <w:r>
        <w:rPr>
          <w:noProof/>
        </w:rPr>
        <w:tab/>
      </w:r>
      <w:r>
        <w:rPr>
          <w:b/>
          <w:i w:val="0"/>
          <w:noProof/>
          <w:u w:val="single"/>
        </w:rPr>
        <w:t xml:space="preserve">Atskaites punkti, mērķrādītāji, citi rādītāji un aizdevuma uzraudzības un īstenošanas grafiks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0"/>
        <w:gridCol w:w="1134"/>
        <w:gridCol w:w="1559"/>
        <w:gridCol w:w="1559"/>
        <w:gridCol w:w="992"/>
        <w:gridCol w:w="995"/>
        <w:gridCol w:w="1271"/>
        <w:gridCol w:w="995"/>
        <w:gridCol w:w="660"/>
        <w:gridCol w:w="3136"/>
      </w:tblGrid>
      <w:tr w:rsidR="00C972CB" w14:paraId="07EFF2B5" w14:textId="77777777">
        <w:trPr>
          <w:trHeight w:val="313"/>
          <w:tblHeader/>
          <w:jc w:val="center"/>
        </w:trPr>
        <w:tc>
          <w:tcPr>
            <w:tcW w:w="377" w:type="pct"/>
            <w:vMerge w:val="restart"/>
            <w:shd w:val="clear" w:color="auto" w:fill="BDD7EE"/>
            <w:noWrap/>
            <w:vAlign w:val="center"/>
          </w:tcPr>
          <w:p w14:paraId="741A270F" w14:textId="77777777" w:rsidR="00C972CB" w:rsidRDefault="00C972CB">
            <w:pPr>
              <w:jc w:val="center"/>
              <w:rPr>
                <w:rFonts w:ascii="Arial Narrow" w:hAnsi="Arial Narrow"/>
                <w:noProof/>
                <w:sz w:val="20"/>
              </w:rPr>
            </w:pPr>
          </w:p>
          <w:p w14:paraId="2A596316" w14:textId="77777777" w:rsidR="00C972CB" w:rsidRDefault="002457F6">
            <w:pPr>
              <w:pStyle w:val="P68B1DB1-Normal9"/>
              <w:jc w:val="center"/>
              <w:rPr>
                <w:noProof/>
              </w:rPr>
            </w:pPr>
            <w:r>
              <w:rPr>
                <w:noProof/>
              </w:rPr>
              <w:t>Kārtas numurs</w:t>
            </w:r>
          </w:p>
        </w:tc>
        <w:tc>
          <w:tcPr>
            <w:tcW w:w="520" w:type="pct"/>
            <w:vMerge w:val="restart"/>
            <w:shd w:val="clear" w:color="auto" w:fill="BDD7EE"/>
            <w:noWrap/>
            <w:vAlign w:val="center"/>
          </w:tcPr>
          <w:p w14:paraId="423B078D" w14:textId="77777777" w:rsidR="00C972CB" w:rsidRDefault="002457F6">
            <w:pPr>
              <w:pStyle w:val="P68B1DB1-Normal9"/>
              <w:jc w:val="center"/>
              <w:rPr>
                <w:noProof/>
              </w:rPr>
            </w:pPr>
            <w:r>
              <w:rPr>
                <w:noProof/>
              </w:rPr>
              <w:t>Pasākums (reforma vai investīcija)</w:t>
            </w:r>
          </w:p>
        </w:tc>
        <w:tc>
          <w:tcPr>
            <w:tcW w:w="378" w:type="pct"/>
            <w:vMerge w:val="restart"/>
            <w:shd w:val="clear" w:color="auto" w:fill="BDD7EE"/>
            <w:noWrap/>
            <w:vAlign w:val="center"/>
          </w:tcPr>
          <w:p w14:paraId="6D9D8DC7" w14:textId="77777777" w:rsidR="00C972CB" w:rsidRDefault="002457F6">
            <w:pPr>
              <w:pStyle w:val="P68B1DB1-Normal9"/>
              <w:jc w:val="center"/>
              <w:rPr>
                <w:noProof/>
              </w:rPr>
            </w:pPr>
            <w:r>
              <w:rPr>
                <w:noProof/>
              </w:rPr>
              <w:t>Atskaites punkts/mērķrādītājs</w:t>
            </w:r>
          </w:p>
        </w:tc>
        <w:tc>
          <w:tcPr>
            <w:tcW w:w="520" w:type="pct"/>
            <w:vMerge w:val="restart"/>
            <w:shd w:val="clear" w:color="auto" w:fill="BDD7EE"/>
            <w:noWrap/>
            <w:vAlign w:val="center"/>
          </w:tcPr>
          <w:p w14:paraId="5054F82A" w14:textId="77777777" w:rsidR="00C972CB" w:rsidRDefault="002457F6">
            <w:pPr>
              <w:pStyle w:val="P68B1DB1-Normal9"/>
              <w:jc w:val="center"/>
              <w:rPr>
                <w:noProof/>
              </w:rPr>
            </w:pPr>
            <w:r>
              <w:rPr>
                <w:noProof/>
              </w:rPr>
              <w:t>Uzvārds</w:t>
            </w:r>
          </w:p>
        </w:tc>
        <w:tc>
          <w:tcPr>
            <w:tcW w:w="520" w:type="pct"/>
            <w:vMerge w:val="restart"/>
            <w:shd w:val="clear" w:color="auto" w:fill="BDD7EE"/>
            <w:noWrap/>
            <w:vAlign w:val="center"/>
          </w:tcPr>
          <w:p w14:paraId="66C13A3F"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1087" w:type="pct"/>
            <w:gridSpan w:val="3"/>
            <w:shd w:val="clear" w:color="auto" w:fill="BDD7EE"/>
            <w:noWrap/>
            <w:vAlign w:val="center"/>
          </w:tcPr>
          <w:p w14:paraId="1DE47EAC" w14:textId="77777777" w:rsidR="00C972CB" w:rsidRDefault="002457F6">
            <w:pPr>
              <w:pStyle w:val="P68B1DB1-Normal10"/>
              <w:jc w:val="center"/>
              <w:rPr>
                <w:noProof/>
                <w:sz w:val="20"/>
              </w:rPr>
            </w:pPr>
            <w:r>
              <w:rPr>
                <w:b/>
                <w:noProof/>
                <w:sz w:val="20"/>
              </w:rPr>
              <w:t>Kvantitatīvie rādītāji</w:t>
            </w:r>
            <w:r>
              <w:rPr>
                <w:noProof/>
              </w:rPr>
              <w:t xml:space="preserve"> </w:t>
            </w:r>
            <w:r>
              <w:rPr>
                <w:noProof/>
              </w:rPr>
              <w:br/>
            </w:r>
            <w:r>
              <w:rPr>
                <w:b/>
                <w:noProof/>
                <w:sz w:val="20"/>
              </w:rPr>
              <w:t>(mērķiem)</w:t>
            </w:r>
          </w:p>
        </w:tc>
        <w:tc>
          <w:tcPr>
            <w:tcW w:w="551" w:type="pct"/>
            <w:gridSpan w:val="2"/>
            <w:shd w:val="clear" w:color="auto" w:fill="BDD7EE"/>
            <w:noWrap/>
            <w:vAlign w:val="center"/>
          </w:tcPr>
          <w:p w14:paraId="61DC42A8" w14:textId="77777777" w:rsidR="00C972CB" w:rsidRDefault="002457F6">
            <w:pPr>
              <w:pStyle w:val="P68B1DB1-Normal9"/>
              <w:jc w:val="center"/>
              <w:rPr>
                <w:noProof/>
              </w:rPr>
            </w:pPr>
            <w:r>
              <w:rPr>
                <w:noProof/>
              </w:rPr>
              <w:t>Orientējošs pabeigšanas termiņš</w:t>
            </w:r>
          </w:p>
        </w:tc>
        <w:tc>
          <w:tcPr>
            <w:tcW w:w="1047" w:type="pct"/>
            <w:vMerge w:val="restart"/>
            <w:shd w:val="clear" w:color="auto" w:fill="BDD7EE"/>
            <w:noWrap/>
            <w:vAlign w:val="center"/>
          </w:tcPr>
          <w:p w14:paraId="59F60D62" w14:textId="77777777" w:rsidR="00C972CB" w:rsidRDefault="00C972CB">
            <w:pPr>
              <w:jc w:val="center"/>
              <w:rPr>
                <w:rFonts w:ascii="Arial Narrow" w:eastAsia="Calibri" w:hAnsi="Arial Narrow"/>
                <w:noProof/>
                <w:color w:val="006100"/>
                <w:sz w:val="20"/>
              </w:rPr>
            </w:pPr>
          </w:p>
          <w:p w14:paraId="4F6C4716" w14:textId="77777777" w:rsidR="00C972CB" w:rsidRDefault="002457F6">
            <w:pPr>
              <w:pStyle w:val="P68B1DB1-Normal9"/>
              <w:jc w:val="center"/>
              <w:rPr>
                <w:rFonts w:eastAsia="Calibri"/>
                <w:noProof/>
                <w:color w:val="006100"/>
              </w:rPr>
            </w:pPr>
            <w:r>
              <w:rPr>
                <w:noProof/>
              </w:rPr>
              <w:t>Apraksts par katru atskaites punktu un mērķrādītāju</w:t>
            </w:r>
          </w:p>
        </w:tc>
      </w:tr>
      <w:tr w:rsidR="00C972CB" w14:paraId="3236FAFF" w14:textId="77777777">
        <w:trPr>
          <w:trHeight w:val="313"/>
          <w:tblHeader/>
          <w:jc w:val="center"/>
        </w:trPr>
        <w:tc>
          <w:tcPr>
            <w:tcW w:w="377" w:type="pct"/>
            <w:vMerge/>
            <w:noWrap/>
            <w:vAlign w:val="center"/>
          </w:tcPr>
          <w:p w14:paraId="1B3EC9D2" w14:textId="77777777" w:rsidR="00C972CB" w:rsidRDefault="00C972CB">
            <w:pPr>
              <w:jc w:val="center"/>
              <w:rPr>
                <w:rFonts w:ascii="Arial Narrow" w:hAnsi="Arial Narrow"/>
                <w:noProof/>
                <w:sz w:val="20"/>
              </w:rPr>
            </w:pPr>
          </w:p>
        </w:tc>
        <w:tc>
          <w:tcPr>
            <w:tcW w:w="520" w:type="pct"/>
            <w:vMerge/>
            <w:noWrap/>
            <w:vAlign w:val="center"/>
          </w:tcPr>
          <w:p w14:paraId="52D13C61" w14:textId="77777777" w:rsidR="00C972CB" w:rsidRDefault="00C972CB">
            <w:pPr>
              <w:jc w:val="center"/>
              <w:rPr>
                <w:rFonts w:ascii="Arial Narrow" w:hAnsi="Arial Narrow"/>
                <w:noProof/>
                <w:sz w:val="20"/>
              </w:rPr>
            </w:pPr>
          </w:p>
        </w:tc>
        <w:tc>
          <w:tcPr>
            <w:tcW w:w="378" w:type="pct"/>
            <w:vMerge/>
            <w:noWrap/>
            <w:vAlign w:val="center"/>
          </w:tcPr>
          <w:p w14:paraId="40062CD4" w14:textId="77777777" w:rsidR="00C972CB" w:rsidRDefault="00C972CB">
            <w:pPr>
              <w:jc w:val="center"/>
              <w:rPr>
                <w:rFonts w:ascii="Arial Narrow" w:hAnsi="Arial Narrow"/>
                <w:noProof/>
                <w:sz w:val="20"/>
              </w:rPr>
            </w:pPr>
          </w:p>
        </w:tc>
        <w:tc>
          <w:tcPr>
            <w:tcW w:w="520" w:type="pct"/>
            <w:vMerge/>
            <w:noWrap/>
            <w:vAlign w:val="center"/>
          </w:tcPr>
          <w:p w14:paraId="47F2A7D1" w14:textId="77777777" w:rsidR="00C972CB" w:rsidRDefault="00C972CB">
            <w:pPr>
              <w:jc w:val="center"/>
              <w:rPr>
                <w:rFonts w:ascii="Arial Narrow" w:hAnsi="Arial Narrow"/>
                <w:noProof/>
                <w:sz w:val="20"/>
              </w:rPr>
            </w:pPr>
          </w:p>
        </w:tc>
        <w:tc>
          <w:tcPr>
            <w:tcW w:w="520" w:type="pct"/>
            <w:vMerge/>
            <w:noWrap/>
            <w:vAlign w:val="center"/>
          </w:tcPr>
          <w:p w14:paraId="431CDEDB" w14:textId="77777777" w:rsidR="00C972CB" w:rsidRDefault="00C972CB">
            <w:pPr>
              <w:jc w:val="center"/>
              <w:rPr>
                <w:rFonts w:ascii="Arial Narrow" w:eastAsia="Calibri" w:hAnsi="Arial Narrow"/>
                <w:noProof/>
                <w:sz w:val="20"/>
              </w:rPr>
            </w:pPr>
          </w:p>
        </w:tc>
        <w:tc>
          <w:tcPr>
            <w:tcW w:w="331" w:type="pct"/>
            <w:shd w:val="clear" w:color="auto" w:fill="BDD7EE"/>
            <w:noWrap/>
            <w:vAlign w:val="center"/>
          </w:tcPr>
          <w:p w14:paraId="459E60E8" w14:textId="77777777" w:rsidR="00C972CB" w:rsidRDefault="002457F6">
            <w:pPr>
              <w:pStyle w:val="P68B1DB1-Normal9"/>
              <w:jc w:val="center"/>
              <w:rPr>
                <w:noProof/>
              </w:rPr>
            </w:pPr>
            <w:r>
              <w:rPr>
                <w:noProof/>
              </w:rPr>
              <w:t>Mēra vienība</w:t>
            </w:r>
          </w:p>
        </w:tc>
        <w:tc>
          <w:tcPr>
            <w:tcW w:w="332" w:type="pct"/>
            <w:shd w:val="clear" w:color="auto" w:fill="BDD7EE"/>
            <w:noWrap/>
            <w:vAlign w:val="center"/>
          </w:tcPr>
          <w:p w14:paraId="67F88CF4" w14:textId="77777777" w:rsidR="00C972CB" w:rsidRDefault="002457F6">
            <w:pPr>
              <w:pStyle w:val="P68B1DB1-Normal9"/>
              <w:jc w:val="center"/>
              <w:rPr>
                <w:noProof/>
              </w:rPr>
            </w:pPr>
            <w:r>
              <w:rPr>
                <w:noProof/>
              </w:rPr>
              <w:t>Pamatscenārijs</w:t>
            </w:r>
          </w:p>
        </w:tc>
        <w:tc>
          <w:tcPr>
            <w:tcW w:w="424" w:type="pct"/>
            <w:shd w:val="clear" w:color="auto" w:fill="BDD7EE"/>
            <w:noWrap/>
            <w:vAlign w:val="center"/>
          </w:tcPr>
          <w:p w14:paraId="45446354" w14:textId="77777777" w:rsidR="00C972CB" w:rsidRDefault="002457F6">
            <w:pPr>
              <w:pStyle w:val="P68B1DB1-Normal9"/>
              <w:jc w:val="center"/>
              <w:rPr>
                <w:noProof/>
              </w:rPr>
            </w:pPr>
            <w:r>
              <w:rPr>
                <w:noProof/>
              </w:rPr>
              <w:t>Mērķis</w:t>
            </w:r>
          </w:p>
        </w:tc>
        <w:tc>
          <w:tcPr>
            <w:tcW w:w="332" w:type="pct"/>
            <w:shd w:val="clear" w:color="auto" w:fill="BDD7EE"/>
            <w:noWrap/>
            <w:vAlign w:val="center"/>
          </w:tcPr>
          <w:p w14:paraId="6BA35C90" w14:textId="77777777" w:rsidR="00C972CB" w:rsidRDefault="002457F6">
            <w:pPr>
              <w:pStyle w:val="P68B1DB1-Normal9"/>
              <w:jc w:val="center"/>
              <w:rPr>
                <w:noProof/>
              </w:rPr>
            </w:pPr>
            <w:r>
              <w:rPr>
                <w:noProof/>
              </w:rPr>
              <w:t>Ceturtdaļa</w:t>
            </w:r>
          </w:p>
        </w:tc>
        <w:tc>
          <w:tcPr>
            <w:tcW w:w="220" w:type="pct"/>
            <w:shd w:val="clear" w:color="auto" w:fill="BDD7EE"/>
            <w:noWrap/>
            <w:vAlign w:val="center"/>
          </w:tcPr>
          <w:p w14:paraId="7522F25A" w14:textId="77777777" w:rsidR="00C972CB" w:rsidRDefault="002457F6">
            <w:pPr>
              <w:pStyle w:val="P68B1DB1-Normal9"/>
              <w:jc w:val="center"/>
              <w:rPr>
                <w:noProof/>
              </w:rPr>
            </w:pPr>
            <w:r>
              <w:rPr>
                <w:noProof/>
              </w:rPr>
              <w:t>Gadā</w:t>
            </w:r>
          </w:p>
        </w:tc>
        <w:tc>
          <w:tcPr>
            <w:tcW w:w="1047" w:type="pct"/>
            <w:vMerge/>
            <w:noWrap/>
            <w:vAlign w:val="center"/>
          </w:tcPr>
          <w:p w14:paraId="58B85237" w14:textId="77777777" w:rsidR="00C972CB" w:rsidRDefault="00C972CB">
            <w:pPr>
              <w:jc w:val="center"/>
              <w:rPr>
                <w:rFonts w:ascii="Arial Narrow" w:eastAsia="Calibri" w:hAnsi="Arial Narrow"/>
                <w:noProof/>
                <w:color w:val="006100"/>
                <w:sz w:val="20"/>
              </w:rPr>
            </w:pPr>
          </w:p>
        </w:tc>
      </w:tr>
      <w:tr w:rsidR="00C972CB" w14:paraId="1D4257FE" w14:textId="77777777">
        <w:trPr>
          <w:trHeight w:val="313"/>
          <w:jc w:val="center"/>
        </w:trPr>
        <w:tc>
          <w:tcPr>
            <w:tcW w:w="377" w:type="pct"/>
            <w:shd w:val="clear" w:color="auto" w:fill="C6EFCE"/>
            <w:noWrap/>
            <w:vAlign w:val="center"/>
          </w:tcPr>
          <w:p w14:paraId="0247DB83" w14:textId="77777777" w:rsidR="00C972CB" w:rsidRDefault="002457F6">
            <w:pPr>
              <w:pStyle w:val="P68B1DB1-Normal11"/>
              <w:jc w:val="center"/>
              <w:rPr>
                <w:noProof/>
              </w:rPr>
            </w:pPr>
            <w:r>
              <w:rPr>
                <w:noProof/>
              </w:rPr>
              <w:t>M1C3–12</w:t>
            </w:r>
          </w:p>
        </w:tc>
        <w:tc>
          <w:tcPr>
            <w:tcW w:w="520" w:type="pct"/>
            <w:shd w:val="clear" w:color="auto" w:fill="C6EFCE"/>
            <w:noWrap/>
            <w:vAlign w:val="center"/>
          </w:tcPr>
          <w:p w14:paraId="19BCE006" w14:textId="77777777" w:rsidR="00C972CB" w:rsidRDefault="002457F6">
            <w:pPr>
              <w:pStyle w:val="P68B1DB1-Normal11"/>
              <w:jc w:val="center"/>
              <w:rPr>
                <w:noProof/>
              </w:rPr>
            </w:pPr>
            <w:r>
              <w:rPr>
                <w:noProof/>
              </w:rPr>
              <w:t>Ieguldījums 2.1. — Mazu vēsturisku pilsētu pievilcība</w:t>
            </w:r>
          </w:p>
        </w:tc>
        <w:tc>
          <w:tcPr>
            <w:tcW w:w="378" w:type="pct"/>
            <w:shd w:val="clear" w:color="auto" w:fill="C6EFCE"/>
            <w:noWrap/>
            <w:vAlign w:val="center"/>
          </w:tcPr>
          <w:p w14:paraId="7DEAF8D5" w14:textId="77777777" w:rsidR="00C972CB" w:rsidRDefault="002457F6">
            <w:pPr>
              <w:pStyle w:val="P68B1DB1-Normal11"/>
              <w:jc w:val="center"/>
              <w:rPr>
                <w:noProof/>
              </w:rPr>
            </w:pPr>
            <w:r>
              <w:rPr>
                <w:noProof/>
              </w:rPr>
              <w:t xml:space="preserve">Starpposma </w:t>
            </w:r>
            <w:r>
              <w:rPr>
                <w:noProof/>
              </w:rPr>
              <w:t>mērķis</w:t>
            </w:r>
          </w:p>
        </w:tc>
        <w:tc>
          <w:tcPr>
            <w:tcW w:w="520" w:type="pct"/>
            <w:shd w:val="clear" w:color="auto" w:fill="C6EFCE"/>
            <w:noWrap/>
            <w:vAlign w:val="center"/>
          </w:tcPr>
          <w:p w14:paraId="1E76A5D4" w14:textId="513EC9A2" w:rsidR="00C972CB" w:rsidRDefault="002457F6">
            <w:pPr>
              <w:pStyle w:val="P68B1DB1-Normal11"/>
              <w:jc w:val="center"/>
              <w:rPr>
                <w:noProof/>
              </w:rPr>
            </w:pPr>
            <w:r>
              <w:rPr>
                <w:noProof/>
              </w:rPr>
              <w:t>Stājas spēkā Kultūras ministrijas dekrēts par resursu piešķiršanu pašvaldībām mazo vēsturisko pilsētu pievilcības veicināšanai</w:t>
            </w:r>
          </w:p>
        </w:tc>
        <w:tc>
          <w:tcPr>
            <w:tcW w:w="520" w:type="pct"/>
            <w:shd w:val="clear" w:color="auto" w:fill="C6EFCE"/>
            <w:noWrap/>
            <w:vAlign w:val="center"/>
          </w:tcPr>
          <w:p w14:paraId="48C479D4" w14:textId="77777777" w:rsidR="00C972CB" w:rsidRDefault="002457F6">
            <w:pPr>
              <w:pStyle w:val="P68B1DB1-Normal11"/>
              <w:jc w:val="center"/>
              <w:rPr>
                <w:noProof/>
              </w:rPr>
            </w:pPr>
            <w:r>
              <w:rPr>
                <w:noProof/>
              </w:rPr>
              <w:t xml:space="preserve">Dekrēta par Kultūras ministrijas dekrēta stāšanos spēkā noteikums par resursu piešķiršanu pašvaldībām mazo vēsturisko </w:t>
            </w:r>
            <w:r>
              <w:rPr>
                <w:noProof/>
              </w:rPr>
              <w:t>pilsētu pievilcības veicināšanai</w:t>
            </w:r>
          </w:p>
        </w:tc>
        <w:tc>
          <w:tcPr>
            <w:tcW w:w="331" w:type="pct"/>
            <w:shd w:val="clear" w:color="auto" w:fill="C6EFCE"/>
            <w:noWrap/>
            <w:vAlign w:val="center"/>
          </w:tcPr>
          <w:p w14:paraId="34828AA4"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0F0D7A24" w14:textId="77777777" w:rsidR="00C972CB" w:rsidRDefault="002457F6">
            <w:pPr>
              <w:pStyle w:val="P68B1DB1-Normal11"/>
              <w:jc w:val="center"/>
              <w:rPr>
                <w:noProof/>
              </w:rPr>
            </w:pPr>
            <w:r>
              <w:rPr>
                <w:noProof/>
              </w:rPr>
              <w:t>NEPIEMĒRO</w:t>
            </w:r>
          </w:p>
        </w:tc>
        <w:tc>
          <w:tcPr>
            <w:tcW w:w="424" w:type="pct"/>
            <w:shd w:val="clear" w:color="auto" w:fill="C6EFCE"/>
            <w:noWrap/>
            <w:vAlign w:val="center"/>
          </w:tcPr>
          <w:p w14:paraId="13137246"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6C13ADEF" w14:textId="77777777" w:rsidR="00C972CB" w:rsidRDefault="002457F6">
            <w:pPr>
              <w:pStyle w:val="P68B1DB1-Normal11"/>
              <w:jc w:val="center"/>
              <w:rPr>
                <w:noProof/>
              </w:rPr>
            </w:pPr>
            <w:r>
              <w:rPr>
                <w:noProof/>
              </w:rPr>
              <w:t>2. CET.</w:t>
            </w:r>
          </w:p>
        </w:tc>
        <w:tc>
          <w:tcPr>
            <w:tcW w:w="220" w:type="pct"/>
            <w:shd w:val="clear" w:color="auto" w:fill="C6EFCE"/>
            <w:noWrap/>
            <w:vAlign w:val="center"/>
          </w:tcPr>
          <w:p w14:paraId="4A04A71B" w14:textId="77777777" w:rsidR="00C972CB" w:rsidRDefault="002457F6">
            <w:pPr>
              <w:pStyle w:val="P68B1DB1-Normal11"/>
              <w:jc w:val="center"/>
              <w:rPr>
                <w:noProof/>
              </w:rPr>
            </w:pPr>
            <w:r>
              <w:rPr>
                <w:noProof/>
              </w:rPr>
              <w:t>2022</w:t>
            </w:r>
          </w:p>
        </w:tc>
        <w:tc>
          <w:tcPr>
            <w:tcW w:w="1047" w:type="pct"/>
            <w:shd w:val="clear" w:color="auto" w:fill="C6EFCE"/>
            <w:noWrap/>
            <w:vAlign w:val="center"/>
          </w:tcPr>
          <w:p w14:paraId="2F8B8543" w14:textId="77777777" w:rsidR="00C972CB" w:rsidRDefault="002457F6">
            <w:pPr>
              <w:pStyle w:val="P68B1DB1-Normal11"/>
              <w:rPr>
                <w:noProof/>
              </w:rPr>
            </w:pPr>
            <w:r>
              <w:rPr>
                <w:noProof/>
              </w:rPr>
              <w:t>Kultūras ministrijas dekrēts piešķir līdzekļus pašvaldībām mazo vēsturisko pilsētu pievilcības nodrošināšanai.</w:t>
            </w:r>
          </w:p>
          <w:p w14:paraId="168415A3" w14:textId="77777777" w:rsidR="00C972CB" w:rsidRDefault="00C972CB">
            <w:pPr>
              <w:rPr>
                <w:rFonts w:ascii="Arial Narrow" w:hAnsi="Arial Narrow"/>
                <w:noProof/>
                <w:color w:val="006100"/>
                <w:sz w:val="20"/>
              </w:rPr>
            </w:pPr>
          </w:p>
          <w:p w14:paraId="643ECDD4" w14:textId="77777777" w:rsidR="00C972CB" w:rsidRDefault="002457F6">
            <w:pPr>
              <w:pStyle w:val="P68B1DB1-Normal11"/>
              <w:rPr>
                <w:noProof/>
              </w:rPr>
            </w:pPr>
            <w:r>
              <w:rPr>
                <w:noProof/>
              </w:rPr>
              <w:t>Pašvaldības, kas iesaistītas, lai palielinātu mazās vēsturiskās pils</w:t>
            </w:r>
            <w:r>
              <w:rPr>
                <w:noProof/>
              </w:rPr>
              <w:t>ētas pievilcību, attiecas uz 250 pašvaldībām/villagiem, kas ir nosūtījuši Kultūras ministrijai intervences programmas.</w:t>
            </w:r>
          </w:p>
          <w:p w14:paraId="586B2005" w14:textId="77777777" w:rsidR="00C972CB" w:rsidRDefault="00C972CB">
            <w:pPr>
              <w:rPr>
                <w:rFonts w:ascii="Arial Narrow" w:hAnsi="Arial Narrow"/>
                <w:noProof/>
                <w:color w:val="006100"/>
                <w:sz w:val="20"/>
              </w:rPr>
            </w:pPr>
          </w:p>
          <w:p w14:paraId="20B85023" w14:textId="500DCE05" w:rsidR="00C972CB" w:rsidRDefault="002457F6">
            <w:pPr>
              <w:pStyle w:val="P68B1DB1-Normal12"/>
              <w:rPr>
                <w:rFonts w:ascii="Arial Narrow" w:hAnsi="Arial Narrow"/>
                <w:noProof/>
              </w:rPr>
            </w:pPr>
            <w:r>
              <w:rPr>
                <w:rFonts w:ascii="Arial Narrow" w:hAnsi="Arial Narrow"/>
                <w:noProof/>
              </w:rPr>
              <w:t>Kritērijus 250 ciematu atlasei (Inv. 2.1. punkts ir kopīgs MiC, reģioniem, ANCI un iekšējām teritorijām, kas: tās provizoriski nosaka te</w:t>
            </w:r>
            <w:r>
              <w:rPr>
                <w:rFonts w:ascii="Arial Narrow" w:hAnsi="Arial Narrow"/>
                <w:noProof/>
              </w:rPr>
              <w:t xml:space="preserve">ritoriālos apgabalus, kas ir tiesīgi saņemt atbalstu (v2.1. izcēlums), ņemot vērā dažādu programmu savstarpējo papildināmību. Pēc tam ciematu atlasi veic, pamatojoties uz a) teritoriāliem, ekonomiskiem un sociāliem kritērijiem (statistikas rādītājiem), b) </w:t>
            </w:r>
            <w:r>
              <w:rPr>
                <w:rFonts w:ascii="Arial Narrow" w:hAnsi="Arial Narrow"/>
                <w:noProof/>
              </w:rPr>
              <w:t>projekta spēju ietekmēt tūristu pievilcību un palielināt līdzdalību kultūras dzīvē. Tiek ņemti vērā šādi statistikas rādītāji: demogrāfiskais lielums (pašvaldības ar pop. &amp;</w:t>
            </w:r>
            <w:r>
              <w:rPr>
                <w:noProof/>
              </w:rPr>
              <w:t xml:space="preserve"> </w:t>
            </w:r>
            <w:r>
              <w:rPr>
                <w:rFonts w:ascii="Arial Narrow" w:hAnsi="Arial Narrow"/>
                <w:noProof/>
              </w:rPr>
              <w:t>5000 hab.) un tendence; tūristu plūsmas, muzeju apmeklētāji; tūrisma piedāvājuma ko</w:t>
            </w:r>
            <w:r>
              <w:rPr>
                <w:rFonts w:ascii="Arial Narrow" w:hAnsi="Arial Narrow"/>
                <w:noProof/>
              </w:rPr>
              <w:t>nsekvenci (viesnīcas un citas viesnīcas, B un B, istabas un īrētas izmitināšanas vietas); pašvaldības demogrāfiskās tendences; tas, cik lielā mērā iedzīvotāji piedalās kultūras dzīvē; kultūras, radošo un tūrisma uzņēmumu (peļņas un bezpeļņas) un saistīto d</w:t>
            </w:r>
            <w:r>
              <w:rPr>
                <w:rFonts w:ascii="Arial Narrow" w:hAnsi="Arial Narrow"/>
                <w:noProof/>
              </w:rPr>
              <w:t>arbinieku konsekvenci.</w:t>
            </w:r>
          </w:p>
          <w:p w14:paraId="59E70CE7" w14:textId="77777777" w:rsidR="00C972CB" w:rsidRDefault="002457F6">
            <w:pPr>
              <w:pStyle w:val="P68B1DB1-Normal11"/>
              <w:rPr>
                <w:noProof/>
              </w:rPr>
            </w:pPr>
            <w:r>
              <w:rPr>
                <w:noProof/>
              </w:rPr>
              <w:t xml:space="preserve">Līgumslēgšanas tiesību piešķiršana projektiem, kas atlasīti konkursa uzaicinājumos iesniegt priekšlikumus, ietver: </w:t>
            </w:r>
          </w:p>
          <w:p w14:paraId="0FE6F0FB" w14:textId="3CA5726E" w:rsidR="00C972CB" w:rsidRDefault="002457F6">
            <w:pPr>
              <w:pStyle w:val="P68B1DB1-Normal11"/>
              <w:rPr>
                <w:noProof/>
              </w:rPr>
            </w:pPr>
            <w:r>
              <w:rPr>
                <w:noProof/>
              </w:rPr>
              <w:t>atbilstības kritēriji, kas nodrošina, ka atlasītie projekti atbilst Tehniskajiem norādījumiem “nenodari būtisku kaitē</w:t>
            </w:r>
            <w:r>
              <w:rPr>
                <w:noProof/>
              </w:rPr>
              <w:t xml:space="preserve">jumu” (2021/C58/01), izmantojot izslēgšanas sarakstu un prasību par atbilstību attiecīgajiem ES un valsts tiesību aktiem vides jomā. </w:t>
            </w:r>
          </w:p>
          <w:p w14:paraId="29B798B7" w14:textId="77777777" w:rsidR="00C972CB" w:rsidRDefault="002457F6">
            <w:pPr>
              <w:pStyle w:val="P68B1DB1-Normal11"/>
              <w:rPr>
                <w:noProof/>
              </w:rPr>
            </w:pPr>
            <w:r>
              <w:rPr>
                <w:noProof/>
              </w:rPr>
              <w:t xml:space="preserve">b) apņemšanās, ka investīciju ieguldījums klimata jomā saskaņā ar Regulas (ES) 2021/241 VI pielikumā izklāstīto metodiku veido vismaz 25 % no ANM atbalstīto investīciju kopējām izmaksām. </w:t>
            </w:r>
          </w:p>
          <w:p w14:paraId="036A5B8F" w14:textId="77777777" w:rsidR="00C972CB" w:rsidRDefault="002457F6">
            <w:pPr>
              <w:pStyle w:val="P68B1DB1-Normal11"/>
              <w:rPr>
                <w:noProof/>
              </w:rPr>
            </w:pPr>
            <w:r>
              <w:rPr>
                <w:noProof/>
              </w:rPr>
              <w:t>C) apņemšanās ziņot par pasākuma īstenošanu visā shēmas darbības lai</w:t>
            </w:r>
            <w:r>
              <w:rPr>
                <w:noProof/>
              </w:rPr>
              <w:t>kā un shēmas darbības beigās.</w:t>
            </w:r>
          </w:p>
          <w:p w14:paraId="22471D78" w14:textId="77777777" w:rsidR="00C972CB" w:rsidRDefault="00C972CB">
            <w:pPr>
              <w:rPr>
                <w:rFonts w:ascii="Arial Narrow" w:hAnsi="Arial Narrow"/>
                <w:noProof/>
                <w:color w:val="006100"/>
                <w:sz w:val="20"/>
              </w:rPr>
            </w:pPr>
          </w:p>
        </w:tc>
      </w:tr>
      <w:tr w:rsidR="00C972CB" w14:paraId="4B6A81E1" w14:textId="77777777">
        <w:trPr>
          <w:trHeight w:val="313"/>
          <w:jc w:val="center"/>
        </w:trPr>
        <w:tc>
          <w:tcPr>
            <w:tcW w:w="377" w:type="pct"/>
            <w:shd w:val="clear" w:color="auto" w:fill="C6EFCE"/>
            <w:noWrap/>
            <w:vAlign w:val="center"/>
          </w:tcPr>
          <w:p w14:paraId="1536651F" w14:textId="77777777" w:rsidR="00C972CB" w:rsidRDefault="002457F6">
            <w:pPr>
              <w:pStyle w:val="P68B1DB1-Normal11"/>
              <w:jc w:val="center"/>
              <w:rPr>
                <w:noProof/>
              </w:rPr>
            </w:pPr>
            <w:r>
              <w:rPr>
                <w:noProof/>
              </w:rPr>
              <w:t>M1C3–13</w:t>
            </w:r>
          </w:p>
        </w:tc>
        <w:tc>
          <w:tcPr>
            <w:tcW w:w="520" w:type="pct"/>
            <w:shd w:val="clear" w:color="auto" w:fill="C6EFCE"/>
            <w:noWrap/>
            <w:vAlign w:val="center"/>
          </w:tcPr>
          <w:p w14:paraId="62D2126D" w14:textId="77777777" w:rsidR="00C972CB" w:rsidRDefault="002457F6">
            <w:pPr>
              <w:pStyle w:val="P68B1DB1-Normal11"/>
              <w:jc w:val="center"/>
              <w:rPr>
                <w:noProof/>
              </w:rPr>
            </w:pPr>
            <w:r>
              <w:rPr>
                <w:noProof/>
              </w:rPr>
              <w:t>Ieguldījums 2.2. — Lauku arhitektūras un ainavas aizsardzība un uzlabošana</w:t>
            </w:r>
          </w:p>
        </w:tc>
        <w:tc>
          <w:tcPr>
            <w:tcW w:w="378" w:type="pct"/>
            <w:shd w:val="clear" w:color="auto" w:fill="C6EFCE"/>
            <w:noWrap/>
            <w:vAlign w:val="center"/>
          </w:tcPr>
          <w:p w14:paraId="3019DA55"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tcPr>
          <w:p w14:paraId="6AD9B695" w14:textId="77777777" w:rsidR="00C972CB" w:rsidRDefault="002457F6">
            <w:pPr>
              <w:pStyle w:val="P68B1DB1-Normal11"/>
              <w:jc w:val="center"/>
              <w:rPr>
                <w:noProof/>
              </w:rPr>
            </w:pPr>
            <w:r>
              <w:rPr>
                <w:noProof/>
              </w:rPr>
              <w:t>Stājas spēkā Kultūras ministrijas dekrēts par resursu piešķiršanu:</w:t>
            </w:r>
          </w:p>
          <w:p w14:paraId="1EBAE3CE" w14:textId="14A00ED0" w:rsidR="00C972CB" w:rsidRDefault="002457F6">
            <w:pPr>
              <w:pStyle w:val="P68B1DB1-Normal11"/>
              <w:jc w:val="center"/>
              <w:rPr>
                <w:noProof/>
              </w:rPr>
            </w:pPr>
            <w:r>
              <w:rPr>
                <w:noProof/>
              </w:rPr>
              <w:t xml:space="preserve">lauku arhitektūras un ainavas aizsardzībai un </w:t>
            </w:r>
            <w:r>
              <w:rPr>
                <w:noProof/>
              </w:rPr>
              <w:t>uzlabošanai</w:t>
            </w:r>
          </w:p>
        </w:tc>
        <w:tc>
          <w:tcPr>
            <w:tcW w:w="520" w:type="pct"/>
            <w:shd w:val="clear" w:color="auto" w:fill="C6EFCE"/>
            <w:noWrap/>
            <w:vAlign w:val="center"/>
          </w:tcPr>
          <w:p w14:paraId="02C21621" w14:textId="77777777" w:rsidR="00C972CB" w:rsidRDefault="002457F6">
            <w:pPr>
              <w:pStyle w:val="P68B1DB1-Normal11"/>
              <w:jc w:val="center"/>
              <w:rPr>
                <w:noProof/>
              </w:rPr>
            </w:pPr>
            <w:r>
              <w:rPr>
                <w:noProof/>
              </w:rPr>
              <w:t>Noteikums dekrētā par Kultūras ministrijas (MIC) dekrēta stāšanos spēkā attiecībā uz līdzekļu piešķiršanu</w:t>
            </w:r>
          </w:p>
          <w:p w14:paraId="6AD79D9E" w14:textId="77777777" w:rsidR="00C972CB" w:rsidRDefault="002457F6">
            <w:pPr>
              <w:pStyle w:val="P68B1DB1-Normal11"/>
              <w:jc w:val="center"/>
              <w:rPr>
                <w:noProof/>
              </w:rPr>
            </w:pPr>
            <w:r>
              <w:rPr>
                <w:noProof/>
              </w:rPr>
              <w:t>lauku arhitektūras un ainavas aizsardzībai un uzlabošanai</w:t>
            </w:r>
          </w:p>
        </w:tc>
        <w:tc>
          <w:tcPr>
            <w:tcW w:w="331" w:type="pct"/>
            <w:shd w:val="clear" w:color="auto" w:fill="C6EFCE"/>
            <w:noWrap/>
            <w:vAlign w:val="center"/>
          </w:tcPr>
          <w:p w14:paraId="6CC6A7FD"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1C2793EB" w14:textId="77777777" w:rsidR="00C972CB" w:rsidRDefault="002457F6">
            <w:pPr>
              <w:pStyle w:val="P68B1DB1-Normal11"/>
              <w:jc w:val="center"/>
              <w:rPr>
                <w:noProof/>
              </w:rPr>
            </w:pPr>
            <w:r>
              <w:rPr>
                <w:noProof/>
              </w:rPr>
              <w:t>NEPIEMĒRO</w:t>
            </w:r>
          </w:p>
        </w:tc>
        <w:tc>
          <w:tcPr>
            <w:tcW w:w="424" w:type="pct"/>
            <w:shd w:val="clear" w:color="auto" w:fill="C6EFCE"/>
            <w:noWrap/>
            <w:vAlign w:val="center"/>
          </w:tcPr>
          <w:p w14:paraId="35624D5A"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173E4B44" w14:textId="77777777" w:rsidR="00C972CB" w:rsidRDefault="002457F6">
            <w:pPr>
              <w:pStyle w:val="P68B1DB1-Normal11"/>
              <w:jc w:val="center"/>
              <w:rPr>
                <w:noProof/>
              </w:rPr>
            </w:pPr>
            <w:r>
              <w:rPr>
                <w:noProof/>
              </w:rPr>
              <w:t>2. CET.</w:t>
            </w:r>
          </w:p>
        </w:tc>
        <w:tc>
          <w:tcPr>
            <w:tcW w:w="220" w:type="pct"/>
            <w:shd w:val="clear" w:color="auto" w:fill="C6EFCE"/>
            <w:noWrap/>
            <w:vAlign w:val="center"/>
          </w:tcPr>
          <w:p w14:paraId="4BDA33D0" w14:textId="77777777" w:rsidR="00C972CB" w:rsidRDefault="002457F6">
            <w:pPr>
              <w:pStyle w:val="P68B1DB1-Normal11"/>
              <w:jc w:val="center"/>
              <w:rPr>
                <w:noProof/>
              </w:rPr>
            </w:pPr>
            <w:r>
              <w:rPr>
                <w:noProof/>
              </w:rPr>
              <w:t>2022</w:t>
            </w:r>
          </w:p>
        </w:tc>
        <w:tc>
          <w:tcPr>
            <w:tcW w:w="1047" w:type="pct"/>
            <w:shd w:val="clear" w:color="auto" w:fill="C6EFCE"/>
            <w:noWrap/>
            <w:vAlign w:val="center"/>
          </w:tcPr>
          <w:p w14:paraId="0D0290AD" w14:textId="77777777" w:rsidR="00C972CB" w:rsidRDefault="002457F6">
            <w:pPr>
              <w:pStyle w:val="P68B1DB1-Normal11"/>
              <w:rPr>
                <w:noProof/>
              </w:rPr>
            </w:pPr>
            <w:r>
              <w:rPr>
                <w:noProof/>
              </w:rPr>
              <w:t xml:space="preserve">Kultūras ministrijas dekrēts piešķir </w:t>
            </w:r>
            <w:r>
              <w:rPr>
                <w:noProof/>
              </w:rPr>
              <w:t>līdzekļus:</w:t>
            </w:r>
          </w:p>
          <w:p w14:paraId="3674F5B8" w14:textId="77777777" w:rsidR="00C972CB" w:rsidRDefault="002457F6">
            <w:pPr>
              <w:pStyle w:val="P68B1DB1-Normal11"/>
              <w:rPr>
                <w:noProof/>
              </w:rPr>
            </w:pPr>
            <w:r>
              <w:rPr>
                <w:noProof/>
              </w:rPr>
              <w:t xml:space="preserve">lauku arhitektūras un ainavas aizsardzībai un uzlabošanai. </w:t>
            </w:r>
          </w:p>
          <w:p w14:paraId="40036883" w14:textId="77777777" w:rsidR="00C972CB" w:rsidRDefault="00C972CB">
            <w:pPr>
              <w:rPr>
                <w:rFonts w:ascii="Arial Narrow" w:hAnsi="Arial Narrow"/>
                <w:noProof/>
                <w:color w:val="006100"/>
                <w:sz w:val="20"/>
              </w:rPr>
            </w:pPr>
          </w:p>
          <w:p w14:paraId="5DCD4D2B" w14:textId="77777777" w:rsidR="00C972CB" w:rsidRDefault="002457F6">
            <w:pPr>
              <w:pStyle w:val="P68B1DB1-Normal11"/>
              <w:rPr>
                <w:noProof/>
              </w:rPr>
            </w:pPr>
            <w:r>
              <w:rPr>
                <w:noProof/>
              </w:rPr>
              <w:t>Lai aizsargātu un uzlabotu lauku arhitektūru un ainavu (2.2. ielikums), atgūstamo aktīvu atlasē priekšroka tiek dota ieguldījuma spējai radīt ietekmi uz ainavas vērtību saglabāšanas mē</w:t>
            </w:r>
            <w:r>
              <w:rPr>
                <w:noProof/>
              </w:rPr>
              <w:t>rķiem. Prioritāti piešķir:</w:t>
            </w:r>
          </w:p>
          <w:p w14:paraId="281653D2" w14:textId="77777777" w:rsidR="00C972CB" w:rsidRDefault="002457F6">
            <w:pPr>
              <w:pStyle w:val="P68B1DB1-Normal11"/>
              <w:rPr>
                <w:noProof/>
              </w:rPr>
            </w:pPr>
            <w:r>
              <w:rPr>
                <w:noProof/>
              </w:rPr>
              <w:t>— uz aktīviem, kas atrodas teritorijās ar augstu ainavas vērtību (aktīviem, kas atrodas teritorijās, kurās ir ainavas intereses vai nozīmīgas sabiedrības intereses (DLgs 42/2004 143.–139. pants), ainavas, uz kurām attiecas UNESCO</w:t>
            </w:r>
            <w:r>
              <w:rPr>
                <w:noProof/>
              </w:rPr>
              <w:t xml:space="preserve"> atzīšana, FAO GIAHS;</w:t>
            </w:r>
          </w:p>
          <w:p w14:paraId="7B9A7A06" w14:textId="77777777" w:rsidR="00C972CB" w:rsidRDefault="002457F6">
            <w:pPr>
              <w:pStyle w:val="P68B1DB1-Normal11"/>
              <w:rPr>
                <w:noProof/>
              </w:rPr>
            </w:pPr>
            <w:r>
              <w:rPr>
                <w:noProof/>
              </w:rPr>
              <w:t>aktīviem, kas jau ir pieejami publiskai lietošanai vai par kuriem īpašnieks piekrīt, ka tie ir pieejami, tostarp vietējās un integrālajās shēmās un tīklos;</w:t>
            </w:r>
          </w:p>
          <w:p w14:paraId="7048371B" w14:textId="77777777" w:rsidR="00C972CB" w:rsidRDefault="002457F6">
            <w:pPr>
              <w:pStyle w:val="P68B1DB1-Normal11"/>
              <w:rPr>
                <w:noProof/>
              </w:rPr>
            </w:pPr>
            <w:r>
              <w:rPr>
                <w:noProof/>
              </w:rPr>
              <w:t>“platību projektiem”, kas apkopoti pa tematiem, kuri spēj efektīvāk nodrošināt</w:t>
            </w:r>
            <w:r>
              <w:rPr>
                <w:noProof/>
              </w:rPr>
              <w:t xml:space="preserve"> ainavas atjaunošanas mērķu sasniegšanu;</w:t>
            </w:r>
          </w:p>
          <w:p w14:paraId="1D76FBA0" w14:textId="77777777" w:rsidR="00C972CB" w:rsidRDefault="002457F6">
            <w:pPr>
              <w:pStyle w:val="P68B1DB1-Normal11"/>
              <w:rPr>
                <w:noProof/>
              </w:rPr>
            </w:pPr>
            <w:r>
              <w:rPr>
                <w:noProof/>
              </w:rPr>
              <w:t>— projekti, kas tiek īstenoti teritorijās, kuras uzlabo integrāciju un sinerģiju ar citiem PDRR kandidātiem un citiem teritoriāla rakstura plāniem/projektiem, ko atbalsta programmas izstrādes valsts (Kultūras minist</w:t>
            </w:r>
            <w:r>
              <w:rPr>
                <w:noProof/>
              </w:rPr>
              <w:t>rija).</w:t>
            </w:r>
          </w:p>
          <w:p w14:paraId="789FE37E" w14:textId="77777777" w:rsidR="00C972CB" w:rsidRDefault="002457F6">
            <w:pPr>
              <w:pStyle w:val="P68B1DB1-Normal11"/>
              <w:rPr>
                <w:noProof/>
              </w:rPr>
            </w:pPr>
            <w:r>
              <w:rPr>
                <w:noProof/>
              </w:rPr>
              <w:t xml:space="preserve">Lai noteiktu lauku arhitektūras veidus, uz kuriem attiecas intervence, var atsaukties uz MiBAC 2005. gada 6. oktobra dekrētu (2003. gada 24. decembra likuma Nr. 378 — lauku arhitektūras aizsardzība un uzlabošana) īstenošanu. Sākotnēji kritēriji var </w:t>
            </w:r>
            <w:r>
              <w:rPr>
                <w:noProof/>
              </w:rPr>
              <w:t>attiekties uz: aktīvu saglabāšanas stāvoklis, izmantošanas līmenis, šo aktīvu nozīme teritoriālajos un pilsētu kontekstos.</w:t>
            </w:r>
          </w:p>
          <w:p w14:paraId="28E745B9" w14:textId="77777777" w:rsidR="00C972CB" w:rsidRDefault="002457F6">
            <w:pPr>
              <w:pStyle w:val="P68B1DB1-Normal11"/>
              <w:rPr>
                <w:noProof/>
              </w:rPr>
            </w:pPr>
            <w:r>
              <w:rPr>
                <w:noProof/>
              </w:rPr>
              <w:t>Līgumslēgšanas tiesību piešķiršana projektiem, kas atlasīti konkursa uzaicinājumos iesniegt priekšlikumus, atbilst Tehniskajiem norād</w:t>
            </w:r>
            <w:r>
              <w:rPr>
                <w:noProof/>
              </w:rPr>
              <w:t>ījumiem “Nenodarīt būtisku kaitējumu” (2021/C58/01), izmantojot izslēgšanas sarakstu un prasību par atbilstību attiecīgajiem ES un valsts tiesību aktiem vides jomā.</w:t>
            </w:r>
          </w:p>
        </w:tc>
      </w:tr>
      <w:tr w:rsidR="00C972CB" w14:paraId="035461EE" w14:textId="77777777">
        <w:trPr>
          <w:trHeight w:val="313"/>
          <w:jc w:val="center"/>
        </w:trPr>
        <w:tc>
          <w:tcPr>
            <w:tcW w:w="377" w:type="pct"/>
            <w:shd w:val="clear" w:color="auto" w:fill="C6EFCE"/>
            <w:noWrap/>
            <w:vAlign w:val="center"/>
          </w:tcPr>
          <w:p w14:paraId="50056D01" w14:textId="77777777" w:rsidR="00C972CB" w:rsidRDefault="002457F6">
            <w:pPr>
              <w:pStyle w:val="P68B1DB1-Normal11"/>
              <w:jc w:val="center"/>
              <w:rPr>
                <w:noProof/>
              </w:rPr>
            </w:pPr>
            <w:r>
              <w:rPr>
                <w:noProof/>
              </w:rPr>
              <w:t>M1C3–14</w:t>
            </w:r>
          </w:p>
        </w:tc>
        <w:tc>
          <w:tcPr>
            <w:tcW w:w="520" w:type="pct"/>
            <w:shd w:val="clear" w:color="auto" w:fill="C6EFCE"/>
            <w:noWrap/>
            <w:vAlign w:val="center"/>
          </w:tcPr>
          <w:p w14:paraId="7B339826" w14:textId="77777777" w:rsidR="00C972CB" w:rsidRDefault="002457F6">
            <w:pPr>
              <w:pStyle w:val="P68B1DB1-Normal11"/>
              <w:jc w:val="center"/>
              <w:rPr>
                <w:noProof/>
              </w:rPr>
            </w:pPr>
            <w:r>
              <w:rPr>
                <w:noProof/>
              </w:rPr>
              <w:t>Ieguldījums. Programmas vietu, parku un vēsturisko dārzu identitātes uzlabošanai</w:t>
            </w:r>
          </w:p>
        </w:tc>
        <w:tc>
          <w:tcPr>
            <w:tcW w:w="378" w:type="pct"/>
            <w:shd w:val="clear" w:color="auto" w:fill="C6EFCE"/>
            <w:noWrap/>
            <w:vAlign w:val="center"/>
          </w:tcPr>
          <w:p w14:paraId="0560F360"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tcPr>
          <w:p w14:paraId="158F76C8" w14:textId="31902F82" w:rsidR="00C972CB" w:rsidRDefault="002457F6">
            <w:pPr>
              <w:pStyle w:val="P68B1DB1-Normal11"/>
              <w:jc w:val="center"/>
              <w:rPr>
                <w:noProof/>
              </w:rPr>
            </w:pPr>
            <w:r>
              <w:rPr>
                <w:noProof/>
              </w:rPr>
              <w:t>Stājas spēkā Kultūras ministrijas dekrēts par resursu piešķiršanu: projektiem, kuru mērķis ir uzlabot vietu, parku un vēsturisko dārzu identitāti</w:t>
            </w:r>
          </w:p>
          <w:p w14:paraId="3BCC8723" w14:textId="77777777" w:rsidR="00C972CB" w:rsidRDefault="00C972CB">
            <w:pPr>
              <w:jc w:val="center"/>
              <w:rPr>
                <w:rFonts w:ascii="Arial Narrow" w:hAnsi="Arial Narrow"/>
                <w:noProof/>
                <w:color w:val="006100"/>
                <w:sz w:val="20"/>
              </w:rPr>
            </w:pPr>
          </w:p>
        </w:tc>
        <w:tc>
          <w:tcPr>
            <w:tcW w:w="520" w:type="pct"/>
            <w:shd w:val="clear" w:color="auto" w:fill="C6EFCE"/>
            <w:noWrap/>
            <w:vAlign w:val="center"/>
          </w:tcPr>
          <w:p w14:paraId="49C58FF1" w14:textId="037B5F14" w:rsidR="00C972CB" w:rsidRDefault="002457F6">
            <w:pPr>
              <w:pStyle w:val="P68B1DB1-Normal11"/>
              <w:jc w:val="center"/>
              <w:rPr>
                <w:noProof/>
              </w:rPr>
            </w:pPr>
            <w:r>
              <w:rPr>
                <w:noProof/>
              </w:rPr>
              <w:t xml:space="preserve">Dekrēta par Kultūras ministrijas dekrēta stāšanos spēkā noteikums par resursu piešķiršanu </w:t>
            </w:r>
            <w:r>
              <w:rPr>
                <w:noProof/>
              </w:rPr>
              <w:t>projektiem, kuru mērķis ir stiprināt vietu, parku un vēsturisko dārzu identitāti</w:t>
            </w:r>
          </w:p>
        </w:tc>
        <w:tc>
          <w:tcPr>
            <w:tcW w:w="331" w:type="pct"/>
            <w:shd w:val="clear" w:color="auto" w:fill="C6EFCE"/>
            <w:noWrap/>
            <w:vAlign w:val="center"/>
          </w:tcPr>
          <w:p w14:paraId="3B2FF627"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3A031BB2" w14:textId="77777777" w:rsidR="00C972CB" w:rsidRDefault="002457F6">
            <w:pPr>
              <w:pStyle w:val="P68B1DB1-Normal11"/>
              <w:jc w:val="center"/>
              <w:rPr>
                <w:noProof/>
              </w:rPr>
            </w:pPr>
            <w:r>
              <w:rPr>
                <w:noProof/>
              </w:rPr>
              <w:t>NEPIEMĒRO</w:t>
            </w:r>
          </w:p>
        </w:tc>
        <w:tc>
          <w:tcPr>
            <w:tcW w:w="424" w:type="pct"/>
            <w:shd w:val="clear" w:color="auto" w:fill="C6EFCE"/>
            <w:noWrap/>
            <w:vAlign w:val="center"/>
          </w:tcPr>
          <w:p w14:paraId="244A5A3A"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53741F63" w14:textId="77777777" w:rsidR="00C972CB" w:rsidRDefault="002457F6">
            <w:pPr>
              <w:pStyle w:val="P68B1DB1-Normal11"/>
              <w:jc w:val="center"/>
              <w:rPr>
                <w:noProof/>
              </w:rPr>
            </w:pPr>
            <w:r>
              <w:rPr>
                <w:noProof/>
              </w:rPr>
              <w:t>2. CET.</w:t>
            </w:r>
          </w:p>
        </w:tc>
        <w:tc>
          <w:tcPr>
            <w:tcW w:w="220" w:type="pct"/>
            <w:shd w:val="clear" w:color="auto" w:fill="C6EFCE"/>
            <w:noWrap/>
            <w:vAlign w:val="center"/>
          </w:tcPr>
          <w:p w14:paraId="28E4FB46" w14:textId="77777777" w:rsidR="00C972CB" w:rsidRDefault="002457F6">
            <w:pPr>
              <w:pStyle w:val="P68B1DB1-Normal11"/>
              <w:jc w:val="center"/>
              <w:rPr>
                <w:noProof/>
              </w:rPr>
            </w:pPr>
            <w:r>
              <w:rPr>
                <w:noProof/>
              </w:rPr>
              <w:t>2022</w:t>
            </w:r>
          </w:p>
        </w:tc>
        <w:tc>
          <w:tcPr>
            <w:tcW w:w="1047" w:type="pct"/>
            <w:shd w:val="clear" w:color="auto" w:fill="C6EFCE"/>
            <w:noWrap/>
            <w:vAlign w:val="center"/>
          </w:tcPr>
          <w:p w14:paraId="73886BE4" w14:textId="77777777" w:rsidR="00C972CB" w:rsidRDefault="002457F6">
            <w:pPr>
              <w:pStyle w:val="P68B1DB1-Normal11"/>
              <w:rPr>
                <w:noProof/>
              </w:rPr>
            </w:pPr>
            <w:r>
              <w:rPr>
                <w:noProof/>
              </w:rPr>
              <w:t>Kultūras ministrijas dekrēts piešķir resursus atbildīgajām administrācijām par projektiem, kuru mērķis ir uzlabot vietu, parku un vē</w:t>
            </w:r>
            <w:r>
              <w:rPr>
                <w:noProof/>
              </w:rPr>
              <w:t>sturisko dārzu identitāti.</w:t>
            </w:r>
          </w:p>
          <w:p w14:paraId="53A00443" w14:textId="77777777" w:rsidR="00C972CB" w:rsidRDefault="00C972CB">
            <w:pPr>
              <w:rPr>
                <w:rFonts w:ascii="Arial Narrow" w:hAnsi="Arial Narrow"/>
                <w:noProof/>
                <w:color w:val="006100"/>
                <w:sz w:val="20"/>
              </w:rPr>
            </w:pPr>
          </w:p>
          <w:p w14:paraId="3CD050B0" w14:textId="77777777" w:rsidR="00C972CB" w:rsidRDefault="002457F6">
            <w:pPr>
              <w:pStyle w:val="P68B1DB1-Normal11"/>
              <w:rPr>
                <w:noProof/>
              </w:rPr>
            </w:pPr>
            <w:r>
              <w:rPr>
                <w:noProof/>
              </w:rPr>
              <w:t>Vēsturiskie parki un dārzi (Inv. Uz kurām attiecas intervence, ir tikai aizsargātas kultūras vērtības, attiecībā uz kurām ir deklarēta mākslinieciska vai vēsturiska interese. Viņi var piederēt gan Valsts Kultūras ministrijai (Mi</w:t>
            </w:r>
            <w:r>
              <w:rPr>
                <w:noProof/>
              </w:rPr>
              <w:t>C), gan nevalstiskiem aktīviem. Atlasi veic, pamatojoties uz kritērijiem, ko nosaka tehniskās un zinātniskās koordinācijas grupa, kuras sastāvā ir MiC, Universitātes, ANCI un nozaru apvienību pārstāvji.</w:t>
            </w:r>
          </w:p>
          <w:p w14:paraId="1EB43B51" w14:textId="77777777" w:rsidR="00C972CB" w:rsidRDefault="002457F6">
            <w:pPr>
              <w:pStyle w:val="P68B1DB1-Normal11"/>
              <w:rPr>
                <w:noProof/>
              </w:rPr>
            </w:pPr>
            <w:r>
              <w:rPr>
                <w:noProof/>
              </w:rPr>
              <w:t>Līgumslēgšanas tiesību piešķiršana projektiem, kas at</w:t>
            </w:r>
            <w:r>
              <w:rPr>
                <w:noProof/>
              </w:rPr>
              <w:t>lasīti konkursa uzaicinājumos iesniegt priekšlikumus, atbilst Tehniskajiem norādījumiem “Nenodarīt būtisku kaitējumu” (2021/C58/01), izmantojot izslēgšanas sarakstu un prasību par atbilstību attiecīgajiem ES un valsts tiesību aktiem vides jomā.</w:t>
            </w:r>
          </w:p>
        </w:tc>
      </w:tr>
      <w:tr w:rsidR="00C972CB" w14:paraId="7A3827F8" w14:textId="77777777">
        <w:trPr>
          <w:trHeight w:val="313"/>
          <w:jc w:val="center"/>
        </w:trPr>
        <w:tc>
          <w:tcPr>
            <w:tcW w:w="377" w:type="pct"/>
            <w:shd w:val="clear" w:color="auto" w:fill="C6EFCE"/>
            <w:noWrap/>
            <w:vAlign w:val="center"/>
          </w:tcPr>
          <w:p w14:paraId="573D9039" w14:textId="77777777" w:rsidR="00C972CB" w:rsidRDefault="002457F6">
            <w:pPr>
              <w:pStyle w:val="P68B1DB1-Normal11"/>
              <w:jc w:val="center"/>
              <w:rPr>
                <w:noProof/>
              </w:rPr>
            </w:pPr>
            <w:r>
              <w:rPr>
                <w:noProof/>
              </w:rPr>
              <w:t>M1C3–15</w:t>
            </w:r>
          </w:p>
        </w:tc>
        <w:tc>
          <w:tcPr>
            <w:tcW w:w="520" w:type="pct"/>
            <w:shd w:val="clear" w:color="auto" w:fill="C6EFCE"/>
            <w:noWrap/>
            <w:vAlign w:val="center"/>
          </w:tcPr>
          <w:p w14:paraId="6FD2AD5A" w14:textId="77777777" w:rsidR="00C972CB" w:rsidRDefault="002457F6">
            <w:pPr>
              <w:pStyle w:val="P68B1DB1-Normal11"/>
              <w:jc w:val="center"/>
              <w:rPr>
                <w:noProof/>
              </w:rPr>
            </w:pPr>
            <w:r>
              <w:rPr>
                <w:noProof/>
              </w:rPr>
              <w:t>Ieguldījums. kulta vietu seismiskā drošība, FEC mantojuma un mākslas darbu patversmju atjaunošana</w:t>
            </w:r>
          </w:p>
        </w:tc>
        <w:tc>
          <w:tcPr>
            <w:tcW w:w="378" w:type="pct"/>
            <w:shd w:val="clear" w:color="auto" w:fill="C6EFCE"/>
            <w:noWrap/>
            <w:vAlign w:val="center"/>
          </w:tcPr>
          <w:p w14:paraId="005153F4"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tcPr>
          <w:p w14:paraId="4B0E6DAA" w14:textId="77777777" w:rsidR="00C972CB" w:rsidRDefault="002457F6">
            <w:pPr>
              <w:pStyle w:val="P68B1DB1-Normal11"/>
              <w:jc w:val="center"/>
              <w:rPr>
                <w:noProof/>
              </w:rPr>
            </w:pPr>
            <w:r>
              <w:rPr>
                <w:noProof/>
              </w:rPr>
              <w:t>Stājas spēkā Kultūras ministrijas dekrēts par resursu piešķiršanu:</w:t>
            </w:r>
          </w:p>
          <w:p w14:paraId="0FF7EC1A" w14:textId="32CAA8E1" w:rsidR="00C972CB" w:rsidRDefault="002457F6">
            <w:pPr>
              <w:pStyle w:val="P68B1DB1-Normal11"/>
              <w:jc w:val="center"/>
              <w:rPr>
                <w:noProof/>
              </w:rPr>
            </w:pPr>
            <w:r>
              <w:rPr>
                <w:noProof/>
              </w:rPr>
              <w:t>seismiskā drošība kulta vietā un FEC (Fondo Edifici di Culto) mantojuma a</w:t>
            </w:r>
            <w:r>
              <w:rPr>
                <w:noProof/>
              </w:rPr>
              <w:t>tjaunošana</w:t>
            </w:r>
          </w:p>
        </w:tc>
        <w:tc>
          <w:tcPr>
            <w:tcW w:w="520" w:type="pct"/>
            <w:shd w:val="clear" w:color="auto" w:fill="C6EFCE"/>
            <w:noWrap/>
            <w:vAlign w:val="center"/>
          </w:tcPr>
          <w:p w14:paraId="35295140" w14:textId="2EFB355E" w:rsidR="00C972CB" w:rsidRDefault="002457F6">
            <w:pPr>
              <w:pStyle w:val="P68B1DB1-Normal11"/>
              <w:jc w:val="center"/>
              <w:rPr>
                <w:noProof/>
              </w:rPr>
            </w:pPr>
            <w:r>
              <w:rPr>
                <w:noProof/>
              </w:rPr>
              <w:t>Noteikums dekrētā par Kultūras ministrijas dekrēta stāšanos spēkā attiecībā uz līdzekļu piešķiršanu</w:t>
            </w:r>
          </w:p>
          <w:p w14:paraId="0D1ED9BF" w14:textId="77777777" w:rsidR="00C972CB" w:rsidRDefault="002457F6">
            <w:pPr>
              <w:pStyle w:val="P68B1DB1-Normal11"/>
              <w:jc w:val="center"/>
              <w:rPr>
                <w:noProof/>
              </w:rPr>
            </w:pPr>
            <w:r>
              <w:rPr>
                <w:noProof/>
              </w:rPr>
              <w:t>seismiskā drošība kulta vietā un FEC (Fondo Edifici di Culto) mantojuma atjaunošana</w:t>
            </w:r>
          </w:p>
        </w:tc>
        <w:tc>
          <w:tcPr>
            <w:tcW w:w="331" w:type="pct"/>
            <w:shd w:val="clear" w:color="auto" w:fill="C6EFCE"/>
            <w:noWrap/>
            <w:vAlign w:val="center"/>
          </w:tcPr>
          <w:p w14:paraId="73943186"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173CEA47" w14:textId="77777777" w:rsidR="00C972CB" w:rsidRDefault="002457F6">
            <w:pPr>
              <w:pStyle w:val="P68B1DB1-Normal11"/>
              <w:jc w:val="center"/>
              <w:rPr>
                <w:noProof/>
              </w:rPr>
            </w:pPr>
            <w:r>
              <w:rPr>
                <w:noProof/>
              </w:rPr>
              <w:t>NEPIEMĒRO</w:t>
            </w:r>
          </w:p>
        </w:tc>
        <w:tc>
          <w:tcPr>
            <w:tcW w:w="424" w:type="pct"/>
            <w:shd w:val="clear" w:color="auto" w:fill="C6EFCE"/>
            <w:noWrap/>
            <w:vAlign w:val="center"/>
          </w:tcPr>
          <w:p w14:paraId="16F45E5E"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37D4F4F2" w14:textId="77777777" w:rsidR="00C972CB" w:rsidRDefault="002457F6">
            <w:pPr>
              <w:pStyle w:val="P68B1DB1-Normal11"/>
              <w:jc w:val="center"/>
              <w:rPr>
                <w:noProof/>
              </w:rPr>
            </w:pPr>
            <w:r>
              <w:rPr>
                <w:noProof/>
              </w:rPr>
              <w:t>2. CET.</w:t>
            </w:r>
          </w:p>
        </w:tc>
        <w:tc>
          <w:tcPr>
            <w:tcW w:w="220" w:type="pct"/>
            <w:shd w:val="clear" w:color="auto" w:fill="C6EFCE"/>
            <w:noWrap/>
            <w:vAlign w:val="center"/>
          </w:tcPr>
          <w:p w14:paraId="7FC5B59C" w14:textId="77777777" w:rsidR="00C972CB" w:rsidRDefault="002457F6">
            <w:pPr>
              <w:pStyle w:val="P68B1DB1-Normal11"/>
              <w:jc w:val="center"/>
              <w:rPr>
                <w:noProof/>
              </w:rPr>
            </w:pPr>
            <w:r>
              <w:rPr>
                <w:noProof/>
              </w:rPr>
              <w:t>2022</w:t>
            </w:r>
          </w:p>
        </w:tc>
        <w:tc>
          <w:tcPr>
            <w:tcW w:w="1047" w:type="pct"/>
            <w:shd w:val="clear" w:color="auto" w:fill="C6EFCE"/>
            <w:noWrap/>
            <w:vAlign w:val="center"/>
          </w:tcPr>
          <w:p w14:paraId="5ED52FBC" w14:textId="77777777" w:rsidR="00C972CB" w:rsidRDefault="00C972CB">
            <w:pPr>
              <w:rPr>
                <w:rFonts w:ascii="Arial Narrow" w:hAnsi="Arial Narrow"/>
                <w:noProof/>
                <w:color w:val="006100"/>
                <w:sz w:val="20"/>
              </w:rPr>
            </w:pPr>
          </w:p>
          <w:p w14:paraId="3395281F" w14:textId="77777777" w:rsidR="00C972CB" w:rsidRDefault="002457F6">
            <w:pPr>
              <w:pStyle w:val="P68B1DB1-Normal11"/>
              <w:rPr>
                <w:noProof/>
              </w:rPr>
            </w:pPr>
            <w:r>
              <w:rPr>
                <w:noProof/>
              </w:rPr>
              <w:t xml:space="preserve">Kultūras </w:t>
            </w:r>
            <w:r>
              <w:rPr>
                <w:noProof/>
              </w:rPr>
              <w:t>ministrijas dekrēts nosaka īstenotāju struktūru un to ēku atbilstību un finansēšanu, uz kurām attiecas intervence.</w:t>
            </w:r>
          </w:p>
          <w:p w14:paraId="7C310B85" w14:textId="77777777" w:rsidR="00C972CB" w:rsidRDefault="002457F6">
            <w:pPr>
              <w:pStyle w:val="P68B1DB1-Normal11"/>
              <w:rPr>
                <w:noProof/>
              </w:rPr>
            </w:pPr>
            <w:r>
              <w:rPr>
                <w:noProof/>
              </w:rPr>
              <w:t>un tipoloģija.</w:t>
            </w:r>
          </w:p>
          <w:p w14:paraId="0093DA7E" w14:textId="77777777" w:rsidR="00C972CB" w:rsidRDefault="00C972CB">
            <w:pPr>
              <w:rPr>
                <w:rFonts w:ascii="Arial Narrow" w:hAnsi="Arial Narrow"/>
                <w:noProof/>
                <w:color w:val="006100"/>
                <w:sz w:val="20"/>
              </w:rPr>
            </w:pPr>
          </w:p>
          <w:p w14:paraId="4331B9E9" w14:textId="77777777" w:rsidR="00C972CB" w:rsidRDefault="002457F6">
            <w:pPr>
              <w:pStyle w:val="P68B1DB1-Normal11"/>
              <w:rPr>
                <w:noProof/>
              </w:rPr>
            </w:pPr>
            <w:r>
              <w:rPr>
                <w:noProof/>
              </w:rPr>
              <w:t>(INV 2.4) kulta vietu seismiskās profilakses un drošības pasākumi attiecas uz apgabaliem, kurus skārušas vairākas zemestrīces</w:t>
            </w:r>
            <w:r>
              <w:rPr>
                <w:noProof/>
              </w:rPr>
              <w:t>, kas kopš 2009. gada skāra Itālijas reģionus (Abruco, Lacio, Marke un Umbria).</w:t>
            </w:r>
          </w:p>
          <w:p w14:paraId="65B60AF1" w14:textId="77777777" w:rsidR="00C972CB" w:rsidRDefault="002457F6">
            <w:pPr>
              <w:pStyle w:val="P68B1DB1-Normal11"/>
              <w:rPr>
                <w:noProof/>
              </w:rPr>
            </w:pPr>
            <w:r>
              <w:rPr>
                <w:noProof/>
              </w:rPr>
              <w:t>FEC (Fondo Edifici di Culto) intervences tiek izvēlētas, pamatojoties uz FEC (Fondo Edifici di Culto) mantojuma vērtību saglabāšanas stāvokli.</w:t>
            </w:r>
          </w:p>
          <w:p w14:paraId="13CEA90E" w14:textId="77777777" w:rsidR="00C972CB" w:rsidRDefault="002457F6">
            <w:pPr>
              <w:pStyle w:val="P68B1DB1-Normal11"/>
              <w:rPr>
                <w:noProof/>
              </w:rPr>
            </w:pPr>
            <w:r>
              <w:rPr>
                <w:noProof/>
              </w:rPr>
              <w:t>Līgumslēgšanas tiesību piešķiršan</w:t>
            </w:r>
            <w:r>
              <w:rPr>
                <w:noProof/>
              </w:rPr>
              <w:t>a projektiem, kas atlasīti konkursa uzaicinājumos iesniegt priekšlikumus, atbilst Tehniskajiem norādījumiem “Nenodarīt būtisku kaitējumu” (2021/C58/01), izmantojot izslēgšanas sarakstu un prasību par atbilstību attiecīgajiem ES un valsts tiesību aktiem vid</w:t>
            </w:r>
            <w:r>
              <w:rPr>
                <w:noProof/>
              </w:rPr>
              <w:t>es jomā.</w:t>
            </w:r>
          </w:p>
        </w:tc>
      </w:tr>
      <w:tr w:rsidR="00C972CB" w14:paraId="48425214" w14:textId="77777777">
        <w:trPr>
          <w:trHeight w:val="313"/>
          <w:jc w:val="center"/>
        </w:trPr>
        <w:tc>
          <w:tcPr>
            <w:tcW w:w="377" w:type="pct"/>
            <w:shd w:val="clear" w:color="auto" w:fill="C6EFCE"/>
            <w:noWrap/>
            <w:vAlign w:val="center"/>
            <w:hideMark/>
          </w:tcPr>
          <w:p w14:paraId="57624389" w14:textId="77777777" w:rsidR="00C972CB" w:rsidRDefault="002457F6">
            <w:pPr>
              <w:pStyle w:val="P68B1DB1-Normal11"/>
              <w:jc w:val="center"/>
              <w:rPr>
                <w:noProof/>
              </w:rPr>
            </w:pPr>
            <w:r>
              <w:rPr>
                <w:noProof/>
              </w:rPr>
              <w:t>M1C3–16</w:t>
            </w:r>
          </w:p>
        </w:tc>
        <w:tc>
          <w:tcPr>
            <w:tcW w:w="520" w:type="pct"/>
            <w:shd w:val="clear" w:color="auto" w:fill="C6EFCE"/>
            <w:noWrap/>
            <w:vAlign w:val="center"/>
          </w:tcPr>
          <w:p w14:paraId="6FC5D514" w14:textId="77777777" w:rsidR="00C972CB" w:rsidRDefault="002457F6">
            <w:pPr>
              <w:pStyle w:val="P68B1DB1-Normal11"/>
              <w:jc w:val="center"/>
              <w:rPr>
                <w:noProof/>
              </w:rPr>
            </w:pPr>
            <w:r>
              <w:rPr>
                <w:noProof/>
              </w:rPr>
              <w:t>Ieguldījumi — 2.1. Mazo vēsturisko pilsētu pievilcība</w:t>
            </w:r>
          </w:p>
        </w:tc>
        <w:tc>
          <w:tcPr>
            <w:tcW w:w="378" w:type="pct"/>
            <w:shd w:val="clear" w:color="auto" w:fill="C6EFCE"/>
            <w:noWrap/>
            <w:vAlign w:val="center"/>
            <w:hideMark/>
          </w:tcPr>
          <w:p w14:paraId="138C5934" w14:textId="77777777" w:rsidR="00C972CB" w:rsidRDefault="002457F6">
            <w:pPr>
              <w:pStyle w:val="P68B1DB1-Normal11"/>
              <w:jc w:val="center"/>
              <w:rPr>
                <w:noProof/>
              </w:rPr>
            </w:pPr>
            <w:r>
              <w:rPr>
                <w:noProof/>
              </w:rPr>
              <w:t>Mērķa</w:t>
            </w:r>
          </w:p>
        </w:tc>
        <w:tc>
          <w:tcPr>
            <w:tcW w:w="520" w:type="pct"/>
            <w:shd w:val="clear" w:color="auto" w:fill="C6EFCE"/>
            <w:noWrap/>
            <w:vAlign w:val="center"/>
          </w:tcPr>
          <w:p w14:paraId="0A46D9F7" w14:textId="77777777" w:rsidR="00C972CB" w:rsidRDefault="002457F6">
            <w:pPr>
              <w:pStyle w:val="P68B1DB1-Normal11"/>
              <w:jc w:val="center"/>
              <w:rPr>
                <w:noProof/>
              </w:rPr>
            </w:pPr>
            <w:r>
              <w:rPr>
                <w:noProof/>
              </w:rPr>
              <w:t>Intervences, kas noslēgtas, lai uzlabotu kultūras vai tūrisma objektus</w:t>
            </w:r>
          </w:p>
        </w:tc>
        <w:tc>
          <w:tcPr>
            <w:tcW w:w="520" w:type="pct"/>
            <w:shd w:val="clear" w:color="auto" w:fill="C6EFCE"/>
            <w:noWrap/>
            <w:vAlign w:val="center"/>
            <w:hideMark/>
          </w:tcPr>
          <w:p w14:paraId="5B248370"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22D34E0F" w14:textId="77777777" w:rsidR="00C972CB" w:rsidRDefault="002457F6">
            <w:pPr>
              <w:pStyle w:val="P68B1DB1-Normal11"/>
              <w:jc w:val="center"/>
              <w:rPr>
                <w:noProof/>
              </w:rPr>
            </w:pPr>
            <w:r>
              <w:rPr>
                <w:noProof/>
              </w:rPr>
              <w:t>Skaits</w:t>
            </w:r>
          </w:p>
        </w:tc>
        <w:tc>
          <w:tcPr>
            <w:tcW w:w="332" w:type="pct"/>
            <w:shd w:val="clear" w:color="auto" w:fill="C6EFCE"/>
            <w:noWrap/>
            <w:vAlign w:val="center"/>
          </w:tcPr>
          <w:p w14:paraId="1F665E48" w14:textId="77777777" w:rsidR="00C972CB" w:rsidRDefault="002457F6">
            <w:pPr>
              <w:pStyle w:val="P68B1DB1-Normal11"/>
              <w:jc w:val="center"/>
              <w:rPr>
                <w:noProof/>
              </w:rPr>
            </w:pPr>
            <w:r>
              <w:rPr>
                <w:noProof/>
              </w:rPr>
              <w:t>0</w:t>
            </w:r>
          </w:p>
        </w:tc>
        <w:tc>
          <w:tcPr>
            <w:tcW w:w="424" w:type="pct"/>
            <w:shd w:val="clear" w:color="auto" w:fill="C6EFCE"/>
            <w:noWrap/>
            <w:vAlign w:val="center"/>
          </w:tcPr>
          <w:p w14:paraId="353BB8EA" w14:textId="6EFFB705" w:rsidR="00C972CB" w:rsidRDefault="002457F6">
            <w:pPr>
              <w:pStyle w:val="P68B1DB1-Normal11"/>
              <w:jc w:val="center"/>
              <w:rPr>
                <w:noProof/>
              </w:rPr>
            </w:pPr>
            <w:r>
              <w:rPr>
                <w:noProof/>
              </w:rPr>
              <w:t>1 300</w:t>
            </w:r>
          </w:p>
        </w:tc>
        <w:tc>
          <w:tcPr>
            <w:tcW w:w="332" w:type="pct"/>
            <w:shd w:val="clear" w:color="auto" w:fill="C6EFCE"/>
            <w:noWrap/>
            <w:vAlign w:val="center"/>
            <w:hideMark/>
          </w:tcPr>
          <w:p w14:paraId="4F31AACB" w14:textId="77777777" w:rsidR="00C972CB" w:rsidRDefault="002457F6">
            <w:pPr>
              <w:pStyle w:val="P68B1DB1-Normal11"/>
              <w:jc w:val="center"/>
              <w:rPr>
                <w:noProof/>
              </w:rPr>
            </w:pPr>
            <w:r>
              <w:rPr>
                <w:noProof/>
              </w:rPr>
              <w:t>2. CET.</w:t>
            </w:r>
          </w:p>
        </w:tc>
        <w:tc>
          <w:tcPr>
            <w:tcW w:w="220" w:type="pct"/>
            <w:shd w:val="clear" w:color="auto" w:fill="C6EFCE"/>
            <w:noWrap/>
            <w:vAlign w:val="center"/>
            <w:hideMark/>
          </w:tcPr>
          <w:p w14:paraId="3F721A05" w14:textId="77777777" w:rsidR="00C972CB" w:rsidRDefault="002457F6">
            <w:pPr>
              <w:pStyle w:val="P68B1DB1-Normal11"/>
              <w:jc w:val="center"/>
              <w:rPr>
                <w:noProof/>
              </w:rPr>
            </w:pPr>
            <w:r>
              <w:rPr>
                <w:noProof/>
              </w:rPr>
              <w:t>2025</w:t>
            </w:r>
          </w:p>
        </w:tc>
        <w:tc>
          <w:tcPr>
            <w:tcW w:w="1047" w:type="pct"/>
            <w:shd w:val="clear" w:color="auto" w:fill="C6EFCE"/>
            <w:noWrap/>
            <w:vAlign w:val="center"/>
            <w:hideMark/>
          </w:tcPr>
          <w:p w14:paraId="175CF75A" w14:textId="262E274D" w:rsidR="00C972CB" w:rsidRDefault="002457F6">
            <w:pPr>
              <w:pStyle w:val="P68B1DB1-Normal12"/>
              <w:rPr>
                <w:rFonts w:ascii="Arial Narrow" w:hAnsi="Arial Narrow"/>
                <w:noProof/>
              </w:rPr>
            </w:pPr>
            <w:r>
              <w:rPr>
                <w:rFonts w:ascii="Arial Narrow" w:hAnsi="Arial Narrow"/>
                <w:noProof/>
              </w:rPr>
              <w:t xml:space="preserve">Apmierinoša mērķa sasniegšana ir atkarīga arī no vismaz 1800 MVU </w:t>
            </w:r>
            <w:r>
              <w:rPr>
                <w:rFonts w:ascii="Arial Narrow" w:hAnsi="Arial Narrow"/>
                <w:noProof/>
              </w:rPr>
              <w:t>atbalstaprojektiem mazajās vēsturiskajās pilsētās.</w:t>
            </w:r>
          </w:p>
          <w:p w14:paraId="1D4BA36A" w14:textId="77777777" w:rsidR="00C972CB" w:rsidRDefault="00C972CB">
            <w:pPr>
              <w:rPr>
                <w:rFonts w:ascii="Arial Narrow" w:hAnsi="Arial Narrow"/>
                <w:noProof/>
                <w:color w:val="006100"/>
                <w:sz w:val="20"/>
              </w:rPr>
            </w:pPr>
          </w:p>
          <w:p w14:paraId="79C8CEEE" w14:textId="77777777" w:rsidR="00C972CB" w:rsidRDefault="002457F6">
            <w:pPr>
              <w:pStyle w:val="P68B1DB1-Normal11"/>
              <w:rPr>
                <w:noProof/>
              </w:rPr>
            </w:pPr>
            <w:r>
              <w:rPr>
                <w:noProof/>
              </w:rPr>
              <w:t>Ar mērķi mēra to intervenču skaitu, kas noslēgtas, lai uzlabotu kultūras un tūrisma objektus, par ko liecina individuāli sertifikāti par regulāru izpildi (kultūras mantojuma atjaunošana un atjaunošana, ku</w:t>
            </w:r>
            <w:r>
              <w:rPr>
                <w:noProof/>
              </w:rPr>
              <w:t>ltūras un tūrisma pakalpojumiem paredzētas ēkas, maza tūrisma infrastruktūra). Tas iekļauj:</w:t>
            </w:r>
          </w:p>
          <w:p w14:paraId="27B76DDC" w14:textId="77777777" w:rsidR="00C972CB" w:rsidRDefault="002457F6">
            <w:pPr>
              <w:pStyle w:val="P68B1DB1-Normal11"/>
              <w:rPr>
                <w:noProof/>
              </w:rPr>
            </w:pPr>
            <w:r>
              <w:rPr>
                <w:noProof/>
              </w:rPr>
              <w:t>—Pielāgota atkalizmantošana un funkcionāla, strukturāla un rūpnīcu inženiertehniska ēku un kultūras pakalpojumu (piemēram, muzeju un bibliotēku) sabiedrisko telpu (</w:t>
            </w:r>
            <w:r>
              <w:rPr>
                <w:noProof/>
              </w:rPr>
              <w:t>piemēram, muzeju un bibliotēku) atjaunošana, energoefektivitātes uzlabošana, alternatīvas un atjaunojamās enerģijas izmantošana un tādu šķēršļu likvidēšana, kas ierobežo piekļuvi personām ar invaliditāti.</w:t>
            </w:r>
          </w:p>
          <w:p w14:paraId="42FE4BE4" w14:textId="77777777" w:rsidR="00C972CB" w:rsidRDefault="002457F6">
            <w:pPr>
              <w:pStyle w:val="P68B1DB1-Normal11"/>
              <w:rPr>
                <w:noProof/>
              </w:rPr>
            </w:pPr>
            <w:r>
              <w:rPr>
                <w:noProof/>
              </w:rPr>
              <w:t>Kultūras mantojuma (piemēram, arheoloģiskā, vēsturi</w:t>
            </w:r>
            <w:r>
              <w:rPr>
                <w:noProof/>
              </w:rPr>
              <w:t>skā, arhitektoniskā, arhitektoniskā, demoetnoantropoloģiskā) saglabāšana un popularizēšana;</w:t>
            </w:r>
          </w:p>
          <w:p w14:paraId="30B241CC" w14:textId="77777777" w:rsidR="00C972CB" w:rsidRDefault="002457F6">
            <w:pPr>
              <w:pStyle w:val="P68B1DB1-Normal11"/>
              <w:rPr>
                <w:noProof/>
              </w:rPr>
            </w:pPr>
            <w:r>
              <w:rPr>
                <w:noProof/>
              </w:rPr>
              <w:t>zināšanu un informācijas platformu un integrētu informācijas sistēmu izveide;</w:t>
            </w:r>
          </w:p>
          <w:p w14:paraId="4192EC07" w14:textId="77777777" w:rsidR="00C972CB" w:rsidRDefault="002457F6">
            <w:pPr>
              <w:pStyle w:val="P68B1DB1-Normal11"/>
              <w:rPr>
                <w:noProof/>
              </w:rPr>
            </w:pPr>
            <w:r>
              <w:rPr>
                <w:noProof/>
              </w:rPr>
              <w:t>kultūras un mākslas pasākumu radīšana, kultūras un tematisko maršrutu, vēsturisko marš</w:t>
            </w:r>
            <w:r>
              <w:rPr>
                <w:noProof/>
              </w:rPr>
              <w:t>rutu, veloceliņu un/vai gājēju ceļu izveide un popularizēšana tūrisma un kultūras nozīmes vietu (piemēram, muzeju, pieminekļu, UNESCO objektu, bibliotēku, arheoloģisko zonu un citu kultūras, reliģisko un mākslas objektu) savienošanai un izmantošanai;</w:t>
            </w:r>
          </w:p>
          <w:p w14:paraId="3C7595DF" w14:textId="53A66BF8" w:rsidR="00C972CB" w:rsidRDefault="002457F6">
            <w:pPr>
              <w:pStyle w:val="P68B1DB1-Normal11"/>
              <w:rPr>
                <w:noProof/>
              </w:rPr>
            </w:pPr>
            <w:r>
              <w:rPr>
                <w:noProof/>
              </w:rPr>
              <w:t>Atbal</w:t>
            </w:r>
            <w:r>
              <w:rPr>
                <w:noProof/>
              </w:rPr>
              <w:t>sts kultūras, tūrisma, tirdzniecības, lauksaimniecības pārtikas un amatniecības uzņēmumiem.</w:t>
            </w:r>
          </w:p>
          <w:p w14:paraId="060350E0" w14:textId="77777777" w:rsidR="00C972CB" w:rsidRDefault="002457F6">
            <w:pPr>
              <w:pStyle w:val="P68B1DB1-Normal11"/>
              <w:rPr>
                <w:noProof/>
              </w:rPr>
            </w:pPr>
            <w:r>
              <w:rPr>
                <w:noProof/>
              </w:rPr>
              <w:t>37 % intervenču īsteno mazāk attīstītos reģionos.</w:t>
            </w:r>
          </w:p>
        </w:tc>
      </w:tr>
      <w:tr w:rsidR="00C972CB" w14:paraId="777F8CD0" w14:textId="77777777">
        <w:trPr>
          <w:trHeight w:val="313"/>
          <w:jc w:val="center"/>
        </w:trPr>
        <w:tc>
          <w:tcPr>
            <w:tcW w:w="377" w:type="pct"/>
            <w:shd w:val="clear" w:color="auto" w:fill="C6EFCE"/>
            <w:noWrap/>
            <w:vAlign w:val="center"/>
            <w:hideMark/>
          </w:tcPr>
          <w:p w14:paraId="3353A5A7" w14:textId="77777777" w:rsidR="00C972CB" w:rsidRDefault="002457F6">
            <w:pPr>
              <w:pStyle w:val="P68B1DB1-Normal11"/>
              <w:jc w:val="center"/>
              <w:rPr>
                <w:noProof/>
              </w:rPr>
            </w:pPr>
            <w:r>
              <w:rPr>
                <w:noProof/>
              </w:rPr>
              <w:t>M1C3–17</w:t>
            </w:r>
          </w:p>
        </w:tc>
        <w:tc>
          <w:tcPr>
            <w:tcW w:w="520" w:type="pct"/>
            <w:shd w:val="clear" w:color="auto" w:fill="C6EFCE"/>
            <w:noWrap/>
            <w:vAlign w:val="center"/>
            <w:hideMark/>
          </w:tcPr>
          <w:p w14:paraId="2B06D016" w14:textId="77777777" w:rsidR="00C972CB" w:rsidRDefault="002457F6">
            <w:pPr>
              <w:pStyle w:val="P68B1DB1-Normal11"/>
              <w:jc w:val="center"/>
              <w:rPr>
                <w:noProof/>
              </w:rPr>
            </w:pPr>
            <w:r>
              <w:rPr>
                <w:noProof/>
              </w:rPr>
              <w:t>Ieguldījumi — Lauku arhitektūras un ainavas aizsardzība un uzlabošana</w:t>
            </w:r>
          </w:p>
        </w:tc>
        <w:tc>
          <w:tcPr>
            <w:tcW w:w="378" w:type="pct"/>
            <w:shd w:val="clear" w:color="auto" w:fill="C6EFCE"/>
            <w:noWrap/>
            <w:vAlign w:val="center"/>
            <w:hideMark/>
          </w:tcPr>
          <w:p w14:paraId="3F699C5B" w14:textId="77777777" w:rsidR="00C972CB" w:rsidRDefault="002457F6">
            <w:pPr>
              <w:pStyle w:val="P68B1DB1-Normal11"/>
              <w:jc w:val="center"/>
              <w:rPr>
                <w:noProof/>
              </w:rPr>
            </w:pPr>
            <w:r>
              <w:rPr>
                <w:noProof/>
              </w:rPr>
              <w:t>Mērķa</w:t>
            </w:r>
          </w:p>
        </w:tc>
        <w:tc>
          <w:tcPr>
            <w:tcW w:w="520" w:type="pct"/>
            <w:shd w:val="clear" w:color="auto" w:fill="C6EFCE"/>
            <w:noWrap/>
            <w:vAlign w:val="center"/>
            <w:hideMark/>
          </w:tcPr>
          <w:p w14:paraId="51A02A05" w14:textId="77777777" w:rsidR="00C972CB" w:rsidRDefault="002457F6">
            <w:pPr>
              <w:pStyle w:val="P68B1DB1-Normal11"/>
              <w:jc w:val="center"/>
              <w:rPr>
                <w:noProof/>
              </w:rPr>
            </w:pPr>
            <w:r>
              <w:rPr>
                <w:noProof/>
              </w:rPr>
              <w:t xml:space="preserve">Noslēgtas intervences lauku </w:t>
            </w:r>
            <w:r>
              <w:rPr>
                <w:noProof/>
              </w:rPr>
              <w:t>arhitektūras un ainavas aizsardzībai un uzlabošanai</w:t>
            </w:r>
          </w:p>
        </w:tc>
        <w:tc>
          <w:tcPr>
            <w:tcW w:w="520" w:type="pct"/>
            <w:shd w:val="clear" w:color="auto" w:fill="C6EFCE"/>
            <w:noWrap/>
            <w:vAlign w:val="center"/>
            <w:hideMark/>
          </w:tcPr>
          <w:p w14:paraId="0878EF4A"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2280ABD2"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3D4C6B22"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03672907" w14:textId="6F3810FC" w:rsidR="00C972CB" w:rsidRDefault="002457F6">
            <w:pPr>
              <w:pStyle w:val="P68B1DB1-Normal11"/>
              <w:jc w:val="center"/>
              <w:rPr>
                <w:noProof/>
              </w:rPr>
            </w:pPr>
            <w:r>
              <w:rPr>
                <w:noProof/>
              </w:rPr>
              <w:t>3 000</w:t>
            </w:r>
          </w:p>
        </w:tc>
        <w:tc>
          <w:tcPr>
            <w:tcW w:w="332" w:type="pct"/>
            <w:shd w:val="clear" w:color="auto" w:fill="C6EFCE"/>
            <w:noWrap/>
            <w:vAlign w:val="center"/>
            <w:hideMark/>
          </w:tcPr>
          <w:p w14:paraId="279DA41F" w14:textId="77777777" w:rsidR="00C972CB" w:rsidRDefault="002457F6">
            <w:pPr>
              <w:pStyle w:val="P68B1DB1-Normal11"/>
              <w:jc w:val="center"/>
              <w:rPr>
                <w:noProof/>
              </w:rPr>
            </w:pPr>
            <w:r>
              <w:rPr>
                <w:noProof/>
              </w:rPr>
              <w:t>4. CET.</w:t>
            </w:r>
          </w:p>
        </w:tc>
        <w:tc>
          <w:tcPr>
            <w:tcW w:w="220" w:type="pct"/>
            <w:shd w:val="clear" w:color="auto" w:fill="C6EFCE"/>
            <w:noWrap/>
            <w:vAlign w:val="center"/>
            <w:hideMark/>
          </w:tcPr>
          <w:p w14:paraId="65AE040A" w14:textId="77777777" w:rsidR="00C972CB" w:rsidRDefault="002457F6">
            <w:pPr>
              <w:pStyle w:val="P68B1DB1-Normal11"/>
              <w:jc w:val="center"/>
              <w:rPr>
                <w:noProof/>
              </w:rPr>
            </w:pPr>
            <w:r>
              <w:rPr>
                <w:noProof/>
              </w:rPr>
              <w:t>2025</w:t>
            </w:r>
          </w:p>
        </w:tc>
        <w:tc>
          <w:tcPr>
            <w:tcW w:w="1047" w:type="pct"/>
            <w:shd w:val="clear" w:color="auto" w:fill="C6EFCE"/>
            <w:noWrap/>
            <w:vAlign w:val="center"/>
            <w:hideMark/>
          </w:tcPr>
          <w:p w14:paraId="5FDDD81C" w14:textId="77777777" w:rsidR="00C972CB" w:rsidRDefault="002457F6">
            <w:pPr>
              <w:pStyle w:val="P68B1DB1-Normal11"/>
              <w:rPr>
                <w:noProof/>
              </w:rPr>
            </w:pPr>
            <w:r>
              <w:rPr>
                <w:noProof/>
              </w:rPr>
              <w:t>Mērķis nosaka to aktīvu kopējo skaitu, uz kuriem attiecas pabeigta intervence (ko apliecina apliecinājums par darbu regulāru izpildi).</w:t>
            </w:r>
          </w:p>
          <w:p w14:paraId="5CB89A43" w14:textId="77777777" w:rsidR="00C972CB" w:rsidRDefault="00C972CB">
            <w:pPr>
              <w:rPr>
                <w:rFonts w:ascii="Arial Narrow" w:hAnsi="Arial Narrow"/>
                <w:noProof/>
                <w:color w:val="006100"/>
                <w:sz w:val="20"/>
              </w:rPr>
            </w:pPr>
          </w:p>
          <w:p w14:paraId="3102F25A" w14:textId="77777777" w:rsidR="00C972CB" w:rsidRDefault="002457F6">
            <w:pPr>
              <w:pStyle w:val="P68B1DB1-Normal11"/>
              <w:rPr>
                <w:noProof/>
              </w:rPr>
            </w:pPr>
            <w:r>
              <w:rPr>
                <w:noProof/>
              </w:rPr>
              <w:t xml:space="preserve">Mērķrādītāja apmierinoša </w:t>
            </w:r>
            <w:r>
              <w:rPr>
                <w:noProof/>
              </w:rPr>
              <w:t>izpilde ir atkarīga arī no tā, vai tiks sākti 900 papildu darbi lauku arhitektūras aizsardzības un uzlabošanas un ainavu aizsardzības jomā (par ko liecina sertifikāts par darbu uzsākšanu).</w:t>
            </w:r>
          </w:p>
          <w:p w14:paraId="591843C1" w14:textId="77777777" w:rsidR="00C972CB" w:rsidRDefault="00C972CB">
            <w:pPr>
              <w:rPr>
                <w:rFonts w:ascii="Arial Narrow" w:hAnsi="Arial Narrow"/>
                <w:noProof/>
                <w:color w:val="006100"/>
                <w:sz w:val="20"/>
              </w:rPr>
            </w:pPr>
          </w:p>
          <w:p w14:paraId="12EC33E2" w14:textId="77777777" w:rsidR="00C972CB" w:rsidRDefault="002457F6">
            <w:pPr>
              <w:pStyle w:val="P68B1DB1-Normal11"/>
              <w:rPr>
                <w:noProof/>
              </w:rPr>
            </w:pPr>
            <w:r>
              <w:rPr>
                <w:noProof/>
              </w:rPr>
              <w:t>Veicamo intervenču veidi ir šādi:</w:t>
            </w:r>
          </w:p>
          <w:p w14:paraId="0A8F26BE" w14:textId="77777777" w:rsidR="00C972CB" w:rsidRDefault="00C972CB">
            <w:pPr>
              <w:rPr>
                <w:rFonts w:ascii="Arial Narrow" w:hAnsi="Arial Narrow"/>
                <w:noProof/>
                <w:color w:val="006100"/>
                <w:sz w:val="20"/>
              </w:rPr>
            </w:pPr>
          </w:p>
          <w:p w14:paraId="30CDFEFF" w14:textId="77777777" w:rsidR="00C972CB" w:rsidRDefault="002457F6">
            <w:pPr>
              <w:pStyle w:val="P68B1DB1-Normal11"/>
              <w:rPr>
                <w:noProof/>
              </w:rPr>
            </w:pPr>
            <w:r>
              <w:rPr>
                <w:noProof/>
              </w:rPr>
              <w:t>1. Lauksaimniecības apdzīvotu v</w:t>
            </w:r>
            <w:r>
              <w:rPr>
                <w:noProof/>
              </w:rPr>
              <w:t>ietu, artefaktu un vēsturisku lauku ēku, vēsturiski nozīmīgu lauksaimniecības kultūru un tipisku arhitektūras un lauku ainavas elementu konservatīva rehabilitācija un funkcionāla atjaunošana. No atjaunošanas un strukturālās pielāgošanas paņēmieniem priekšr</w:t>
            </w:r>
            <w:r>
              <w:rPr>
                <w:noProof/>
              </w:rPr>
              <w:t>oka tiek dota ekosavietojamiem risinājumiem un alternatīvu enerģijas avotu izmantošanai.</w:t>
            </w:r>
          </w:p>
          <w:p w14:paraId="69BC4A69" w14:textId="77777777" w:rsidR="00C972CB" w:rsidRDefault="002457F6">
            <w:pPr>
              <w:pStyle w:val="P68B1DB1-Normal11"/>
              <w:rPr>
                <w:noProof/>
              </w:rPr>
            </w:pPr>
            <w:r>
              <w:rPr>
                <w:noProof/>
              </w:rPr>
              <w:t>2. Lauku apbūvētā mantojuma skaitīšanas pabeigšana un valsts un reģionālo informācijas rīku ieviešana</w:t>
            </w:r>
          </w:p>
        </w:tc>
      </w:tr>
      <w:tr w:rsidR="00C972CB" w14:paraId="32EFDCD9" w14:textId="77777777">
        <w:trPr>
          <w:trHeight w:val="364"/>
          <w:jc w:val="center"/>
        </w:trPr>
        <w:tc>
          <w:tcPr>
            <w:tcW w:w="377" w:type="pct"/>
            <w:shd w:val="clear" w:color="auto" w:fill="C6EFCE"/>
            <w:noWrap/>
            <w:vAlign w:val="center"/>
            <w:hideMark/>
          </w:tcPr>
          <w:p w14:paraId="7349EC43" w14:textId="77777777" w:rsidR="00C972CB" w:rsidRDefault="002457F6">
            <w:pPr>
              <w:pStyle w:val="P68B1DB1-Normal11"/>
              <w:jc w:val="center"/>
              <w:rPr>
                <w:noProof/>
              </w:rPr>
            </w:pPr>
            <w:r>
              <w:rPr>
                <w:noProof/>
              </w:rPr>
              <w:t>M1C3–18</w:t>
            </w:r>
          </w:p>
        </w:tc>
        <w:tc>
          <w:tcPr>
            <w:tcW w:w="520" w:type="pct"/>
            <w:shd w:val="clear" w:color="auto" w:fill="C6EFCE"/>
            <w:noWrap/>
            <w:vAlign w:val="center"/>
            <w:hideMark/>
          </w:tcPr>
          <w:p w14:paraId="75F9CB56" w14:textId="77777777" w:rsidR="00C972CB" w:rsidRDefault="002457F6">
            <w:pPr>
              <w:pStyle w:val="P68B1DB1-Normal11"/>
              <w:jc w:val="center"/>
              <w:rPr>
                <w:noProof/>
              </w:rPr>
            </w:pPr>
            <w:r>
              <w:rPr>
                <w:noProof/>
              </w:rPr>
              <w:t xml:space="preserve">Ieguldījumi 2.3. Programmas vietu identitātes </w:t>
            </w:r>
            <w:r>
              <w:rPr>
                <w:noProof/>
              </w:rPr>
              <w:t>uzlabošanai: parki un vēsturiskie dārzi</w:t>
            </w:r>
          </w:p>
        </w:tc>
        <w:tc>
          <w:tcPr>
            <w:tcW w:w="378" w:type="pct"/>
            <w:shd w:val="clear" w:color="auto" w:fill="C6EFCE"/>
            <w:noWrap/>
            <w:vAlign w:val="center"/>
            <w:hideMark/>
          </w:tcPr>
          <w:p w14:paraId="0AFA8BF8" w14:textId="77777777" w:rsidR="00C972CB" w:rsidRDefault="002457F6">
            <w:pPr>
              <w:pStyle w:val="P68B1DB1-Normal11"/>
              <w:jc w:val="center"/>
              <w:rPr>
                <w:noProof/>
              </w:rPr>
            </w:pPr>
            <w:r>
              <w:rPr>
                <w:noProof/>
              </w:rPr>
              <w:t>Mērķa</w:t>
            </w:r>
          </w:p>
        </w:tc>
        <w:tc>
          <w:tcPr>
            <w:tcW w:w="520" w:type="pct"/>
            <w:shd w:val="clear" w:color="auto" w:fill="C6EFCE"/>
            <w:noWrap/>
            <w:vAlign w:val="center"/>
            <w:hideMark/>
          </w:tcPr>
          <w:p w14:paraId="48D867F5" w14:textId="77777777" w:rsidR="00C972CB" w:rsidRDefault="002457F6">
            <w:pPr>
              <w:pStyle w:val="P68B1DB1-Normal11"/>
              <w:jc w:val="center"/>
              <w:rPr>
                <w:noProof/>
              </w:rPr>
            </w:pPr>
            <w:r>
              <w:rPr>
                <w:noProof/>
              </w:rPr>
              <w:t>Pārkvalificēto parku un vēsturisko dārzu skaits</w:t>
            </w:r>
          </w:p>
        </w:tc>
        <w:tc>
          <w:tcPr>
            <w:tcW w:w="520" w:type="pct"/>
            <w:shd w:val="clear" w:color="auto" w:fill="C6EFCE"/>
            <w:noWrap/>
            <w:vAlign w:val="center"/>
            <w:hideMark/>
          </w:tcPr>
          <w:p w14:paraId="28C9E4E4" w14:textId="18EFACE1"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645EB945"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20F67FFC"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2B9899F3" w14:textId="77777777" w:rsidR="00C972CB" w:rsidRDefault="002457F6">
            <w:pPr>
              <w:pStyle w:val="P68B1DB1-Normal11"/>
              <w:jc w:val="center"/>
              <w:rPr>
                <w:noProof/>
              </w:rPr>
            </w:pPr>
            <w:r>
              <w:rPr>
                <w:noProof/>
              </w:rPr>
              <w:t>40</w:t>
            </w:r>
          </w:p>
        </w:tc>
        <w:tc>
          <w:tcPr>
            <w:tcW w:w="332" w:type="pct"/>
            <w:shd w:val="clear" w:color="auto" w:fill="C6EFCE"/>
            <w:noWrap/>
            <w:vAlign w:val="center"/>
            <w:hideMark/>
          </w:tcPr>
          <w:p w14:paraId="1856C9FC" w14:textId="77777777" w:rsidR="00C972CB" w:rsidRDefault="002457F6">
            <w:pPr>
              <w:pStyle w:val="P68B1DB1-Normal11"/>
              <w:jc w:val="center"/>
              <w:rPr>
                <w:noProof/>
              </w:rPr>
            </w:pPr>
            <w:r>
              <w:rPr>
                <w:noProof/>
              </w:rPr>
              <w:t>4. CET.</w:t>
            </w:r>
          </w:p>
        </w:tc>
        <w:tc>
          <w:tcPr>
            <w:tcW w:w="220" w:type="pct"/>
            <w:shd w:val="clear" w:color="auto" w:fill="C6EFCE"/>
            <w:noWrap/>
            <w:vAlign w:val="center"/>
            <w:hideMark/>
          </w:tcPr>
          <w:p w14:paraId="548F7FB1" w14:textId="77777777" w:rsidR="00C972CB" w:rsidRDefault="002457F6">
            <w:pPr>
              <w:pStyle w:val="P68B1DB1-Normal11"/>
              <w:jc w:val="center"/>
              <w:rPr>
                <w:noProof/>
              </w:rPr>
            </w:pPr>
            <w:r>
              <w:rPr>
                <w:noProof/>
              </w:rPr>
              <w:t>2025</w:t>
            </w:r>
          </w:p>
        </w:tc>
        <w:tc>
          <w:tcPr>
            <w:tcW w:w="1047" w:type="pct"/>
            <w:shd w:val="clear" w:color="auto" w:fill="C6EFCE"/>
            <w:noWrap/>
            <w:vAlign w:val="center"/>
            <w:hideMark/>
          </w:tcPr>
          <w:p w14:paraId="20229D84" w14:textId="77777777" w:rsidR="00C972CB" w:rsidRDefault="002457F6">
            <w:pPr>
              <w:pStyle w:val="P68B1DB1-Normal11"/>
              <w:rPr>
                <w:noProof/>
              </w:rPr>
            </w:pPr>
            <w:r>
              <w:rPr>
                <w:noProof/>
              </w:rPr>
              <w:t>Indikators attiecas uz pārkvalificēto vēsturisko parku un dārzu skaitu (ko apliecina apliecinājums par darbu regulāru izpildi).</w:t>
            </w:r>
          </w:p>
          <w:p w14:paraId="6B01A03A" w14:textId="77777777" w:rsidR="00C972CB" w:rsidRDefault="00C972CB">
            <w:pPr>
              <w:rPr>
                <w:rFonts w:ascii="Arial Narrow" w:hAnsi="Arial Narrow"/>
                <w:noProof/>
                <w:color w:val="006100"/>
                <w:sz w:val="20"/>
              </w:rPr>
            </w:pPr>
          </w:p>
          <w:p w14:paraId="386CB1A7" w14:textId="4A53E707" w:rsidR="00C972CB" w:rsidRDefault="002457F6">
            <w:pPr>
              <w:pStyle w:val="P68B1DB1-Normal12"/>
              <w:rPr>
                <w:rFonts w:ascii="Arial Narrow" w:hAnsi="Arial Narrow"/>
                <w:noProof/>
              </w:rPr>
            </w:pPr>
            <w:r>
              <w:rPr>
                <w:rFonts w:ascii="Arial Narrow" w:hAnsi="Arial Narrow"/>
                <w:noProof/>
              </w:rPr>
              <w:t>Mērķrādītāja apmierinoša sasniegšana ir atkarīga arī no apmācības pasākumu pabeigšanas vismaz 1260</w:t>
            </w:r>
            <w:r>
              <w:rPr>
                <w:noProof/>
              </w:rPr>
              <w:t xml:space="preserve"> </w:t>
            </w:r>
            <w:r>
              <w:rPr>
                <w:rFonts w:ascii="Arial Narrow" w:hAnsi="Arial Narrow"/>
                <w:noProof/>
              </w:rPr>
              <w:t>operatoriem.</w:t>
            </w:r>
          </w:p>
          <w:p w14:paraId="7F0F6412" w14:textId="77777777" w:rsidR="00C972CB" w:rsidRDefault="002457F6">
            <w:pPr>
              <w:pStyle w:val="P68B1DB1-Normal11"/>
              <w:rPr>
                <w:noProof/>
              </w:rPr>
            </w:pPr>
            <w:r>
              <w:rPr>
                <w:noProof/>
              </w:rPr>
              <w:t>Lai apmierinoši īstenotu parku un vēsturisko dārzu pārkvalificēšanu, veicamie intervences veidi ir šādi:</w:t>
            </w:r>
          </w:p>
          <w:p w14:paraId="695E7CEA" w14:textId="77777777" w:rsidR="00C972CB" w:rsidRDefault="002457F6">
            <w:pPr>
              <w:pStyle w:val="P68B1DB1-ListParagraph13"/>
              <w:numPr>
                <w:ilvl w:val="0"/>
                <w:numId w:val="76"/>
              </w:numPr>
              <w:rPr>
                <w:noProof/>
              </w:rPr>
            </w:pPr>
            <w:r>
              <w:rPr>
                <w:noProof/>
              </w:rPr>
              <w:t>veģetācijas komponenta attīstības uzt</w:t>
            </w:r>
            <w:r>
              <w:rPr>
                <w:noProof/>
              </w:rPr>
              <w:t xml:space="preserve">urēšana/atjaunošana/pārvaldīšana; </w:t>
            </w:r>
          </w:p>
          <w:p w14:paraId="19714FFB" w14:textId="77777777" w:rsidR="00C972CB" w:rsidRDefault="002457F6">
            <w:pPr>
              <w:pStyle w:val="P68B1DB1-ListParagraph13"/>
              <w:numPr>
                <w:ilvl w:val="0"/>
                <w:numId w:val="76"/>
              </w:numPr>
              <w:rPr>
                <w:noProof/>
              </w:rPr>
            </w:pPr>
            <w:r>
              <w:rPr>
                <w:noProof/>
              </w:rPr>
              <w:t xml:space="preserve">pašreizējo arhitektūras un pieminekļu komponentu (piemēram, mazu ēku, strūklu un mēbeļu) atjaunošana; </w:t>
            </w:r>
          </w:p>
          <w:p w14:paraId="07E78CF0" w14:textId="77777777" w:rsidR="00C972CB" w:rsidRDefault="002457F6">
            <w:pPr>
              <w:pStyle w:val="P68B1DB1-ListParagraph13"/>
              <w:numPr>
                <w:ilvl w:val="0"/>
                <w:numId w:val="76"/>
              </w:numPr>
              <w:rPr>
                <w:noProof/>
              </w:rPr>
            </w:pPr>
            <w:r>
              <w:rPr>
                <w:noProof/>
              </w:rPr>
              <w:t xml:space="preserve">pašreizējo telpu izmantošanas metožu analīze un optimizācija, lai nodrošinātu optimālu izmantošanu, </w:t>
            </w:r>
          </w:p>
          <w:p w14:paraId="52A2FDA0" w14:textId="77777777" w:rsidR="00C972CB" w:rsidRDefault="002457F6">
            <w:pPr>
              <w:pStyle w:val="P68B1DB1-ListParagraph13"/>
              <w:numPr>
                <w:ilvl w:val="0"/>
                <w:numId w:val="76"/>
              </w:numPr>
              <w:rPr>
                <w:noProof/>
              </w:rPr>
            </w:pPr>
            <w:r>
              <w:rPr>
                <w:noProof/>
              </w:rPr>
              <w:t>respektēt visnela</w:t>
            </w:r>
            <w:r>
              <w:rPr>
                <w:noProof/>
              </w:rPr>
              <w:t xml:space="preserve">bvēlīgākās vai vērtīgākās jomas; </w:t>
            </w:r>
          </w:p>
          <w:p w14:paraId="68080883" w14:textId="77777777" w:rsidR="00C972CB" w:rsidRDefault="002457F6">
            <w:pPr>
              <w:pStyle w:val="P68B1DB1-ListParagraph13"/>
              <w:numPr>
                <w:ilvl w:val="0"/>
                <w:numId w:val="76"/>
              </w:numPr>
              <w:rPr>
                <w:noProof/>
              </w:rPr>
            </w:pPr>
            <w:r>
              <w:rPr>
                <w:noProof/>
              </w:rPr>
              <w:t xml:space="preserve">iejaukšanās, lai nodrošinātu pieejamību cilvēkiem ar samazinātu funkcionalitāti, </w:t>
            </w:r>
          </w:p>
          <w:p w14:paraId="6189A945" w14:textId="77777777" w:rsidR="00C972CB" w:rsidRDefault="002457F6">
            <w:pPr>
              <w:pStyle w:val="P68B1DB1-ListParagraph13"/>
              <w:numPr>
                <w:ilvl w:val="0"/>
                <w:numId w:val="76"/>
              </w:numPr>
              <w:rPr>
                <w:noProof/>
              </w:rPr>
            </w:pPr>
            <w:r>
              <w:rPr>
                <w:noProof/>
              </w:rPr>
              <w:t xml:space="preserve">nožogotu zonu, ieejas vārtu, videonovērošanas sistēmu nostiprināšana; </w:t>
            </w:r>
          </w:p>
          <w:p w14:paraId="3581E9D2" w14:textId="77777777" w:rsidR="00C972CB" w:rsidRDefault="002457F6">
            <w:pPr>
              <w:pStyle w:val="P68B1DB1-ListParagraph13"/>
              <w:numPr>
                <w:ilvl w:val="0"/>
                <w:numId w:val="76"/>
              </w:numPr>
              <w:rPr>
                <w:noProof/>
              </w:rPr>
            </w:pPr>
            <w:r>
              <w:rPr>
                <w:noProof/>
              </w:rPr>
              <w:t>informācijas rīku (piemēram, plakātu un ceļvežu) ieviešana, lai veici</w:t>
            </w:r>
            <w:r>
              <w:rPr>
                <w:noProof/>
              </w:rPr>
              <w:t xml:space="preserve">nātu iedzīvotāju zināšanas un apzinātu izmantošanu; </w:t>
            </w:r>
          </w:p>
          <w:p w14:paraId="3CE832C1" w14:textId="53F3E3F2" w:rsidR="00C972CB" w:rsidRDefault="002457F6">
            <w:pPr>
              <w:pStyle w:val="P68B1DB1-ListParagraph13"/>
              <w:numPr>
                <w:ilvl w:val="0"/>
                <w:numId w:val="76"/>
              </w:numPr>
              <w:rPr>
                <w:noProof/>
              </w:rPr>
            </w:pPr>
            <w:r>
              <w:rPr>
                <w:noProof/>
              </w:rPr>
              <w:t>valorizācijas darbības, lai veicinātu izmantošanu kultūras, izglītības un atpūtas jomā.</w:t>
            </w:r>
          </w:p>
        </w:tc>
      </w:tr>
      <w:tr w:rsidR="00C972CB" w14:paraId="73C99594" w14:textId="77777777">
        <w:trPr>
          <w:trHeight w:val="313"/>
          <w:jc w:val="center"/>
        </w:trPr>
        <w:tc>
          <w:tcPr>
            <w:tcW w:w="377" w:type="pct"/>
            <w:shd w:val="clear" w:color="auto" w:fill="C6EFCE"/>
            <w:noWrap/>
            <w:vAlign w:val="center"/>
            <w:hideMark/>
          </w:tcPr>
          <w:p w14:paraId="36F8364B" w14:textId="77777777" w:rsidR="00C972CB" w:rsidRDefault="002457F6">
            <w:pPr>
              <w:pStyle w:val="P68B1DB1-Normal11"/>
              <w:jc w:val="center"/>
              <w:rPr>
                <w:noProof/>
              </w:rPr>
            </w:pPr>
            <w:r>
              <w:rPr>
                <w:noProof/>
              </w:rPr>
              <w:t>M1C3–19</w:t>
            </w:r>
          </w:p>
        </w:tc>
        <w:tc>
          <w:tcPr>
            <w:tcW w:w="520" w:type="pct"/>
            <w:shd w:val="clear" w:color="auto" w:fill="C6EFCE"/>
            <w:noWrap/>
            <w:vAlign w:val="center"/>
            <w:hideMark/>
          </w:tcPr>
          <w:p w14:paraId="6B479D55" w14:textId="77777777" w:rsidR="00C972CB" w:rsidRDefault="002457F6">
            <w:pPr>
              <w:pStyle w:val="P68B1DB1-Normal11"/>
              <w:jc w:val="center"/>
              <w:rPr>
                <w:noProof/>
              </w:rPr>
            </w:pPr>
            <w:r>
              <w:rPr>
                <w:noProof/>
              </w:rPr>
              <w:t>Ieguldījumi — kulta vietu seismiskā drošība, FEC (Fondo Edifici di Culto) mantojuma atjaunošana un mākslas</w:t>
            </w:r>
            <w:r>
              <w:rPr>
                <w:noProof/>
              </w:rPr>
              <w:t xml:space="preserve"> darbu patversmes (atgūšanas māksla)</w:t>
            </w:r>
          </w:p>
        </w:tc>
        <w:tc>
          <w:tcPr>
            <w:tcW w:w="378" w:type="pct"/>
            <w:shd w:val="clear" w:color="auto" w:fill="C6EFCE"/>
            <w:noWrap/>
            <w:vAlign w:val="center"/>
            <w:hideMark/>
          </w:tcPr>
          <w:p w14:paraId="356BA7A9" w14:textId="77777777" w:rsidR="00C972CB" w:rsidRDefault="002457F6">
            <w:pPr>
              <w:pStyle w:val="P68B1DB1-Normal11"/>
              <w:jc w:val="center"/>
              <w:rPr>
                <w:noProof/>
              </w:rPr>
            </w:pPr>
            <w:r>
              <w:rPr>
                <w:noProof/>
              </w:rPr>
              <w:t>Mērķa</w:t>
            </w:r>
          </w:p>
        </w:tc>
        <w:tc>
          <w:tcPr>
            <w:tcW w:w="520" w:type="pct"/>
            <w:shd w:val="clear" w:color="auto" w:fill="C6EFCE"/>
            <w:noWrap/>
            <w:vAlign w:val="center"/>
            <w:hideMark/>
          </w:tcPr>
          <w:p w14:paraId="7E0BD9E1" w14:textId="77777777" w:rsidR="00C972CB" w:rsidRDefault="002457F6">
            <w:pPr>
              <w:pStyle w:val="P68B1DB1-Normal11"/>
              <w:jc w:val="center"/>
              <w:rPr>
                <w:noProof/>
              </w:rPr>
            </w:pPr>
            <w:r>
              <w:rPr>
                <w:noProof/>
              </w:rPr>
              <w:t>Pabeigti pasākumi seismiskās drošības nodrošināšanai kulta vietās, FEC (Fondo Edifici di Culto) mantojuma atjaunošana un mākslas darbu patversmes</w:t>
            </w:r>
          </w:p>
        </w:tc>
        <w:tc>
          <w:tcPr>
            <w:tcW w:w="520" w:type="pct"/>
            <w:shd w:val="clear" w:color="auto" w:fill="C6EFCE"/>
            <w:noWrap/>
            <w:vAlign w:val="center"/>
            <w:hideMark/>
          </w:tcPr>
          <w:p w14:paraId="27B284A0"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0696B995"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5F5A393B"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23527DCD" w14:textId="77777777" w:rsidR="00C972CB" w:rsidRDefault="002457F6">
            <w:pPr>
              <w:pStyle w:val="P68B1DB1-Normal11"/>
              <w:jc w:val="center"/>
              <w:rPr>
                <w:noProof/>
              </w:rPr>
            </w:pPr>
            <w:r>
              <w:rPr>
                <w:noProof/>
              </w:rPr>
              <w:t>300</w:t>
            </w:r>
          </w:p>
        </w:tc>
        <w:tc>
          <w:tcPr>
            <w:tcW w:w="332" w:type="pct"/>
            <w:shd w:val="clear" w:color="auto" w:fill="C6EFCE"/>
            <w:noWrap/>
            <w:vAlign w:val="center"/>
            <w:hideMark/>
          </w:tcPr>
          <w:p w14:paraId="2EB0F47F" w14:textId="77777777" w:rsidR="00C972CB" w:rsidRDefault="002457F6">
            <w:pPr>
              <w:pStyle w:val="P68B1DB1-Normal11"/>
              <w:jc w:val="center"/>
              <w:rPr>
                <w:noProof/>
              </w:rPr>
            </w:pPr>
            <w:r>
              <w:rPr>
                <w:noProof/>
              </w:rPr>
              <w:t>4. CET.</w:t>
            </w:r>
          </w:p>
        </w:tc>
        <w:tc>
          <w:tcPr>
            <w:tcW w:w="220" w:type="pct"/>
            <w:shd w:val="clear" w:color="auto" w:fill="C6EFCE"/>
            <w:noWrap/>
            <w:vAlign w:val="center"/>
            <w:hideMark/>
          </w:tcPr>
          <w:p w14:paraId="55A06981" w14:textId="77777777" w:rsidR="00C972CB" w:rsidRDefault="002457F6">
            <w:pPr>
              <w:pStyle w:val="P68B1DB1-Normal11"/>
              <w:jc w:val="center"/>
              <w:rPr>
                <w:noProof/>
              </w:rPr>
            </w:pPr>
            <w:r>
              <w:rPr>
                <w:noProof/>
              </w:rPr>
              <w:t>2025</w:t>
            </w:r>
          </w:p>
        </w:tc>
        <w:tc>
          <w:tcPr>
            <w:tcW w:w="1047" w:type="pct"/>
            <w:shd w:val="clear" w:color="auto" w:fill="C6EFCE"/>
            <w:noWrap/>
            <w:vAlign w:val="center"/>
            <w:hideMark/>
          </w:tcPr>
          <w:p w14:paraId="05FC4AA4" w14:textId="77777777" w:rsidR="00C972CB" w:rsidRDefault="002457F6">
            <w:pPr>
              <w:pStyle w:val="P68B1DB1-Normal11"/>
              <w:rPr>
                <w:noProof/>
              </w:rPr>
            </w:pPr>
            <w:r>
              <w:rPr>
                <w:noProof/>
              </w:rPr>
              <w:t xml:space="preserve">Ar mērķi nosaka intervenču </w:t>
            </w:r>
            <w:r>
              <w:rPr>
                <w:noProof/>
              </w:rPr>
              <w:t>skaitu kulta vietu seismiskās drošības pasākumiem, FEC (Fondo Edifici di Culto) atjaunošanai, mākslas darbu patversmei katastrofu gadījumā (kā to apliecina sertifikāts par darbu regulāru izpildi).</w:t>
            </w:r>
          </w:p>
          <w:p w14:paraId="3AC821B6" w14:textId="77777777" w:rsidR="00C972CB" w:rsidRDefault="002457F6">
            <w:pPr>
              <w:pStyle w:val="P68B1DB1-Normal11"/>
              <w:rPr>
                <w:noProof/>
              </w:rPr>
            </w:pPr>
            <w:r>
              <w:rPr>
                <w:noProof/>
              </w:rPr>
              <w:t xml:space="preserve">Intervences pasākumi ietver: </w:t>
            </w:r>
          </w:p>
          <w:p w14:paraId="2AC21C6F" w14:textId="4E7C9FC4" w:rsidR="00C972CB" w:rsidRDefault="002457F6">
            <w:pPr>
              <w:pStyle w:val="P68B1DB1-Normal10"/>
              <w:rPr>
                <w:noProof/>
                <w:color w:val="006100"/>
                <w:sz w:val="20"/>
              </w:rPr>
            </w:pPr>
            <w:r>
              <w:rPr>
                <w:noProof/>
                <w:color w:val="006100"/>
                <w:sz w:val="20"/>
              </w:rPr>
              <w:t>I) arhitektonisko aktīvu prev</w:t>
            </w:r>
            <w:r>
              <w:rPr>
                <w:noProof/>
                <w:color w:val="006100"/>
                <w:sz w:val="20"/>
              </w:rPr>
              <w:t>entīva antiseismiska iejaukšanās, lai atjaunotu esošo kaitējumu un aizsargātu kultūras mantojumu;</w:t>
            </w:r>
            <w:r>
              <w:rPr>
                <w:noProof/>
              </w:rPr>
              <w:t xml:space="preserve"> </w:t>
            </w:r>
            <w:r>
              <w:rPr>
                <w:noProof/>
              </w:rPr>
              <w:br/>
            </w:r>
            <w:r>
              <w:rPr>
                <w:noProof/>
                <w:color w:val="006100"/>
                <w:sz w:val="20"/>
              </w:rPr>
              <w:t>atveseļošanas panta saglabāšanas projektā izveido pagaidu un aizsargājamus noguldījumus kustamo aktīvu saglabāšanai katastrofas gadījumā.</w:t>
            </w:r>
          </w:p>
        </w:tc>
      </w:tr>
      <w:tr w:rsidR="00C972CB" w14:paraId="7C234CDF" w14:textId="77777777">
        <w:trPr>
          <w:trHeight w:val="313"/>
          <w:jc w:val="center"/>
        </w:trPr>
        <w:tc>
          <w:tcPr>
            <w:tcW w:w="377" w:type="pct"/>
            <w:shd w:val="clear" w:color="auto" w:fill="C6EFCE"/>
            <w:noWrap/>
            <w:vAlign w:val="center"/>
            <w:hideMark/>
          </w:tcPr>
          <w:p w14:paraId="177C4501" w14:textId="77777777" w:rsidR="00C972CB" w:rsidRDefault="002457F6">
            <w:pPr>
              <w:pStyle w:val="P68B1DB1-Normal11"/>
              <w:jc w:val="center"/>
              <w:rPr>
                <w:noProof/>
              </w:rPr>
            </w:pPr>
            <w:r>
              <w:rPr>
                <w:noProof/>
              </w:rPr>
              <w:t>M1C3–20</w:t>
            </w:r>
          </w:p>
        </w:tc>
        <w:tc>
          <w:tcPr>
            <w:tcW w:w="520" w:type="pct"/>
            <w:shd w:val="clear" w:color="auto" w:fill="C6EFCE"/>
            <w:noWrap/>
            <w:vAlign w:val="center"/>
            <w:hideMark/>
          </w:tcPr>
          <w:p w14:paraId="1570031E" w14:textId="77777777" w:rsidR="00C972CB" w:rsidRDefault="002457F6">
            <w:pPr>
              <w:pStyle w:val="P68B1DB1-Normal11"/>
              <w:jc w:val="center"/>
              <w:rPr>
                <w:noProof/>
              </w:rPr>
            </w:pPr>
            <w:r>
              <w:rPr>
                <w:noProof/>
              </w:rPr>
              <w:t>Ieguldījumi — 3.2. Kinematogrāfijas nozares attīstība (Cinecittà projekts)</w:t>
            </w:r>
          </w:p>
        </w:tc>
        <w:tc>
          <w:tcPr>
            <w:tcW w:w="378" w:type="pct"/>
            <w:shd w:val="clear" w:color="auto" w:fill="C6EFCE"/>
            <w:noWrap/>
            <w:vAlign w:val="center"/>
            <w:hideMark/>
          </w:tcPr>
          <w:p w14:paraId="053461E1"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hideMark/>
          </w:tcPr>
          <w:p w14:paraId="459BAF42" w14:textId="77777777" w:rsidR="00C972CB" w:rsidRDefault="002457F6">
            <w:pPr>
              <w:pStyle w:val="P68B1DB1-Normal11"/>
              <w:jc w:val="center"/>
              <w:rPr>
                <w:noProof/>
              </w:rPr>
            </w:pPr>
            <w:r>
              <w:rPr>
                <w:noProof/>
              </w:rPr>
              <w:t>Līgumu parakstīšana starp īstenotāju struktūru Cinecittà SPA un uzņēmumiem par deviņu studiju būvniecību</w:t>
            </w:r>
          </w:p>
        </w:tc>
        <w:tc>
          <w:tcPr>
            <w:tcW w:w="520" w:type="pct"/>
            <w:shd w:val="clear" w:color="auto" w:fill="C6EFCE"/>
            <w:noWrap/>
            <w:vAlign w:val="center"/>
            <w:hideMark/>
          </w:tcPr>
          <w:p w14:paraId="3CFCEFBC" w14:textId="77777777" w:rsidR="00C972CB" w:rsidRDefault="002457F6">
            <w:pPr>
              <w:pStyle w:val="P68B1DB1-Normal11"/>
              <w:jc w:val="center"/>
              <w:rPr>
                <w:noProof/>
              </w:rPr>
            </w:pPr>
            <w:r>
              <w:rPr>
                <w:noProof/>
              </w:rPr>
              <w:t>Līgumu parakstīšana</w:t>
            </w:r>
          </w:p>
        </w:tc>
        <w:tc>
          <w:tcPr>
            <w:tcW w:w="331" w:type="pct"/>
            <w:shd w:val="clear" w:color="auto" w:fill="C6EFCE"/>
            <w:noWrap/>
            <w:vAlign w:val="center"/>
            <w:hideMark/>
          </w:tcPr>
          <w:p w14:paraId="4E85E4D3" w14:textId="77777777" w:rsidR="00C972CB" w:rsidRDefault="002457F6">
            <w:pPr>
              <w:pStyle w:val="P68B1DB1-Normal11"/>
              <w:spacing w:before="120" w:after="120"/>
              <w:jc w:val="center"/>
              <w:rPr>
                <w:noProof/>
              </w:rPr>
            </w:pPr>
            <w:r>
              <w:rPr>
                <w:noProof/>
              </w:rPr>
              <w:t>NEPIEMĒRO</w:t>
            </w:r>
          </w:p>
        </w:tc>
        <w:tc>
          <w:tcPr>
            <w:tcW w:w="332" w:type="pct"/>
            <w:shd w:val="clear" w:color="auto" w:fill="C6EFCE"/>
            <w:noWrap/>
            <w:vAlign w:val="center"/>
            <w:hideMark/>
          </w:tcPr>
          <w:p w14:paraId="01A85137" w14:textId="77777777" w:rsidR="00C972CB" w:rsidRDefault="002457F6">
            <w:pPr>
              <w:pStyle w:val="P68B1DB1-Normal11"/>
              <w:jc w:val="center"/>
              <w:rPr>
                <w:noProof/>
              </w:rPr>
            </w:pPr>
            <w:r>
              <w:rPr>
                <w:noProof/>
              </w:rPr>
              <w:t>NEPIEMĒRO</w:t>
            </w:r>
          </w:p>
        </w:tc>
        <w:tc>
          <w:tcPr>
            <w:tcW w:w="424" w:type="pct"/>
            <w:shd w:val="clear" w:color="auto" w:fill="C6EFCE"/>
            <w:noWrap/>
            <w:vAlign w:val="center"/>
            <w:hideMark/>
          </w:tcPr>
          <w:p w14:paraId="3140674D" w14:textId="77777777" w:rsidR="00C972CB" w:rsidRDefault="002457F6">
            <w:pPr>
              <w:pStyle w:val="P68B1DB1-Normal11"/>
              <w:jc w:val="center"/>
              <w:rPr>
                <w:noProof/>
              </w:rPr>
            </w:pPr>
            <w:r>
              <w:rPr>
                <w:noProof/>
              </w:rPr>
              <w:t>NEPIEMĒRO</w:t>
            </w:r>
          </w:p>
        </w:tc>
        <w:tc>
          <w:tcPr>
            <w:tcW w:w="332" w:type="pct"/>
            <w:shd w:val="clear" w:color="auto" w:fill="C6EFCE"/>
            <w:noWrap/>
            <w:vAlign w:val="center"/>
            <w:hideMark/>
          </w:tcPr>
          <w:p w14:paraId="0EC7B0EB" w14:textId="77777777" w:rsidR="00C972CB" w:rsidRDefault="002457F6">
            <w:pPr>
              <w:pStyle w:val="P68B1DB1-Normal11"/>
              <w:jc w:val="center"/>
              <w:rPr>
                <w:noProof/>
              </w:rPr>
            </w:pPr>
            <w:r>
              <w:rPr>
                <w:noProof/>
              </w:rPr>
              <w:t>2. CET.</w:t>
            </w:r>
          </w:p>
        </w:tc>
        <w:tc>
          <w:tcPr>
            <w:tcW w:w="220" w:type="pct"/>
            <w:shd w:val="clear" w:color="auto" w:fill="C6EFCE"/>
            <w:noWrap/>
            <w:vAlign w:val="center"/>
            <w:hideMark/>
          </w:tcPr>
          <w:p w14:paraId="1DDAF257" w14:textId="77777777" w:rsidR="00C972CB" w:rsidRDefault="002457F6">
            <w:pPr>
              <w:pStyle w:val="P68B1DB1-Normal11"/>
              <w:jc w:val="center"/>
              <w:rPr>
                <w:noProof/>
              </w:rPr>
            </w:pPr>
            <w:r>
              <w:rPr>
                <w:noProof/>
              </w:rPr>
              <w:t>2023</w:t>
            </w:r>
          </w:p>
        </w:tc>
        <w:tc>
          <w:tcPr>
            <w:tcW w:w="1047" w:type="pct"/>
            <w:shd w:val="clear" w:color="auto" w:fill="C6EFCE"/>
            <w:noWrap/>
            <w:vAlign w:val="center"/>
            <w:hideMark/>
          </w:tcPr>
          <w:p w14:paraId="738FAFF5" w14:textId="77777777" w:rsidR="00C972CB" w:rsidRDefault="002457F6">
            <w:pPr>
              <w:pStyle w:val="P68B1DB1-Normal11"/>
              <w:rPr>
                <w:noProof/>
              </w:rPr>
            </w:pPr>
            <w:r>
              <w:rPr>
                <w:noProof/>
              </w:rPr>
              <w:t xml:space="preserve">Līgumu parakstīšana starp īstenotāju iestādi, Cinecittà SPA un uzņēmumiem par deviņu studiju būvniecību. </w:t>
            </w:r>
          </w:p>
          <w:p w14:paraId="6A5E42F9" w14:textId="77777777" w:rsidR="00C972CB" w:rsidRDefault="002457F6">
            <w:pPr>
              <w:pStyle w:val="P68B1DB1-Normal11"/>
              <w:rPr>
                <w:noProof/>
              </w:rPr>
            </w:pPr>
            <w:r>
              <w:rPr>
                <w:noProof/>
              </w:rPr>
              <w:t xml:space="preserve"> </w:t>
            </w:r>
          </w:p>
          <w:p w14:paraId="3D3C4185" w14:textId="77777777" w:rsidR="00C972CB" w:rsidRDefault="002457F6">
            <w:pPr>
              <w:pStyle w:val="P68B1DB1-Normal11"/>
              <w:rPr>
                <w:noProof/>
              </w:rPr>
            </w:pPr>
            <w:r>
              <w:rPr>
                <w:noProof/>
              </w:rPr>
              <w:t>Šī intervence ietver jaunu studiju būvniecību, esošo studiju atjaunošanu, ieguldījumus jaunās digitālajās tehnoloģijās, sistēmās un pakalpojumo</w:t>
            </w:r>
            <w:r>
              <w:rPr>
                <w:noProof/>
              </w:rPr>
              <w:t>s, kuru mērķis ir stiprināt Cinecittà SPA pārvaldītās Cinecittà kinostudijas.</w:t>
            </w:r>
          </w:p>
          <w:p w14:paraId="4BAA56D8" w14:textId="77777777" w:rsidR="00C972CB" w:rsidRDefault="00C972CB">
            <w:pPr>
              <w:rPr>
                <w:rFonts w:ascii="Arial Narrow" w:hAnsi="Arial Narrow"/>
                <w:noProof/>
                <w:color w:val="006100"/>
                <w:sz w:val="20"/>
              </w:rPr>
            </w:pPr>
          </w:p>
          <w:p w14:paraId="60D279E7" w14:textId="73237D90" w:rsidR="00C972CB" w:rsidRDefault="002457F6">
            <w:pPr>
              <w:pStyle w:val="P68B1DB1-Normal11"/>
              <w:rPr>
                <w:noProof/>
              </w:rPr>
            </w:pPr>
            <w:r>
              <w:rPr>
                <w:noProof/>
              </w:rPr>
              <w:t>Līgums starp īstenotāju struktūru Cinecittà SPA un uzņēmumiem ietver atlases/atbilstības kritērijus atbalstīto aktīvu/darbību un/vai uzņēmumu atbilstībai NBK tehniskajiem norādī</w:t>
            </w:r>
            <w:r>
              <w:rPr>
                <w:noProof/>
              </w:rPr>
              <w:t>jumiem (2021/C58/01).</w:t>
            </w:r>
          </w:p>
          <w:p w14:paraId="059B802B" w14:textId="77777777" w:rsidR="00C972CB" w:rsidRDefault="00C972CB">
            <w:pPr>
              <w:rPr>
                <w:rFonts w:ascii="Arial Narrow" w:hAnsi="Arial Narrow"/>
                <w:noProof/>
                <w:color w:val="006100"/>
                <w:sz w:val="20"/>
              </w:rPr>
            </w:pPr>
          </w:p>
          <w:p w14:paraId="39909EA7" w14:textId="04E924A2" w:rsidR="00C972CB" w:rsidRDefault="002457F6">
            <w:pPr>
              <w:pStyle w:val="P68B1DB1-Normal11"/>
              <w:rPr>
                <w:noProof/>
              </w:rPr>
            </w:pPr>
            <w:r>
              <w:rPr>
                <w:noProof/>
              </w:rPr>
              <w:t>Apņemšanās/mērķrādītājs ieguldīt 20 % aktīvos/darbībās un/vai uzņēmumos, kas atbilst digitālās marķēšanas atlases kritērijiem, un 70 % — klimatrīcības izsekošanas atlases kritērijiem.</w:t>
            </w:r>
          </w:p>
        </w:tc>
      </w:tr>
      <w:tr w:rsidR="00C972CB" w14:paraId="7E51AD89" w14:textId="77777777">
        <w:trPr>
          <w:trHeight w:val="313"/>
          <w:jc w:val="center"/>
        </w:trPr>
        <w:tc>
          <w:tcPr>
            <w:tcW w:w="377" w:type="pct"/>
            <w:shd w:val="clear" w:color="auto" w:fill="C6EFCE"/>
            <w:noWrap/>
            <w:vAlign w:val="center"/>
            <w:hideMark/>
          </w:tcPr>
          <w:p w14:paraId="71490FE7" w14:textId="77777777" w:rsidR="00C972CB" w:rsidRDefault="002457F6">
            <w:pPr>
              <w:pStyle w:val="P68B1DB1-Normal11"/>
              <w:jc w:val="center"/>
              <w:rPr>
                <w:noProof/>
              </w:rPr>
            </w:pPr>
            <w:r>
              <w:rPr>
                <w:noProof/>
              </w:rPr>
              <w:t>M1C3–21</w:t>
            </w:r>
          </w:p>
        </w:tc>
        <w:tc>
          <w:tcPr>
            <w:tcW w:w="520" w:type="pct"/>
            <w:shd w:val="clear" w:color="auto" w:fill="C6EFCE"/>
            <w:noWrap/>
            <w:vAlign w:val="center"/>
            <w:hideMark/>
          </w:tcPr>
          <w:p w14:paraId="1AF40BBA" w14:textId="77777777" w:rsidR="00C972CB" w:rsidRDefault="002457F6">
            <w:pPr>
              <w:pStyle w:val="P68B1DB1-Normal11"/>
              <w:jc w:val="center"/>
              <w:rPr>
                <w:noProof/>
              </w:rPr>
            </w:pPr>
            <w:r>
              <w:rPr>
                <w:noProof/>
              </w:rPr>
              <w:t xml:space="preserve">Ieguldījumi — 3.2. Kinematogrāfijas </w:t>
            </w:r>
            <w:r>
              <w:rPr>
                <w:noProof/>
              </w:rPr>
              <w:t>nozares attīstība (Cinecittà projekts)</w:t>
            </w:r>
          </w:p>
        </w:tc>
        <w:tc>
          <w:tcPr>
            <w:tcW w:w="378" w:type="pct"/>
            <w:shd w:val="clear" w:color="auto" w:fill="C6EFCE"/>
            <w:noWrap/>
            <w:vAlign w:val="center"/>
            <w:hideMark/>
          </w:tcPr>
          <w:p w14:paraId="1F72AD52" w14:textId="77777777" w:rsidR="00C972CB" w:rsidRDefault="002457F6">
            <w:pPr>
              <w:pStyle w:val="P68B1DB1-Normal11"/>
              <w:jc w:val="center"/>
              <w:rPr>
                <w:noProof/>
              </w:rPr>
            </w:pPr>
            <w:r>
              <w:rPr>
                <w:noProof/>
              </w:rPr>
              <w:t>Mērķa</w:t>
            </w:r>
          </w:p>
        </w:tc>
        <w:tc>
          <w:tcPr>
            <w:tcW w:w="520" w:type="pct"/>
            <w:shd w:val="clear" w:color="auto" w:fill="C6EFCE"/>
            <w:noWrap/>
            <w:vAlign w:val="center"/>
            <w:hideMark/>
          </w:tcPr>
          <w:p w14:paraId="0D6FF8F6" w14:textId="77777777" w:rsidR="00C972CB" w:rsidRDefault="002457F6">
            <w:pPr>
              <w:pStyle w:val="P68B1DB1-Normal11"/>
              <w:jc w:val="center"/>
              <w:rPr>
                <w:noProof/>
              </w:rPr>
            </w:pPr>
            <w:r>
              <w:rPr>
                <w:noProof/>
              </w:rPr>
              <w:t>To studiju skaits, kuru rekvalifikācijas, modernizācijas, būvniecības darbi ir pabeigti</w:t>
            </w:r>
          </w:p>
        </w:tc>
        <w:tc>
          <w:tcPr>
            <w:tcW w:w="520" w:type="pct"/>
            <w:shd w:val="clear" w:color="auto" w:fill="C6EFCE"/>
            <w:noWrap/>
            <w:vAlign w:val="center"/>
            <w:hideMark/>
          </w:tcPr>
          <w:p w14:paraId="1BAEA480"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15E97FA5"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39D298CF"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5F3D1C0F" w14:textId="77777777" w:rsidR="00C972CB" w:rsidRDefault="002457F6">
            <w:pPr>
              <w:pStyle w:val="P68B1DB1-Normal11"/>
              <w:jc w:val="center"/>
              <w:rPr>
                <w:noProof/>
              </w:rPr>
            </w:pPr>
            <w:r>
              <w:rPr>
                <w:noProof/>
              </w:rPr>
              <w:t>9</w:t>
            </w:r>
          </w:p>
        </w:tc>
        <w:tc>
          <w:tcPr>
            <w:tcW w:w="332" w:type="pct"/>
            <w:shd w:val="clear" w:color="auto" w:fill="C6EFCE"/>
            <w:noWrap/>
            <w:vAlign w:val="center"/>
            <w:hideMark/>
          </w:tcPr>
          <w:p w14:paraId="466A43A4" w14:textId="77777777" w:rsidR="00C972CB" w:rsidRDefault="002457F6">
            <w:pPr>
              <w:pStyle w:val="P68B1DB1-Normal11"/>
              <w:jc w:val="center"/>
              <w:rPr>
                <w:noProof/>
              </w:rPr>
            </w:pPr>
            <w:r>
              <w:rPr>
                <w:noProof/>
              </w:rPr>
              <w:t>2. CET.</w:t>
            </w:r>
          </w:p>
        </w:tc>
        <w:tc>
          <w:tcPr>
            <w:tcW w:w="220" w:type="pct"/>
            <w:shd w:val="clear" w:color="auto" w:fill="C6EFCE"/>
            <w:noWrap/>
            <w:vAlign w:val="center"/>
            <w:hideMark/>
          </w:tcPr>
          <w:p w14:paraId="75B1BC66" w14:textId="77777777" w:rsidR="00C972CB" w:rsidRDefault="002457F6">
            <w:pPr>
              <w:pStyle w:val="P68B1DB1-Normal11"/>
              <w:jc w:val="center"/>
              <w:rPr>
                <w:noProof/>
              </w:rPr>
            </w:pPr>
            <w:r>
              <w:rPr>
                <w:noProof/>
              </w:rPr>
              <w:t>2026</w:t>
            </w:r>
          </w:p>
        </w:tc>
        <w:tc>
          <w:tcPr>
            <w:tcW w:w="1047" w:type="pct"/>
            <w:shd w:val="clear" w:color="auto" w:fill="C6EFCE"/>
            <w:noWrap/>
            <w:vAlign w:val="center"/>
            <w:hideMark/>
          </w:tcPr>
          <w:p w14:paraId="3E957C62" w14:textId="77777777" w:rsidR="00C972CB" w:rsidRDefault="002457F6">
            <w:pPr>
              <w:pStyle w:val="P68B1DB1-Normal11"/>
              <w:rPr>
                <w:noProof/>
              </w:rPr>
            </w:pPr>
            <w:r>
              <w:rPr>
                <w:noProof/>
              </w:rPr>
              <w:t xml:space="preserve">Intervences pasākumi attiecas uz </w:t>
            </w:r>
          </w:p>
          <w:p w14:paraId="07D181AA" w14:textId="77777777" w:rsidR="00C972CB" w:rsidRDefault="002457F6">
            <w:pPr>
              <w:pStyle w:val="P68B1DB1-Normal11"/>
              <w:rPr>
                <w:noProof/>
              </w:rPr>
            </w:pPr>
            <w:r>
              <w:rPr>
                <w:noProof/>
              </w:rPr>
              <w:t xml:space="preserve">piecu jaunu studiju būvniecība un </w:t>
            </w:r>
          </w:p>
          <w:p w14:paraId="0B6803DE" w14:textId="1628A57A" w:rsidR="00C972CB" w:rsidRDefault="002457F6">
            <w:pPr>
              <w:pStyle w:val="P68B1DB1-Normal11"/>
              <w:rPr>
                <w:noProof/>
              </w:rPr>
            </w:pPr>
            <w:r>
              <w:rPr>
                <w:noProof/>
              </w:rPr>
              <w:t xml:space="preserve">— četru esošu </w:t>
            </w:r>
            <w:r>
              <w:rPr>
                <w:noProof/>
              </w:rPr>
              <w:t>studiju atjaunošana.</w:t>
            </w:r>
          </w:p>
          <w:p w14:paraId="30691C76" w14:textId="77777777" w:rsidR="00C972CB" w:rsidRDefault="00C972CB">
            <w:pPr>
              <w:rPr>
                <w:rFonts w:ascii="Arial Narrow" w:hAnsi="Arial Narrow"/>
                <w:noProof/>
                <w:color w:val="006100"/>
                <w:sz w:val="20"/>
              </w:rPr>
            </w:pPr>
          </w:p>
          <w:p w14:paraId="4B75B947" w14:textId="6BB8D151" w:rsidR="00C972CB" w:rsidRDefault="002457F6">
            <w:pPr>
              <w:pStyle w:val="P68B1DB1-Normal11"/>
              <w:rPr>
                <w:noProof/>
              </w:rPr>
            </w:pPr>
            <w:r>
              <w:rPr>
                <w:noProof/>
              </w:rPr>
              <w:t>Mērķrādītāja apmierinoša sasniegšana ir atkarīga arī no tā, vai tiks pabeigtas intervences, kas pasākuma aprakstā norādītas B un C rindā.</w:t>
            </w:r>
          </w:p>
        </w:tc>
      </w:tr>
      <w:tr w:rsidR="00C972CB" w14:paraId="390116B2" w14:textId="77777777">
        <w:trPr>
          <w:trHeight w:val="313"/>
          <w:jc w:val="center"/>
        </w:trPr>
        <w:tc>
          <w:tcPr>
            <w:tcW w:w="377" w:type="pct"/>
            <w:shd w:val="clear" w:color="auto" w:fill="C6EFCE"/>
            <w:noWrap/>
            <w:vAlign w:val="center"/>
          </w:tcPr>
          <w:p w14:paraId="1E7B4B52" w14:textId="77777777" w:rsidR="00C972CB" w:rsidRDefault="002457F6">
            <w:pPr>
              <w:pStyle w:val="P68B1DB1-Normal11"/>
              <w:jc w:val="center"/>
              <w:rPr>
                <w:noProof/>
              </w:rPr>
            </w:pPr>
            <w:r>
              <w:rPr>
                <w:noProof/>
              </w:rPr>
              <w:t>M1C3–22.</w:t>
            </w:r>
          </w:p>
        </w:tc>
        <w:tc>
          <w:tcPr>
            <w:tcW w:w="520" w:type="pct"/>
            <w:shd w:val="clear" w:color="auto" w:fill="C6EFCE"/>
            <w:noWrap/>
            <w:vAlign w:val="center"/>
          </w:tcPr>
          <w:p w14:paraId="149ABAB8" w14:textId="74CCAC5C" w:rsidR="00C972CB" w:rsidRDefault="002457F6">
            <w:pPr>
              <w:pStyle w:val="P68B1DB1-Normal11"/>
              <w:jc w:val="center"/>
              <w:rPr>
                <w:noProof/>
              </w:rPr>
            </w:pPr>
            <w:r>
              <w:rPr>
                <w:noProof/>
              </w:rPr>
              <w:t>Ieguldījums. Fonds tūrisma uzņēmumu konkurētspējai</w:t>
            </w:r>
          </w:p>
        </w:tc>
        <w:tc>
          <w:tcPr>
            <w:tcW w:w="378" w:type="pct"/>
            <w:shd w:val="clear" w:color="auto" w:fill="C6EFCE"/>
            <w:noWrap/>
            <w:vAlign w:val="center"/>
          </w:tcPr>
          <w:p w14:paraId="0EF9F1CC"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tcPr>
          <w:p w14:paraId="25BDE77E" w14:textId="77777777" w:rsidR="00C972CB" w:rsidRDefault="002457F6">
            <w:pPr>
              <w:pStyle w:val="P68B1DB1-Normal11"/>
              <w:jc w:val="center"/>
              <w:rPr>
                <w:noProof/>
              </w:rPr>
            </w:pPr>
            <w:r>
              <w:rPr>
                <w:noProof/>
              </w:rPr>
              <w:t xml:space="preserve">Ieguldījumu </w:t>
            </w:r>
            <w:r>
              <w:rPr>
                <w:noProof/>
              </w:rPr>
              <w:t>politika attiecībā uz:</w:t>
            </w:r>
          </w:p>
          <w:p w14:paraId="1134F11B" w14:textId="474FFACE" w:rsidR="00C972CB" w:rsidRDefault="002457F6">
            <w:pPr>
              <w:pStyle w:val="P68B1DB1-Normal11"/>
              <w:jc w:val="center"/>
              <w:rPr>
                <w:noProof/>
              </w:rPr>
            </w:pPr>
            <w:r>
              <w:rPr>
                <w:noProof/>
              </w:rPr>
              <w:t>Eiropas Investīciju bankas tematiskais fonds;</w:t>
            </w:r>
          </w:p>
        </w:tc>
        <w:tc>
          <w:tcPr>
            <w:tcW w:w="520" w:type="pct"/>
            <w:shd w:val="clear" w:color="auto" w:fill="C6EFCE"/>
            <w:noWrap/>
            <w:vAlign w:val="center"/>
          </w:tcPr>
          <w:p w14:paraId="37125893" w14:textId="77777777" w:rsidR="00C972CB" w:rsidRDefault="002457F6">
            <w:pPr>
              <w:pStyle w:val="P68B1DB1-Normal11"/>
              <w:jc w:val="center"/>
              <w:rPr>
                <w:noProof/>
              </w:rPr>
            </w:pPr>
            <w:r>
              <w:rPr>
                <w:noProof/>
              </w:rPr>
              <w:t>Ieguldījumu politikas pieņemšana</w:t>
            </w:r>
          </w:p>
        </w:tc>
        <w:tc>
          <w:tcPr>
            <w:tcW w:w="331" w:type="pct"/>
            <w:shd w:val="clear" w:color="auto" w:fill="C6EFCE"/>
            <w:noWrap/>
            <w:vAlign w:val="center"/>
          </w:tcPr>
          <w:p w14:paraId="55DCC8FB"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12172D43" w14:textId="77777777" w:rsidR="00C972CB" w:rsidRDefault="002457F6">
            <w:pPr>
              <w:pStyle w:val="P68B1DB1-Normal11"/>
              <w:jc w:val="center"/>
              <w:rPr>
                <w:noProof/>
              </w:rPr>
            </w:pPr>
            <w:r>
              <w:rPr>
                <w:noProof/>
              </w:rPr>
              <w:t>NEPIEMĒRO</w:t>
            </w:r>
          </w:p>
        </w:tc>
        <w:tc>
          <w:tcPr>
            <w:tcW w:w="424" w:type="pct"/>
            <w:shd w:val="clear" w:color="auto" w:fill="C6EFCE"/>
            <w:noWrap/>
            <w:vAlign w:val="center"/>
          </w:tcPr>
          <w:p w14:paraId="1E302248"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379FEDD0" w14:textId="77777777" w:rsidR="00C972CB" w:rsidRDefault="002457F6">
            <w:pPr>
              <w:pStyle w:val="P68B1DB1-Normal11"/>
              <w:jc w:val="center"/>
              <w:rPr>
                <w:noProof/>
              </w:rPr>
            </w:pPr>
            <w:r>
              <w:rPr>
                <w:noProof/>
              </w:rPr>
              <w:t>4. CET.</w:t>
            </w:r>
          </w:p>
        </w:tc>
        <w:tc>
          <w:tcPr>
            <w:tcW w:w="220" w:type="pct"/>
            <w:shd w:val="clear" w:color="auto" w:fill="C6EFCE"/>
            <w:noWrap/>
            <w:vAlign w:val="center"/>
          </w:tcPr>
          <w:p w14:paraId="0D730D3F" w14:textId="77777777" w:rsidR="00C972CB" w:rsidRDefault="002457F6">
            <w:pPr>
              <w:pStyle w:val="P68B1DB1-Normal11"/>
              <w:jc w:val="center"/>
              <w:rPr>
                <w:noProof/>
              </w:rPr>
            </w:pPr>
            <w:r>
              <w:rPr>
                <w:noProof/>
              </w:rPr>
              <w:t>2021</w:t>
            </w:r>
          </w:p>
        </w:tc>
        <w:tc>
          <w:tcPr>
            <w:tcW w:w="1047" w:type="pct"/>
            <w:shd w:val="clear" w:color="auto" w:fill="C6EFCE"/>
            <w:noWrap/>
            <w:vAlign w:val="center"/>
          </w:tcPr>
          <w:p w14:paraId="11CFE4B5" w14:textId="77777777" w:rsidR="00C972CB" w:rsidRDefault="002457F6">
            <w:pPr>
              <w:pStyle w:val="P68B1DB1-Normal11"/>
              <w:rPr>
                <w:noProof/>
              </w:rPr>
            </w:pPr>
            <w:r>
              <w:rPr>
                <w:noProof/>
              </w:rPr>
              <w:t xml:space="preserve">Ieguldījumu politikā nosaka vismaz: atbalstīto darbību veids, darbības joma un darbības, paredzētie atbalsta </w:t>
            </w:r>
            <w:r>
              <w:rPr>
                <w:noProof/>
              </w:rPr>
              <w:t>saņēmēji, finanšu atbalsta saņēmēju atbilstības kritēriji un to atlase atklātā konkursā; un noteikumus par to, kā atkārtoti ieguldīt potenciālos atmaksājumus tiem pašiem politikas mērķiem.</w:t>
            </w:r>
          </w:p>
          <w:p w14:paraId="6F85BDC8" w14:textId="77777777" w:rsidR="00C972CB" w:rsidRDefault="002457F6">
            <w:pPr>
              <w:pStyle w:val="P68B1DB1-Normal11"/>
              <w:rPr>
                <w:noProof/>
              </w:rPr>
            </w:pPr>
            <w:r>
              <w:rPr>
                <w:noProof/>
              </w:rPr>
              <w:t>Investīciju politikā paredz, ka 50 % no fonda līdzekļiem ir paredzē</w:t>
            </w:r>
            <w:r>
              <w:rPr>
                <w:noProof/>
              </w:rPr>
              <w:t>ti energoefektivitātes pasākumiem.</w:t>
            </w:r>
          </w:p>
          <w:p w14:paraId="68CDC4BB" w14:textId="3EF7D3C6" w:rsidR="00C972CB" w:rsidRDefault="002457F6">
            <w:pPr>
              <w:pStyle w:val="P68B1DB1-Normal11"/>
              <w:rPr>
                <w:noProof/>
              </w:rPr>
            </w:pPr>
            <w:r>
              <w:rPr>
                <w:noProof/>
              </w:rPr>
              <w:t>Ieguldījumu politikā iekļauj atlases kritērijus, lai nodrošinātu atbilstību Tehniskajiem norādījumiem “nenodari būtisku kaitējumu” (2021/C58/01) attiecībā uz atbalstītajiem darījumiem saskaņā ar šo pasākumu, izmantojot il</w:t>
            </w:r>
            <w:r>
              <w:rPr>
                <w:noProof/>
              </w:rPr>
              <w:t>gtspējas pārbaudi, izslēgšanas sarakstu un prasību par atbilstību attiecīgajiem ES un valstu tiesību aktiem vides jomā.</w:t>
            </w:r>
          </w:p>
        </w:tc>
      </w:tr>
      <w:tr w:rsidR="00C972CB" w14:paraId="065AE54B" w14:textId="77777777">
        <w:trPr>
          <w:trHeight w:val="313"/>
          <w:jc w:val="center"/>
        </w:trPr>
        <w:tc>
          <w:tcPr>
            <w:tcW w:w="377" w:type="pct"/>
            <w:shd w:val="clear" w:color="auto" w:fill="C6EFCE"/>
            <w:noWrap/>
            <w:vAlign w:val="center"/>
          </w:tcPr>
          <w:p w14:paraId="79D07F8E" w14:textId="77777777" w:rsidR="00C972CB" w:rsidRDefault="002457F6">
            <w:pPr>
              <w:pStyle w:val="P68B1DB1-Normal11"/>
              <w:jc w:val="center"/>
              <w:rPr>
                <w:noProof/>
              </w:rPr>
            </w:pPr>
            <w:r>
              <w:rPr>
                <w:noProof/>
              </w:rPr>
              <w:t>M1C3–23</w:t>
            </w:r>
          </w:p>
        </w:tc>
        <w:tc>
          <w:tcPr>
            <w:tcW w:w="520" w:type="pct"/>
            <w:shd w:val="clear" w:color="auto" w:fill="C6EFCE"/>
            <w:noWrap/>
            <w:vAlign w:val="center"/>
          </w:tcPr>
          <w:p w14:paraId="5F778660" w14:textId="74C49773" w:rsidR="00C972CB" w:rsidRDefault="002457F6">
            <w:pPr>
              <w:pStyle w:val="P68B1DB1-Normal11"/>
              <w:jc w:val="center"/>
              <w:rPr>
                <w:noProof/>
              </w:rPr>
            </w:pPr>
            <w:r>
              <w:rPr>
                <w:noProof/>
              </w:rPr>
              <w:t>Ieguldījums 4.2.:  Fondi tūrisma uzņēmumu konkurētspējai</w:t>
            </w:r>
          </w:p>
        </w:tc>
        <w:tc>
          <w:tcPr>
            <w:tcW w:w="378" w:type="pct"/>
            <w:shd w:val="clear" w:color="auto" w:fill="C6EFCE"/>
            <w:noWrap/>
            <w:vAlign w:val="center"/>
          </w:tcPr>
          <w:p w14:paraId="076AECBE"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tcPr>
          <w:p w14:paraId="6B061C9A" w14:textId="349A918B" w:rsidR="00C972CB" w:rsidRDefault="002457F6">
            <w:pPr>
              <w:pStyle w:val="P68B1DB1-Normal11"/>
              <w:jc w:val="center"/>
              <w:rPr>
                <w:noProof/>
              </w:rPr>
            </w:pPr>
            <w:r>
              <w:rPr>
                <w:noProof/>
              </w:rPr>
              <w:t>Valsts tūrisma fonda ieguldījumu politika,</w:t>
            </w:r>
          </w:p>
        </w:tc>
        <w:tc>
          <w:tcPr>
            <w:tcW w:w="520" w:type="pct"/>
            <w:shd w:val="clear" w:color="auto" w:fill="C6EFCE"/>
            <w:noWrap/>
            <w:vAlign w:val="center"/>
          </w:tcPr>
          <w:p w14:paraId="64843EA6" w14:textId="77777777" w:rsidR="00C972CB" w:rsidRDefault="002457F6">
            <w:pPr>
              <w:pStyle w:val="P68B1DB1-Normal11"/>
              <w:jc w:val="center"/>
              <w:rPr>
                <w:noProof/>
              </w:rPr>
            </w:pPr>
            <w:r>
              <w:rPr>
                <w:noProof/>
              </w:rPr>
              <w:t>Ieguldījumu politikas pieņemšana</w:t>
            </w:r>
          </w:p>
        </w:tc>
        <w:tc>
          <w:tcPr>
            <w:tcW w:w="331" w:type="pct"/>
            <w:shd w:val="clear" w:color="auto" w:fill="C6EFCE"/>
            <w:noWrap/>
            <w:vAlign w:val="center"/>
          </w:tcPr>
          <w:p w14:paraId="40644623"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61E392C4" w14:textId="77777777" w:rsidR="00C972CB" w:rsidRDefault="002457F6">
            <w:pPr>
              <w:pStyle w:val="P68B1DB1-Normal11"/>
              <w:jc w:val="center"/>
              <w:rPr>
                <w:noProof/>
              </w:rPr>
            </w:pPr>
            <w:r>
              <w:rPr>
                <w:noProof/>
              </w:rPr>
              <w:t>NEPIEMĒRO</w:t>
            </w:r>
          </w:p>
        </w:tc>
        <w:tc>
          <w:tcPr>
            <w:tcW w:w="424" w:type="pct"/>
            <w:shd w:val="clear" w:color="auto" w:fill="C6EFCE"/>
            <w:noWrap/>
            <w:vAlign w:val="center"/>
          </w:tcPr>
          <w:p w14:paraId="7282522D"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0C97748C" w14:textId="77777777" w:rsidR="00C972CB" w:rsidRDefault="002457F6">
            <w:pPr>
              <w:pStyle w:val="P68B1DB1-Normal11"/>
              <w:jc w:val="center"/>
              <w:rPr>
                <w:noProof/>
              </w:rPr>
            </w:pPr>
            <w:r>
              <w:rPr>
                <w:noProof/>
              </w:rPr>
              <w:t>4. CET.</w:t>
            </w:r>
          </w:p>
        </w:tc>
        <w:tc>
          <w:tcPr>
            <w:tcW w:w="220" w:type="pct"/>
            <w:shd w:val="clear" w:color="auto" w:fill="C6EFCE"/>
            <w:noWrap/>
            <w:vAlign w:val="center"/>
          </w:tcPr>
          <w:p w14:paraId="295EDD6D" w14:textId="77777777" w:rsidR="00C972CB" w:rsidRDefault="002457F6">
            <w:pPr>
              <w:pStyle w:val="P68B1DB1-Normal11"/>
              <w:jc w:val="center"/>
              <w:rPr>
                <w:noProof/>
              </w:rPr>
            </w:pPr>
            <w:r>
              <w:rPr>
                <w:noProof/>
              </w:rPr>
              <w:t>2021</w:t>
            </w:r>
          </w:p>
        </w:tc>
        <w:tc>
          <w:tcPr>
            <w:tcW w:w="1047" w:type="pct"/>
            <w:shd w:val="clear" w:color="auto" w:fill="C6EFCE"/>
            <w:noWrap/>
            <w:vAlign w:val="center"/>
          </w:tcPr>
          <w:p w14:paraId="37616BC6" w14:textId="7E8D7A36" w:rsidR="00C972CB" w:rsidRDefault="002457F6">
            <w:pPr>
              <w:pStyle w:val="P68B1DB1-Normal11"/>
              <w:rPr>
                <w:noProof/>
              </w:rPr>
            </w:pPr>
            <w:r>
              <w:rPr>
                <w:noProof/>
              </w:rPr>
              <w:t>Fonds ir paredzēts Itālijas nekustamā īpašuma iegādei, pārstrukturēšanai un pārkvalificēšanai, lai atbalstītu tūrisma attīstību krīzes visvairāk skartajos apgabalos vai nomaļos apgabalos (piekrastes apgabalos, mazās salās, īpaši nomaļos reģionos un lauku u</w:t>
            </w:r>
            <w:r>
              <w:rPr>
                <w:noProof/>
              </w:rPr>
              <w:t xml:space="preserve">n kalnu apvidos). </w:t>
            </w:r>
          </w:p>
          <w:p w14:paraId="2F706837" w14:textId="77777777" w:rsidR="00C972CB" w:rsidRDefault="002457F6">
            <w:pPr>
              <w:pStyle w:val="P68B1DB1-Normal11"/>
              <w:rPr>
                <w:noProof/>
              </w:rPr>
            </w:pPr>
            <w:r>
              <w:rPr>
                <w:noProof/>
              </w:rPr>
              <w:t>Ieguldījumu politikā iekļauj atlases kritērijus, lai nodrošinātu atbilstību Tehniskajiem norādījumiem “nenodari būtisku kaitējumu” (2021/C58/01) attiecībā uz atbalstītajiem darījumiem saskaņā ar šo pasākumu, izmantojot ilgtspējas pārbaud</w:t>
            </w:r>
            <w:r>
              <w:rPr>
                <w:noProof/>
              </w:rPr>
              <w:t>i, izslēgšanas sarakstu un prasību par atbilstību attiecīgajiem ES un valstu tiesību aktiem vides jomā.</w:t>
            </w:r>
          </w:p>
        </w:tc>
      </w:tr>
      <w:tr w:rsidR="00C972CB" w14:paraId="6FD1F849" w14:textId="77777777">
        <w:trPr>
          <w:trHeight w:val="313"/>
          <w:jc w:val="center"/>
        </w:trPr>
        <w:tc>
          <w:tcPr>
            <w:tcW w:w="377" w:type="pct"/>
            <w:shd w:val="clear" w:color="auto" w:fill="C6EFCE"/>
            <w:noWrap/>
            <w:vAlign w:val="center"/>
          </w:tcPr>
          <w:p w14:paraId="681B2385" w14:textId="77777777" w:rsidR="00C972CB" w:rsidRDefault="002457F6">
            <w:pPr>
              <w:pStyle w:val="P68B1DB1-Normal11"/>
              <w:jc w:val="center"/>
              <w:rPr>
                <w:noProof/>
              </w:rPr>
            </w:pPr>
            <w:r>
              <w:rPr>
                <w:noProof/>
              </w:rPr>
              <w:t>M1C3–24</w:t>
            </w:r>
          </w:p>
        </w:tc>
        <w:tc>
          <w:tcPr>
            <w:tcW w:w="520" w:type="pct"/>
            <w:shd w:val="clear" w:color="auto" w:fill="C6EFCE"/>
            <w:noWrap/>
            <w:vAlign w:val="center"/>
          </w:tcPr>
          <w:p w14:paraId="37A88981" w14:textId="6D4B3E44" w:rsidR="00C972CB" w:rsidRDefault="002457F6">
            <w:pPr>
              <w:pStyle w:val="P68B1DB1-Normal11"/>
              <w:jc w:val="center"/>
              <w:rPr>
                <w:noProof/>
              </w:rPr>
            </w:pPr>
            <w:r>
              <w:rPr>
                <w:noProof/>
              </w:rPr>
              <w:t>Ieguldījums. Tūrisma uzņēmumu konkurētspējas fondi</w:t>
            </w:r>
          </w:p>
        </w:tc>
        <w:tc>
          <w:tcPr>
            <w:tcW w:w="378" w:type="pct"/>
            <w:shd w:val="clear" w:color="auto" w:fill="C6EFCE"/>
            <w:noWrap/>
            <w:vAlign w:val="center"/>
          </w:tcPr>
          <w:p w14:paraId="57AFF127"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tcPr>
          <w:p w14:paraId="47D8B8EB" w14:textId="2750BF76" w:rsidR="00C972CB" w:rsidRDefault="002457F6">
            <w:pPr>
              <w:pStyle w:val="P68B1DB1-Normal11"/>
              <w:jc w:val="center"/>
              <w:rPr>
                <w:noProof/>
              </w:rPr>
            </w:pPr>
            <w:r>
              <w:rPr>
                <w:noProof/>
              </w:rPr>
              <w:t>Ieguldījumu politika attiecībā uz: MVU garantiju fonds,</w:t>
            </w:r>
          </w:p>
        </w:tc>
        <w:tc>
          <w:tcPr>
            <w:tcW w:w="520" w:type="pct"/>
            <w:shd w:val="clear" w:color="auto" w:fill="C6EFCE"/>
            <w:noWrap/>
            <w:vAlign w:val="center"/>
          </w:tcPr>
          <w:p w14:paraId="603AF738" w14:textId="77777777" w:rsidR="00C972CB" w:rsidRDefault="002457F6">
            <w:pPr>
              <w:pStyle w:val="P68B1DB1-Normal11"/>
              <w:jc w:val="center"/>
              <w:rPr>
                <w:noProof/>
              </w:rPr>
            </w:pPr>
            <w:r>
              <w:rPr>
                <w:noProof/>
              </w:rPr>
              <w:t xml:space="preserve">Ieguldījumu </w:t>
            </w:r>
            <w:r>
              <w:rPr>
                <w:noProof/>
              </w:rPr>
              <w:t>politikas pieņemšana</w:t>
            </w:r>
          </w:p>
        </w:tc>
        <w:tc>
          <w:tcPr>
            <w:tcW w:w="331" w:type="pct"/>
            <w:shd w:val="clear" w:color="auto" w:fill="C6EFCE"/>
            <w:noWrap/>
            <w:vAlign w:val="center"/>
          </w:tcPr>
          <w:p w14:paraId="512B161B"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7CFBDFD3" w14:textId="77777777" w:rsidR="00C972CB" w:rsidRDefault="002457F6">
            <w:pPr>
              <w:pStyle w:val="P68B1DB1-Normal11"/>
              <w:jc w:val="center"/>
              <w:rPr>
                <w:noProof/>
              </w:rPr>
            </w:pPr>
            <w:r>
              <w:rPr>
                <w:noProof/>
              </w:rPr>
              <w:t>NEPIEMĒRO</w:t>
            </w:r>
          </w:p>
        </w:tc>
        <w:tc>
          <w:tcPr>
            <w:tcW w:w="424" w:type="pct"/>
            <w:shd w:val="clear" w:color="auto" w:fill="C6EFCE"/>
            <w:noWrap/>
            <w:vAlign w:val="center"/>
          </w:tcPr>
          <w:p w14:paraId="65C68F92"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0D7EBFDD" w14:textId="77777777" w:rsidR="00C972CB" w:rsidRDefault="002457F6">
            <w:pPr>
              <w:pStyle w:val="P68B1DB1-Normal11"/>
              <w:jc w:val="center"/>
              <w:rPr>
                <w:noProof/>
              </w:rPr>
            </w:pPr>
            <w:r>
              <w:rPr>
                <w:noProof/>
              </w:rPr>
              <w:t>4. CET.</w:t>
            </w:r>
          </w:p>
        </w:tc>
        <w:tc>
          <w:tcPr>
            <w:tcW w:w="220" w:type="pct"/>
            <w:shd w:val="clear" w:color="auto" w:fill="C6EFCE"/>
            <w:noWrap/>
            <w:vAlign w:val="center"/>
          </w:tcPr>
          <w:p w14:paraId="5293435F" w14:textId="77777777" w:rsidR="00C972CB" w:rsidRDefault="002457F6">
            <w:pPr>
              <w:pStyle w:val="P68B1DB1-Normal11"/>
              <w:jc w:val="center"/>
              <w:rPr>
                <w:noProof/>
              </w:rPr>
            </w:pPr>
            <w:r>
              <w:rPr>
                <w:noProof/>
              </w:rPr>
              <w:t>2021</w:t>
            </w:r>
          </w:p>
        </w:tc>
        <w:tc>
          <w:tcPr>
            <w:tcW w:w="1047" w:type="pct"/>
            <w:shd w:val="clear" w:color="auto" w:fill="C6EFCE"/>
            <w:noWrap/>
            <w:vAlign w:val="center"/>
          </w:tcPr>
          <w:p w14:paraId="768C754A" w14:textId="77777777" w:rsidR="00C972CB" w:rsidRDefault="002457F6">
            <w:pPr>
              <w:pStyle w:val="P68B1DB1-Normal11"/>
              <w:rPr>
                <w:noProof/>
              </w:rPr>
            </w:pPr>
            <w:r>
              <w:rPr>
                <w:noProof/>
              </w:rPr>
              <w:t>Investīciju politikā paredz, ka 50 % no fonda līdzekļiem ir paredzēti energoefektivitātes pasākumiem.</w:t>
            </w:r>
          </w:p>
          <w:p w14:paraId="181FB2F3" w14:textId="515AB0FF" w:rsidR="00C972CB" w:rsidRDefault="002457F6">
            <w:pPr>
              <w:pStyle w:val="P68B1DB1-Normal11"/>
              <w:rPr>
                <w:noProof/>
              </w:rPr>
            </w:pPr>
            <w:r>
              <w:rPr>
                <w:noProof/>
              </w:rPr>
              <w:t xml:space="preserve">Ieguldījumu politikā iekļauj atlases kritērijus, lai nodrošinātu atbilstību Tehniskajiem </w:t>
            </w:r>
            <w:r>
              <w:rPr>
                <w:noProof/>
              </w:rPr>
              <w:t>norādījumiem “nenodari būtisku kaitējumu” (2021/C58/01) attiecībā uz atbalstītajiem darījumiem saskaņā ar šo pasākumu, izmantojot ilgtspējas pārbaudi, izslēgšanas sarakstu un prasību par atbilstību attiecīgajiem ES un valstu tiesību aktiem vides jomā.</w:t>
            </w:r>
          </w:p>
          <w:p w14:paraId="1320E3DB" w14:textId="77777777" w:rsidR="00C972CB" w:rsidRDefault="00C972CB">
            <w:pPr>
              <w:rPr>
                <w:rFonts w:ascii="Arial Narrow" w:hAnsi="Arial Narrow"/>
                <w:noProof/>
                <w:color w:val="006100"/>
                <w:sz w:val="20"/>
              </w:rPr>
            </w:pPr>
          </w:p>
        </w:tc>
      </w:tr>
      <w:tr w:rsidR="00C972CB" w14:paraId="00CE7785" w14:textId="77777777">
        <w:trPr>
          <w:trHeight w:val="313"/>
          <w:jc w:val="center"/>
        </w:trPr>
        <w:tc>
          <w:tcPr>
            <w:tcW w:w="377" w:type="pct"/>
            <w:shd w:val="clear" w:color="auto" w:fill="C6EFCE"/>
            <w:noWrap/>
            <w:vAlign w:val="center"/>
          </w:tcPr>
          <w:p w14:paraId="652EFD68" w14:textId="77777777" w:rsidR="00C972CB" w:rsidRDefault="002457F6">
            <w:pPr>
              <w:pStyle w:val="P68B1DB1-Normal11"/>
              <w:jc w:val="center"/>
              <w:rPr>
                <w:noProof/>
              </w:rPr>
            </w:pPr>
            <w:r>
              <w:rPr>
                <w:noProof/>
              </w:rPr>
              <w:t>M1C3–25</w:t>
            </w:r>
          </w:p>
        </w:tc>
        <w:tc>
          <w:tcPr>
            <w:tcW w:w="520" w:type="pct"/>
            <w:shd w:val="clear" w:color="auto" w:fill="C6EFCE"/>
            <w:noWrap/>
            <w:vAlign w:val="center"/>
          </w:tcPr>
          <w:p w14:paraId="14B185A4" w14:textId="2AD5AD7A" w:rsidR="00C972CB" w:rsidRDefault="002457F6">
            <w:pPr>
              <w:pStyle w:val="P68B1DB1-Normal11"/>
              <w:jc w:val="center"/>
              <w:rPr>
                <w:noProof/>
              </w:rPr>
            </w:pPr>
            <w:r>
              <w:rPr>
                <w:noProof/>
              </w:rPr>
              <w:t>Ieguldījums 4.2.:  Fondi tūrisma uzņēmumu konkurētspējai</w:t>
            </w:r>
          </w:p>
        </w:tc>
        <w:tc>
          <w:tcPr>
            <w:tcW w:w="378" w:type="pct"/>
            <w:shd w:val="clear" w:color="auto" w:fill="C6EFCE"/>
            <w:noWrap/>
            <w:vAlign w:val="center"/>
          </w:tcPr>
          <w:p w14:paraId="7960A098"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tcPr>
          <w:p w14:paraId="1F60DAFE" w14:textId="1855BCD5" w:rsidR="00C972CB" w:rsidRDefault="002457F6">
            <w:pPr>
              <w:pStyle w:val="P68B1DB1-Normal11"/>
              <w:jc w:val="center"/>
              <w:rPr>
                <w:noProof/>
              </w:rPr>
            </w:pPr>
            <w:r>
              <w:rPr>
                <w:noProof/>
              </w:rPr>
              <w:t>Fondo Rotativo ieguldījumu politika</w:t>
            </w:r>
          </w:p>
        </w:tc>
        <w:tc>
          <w:tcPr>
            <w:tcW w:w="520" w:type="pct"/>
            <w:shd w:val="clear" w:color="auto" w:fill="C6EFCE"/>
            <w:noWrap/>
            <w:vAlign w:val="center"/>
          </w:tcPr>
          <w:p w14:paraId="61BDFC31" w14:textId="77777777" w:rsidR="00C972CB" w:rsidRDefault="002457F6">
            <w:pPr>
              <w:pStyle w:val="P68B1DB1-Normal11"/>
              <w:jc w:val="center"/>
              <w:rPr>
                <w:noProof/>
              </w:rPr>
            </w:pPr>
            <w:r>
              <w:rPr>
                <w:noProof/>
              </w:rPr>
              <w:t>Ieguldījumu politikas pieņemšana</w:t>
            </w:r>
          </w:p>
        </w:tc>
        <w:tc>
          <w:tcPr>
            <w:tcW w:w="331" w:type="pct"/>
            <w:shd w:val="clear" w:color="auto" w:fill="C6EFCE"/>
            <w:noWrap/>
            <w:vAlign w:val="center"/>
          </w:tcPr>
          <w:p w14:paraId="5080CD4D"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7850D338" w14:textId="77777777" w:rsidR="00C972CB" w:rsidRDefault="002457F6">
            <w:pPr>
              <w:pStyle w:val="P68B1DB1-Normal11"/>
              <w:jc w:val="center"/>
              <w:rPr>
                <w:noProof/>
              </w:rPr>
            </w:pPr>
            <w:r>
              <w:rPr>
                <w:noProof/>
              </w:rPr>
              <w:t>NEPIEMĒRO</w:t>
            </w:r>
          </w:p>
        </w:tc>
        <w:tc>
          <w:tcPr>
            <w:tcW w:w="424" w:type="pct"/>
            <w:shd w:val="clear" w:color="auto" w:fill="C6EFCE"/>
            <w:noWrap/>
            <w:vAlign w:val="center"/>
          </w:tcPr>
          <w:p w14:paraId="4FC3F9CA" w14:textId="77777777" w:rsidR="00C972CB" w:rsidRDefault="002457F6">
            <w:pPr>
              <w:pStyle w:val="P68B1DB1-Normal11"/>
              <w:jc w:val="center"/>
              <w:rPr>
                <w:noProof/>
              </w:rPr>
            </w:pPr>
            <w:r>
              <w:rPr>
                <w:noProof/>
              </w:rPr>
              <w:t>NEPIEMĒRO</w:t>
            </w:r>
          </w:p>
        </w:tc>
        <w:tc>
          <w:tcPr>
            <w:tcW w:w="332" w:type="pct"/>
            <w:shd w:val="clear" w:color="auto" w:fill="C6EFCE"/>
            <w:noWrap/>
            <w:vAlign w:val="center"/>
          </w:tcPr>
          <w:p w14:paraId="2C528A55" w14:textId="77777777" w:rsidR="00C972CB" w:rsidRDefault="002457F6">
            <w:pPr>
              <w:pStyle w:val="P68B1DB1-Normal11"/>
              <w:jc w:val="center"/>
              <w:rPr>
                <w:noProof/>
              </w:rPr>
            </w:pPr>
            <w:r>
              <w:rPr>
                <w:noProof/>
              </w:rPr>
              <w:t>4. CET.</w:t>
            </w:r>
          </w:p>
        </w:tc>
        <w:tc>
          <w:tcPr>
            <w:tcW w:w="220" w:type="pct"/>
            <w:shd w:val="clear" w:color="auto" w:fill="C6EFCE"/>
            <w:noWrap/>
            <w:vAlign w:val="center"/>
          </w:tcPr>
          <w:p w14:paraId="7591B172" w14:textId="77777777" w:rsidR="00C972CB" w:rsidRDefault="002457F6">
            <w:pPr>
              <w:pStyle w:val="P68B1DB1-Normal11"/>
              <w:jc w:val="center"/>
              <w:rPr>
                <w:noProof/>
              </w:rPr>
            </w:pPr>
            <w:r>
              <w:rPr>
                <w:noProof/>
              </w:rPr>
              <w:t>2021</w:t>
            </w:r>
          </w:p>
        </w:tc>
        <w:tc>
          <w:tcPr>
            <w:tcW w:w="1047" w:type="pct"/>
            <w:shd w:val="clear" w:color="auto" w:fill="C6EFCE"/>
            <w:noWrap/>
            <w:vAlign w:val="center"/>
          </w:tcPr>
          <w:p w14:paraId="7151690F" w14:textId="77777777" w:rsidR="00C972CB" w:rsidRDefault="002457F6">
            <w:pPr>
              <w:pStyle w:val="P68B1DB1-Normal11"/>
              <w:rPr>
                <w:noProof/>
              </w:rPr>
            </w:pPr>
            <w:r>
              <w:rPr>
                <w:noProof/>
              </w:rPr>
              <w:t xml:space="preserve">Investīciju politikā paredz, ka 50 % no fonda līdzekļiem ir </w:t>
            </w:r>
            <w:r>
              <w:rPr>
                <w:noProof/>
              </w:rPr>
              <w:t>paredzēti energoefektivitātes pasākumiem.</w:t>
            </w:r>
          </w:p>
          <w:p w14:paraId="5BF5D3E2" w14:textId="02E5A357" w:rsidR="00C972CB" w:rsidRDefault="002457F6">
            <w:pPr>
              <w:pStyle w:val="P68B1DB1-Normal11"/>
              <w:rPr>
                <w:noProof/>
              </w:rPr>
            </w:pPr>
            <w:r>
              <w:rPr>
                <w:noProof/>
              </w:rPr>
              <w:t>Ieguldījumu politikā iekļauj atlases kritērijus, lai nodrošinātu atbilstību Tehniskajiem norādījumiem “nenodari būtisku kaitējumu” (2021/C58/01) attiecībā uz atbalstītajiem darījumiem saskaņā ar šo pasākumu, izmant</w:t>
            </w:r>
            <w:r>
              <w:rPr>
                <w:noProof/>
              </w:rPr>
              <w:t>ojot ilgtspējas pārbaudi, izslēgšanas sarakstu un prasību par atbilstību attiecīgajiem ES un valstu tiesību aktiem vides jomā.</w:t>
            </w:r>
          </w:p>
        </w:tc>
      </w:tr>
      <w:tr w:rsidR="00C972CB" w14:paraId="1F7D4ADF" w14:textId="77777777">
        <w:trPr>
          <w:trHeight w:val="313"/>
          <w:jc w:val="center"/>
        </w:trPr>
        <w:tc>
          <w:tcPr>
            <w:tcW w:w="377" w:type="pct"/>
            <w:shd w:val="clear" w:color="auto" w:fill="C6EFCE"/>
            <w:noWrap/>
            <w:vAlign w:val="center"/>
            <w:hideMark/>
          </w:tcPr>
          <w:p w14:paraId="0BCBEACF" w14:textId="77777777" w:rsidR="00C972CB" w:rsidRDefault="002457F6">
            <w:pPr>
              <w:pStyle w:val="P68B1DB1-Normal11"/>
              <w:jc w:val="center"/>
              <w:rPr>
                <w:noProof/>
              </w:rPr>
            </w:pPr>
            <w:r>
              <w:rPr>
                <w:noProof/>
              </w:rPr>
              <w:t>M1C3–26</w:t>
            </w:r>
          </w:p>
        </w:tc>
        <w:tc>
          <w:tcPr>
            <w:tcW w:w="520" w:type="pct"/>
            <w:shd w:val="clear" w:color="auto" w:fill="C6EFCE"/>
            <w:noWrap/>
            <w:vAlign w:val="center"/>
            <w:hideMark/>
          </w:tcPr>
          <w:p w14:paraId="3F6FF5A2" w14:textId="5A6CE012" w:rsidR="00C972CB" w:rsidRDefault="002457F6">
            <w:pPr>
              <w:pStyle w:val="P68B1DB1-Normal11"/>
              <w:jc w:val="center"/>
              <w:rPr>
                <w:noProof/>
              </w:rPr>
            </w:pPr>
            <w:r>
              <w:rPr>
                <w:noProof/>
              </w:rPr>
              <w:t>Ieguldījums 4.2.:  Fondi tūrisma uzņēmumu konkurētspējai</w:t>
            </w:r>
          </w:p>
        </w:tc>
        <w:tc>
          <w:tcPr>
            <w:tcW w:w="378" w:type="pct"/>
            <w:shd w:val="clear" w:color="auto" w:fill="C6EFCE"/>
            <w:noWrap/>
            <w:vAlign w:val="center"/>
            <w:hideMark/>
          </w:tcPr>
          <w:p w14:paraId="452F0DAF"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hideMark/>
          </w:tcPr>
          <w:p w14:paraId="392CD781" w14:textId="77777777" w:rsidR="00C972CB" w:rsidRDefault="002457F6">
            <w:pPr>
              <w:pStyle w:val="P68B1DB1-Normal11"/>
              <w:jc w:val="center"/>
              <w:rPr>
                <w:noProof/>
              </w:rPr>
            </w:pPr>
            <w:r>
              <w:rPr>
                <w:noProof/>
              </w:rPr>
              <w:t xml:space="preserve">Īstenošanas dekrēta par nodokļu kredītu </w:t>
            </w:r>
            <w:r>
              <w:rPr>
                <w:noProof/>
              </w:rPr>
              <w:t>izmitināšanas vietu atjaunošanai stāšanās spēkā.</w:t>
            </w:r>
          </w:p>
        </w:tc>
        <w:tc>
          <w:tcPr>
            <w:tcW w:w="520" w:type="pct"/>
            <w:shd w:val="clear" w:color="auto" w:fill="C6EFCE"/>
            <w:noWrap/>
            <w:vAlign w:val="center"/>
            <w:hideMark/>
          </w:tcPr>
          <w:p w14:paraId="08543D0B" w14:textId="77777777" w:rsidR="00C972CB" w:rsidRDefault="002457F6">
            <w:pPr>
              <w:pStyle w:val="P68B1DB1-Normal11"/>
              <w:jc w:val="center"/>
              <w:rPr>
                <w:noProof/>
              </w:rPr>
            </w:pPr>
            <w:r>
              <w:rPr>
                <w:noProof/>
              </w:rPr>
              <w:t>Likuma noteikums par budžeta likuma stāšanos spēkā, kas ļauj piešķirt nodokļu atlaides, un noteikums saistītajos īstenošanas aktos, norādot to stāšanos spēkā</w:t>
            </w:r>
          </w:p>
        </w:tc>
        <w:tc>
          <w:tcPr>
            <w:tcW w:w="331" w:type="pct"/>
            <w:shd w:val="clear" w:color="auto" w:fill="C6EFCE"/>
            <w:noWrap/>
            <w:vAlign w:val="center"/>
            <w:hideMark/>
          </w:tcPr>
          <w:p w14:paraId="22B685EC" w14:textId="77777777" w:rsidR="00C972CB" w:rsidRDefault="002457F6">
            <w:pPr>
              <w:pStyle w:val="P68B1DB1-Normal11"/>
              <w:jc w:val="center"/>
              <w:rPr>
                <w:noProof/>
              </w:rPr>
            </w:pPr>
            <w:r>
              <w:rPr>
                <w:noProof/>
              </w:rPr>
              <w:t>NEPIEMĒRO</w:t>
            </w:r>
          </w:p>
        </w:tc>
        <w:tc>
          <w:tcPr>
            <w:tcW w:w="332" w:type="pct"/>
            <w:shd w:val="clear" w:color="auto" w:fill="C6EFCE"/>
            <w:noWrap/>
            <w:vAlign w:val="center"/>
            <w:hideMark/>
          </w:tcPr>
          <w:p w14:paraId="4F3C67AE" w14:textId="77777777" w:rsidR="00C972CB" w:rsidRDefault="002457F6">
            <w:pPr>
              <w:pStyle w:val="P68B1DB1-Normal11"/>
              <w:jc w:val="center"/>
              <w:rPr>
                <w:noProof/>
              </w:rPr>
            </w:pPr>
            <w:r>
              <w:rPr>
                <w:noProof/>
              </w:rPr>
              <w:t>NEPIEMĒRO</w:t>
            </w:r>
          </w:p>
        </w:tc>
        <w:tc>
          <w:tcPr>
            <w:tcW w:w="424" w:type="pct"/>
            <w:shd w:val="clear" w:color="auto" w:fill="C6EFCE"/>
            <w:noWrap/>
            <w:vAlign w:val="center"/>
            <w:hideMark/>
          </w:tcPr>
          <w:p w14:paraId="5B6259D9" w14:textId="77777777" w:rsidR="00C972CB" w:rsidRDefault="002457F6">
            <w:pPr>
              <w:pStyle w:val="P68B1DB1-Normal11"/>
              <w:jc w:val="center"/>
              <w:rPr>
                <w:noProof/>
              </w:rPr>
            </w:pPr>
            <w:r>
              <w:rPr>
                <w:noProof/>
              </w:rPr>
              <w:t>NEPIEMĒRO</w:t>
            </w:r>
          </w:p>
        </w:tc>
        <w:tc>
          <w:tcPr>
            <w:tcW w:w="332" w:type="pct"/>
            <w:shd w:val="clear" w:color="auto" w:fill="C6EFCE"/>
            <w:noWrap/>
            <w:vAlign w:val="center"/>
            <w:hideMark/>
          </w:tcPr>
          <w:p w14:paraId="671DB94A" w14:textId="77777777" w:rsidR="00C972CB" w:rsidRDefault="002457F6">
            <w:pPr>
              <w:pStyle w:val="P68B1DB1-Normal11"/>
              <w:jc w:val="center"/>
              <w:rPr>
                <w:noProof/>
              </w:rPr>
            </w:pPr>
            <w:r>
              <w:rPr>
                <w:noProof/>
              </w:rPr>
              <w:t>4. CET.</w:t>
            </w:r>
          </w:p>
        </w:tc>
        <w:tc>
          <w:tcPr>
            <w:tcW w:w="220" w:type="pct"/>
            <w:shd w:val="clear" w:color="auto" w:fill="C6EFCE"/>
            <w:noWrap/>
            <w:vAlign w:val="center"/>
            <w:hideMark/>
          </w:tcPr>
          <w:p w14:paraId="7A5A3574" w14:textId="77777777" w:rsidR="00C972CB" w:rsidRDefault="002457F6">
            <w:pPr>
              <w:pStyle w:val="P68B1DB1-Normal11"/>
              <w:jc w:val="center"/>
              <w:rPr>
                <w:noProof/>
              </w:rPr>
            </w:pPr>
            <w:r>
              <w:rPr>
                <w:noProof/>
              </w:rPr>
              <w:t>2021</w:t>
            </w:r>
          </w:p>
        </w:tc>
        <w:tc>
          <w:tcPr>
            <w:tcW w:w="1047" w:type="pct"/>
            <w:shd w:val="clear" w:color="auto" w:fill="C6EFCE"/>
            <w:noWrap/>
            <w:vAlign w:val="center"/>
            <w:hideMark/>
          </w:tcPr>
          <w:p w14:paraId="71C1A0B8" w14:textId="77777777" w:rsidR="00C972CB" w:rsidRDefault="002457F6">
            <w:pPr>
              <w:pStyle w:val="P68B1DB1-Normal11"/>
              <w:rPr>
                <w:noProof/>
              </w:rPr>
            </w:pPr>
            <w:r>
              <w:rPr>
                <w:noProof/>
              </w:rPr>
              <w:t>Atsauces tiesību akti nodokļu kredīta piešķiršanai ir 2014. gada 31. maija Likums Nr. 83, ar ko tika ieviesta nodokļu atlaides atzīšana par tūristu mītņu atjaunošanas pasākumiem.</w:t>
            </w:r>
          </w:p>
          <w:p w14:paraId="2C3F9D2B" w14:textId="77777777" w:rsidR="00C972CB" w:rsidRDefault="002457F6">
            <w:pPr>
              <w:pStyle w:val="P68B1DB1-Normal11"/>
              <w:rPr>
                <w:noProof/>
              </w:rPr>
            </w:pPr>
            <w:r>
              <w:rPr>
                <w:noProof/>
              </w:rPr>
              <w:t xml:space="preserve">Atlases/atbilstības kritēriji atbalstīto aktīvu/darbību un atbalsta saņēmēju </w:t>
            </w:r>
            <w:r>
              <w:rPr>
                <w:noProof/>
              </w:rPr>
              <w:t>atbilstībai NBK tehniskajiem norādījumiem (2021/C58/01), kas paredz vismaz izslēgšanas saraksta izmantošanu un atbalstīto aktīvu/darbību un saņēmēju atbilstību attiecīgajam ES un valsts vides acquis, kā arī atbilstības nodrošināšana.</w:t>
            </w:r>
          </w:p>
        </w:tc>
      </w:tr>
      <w:tr w:rsidR="00C972CB" w14:paraId="553F6BD3" w14:textId="77777777">
        <w:trPr>
          <w:trHeight w:val="313"/>
          <w:jc w:val="center"/>
        </w:trPr>
        <w:tc>
          <w:tcPr>
            <w:tcW w:w="377" w:type="pct"/>
            <w:shd w:val="clear" w:color="auto" w:fill="C6EFCE"/>
            <w:noWrap/>
            <w:vAlign w:val="center"/>
            <w:hideMark/>
          </w:tcPr>
          <w:p w14:paraId="24AE1518" w14:textId="77777777" w:rsidR="00C972CB" w:rsidRDefault="002457F6">
            <w:pPr>
              <w:pStyle w:val="P68B1DB1-Normal11"/>
              <w:jc w:val="center"/>
              <w:rPr>
                <w:noProof/>
              </w:rPr>
            </w:pPr>
            <w:r>
              <w:rPr>
                <w:noProof/>
              </w:rPr>
              <w:t>M1C3–27</w:t>
            </w:r>
          </w:p>
        </w:tc>
        <w:tc>
          <w:tcPr>
            <w:tcW w:w="520" w:type="pct"/>
            <w:shd w:val="clear" w:color="auto" w:fill="C6EFCE"/>
            <w:noWrap/>
            <w:vAlign w:val="center"/>
            <w:hideMark/>
          </w:tcPr>
          <w:p w14:paraId="456C0984" w14:textId="77777777" w:rsidR="00C972CB" w:rsidRDefault="002457F6">
            <w:pPr>
              <w:pStyle w:val="P68B1DB1-Normal11"/>
              <w:jc w:val="center"/>
              <w:rPr>
                <w:noProof/>
              </w:rPr>
            </w:pPr>
            <w:r>
              <w:rPr>
                <w:noProof/>
              </w:rPr>
              <w:t>Ieguldījums —</w:t>
            </w:r>
            <w:r>
              <w:rPr>
                <w:noProof/>
              </w:rPr>
              <w:t xml:space="preserve"> 4.3. Caput Mundi-Next Generation EU tūrisma lieliskiem pasākumiem</w:t>
            </w:r>
          </w:p>
        </w:tc>
        <w:tc>
          <w:tcPr>
            <w:tcW w:w="378" w:type="pct"/>
            <w:shd w:val="clear" w:color="auto" w:fill="C6EFCE"/>
            <w:noWrap/>
            <w:vAlign w:val="center"/>
            <w:hideMark/>
          </w:tcPr>
          <w:p w14:paraId="5CB5F7F3" w14:textId="77777777" w:rsidR="00C972CB" w:rsidRDefault="002457F6">
            <w:pPr>
              <w:pStyle w:val="P68B1DB1-Normal11"/>
              <w:jc w:val="center"/>
              <w:rPr>
                <w:noProof/>
              </w:rPr>
            </w:pPr>
            <w:r>
              <w:rPr>
                <w:noProof/>
              </w:rPr>
              <w:t>Mērķa</w:t>
            </w:r>
          </w:p>
        </w:tc>
        <w:tc>
          <w:tcPr>
            <w:tcW w:w="520" w:type="pct"/>
            <w:shd w:val="clear" w:color="auto" w:fill="C6EFCE"/>
            <w:noWrap/>
            <w:vAlign w:val="center"/>
            <w:hideMark/>
          </w:tcPr>
          <w:p w14:paraId="4BF60DCD" w14:textId="77777777" w:rsidR="00C972CB" w:rsidRDefault="002457F6">
            <w:pPr>
              <w:pStyle w:val="P68B1DB1-Normal11"/>
              <w:jc w:val="center"/>
              <w:rPr>
                <w:noProof/>
              </w:rPr>
            </w:pPr>
            <w:r>
              <w:rPr>
                <w:noProof/>
              </w:rPr>
              <w:t>Skaits</w:t>
            </w:r>
          </w:p>
          <w:p w14:paraId="729E13FF" w14:textId="453C95C3" w:rsidR="00C972CB" w:rsidRDefault="002457F6">
            <w:pPr>
              <w:pStyle w:val="P68B1DB1-Normal11"/>
              <w:jc w:val="center"/>
              <w:rPr>
                <w:noProof/>
              </w:rPr>
            </w:pPr>
            <w:r>
              <w:rPr>
                <w:noProof/>
              </w:rPr>
              <w:t>kultūras un tūrisma objekti, kuru pārkvalifikācija vidēji sasniedza 50 % no Stato Avanzamento Lavori (SAL) (pirmā partija)</w:t>
            </w:r>
          </w:p>
        </w:tc>
        <w:tc>
          <w:tcPr>
            <w:tcW w:w="520" w:type="pct"/>
            <w:shd w:val="clear" w:color="auto" w:fill="C6EFCE"/>
            <w:noWrap/>
            <w:vAlign w:val="center"/>
            <w:hideMark/>
          </w:tcPr>
          <w:p w14:paraId="35720EEE"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73B38C83"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4A226571"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249A709A" w14:textId="77777777" w:rsidR="00C972CB" w:rsidRDefault="002457F6">
            <w:pPr>
              <w:pStyle w:val="P68B1DB1-Normal11"/>
              <w:jc w:val="center"/>
              <w:rPr>
                <w:noProof/>
              </w:rPr>
            </w:pPr>
            <w:r>
              <w:rPr>
                <w:noProof/>
              </w:rPr>
              <w:t>100</w:t>
            </w:r>
          </w:p>
        </w:tc>
        <w:tc>
          <w:tcPr>
            <w:tcW w:w="332" w:type="pct"/>
            <w:shd w:val="clear" w:color="auto" w:fill="C6EFCE"/>
            <w:noWrap/>
            <w:vAlign w:val="center"/>
            <w:hideMark/>
          </w:tcPr>
          <w:p w14:paraId="53DE8189" w14:textId="77777777" w:rsidR="00C972CB" w:rsidRDefault="002457F6">
            <w:pPr>
              <w:pStyle w:val="P68B1DB1-Normal11"/>
              <w:jc w:val="center"/>
              <w:rPr>
                <w:noProof/>
              </w:rPr>
            </w:pPr>
            <w:r>
              <w:rPr>
                <w:noProof/>
              </w:rPr>
              <w:t>4. CET.</w:t>
            </w:r>
          </w:p>
        </w:tc>
        <w:tc>
          <w:tcPr>
            <w:tcW w:w="220" w:type="pct"/>
            <w:shd w:val="clear" w:color="auto" w:fill="C6EFCE"/>
            <w:noWrap/>
            <w:vAlign w:val="center"/>
            <w:hideMark/>
          </w:tcPr>
          <w:p w14:paraId="1A1C4A73" w14:textId="77777777" w:rsidR="00C972CB" w:rsidRDefault="002457F6">
            <w:pPr>
              <w:pStyle w:val="P68B1DB1-Normal11"/>
              <w:jc w:val="center"/>
              <w:rPr>
                <w:noProof/>
              </w:rPr>
            </w:pPr>
            <w:r>
              <w:rPr>
                <w:noProof/>
              </w:rPr>
              <w:t>2024</w:t>
            </w:r>
          </w:p>
        </w:tc>
        <w:tc>
          <w:tcPr>
            <w:tcW w:w="1047" w:type="pct"/>
            <w:shd w:val="clear" w:color="auto" w:fill="C6EFCE"/>
            <w:noWrap/>
            <w:vAlign w:val="center"/>
            <w:hideMark/>
          </w:tcPr>
          <w:p w14:paraId="4A60E3E9" w14:textId="77777777" w:rsidR="00C972CB" w:rsidRDefault="002457F6">
            <w:pPr>
              <w:pStyle w:val="P68B1DB1-Normal11"/>
              <w:rPr>
                <w:noProof/>
              </w:rPr>
            </w:pPr>
            <w:r>
              <w:rPr>
                <w:noProof/>
              </w:rPr>
              <w:t xml:space="preserve">Investīcija </w:t>
            </w:r>
            <w:r>
              <w:rPr>
                <w:noProof/>
              </w:rPr>
              <w:t>ietver intervences, kas aptver:</w:t>
            </w:r>
          </w:p>
          <w:p w14:paraId="02143C16" w14:textId="77777777" w:rsidR="00C972CB" w:rsidRDefault="002457F6">
            <w:pPr>
              <w:pStyle w:val="P68B1DB1-ListParagraph13"/>
              <w:numPr>
                <w:ilvl w:val="0"/>
                <w:numId w:val="86"/>
              </w:numPr>
              <w:jc w:val="left"/>
              <w:rPr>
                <w:noProof/>
              </w:rPr>
            </w:pPr>
            <w:r>
              <w:rPr>
                <w:noProof/>
              </w:rPr>
              <w:t xml:space="preserve"> atjaunot un atjaunot Romas pilsētas kultūras un pilsētu mantojumu un kompleksus ar augstu vēsturisko un arhitektisko vērtību investīciju pozīcijā “Romas kultūras mantojums ES un nākamajai paaudzei”;  </w:t>
            </w:r>
          </w:p>
          <w:p w14:paraId="5D51D4AF" w14:textId="0DBBE65C" w:rsidR="00C972CB" w:rsidRDefault="002457F6">
            <w:pPr>
              <w:pStyle w:val="P68B1DB1-ListParagraph13"/>
              <w:numPr>
                <w:ilvl w:val="0"/>
                <w:numId w:val="86"/>
              </w:numPr>
              <w:tabs>
                <w:tab w:val="left" w:pos="1340"/>
                <w:tab w:val="left" w:pos="1341"/>
              </w:tabs>
              <w:ind w:right="-7"/>
              <w:jc w:val="left"/>
              <w:rPr>
                <w:noProof/>
              </w:rPr>
            </w:pPr>
            <w:r>
              <w:rPr>
                <w:noProof/>
              </w:rPr>
              <w:t>ieguldījumu līnijas “J</w:t>
            </w:r>
            <w:r>
              <w:rPr>
                <w:noProof/>
              </w:rPr>
              <w:t>ubilee paths” uzlabošana, drošība, seismiskā konsolidācija, vēsturisko vietu un ēku atjaunošana un arheoloģiskie ceļi;</w:t>
            </w:r>
          </w:p>
          <w:p w14:paraId="27591C5D" w14:textId="77777777" w:rsidR="00C972CB" w:rsidRDefault="002457F6">
            <w:pPr>
              <w:pStyle w:val="P68B1DB1-ListParagraph13"/>
              <w:numPr>
                <w:ilvl w:val="0"/>
                <w:numId w:val="86"/>
              </w:numPr>
              <w:tabs>
                <w:tab w:val="left" w:pos="1340"/>
                <w:tab w:val="left" w:pos="1341"/>
              </w:tabs>
              <w:ind w:right="-7"/>
              <w:jc w:val="left"/>
              <w:rPr>
                <w:noProof/>
              </w:rPr>
            </w:pPr>
            <w:r>
              <w:rPr>
                <w:noProof/>
              </w:rPr>
              <w:t>perifēro apgabalu objektu rekonstrukcija ieguldījumu līnijai “#LaCittàCondivisa”;</w:t>
            </w:r>
          </w:p>
          <w:p w14:paraId="20A1DDA6" w14:textId="77777777" w:rsidR="00C972CB" w:rsidRDefault="002457F6">
            <w:pPr>
              <w:pStyle w:val="P68B1DB1-ListParagraph13"/>
              <w:numPr>
                <w:ilvl w:val="0"/>
                <w:numId w:val="86"/>
              </w:numPr>
              <w:tabs>
                <w:tab w:val="left" w:pos="1340"/>
                <w:tab w:val="left" w:pos="1341"/>
              </w:tabs>
              <w:ind w:right="-7"/>
              <w:jc w:val="left"/>
              <w:rPr>
                <w:noProof/>
              </w:rPr>
            </w:pPr>
            <w:r>
              <w:rPr>
                <w:noProof/>
              </w:rPr>
              <w:t>intervences pasākumi parkos, vēsturiskajos dārzos, viļā</w:t>
            </w:r>
            <w:r>
              <w:rPr>
                <w:noProof/>
              </w:rPr>
              <w:t>s un strūklās ieguldījumu pozīcijā Nr. #Mitingodiverde;</w:t>
            </w:r>
          </w:p>
          <w:p w14:paraId="7CC0F62D" w14:textId="77777777" w:rsidR="00C972CB" w:rsidRDefault="002457F6">
            <w:pPr>
              <w:pStyle w:val="P68B1DB1-ListParagraph13"/>
              <w:numPr>
                <w:ilvl w:val="0"/>
                <w:numId w:val="86"/>
              </w:numPr>
              <w:tabs>
                <w:tab w:val="left" w:pos="1340"/>
                <w:tab w:val="left" w:pos="1341"/>
              </w:tabs>
              <w:ind w:right="-7"/>
              <w:jc w:val="left"/>
              <w:rPr>
                <w:noProof/>
              </w:rPr>
            </w:pPr>
            <w:r>
              <w:rPr>
                <w:noProof/>
              </w:rPr>
              <w:t>kultūras pakalpojumu digitalizācija un tūristiem paredzētu lietotņu izstrāde vai investīciju līnija Nr. #Roma 4.0;</w:t>
            </w:r>
          </w:p>
          <w:p w14:paraId="340C41A7" w14:textId="1E54446B" w:rsidR="00C972CB" w:rsidRDefault="002457F6">
            <w:pPr>
              <w:pStyle w:val="P68B1DB1-ListParagraph13"/>
              <w:numPr>
                <w:ilvl w:val="0"/>
                <w:numId w:val="86"/>
              </w:numPr>
              <w:tabs>
                <w:tab w:val="left" w:pos="1340"/>
                <w:tab w:val="left" w:pos="1341"/>
              </w:tabs>
              <w:ind w:right="-7"/>
              <w:jc w:val="left"/>
              <w:rPr>
                <w:noProof/>
              </w:rPr>
            </w:pPr>
            <w:r>
              <w:rPr>
                <w:noProof/>
              </w:rPr>
              <w:t>Intervences pasākumi, kuru mērķis ir palielināt kultūras piedāvājuma piedāvājumu peri</w:t>
            </w:r>
            <w:r>
              <w:rPr>
                <w:noProof/>
              </w:rPr>
              <w:t>fērijām sociālajai integrācijai ieguldījumu pozīcijā Nr. #Amanotesa.</w:t>
            </w:r>
          </w:p>
        </w:tc>
      </w:tr>
      <w:tr w:rsidR="00C972CB" w14:paraId="70BA11F3" w14:textId="77777777">
        <w:trPr>
          <w:trHeight w:val="313"/>
          <w:jc w:val="center"/>
        </w:trPr>
        <w:tc>
          <w:tcPr>
            <w:tcW w:w="377" w:type="pct"/>
            <w:shd w:val="clear" w:color="auto" w:fill="C6EFCE"/>
            <w:noWrap/>
            <w:vAlign w:val="center"/>
            <w:hideMark/>
          </w:tcPr>
          <w:p w14:paraId="7D18546A" w14:textId="77777777" w:rsidR="00C972CB" w:rsidRDefault="002457F6">
            <w:pPr>
              <w:pStyle w:val="P68B1DB1-Normal11"/>
              <w:jc w:val="center"/>
              <w:rPr>
                <w:noProof/>
              </w:rPr>
            </w:pPr>
            <w:r>
              <w:rPr>
                <w:noProof/>
              </w:rPr>
              <w:t>M1C3–28</w:t>
            </w:r>
          </w:p>
        </w:tc>
        <w:tc>
          <w:tcPr>
            <w:tcW w:w="520" w:type="pct"/>
            <w:shd w:val="clear" w:color="auto" w:fill="C6EFCE"/>
            <w:noWrap/>
            <w:vAlign w:val="center"/>
            <w:hideMark/>
          </w:tcPr>
          <w:p w14:paraId="1A444F5D" w14:textId="77777777" w:rsidR="00C972CB" w:rsidRDefault="002457F6">
            <w:pPr>
              <w:pStyle w:val="P68B1DB1-Normal11"/>
              <w:jc w:val="center"/>
              <w:rPr>
                <w:noProof/>
              </w:rPr>
            </w:pPr>
            <w:r>
              <w:rPr>
                <w:noProof/>
              </w:rPr>
              <w:t>Ieguldījums 4.2.:  Fondi tūrisma uzņēmumu konkurētspējai</w:t>
            </w:r>
          </w:p>
        </w:tc>
        <w:tc>
          <w:tcPr>
            <w:tcW w:w="378" w:type="pct"/>
            <w:shd w:val="clear" w:color="auto" w:fill="C6EFCE"/>
            <w:noWrap/>
            <w:vAlign w:val="center"/>
            <w:hideMark/>
          </w:tcPr>
          <w:p w14:paraId="49A5689E" w14:textId="77777777" w:rsidR="00C972CB" w:rsidRDefault="002457F6">
            <w:pPr>
              <w:pStyle w:val="P68B1DB1-Normal11"/>
              <w:jc w:val="center"/>
              <w:rPr>
                <w:noProof/>
              </w:rPr>
            </w:pPr>
            <w:r>
              <w:rPr>
                <w:noProof/>
              </w:rPr>
              <w:t>Mērķa</w:t>
            </w:r>
          </w:p>
        </w:tc>
        <w:tc>
          <w:tcPr>
            <w:tcW w:w="520" w:type="pct"/>
            <w:shd w:val="clear" w:color="auto" w:fill="C6EFCE"/>
            <w:noWrap/>
            <w:vAlign w:val="center"/>
            <w:hideMark/>
          </w:tcPr>
          <w:p w14:paraId="570E0496" w14:textId="11E36953" w:rsidR="00C972CB" w:rsidRDefault="002457F6">
            <w:pPr>
              <w:pStyle w:val="P68B1DB1-Normal11"/>
              <w:jc w:val="center"/>
              <w:rPr>
                <w:noProof/>
              </w:rPr>
            </w:pPr>
            <w:r>
              <w:rPr>
                <w:noProof/>
              </w:rPr>
              <w:t>To tūrisma uzņēmumu skaits, kuriem piešķirts nodokļu kredīts infrastruktūrai un/vai pakalpojumiem;</w:t>
            </w:r>
          </w:p>
        </w:tc>
        <w:tc>
          <w:tcPr>
            <w:tcW w:w="520" w:type="pct"/>
            <w:shd w:val="clear" w:color="auto" w:fill="C6EFCE"/>
            <w:noWrap/>
            <w:vAlign w:val="center"/>
            <w:hideMark/>
          </w:tcPr>
          <w:p w14:paraId="6530ECFB"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21003486"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1FEBBC44"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31A25066" w14:textId="2830CED0" w:rsidR="00C972CB" w:rsidRDefault="002457F6">
            <w:pPr>
              <w:pStyle w:val="P68B1DB1-Normal11"/>
              <w:jc w:val="center"/>
              <w:rPr>
                <w:noProof/>
              </w:rPr>
            </w:pPr>
            <w:r>
              <w:rPr>
                <w:noProof/>
              </w:rPr>
              <w:t>3 500</w:t>
            </w:r>
          </w:p>
        </w:tc>
        <w:tc>
          <w:tcPr>
            <w:tcW w:w="332" w:type="pct"/>
            <w:shd w:val="clear" w:color="auto" w:fill="C6EFCE"/>
            <w:noWrap/>
            <w:vAlign w:val="center"/>
            <w:hideMark/>
          </w:tcPr>
          <w:p w14:paraId="3AF32EC6" w14:textId="77777777" w:rsidR="00C972CB" w:rsidRDefault="002457F6">
            <w:pPr>
              <w:pStyle w:val="P68B1DB1-Normal11"/>
              <w:jc w:val="center"/>
              <w:rPr>
                <w:noProof/>
              </w:rPr>
            </w:pPr>
            <w:r>
              <w:rPr>
                <w:noProof/>
              </w:rPr>
              <w:t>4. CET.</w:t>
            </w:r>
          </w:p>
        </w:tc>
        <w:tc>
          <w:tcPr>
            <w:tcW w:w="220" w:type="pct"/>
            <w:shd w:val="clear" w:color="auto" w:fill="C6EFCE"/>
            <w:noWrap/>
            <w:vAlign w:val="center"/>
            <w:hideMark/>
          </w:tcPr>
          <w:p w14:paraId="1E5633FB" w14:textId="77777777" w:rsidR="00C972CB" w:rsidRDefault="002457F6">
            <w:pPr>
              <w:pStyle w:val="P68B1DB1-Normal11"/>
              <w:jc w:val="center"/>
              <w:rPr>
                <w:noProof/>
              </w:rPr>
            </w:pPr>
            <w:r>
              <w:rPr>
                <w:noProof/>
              </w:rPr>
              <w:t>2025</w:t>
            </w:r>
          </w:p>
        </w:tc>
        <w:tc>
          <w:tcPr>
            <w:tcW w:w="1047" w:type="pct"/>
            <w:shd w:val="clear" w:color="auto" w:fill="C6EFCE"/>
            <w:noWrap/>
            <w:vAlign w:val="center"/>
            <w:hideMark/>
          </w:tcPr>
          <w:p w14:paraId="6C14D3B0" w14:textId="3EB7F92D" w:rsidR="00C972CB" w:rsidRDefault="002457F6">
            <w:pPr>
              <w:pStyle w:val="P68B1DB1-Normal12"/>
              <w:rPr>
                <w:rFonts w:ascii="Arial Narrow" w:hAnsi="Arial Narrow"/>
                <w:noProof/>
              </w:rPr>
            </w:pPr>
            <w:r>
              <w:rPr>
                <w:rFonts w:ascii="Arial Narrow" w:hAnsi="Arial Narrow"/>
                <w:noProof/>
              </w:rPr>
              <w:t>Vismaz 3500</w:t>
            </w:r>
            <w:r>
              <w:rPr>
                <w:noProof/>
              </w:rPr>
              <w:t xml:space="preserve"> </w:t>
            </w:r>
            <w:r>
              <w:rPr>
                <w:rFonts w:ascii="Arial Narrow" w:hAnsi="Arial Narrow"/>
                <w:noProof/>
              </w:rPr>
              <w:t>tūrisma uzņēmumu, kurus atbalsta nodokļu kredīts infrastruktūrai un/vai pakalpojumiem;</w:t>
            </w:r>
          </w:p>
          <w:p w14:paraId="7609E6EB" w14:textId="77777777" w:rsidR="00C972CB" w:rsidRDefault="002457F6">
            <w:pPr>
              <w:pStyle w:val="P68B1DB1-Normal11"/>
              <w:rPr>
                <w:noProof/>
              </w:rPr>
            </w:pPr>
            <w:r>
              <w:rPr>
                <w:noProof/>
              </w:rPr>
              <w:t xml:space="preserve">Nodokļu atlaides sniegtais atbalsts uzlabo tūristu viesmīlības kvalitāti: </w:t>
            </w:r>
          </w:p>
          <w:p w14:paraId="74ECB96F" w14:textId="77777777" w:rsidR="00C972CB" w:rsidRDefault="002457F6">
            <w:pPr>
              <w:pStyle w:val="P68B1DB1-ListParagraph13"/>
              <w:numPr>
                <w:ilvl w:val="0"/>
                <w:numId w:val="88"/>
              </w:numPr>
              <w:ind w:left="310" w:hanging="310"/>
              <w:jc w:val="left"/>
              <w:rPr>
                <w:noProof/>
              </w:rPr>
            </w:pPr>
            <w:r>
              <w:rPr>
                <w:noProof/>
              </w:rPr>
              <w:t>ieguldījumi vides ilgtspējā (atjaunojamie energoresursi mazā</w:t>
            </w:r>
            <w:r>
              <w:rPr>
                <w:noProof/>
              </w:rPr>
              <w:t>k energoietilpīgi)</w:t>
            </w:r>
          </w:p>
          <w:p w14:paraId="3892BF1A" w14:textId="77777777" w:rsidR="00C972CB" w:rsidRDefault="002457F6">
            <w:pPr>
              <w:pStyle w:val="P68B1DB1-ListParagraph13"/>
              <w:numPr>
                <w:ilvl w:val="0"/>
                <w:numId w:val="88"/>
              </w:numPr>
              <w:ind w:left="310" w:hanging="310"/>
              <w:jc w:val="left"/>
              <w:rPr>
                <w:noProof/>
              </w:rPr>
            </w:pPr>
            <w:r>
              <w:rPr>
                <w:noProof/>
              </w:rPr>
              <w:t>Itālijas izmitināšanas vietu kvalitātes standartu atjaunošana un uzlabošana </w:t>
            </w:r>
          </w:p>
        </w:tc>
      </w:tr>
      <w:tr w:rsidR="00C972CB" w14:paraId="5BD8D19E" w14:textId="77777777">
        <w:trPr>
          <w:trHeight w:val="313"/>
          <w:jc w:val="center"/>
        </w:trPr>
        <w:tc>
          <w:tcPr>
            <w:tcW w:w="377" w:type="pct"/>
            <w:shd w:val="clear" w:color="auto" w:fill="C6EFCE"/>
            <w:noWrap/>
            <w:vAlign w:val="center"/>
            <w:hideMark/>
          </w:tcPr>
          <w:p w14:paraId="2D4F7863" w14:textId="77777777" w:rsidR="00C972CB" w:rsidRDefault="002457F6">
            <w:pPr>
              <w:pStyle w:val="P68B1DB1-Normal11"/>
              <w:jc w:val="center"/>
              <w:rPr>
                <w:noProof/>
              </w:rPr>
            </w:pPr>
            <w:r>
              <w:rPr>
                <w:noProof/>
              </w:rPr>
              <w:t>M1C3–29</w:t>
            </w:r>
          </w:p>
        </w:tc>
        <w:tc>
          <w:tcPr>
            <w:tcW w:w="520" w:type="pct"/>
            <w:shd w:val="clear" w:color="auto" w:fill="C6EFCE"/>
            <w:noWrap/>
            <w:vAlign w:val="center"/>
            <w:hideMark/>
          </w:tcPr>
          <w:p w14:paraId="2CBE44DB" w14:textId="3B9DADD2" w:rsidR="00C972CB" w:rsidRDefault="002457F6">
            <w:pPr>
              <w:pStyle w:val="P68B1DB1-Normal11"/>
              <w:jc w:val="center"/>
              <w:rPr>
                <w:noProof/>
              </w:rPr>
            </w:pPr>
            <w:r>
              <w:rPr>
                <w:noProof/>
              </w:rPr>
              <w:t>Ieguldījums 4.2.:  Fondi tūrisma uzņēmumu konkurētspējai</w:t>
            </w:r>
          </w:p>
        </w:tc>
        <w:tc>
          <w:tcPr>
            <w:tcW w:w="378" w:type="pct"/>
            <w:shd w:val="clear" w:color="auto" w:fill="C6EFCE"/>
            <w:noWrap/>
            <w:vAlign w:val="center"/>
            <w:hideMark/>
          </w:tcPr>
          <w:p w14:paraId="1A6454FC" w14:textId="77777777" w:rsidR="00C972CB" w:rsidRDefault="002457F6">
            <w:pPr>
              <w:pStyle w:val="P68B1DB1-Normal11"/>
              <w:jc w:val="center"/>
              <w:rPr>
                <w:noProof/>
              </w:rPr>
            </w:pPr>
            <w:r>
              <w:rPr>
                <w:noProof/>
              </w:rPr>
              <w:t>Mērķa</w:t>
            </w:r>
          </w:p>
        </w:tc>
        <w:tc>
          <w:tcPr>
            <w:tcW w:w="520" w:type="pct"/>
            <w:shd w:val="clear" w:color="auto" w:fill="C6EFCE"/>
            <w:noWrap/>
            <w:vAlign w:val="center"/>
            <w:hideMark/>
          </w:tcPr>
          <w:p w14:paraId="634D3C68" w14:textId="4974F7D5" w:rsidR="00C972CB" w:rsidRDefault="002457F6">
            <w:pPr>
              <w:pStyle w:val="P68B1DB1-Normal11"/>
              <w:jc w:val="center"/>
              <w:rPr>
                <w:noProof/>
              </w:rPr>
            </w:pPr>
            <w:r>
              <w:rPr>
                <w:noProof/>
              </w:rPr>
              <w:t>No Eiropas Investīciju bankas tematiskajiem fondiem atbalstāmo tūrisma projektu skaits</w:t>
            </w:r>
          </w:p>
        </w:tc>
        <w:tc>
          <w:tcPr>
            <w:tcW w:w="520" w:type="pct"/>
            <w:shd w:val="clear" w:color="auto" w:fill="C6EFCE"/>
            <w:noWrap/>
            <w:vAlign w:val="center"/>
            <w:hideMark/>
          </w:tcPr>
          <w:p w14:paraId="7027BA4F"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3F234DA1"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4865E6BD"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43FC2032" w14:textId="7806EEE0" w:rsidR="00C972CB" w:rsidRDefault="002457F6">
            <w:pPr>
              <w:pStyle w:val="P68B1DB1-Normal11"/>
              <w:jc w:val="center"/>
              <w:rPr>
                <w:noProof/>
              </w:rPr>
            </w:pPr>
            <w:r>
              <w:rPr>
                <w:noProof/>
              </w:rPr>
              <w:t>170</w:t>
            </w:r>
          </w:p>
        </w:tc>
        <w:tc>
          <w:tcPr>
            <w:tcW w:w="332" w:type="pct"/>
            <w:shd w:val="clear" w:color="auto" w:fill="C6EFCE"/>
            <w:noWrap/>
            <w:vAlign w:val="center"/>
            <w:hideMark/>
          </w:tcPr>
          <w:p w14:paraId="5B696C49" w14:textId="02CFFEC9" w:rsidR="00C972CB" w:rsidRDefault="002457F6">
            <w:pPr>
              <w:pStyle w:val="P68B1DB1-Normal11"/>
              <w:jc w:val="center"/>
              <w:rPr>
                <w:noProof/>
              </w:rPr>
            </w:pPr>
            <w:r>
              <w:rPr>
                <w:noProof/>
              </w:rPr>
              <w:t>2. CET.</w:t>
            </w:r>
          </w:p>
        </w:tc>
        <w:tc>
          <w:tcPr>
            <w:tcW w:w="220" w:type="pct"/>
            <w:shd w:val="clear" w:color="auto" w:fill="C6EFCE"/>
            <w:noWrap/>
            <w:vAlign w:val="center"/>
            <w:hideMark/>
          </w:tcPr>
          <w:p w14:paraId="2881F180" w14:textId="0701E3C6" w:rsidR="00C972CB" w:rsidRDefault="002457F6">
            <w:pPr>
              <w:pStyle w:val="P68B1DB1-Normal11"/>
              <w:jc w:val="center"/>
              <w:rPr>
                <w:noProof/>
              </w:rPr>
            </w:pPr>
            <w:r>
              <w:rPr>
                <w:noProof/>
              </w:rPr>
              <w:t>2026</w:t>
            </w:r>
          </w:p>
        </w:tc>
        <w:tc>
          <w:tcPr>
            <w:tcW w:w="1047" w:type="pct"/>
            <w:shd w:val="clear" w:color="auto" w:fill="C6EFCE"/>
            <w:noWrap/>
            <w:vAlign w:val="center"/>
            <w:hideMark/>
          </w:tcPr>
          <w:p w14:paraId="1C1A944B" w14:textId="77777777" w:rsidR="00C972CB" w:rsidRDefault="002457F6">
            <w:pPr>
              <w:pStyle w:val="P68B1DB1-Normal11"/>
              <w:rPr>
                <w:noProof/>
              </w:rPr>
            </w:pPr>
            <w:r>
              <w:rPr>
                <w:noProof/>
              </w:rPr>
              <w:t>Atbalsts vismaz 170 tūrisma projektiem;</w:t>
            </w:r>
          </w:p>
          <w:p w14:paraId="42B7BE17" w14:textId="77777777" w:rsidR="00C972CB" w:rsidRDefault="002457F6">
            <w:pPr>
              <w:pStyle w:val="P68B1DB1-Normal11"/>
              <w:rPr>
                <w:noProof/>
              </w:rPr>
            </w:pPr>
            <w:r>
              <w:rPr>
                <w:noProof/>
              </w:rPr>
              <w:t xml:space="preserve">Atbalsts, ko sniedz ar Eiropas Investīciju bankas tematisko fondu starpniecību, ir vērsts uz to, lai: </w:t>
            </w:r>
          </w:p>
          <w:p w14:paraId="1E043EB7" w14:textId="77777777" w:rsidR="00C972CB" w:rsidRDefault="002457F6">
            <w:pPr>
              <w:pStyle w:val="P68B1DB1-ListParagraph13"/>
              <w:numPr>
                <w:ilvl w:val="0"/>
                <w:numId w:val="106"/>
              </w:numPr>
              <w:jc w:val="left"/>
              <w:rPr>
                <w:noProof/>
              </w:rPr>
            </w:pPr>
            <w:r>
              <w:rPr>
                <w:noProof/>
              </w:rPr>
              <w:t>atbalsts inovatīvām investīcijām digitālajai pārejai</w:t>
            </w:r>
          </w:p>
          <w:p w14:paraId="23E6BB76" w14:textId="77777777" w:rsidR="00C972CB" w:rsidRDefault="002457F6">
            <w:pPr>
              <w:pStyle w:val="P68B1DB1-ListParagraph13"/>
              <w:numPr>
                <w:ilvl w:val="0"/>
                <w:numId w:val="106"/>
              </w:numPr>
              <w:jc w:val="left"/>
              <w:rPr>
                <w:noProof/>
              </w:rPr>
            </w:pPr>
            <w:r>
              <w:rPr>
                <w:noProof/>
              </w:rPr>
              <w:t xml:space="preserve">tūrisma pakalpojumu </w:t>
            </w:r>
            <w:r>
              <w:rPr>
                <w:noProof/>
              </w:rPr>
              <w:t>piedāvājuma palielināšana</w:t>
            </w:r>
          </w:p>
          <w:p w14:paraId="0A2E71DC" w14:textId="77777777" w:rsidR="00C972CB" w:rsidRDefault="002457F6">
            <w:pPr>
              <w:pStyle w:val="P68B1DB1-ListParagraph13"/>
              <w:numPr>
                <w:ilvl w:val="0"/>
                <w:numId w:val="106"/>
              </w:numPr>
              <w:jc w:val="left"/>
              <w:rPr>
                <w:noProof/>
              </w:rPr>
            </w:pPr>
            <w:r>
              <w:rPr>
                <w:noProof/>
              </w:rPr>
              <w:t>uzņēmumu apvienošanas procesu veicināšana</w:t>
            </w:r>
          </w:p>
          <w:p w14:paraId="32D2CB95" w14:textId="77777777" w:rsidR="00C972CB" w:rsidRDefault="00C972CB">
            <w:pPr>
              <w:rPr>
                <w:rFonts w:ascii="Arial Narrow" w:hAnsi="Arial Narrow"/>
                <w:noProof/>
                <w:color w:val="006100"/>
                <w:sz w:val="20"/>
              </w:rPr>
            </w:pPr>
          </w:p>
        </w:tc>
      </w:tr>
      <w:tr w:rsidR="00C972CB" w14:paraId="0FB20534" w14:textId="77777777">
        <w:trPr>
          <w:trHeight w:val="313"/>
          <w:jc w:val="center"/>
        </w:trPr>
        <w:tc>
          <w:tcPr>
            <w:tcW w:w="377" w:type="pct"/>
            <w:shd w:val="clear" w:color="auto" w:fill="C6EFCE"/>
            <w:noWrap/>
            <w:vAlign w:val="center"/>
          </w:tcPr>
          <w:p w14:paraId="27EE86F9" w14:textId="77777777" w:rsidR="00C972CB" w:rsidRDefault="002457F6">
            <w:pPr>
              <w:pStyle w:val="P68B1DB1-Normal11"/>
              <w:jc w:val="center"/>
              <w:rPr>
                <w:noProof/>
              </w:rPr>
            </w:pPr>
            <w:r>
              <w:rPr>
                <w:noProof/>
              </w:rPr>
              <w:t>M1C3–30</w:t>
            </w:r>
          </w:p>
        </w:tc>
        <w:tc>
          <w:tcPr>
            <w:tcW w:w="520" w:type="pct"/>
            <w:shd w:val="clear" w:color="auto" w:fill="C6EFCE"/>
            <w:noWrap/>
            <w:vAlign w:val="center"/>
          </w:tcPr>
          <w:p w14:paraId="04BCB981" w14:textId="77777777" w:rsidR="00C972CB" w:rsidRDefault="002457F6">
            <w:pPr>
              <w:pStyle w:val="P68B1DB1-Normal11"/>
              <w:jc w:val="center"/>
              <w:rPr>
                <w:noProof/>
              </w:rPr>
            </w:pPr>
            <w:r>
              <w:rPr>
                <w:noProof/>
              </w:rPr>
              <w:t>Ieguldījums 4.2.:  Finansējums tūrisma konkurētspējai</w:t>
            </w:r>
          </w:p>
          <w:p w14:paraId="5725426F" w14:textId="77777777" w:rsidR="00C972CB" w:rsidRDefault="002457F6">
            <w:pPr>
              <w:pStyle w:val="P68B1DB1-Normal11"/>
              <w:jc w:val="center"/>
              <w:rPr>
                <w:noProof/>
              </w:rPr>
            </w:pPr>
            <w:r>
              <w:rPr>
                <w:noProof/>
              </w:rPr>
              <w:t>uzņēmumi</w:t>
            </w:r>
          </w:p>
        </w:tc>
        <w:tc>
          <w:tcPr>
            <w:tcW w:w="378" w:type="pct"/>
            <w:shd w:val="clear" w:color="auto" w:fill="C6EFCE"/>
            <w:noWrap/>
            <w:vAlign w:val="center"/>
          </w:tcPr>
          <w:p w14:paraId="4B727B7C" w14:textId="77777777" w:rsidR="00C972CB" w:rsidRDefault="002457F6">
            <w:pPr>
              <w:pStyle w:val="P68B1DB1-Normal11"/>
              <w:jc w:val="center"/>
              <w:rPr>
                <w:noProof/>
              </w:rPr>
            </w:pPr>
            <w:r>
              <w:rPr>
                <w:noProof/>
              </w:rPr>
              <w:t>Mērķa</w:t>
            </w:r>
          </w:p>
        </w:tc>
        <w:tc>
          <w:tcPr>
            <w:tcW w:w="520" w:type="pct"/>
            <w:shd w:val="clear" w:color="auto" w:fill="C6EFCE"/>
            <w:noWrap/>
            <w:vAlign w:val="center"/>
          </w:tcPr>
          <w:p w14:paraId="01F811C0" w14:textId="77777777" w:rsidR="00C972CB" w:rsidRDefault="002457F6">
            <w:pPr>
              <w:pStyle w:val="P68B1DB1-Normal11"/>
              <w:jc w:val="center"/>
              <w:rPr>
                <w:noProof/>
              </w:rPr>
            </w:pPr>
            <w:r>
              <w:rPr>
                <w:noProof/>
              </w:rPr>
              <w:t>Eiropas Investīciju bankas tematiskie fondi:</w:t>
            </w:r>
          </w:p>
          <w:p w14:paraId="24CDB417" w14:textId="698AE301" w:rsidR="00C972CB" w:rsidRDefault="002457F6">
            <w:pPr>
              <w:pStyle w:val="P68B1DB1-Normal12"/>
              <w:jc w:val="center"/>
              <w:rPr>
                <w:rFonts w:ascii="Arial Narrow" w:hAnsi="Arial Narrow"/>
                <w:noProof/>
              </w:rPr>
            </w:pPr>
            <w:r>
              <w:rPr>
                <w:rFonts w:ascii="Arial Narrow" w:hAnsi="Arial Narrow"/>
                <w:noProof/>
              </w:rPr>
              <w:t>Kopējais maksājums fondam EUR 350000000</w:t>
            </w:r>
            <w:r>
              <w:rPr>
                <w:noProof/>
              </w:rPr>
              <w:t xml:space="preserve"> </w:t>
            </w:r>
            <w:r>
              <w:rPr>
                <w:rFonts w:ascii="Arial Narrow" w:hAnsi="Arial Narrow"/>
                <w:noProof/>
              </w:rPr>
              <w:t>apmērā</w:t>
            </w:r>
            <w:r>
              <w:rPr>
                <w:noProof/>
              </w:rPr>
              <w:t xml:space="preserve"> </w:t>
            </w:r>
          </w:p>
        </w:tc>
        <w:tc>
          <w:tcPr>
            <w:tcW w:w="520" w:type="pct"/>
            <w:shd w:val="clear" w:color="auto" w:fill="C6EFCE"/>
            <w:noWrap/>
            <w:vAlign w:val="center"/>
          </w:tcPr>
          <w:p w14:paraId="028298D3" w14:textId="77777777" w:rsidR="00C972CB" w:rsidRDefault="002457F6">
            <w:pPr>
              <w:pStyle w:val="P68B1DB1-Normal11"/>
              <w:jc w:val="center"/>
              <w:rPr>
                <w:noProof/>
              </w:rPr>
            </w:pPr>
            <w:r>
              <w:rPr>
                <w:noProof/>
              </w:rPr>
              <w:t>NEPIEMĒRO</w:t>
            </w:r>
          </w:p>
        </w:tc>
        <w:tc>
          <w:tcPr>
            <w:tcW w:w="331" w:type="pct"/>
            <w:shd w:val="clear" w:color="auto" w:fill="C6EFCE"/>
            <w:noWrap/>
            <w:vAlign w:val="center"/>
          </w:tcPr>
          <w:p w14:paraId="672D7F30" w14:textId="77777777" w:rsidR="00C972CB" w:rsidRDefault="002457F6">
            <w:pPr>
              <w:pStyle w:val="P68B1DB1-Normal11"/>
              <w:jc w:val="center"/>
              <w:rPr>
                <w:noProof/>
              </w:rPr>
            </w:pPr>
            <w:r>
              <w:rPr>
                <w:noProof/>
              </w:rPr>
              <w:t>Skaits</w:t>
            </w:r>
          </w:p>
        </w:tc>
        <w:tc>
          <w:tcPr>
            <w:tcW w:w="332" w:type="pct"/>
            <w:shd w:val="clear" w:color="auto" w:fill="C6EFCE"/>
            <w:noWrap/>
            <w:vAlign w:val="center"/>
          </w:tcPr>
          <w:p w14:paraId="5775388B" w14:textId="77777777" w:rsidR="00C972CB" w:rsidRDefault="002457F6">
            <w:pPr>
              <w:pStyle w:val="P68B1DB1-Normal11"/>
              <w:jc w:val="center"/>
              <w:rPr>
                <w:noProof/>
              </w:rPr>
            </w:pPr>
            <w:r>
              <w:rPr>
                <w:noProof/>
              </w:rPr>
              <w:t>0</w:t>
            </w:r>
          </w:p>
        </w:tc>
        <w:tc>
          <w:tcPr>
            <w:tcW w:w="424" w:type="pct"/>
            <w:shd w:val="clear" w:color="auto" w:fill="C6EFCE"/>
            <w:noWrap/>
            <w:vAlign w:val="center"/>
          </w:tcPr>
          <w:p w14:paraId="470710C0" w14:textId="695AD042" w:rsidR="00C972CB" w:rsidRDefault="002457F6">
            <w:pPr>
              <w:pStyle w:val="P68B1DB1-Normal11"/>
              <w:jc w:val="center"/>
              <w:rPr>
                <w:noProof/>
              </w:rPr>
            </w:pPr>
            <w:r>
              <w:rPr>
                <w:noProof/>
              </w:rPr>
              <w:t>350 000 000</w:t>
            </w:r>
          </w:p>
        </w:tc>
        <w:tc>
          <w:tcPr>
            <w:tcW w:w="332" w:type="pct"/>
            <w:shd w:val="clear" w:color="auto" w:fill="C6EFCE"/>
            <w:noWrap/>
            <w:vAlign w:val="center"/>
          </w:tcPr>
          <w:p w14:paraId="751A70EF" w14:textId="77777777" w:rsidR="00C972CB" w:rsidRDefault="002457F6">
            <w:pPr>
              <w:pStyle w:val="P68B1DB1-Normal11"/>
              <w:jc w:val="center"/>
              <w:rPr>
                <w:noProof/>
              </w:rPr>
            </w:pPr>
            <w:r>
              <w:rPr>
                <w:noProof/>
              </w:rPr>
              <w:t>4. CET.</w:t>
            </w:r>
          </w:p>
        </w:tc>
        <w:tc>
          <w:tcPr>
            <w:tcW w:w="220" w:type="pct"/>
            <w:shd w:val="clear" w:color="auto" w:fill="C6EFCE"/>
            <w:noWrap/>
            <w:vAlign w:val="center"/>
          </w:tcPr>
          <w:p w14:paraId="126B8334" w14:textId="77777777" w:rsidR="00C972CB" w:rsidRDefault="002457F6">
            <w:pPr>
              <w:pStyle w:val="P68B1DB1-Normal11"/>
              <w:jc w:val="center"/>
              <w:rPr>
                <w:noProof/>
              </w:rPr>
            </w:pPr>
            <w:r>
              <w:rPr>
                <w:noProof/>
              </w:rPr>
              <w:t>2022</w:t>
            </w:r>
          </w:p>
        </w:tc>
        <w:tc>
          <w:tcPr>
            <w:tcW w:w="1047" w:type="pct"/>
            <w:shd w:val="clear" w:color="auto" w:fill="C6EFCE"/>
            <w:noWrap/>
            <w:vAlign w:val="center"/>
          </w:tcPr>
          <w:p w14:paraId="41951777" w14:textId="77777777" w:rsidR="00C972CB" w:rsidRDefault="002457F6">
            <w:pPr>
              <w:pStyle w:val="P68B1DB1-Normal11"/>
              <w:rPr>
                <w:noProof/>
              </w:rPr>
            </w:pPr>
            <w:r>
              <w:rPr>
                <w:noProof/>
              </w:rPr>
              <w:t>Izmaksa atbilst investīciju politikai, kas noteikta starpposma mērķrādītājā.</w:t>
            </w:r>
          </w:p>
        </w:tc>
      </w:tr>
      <w:tr w:rsidR="00C972CB" w14:paraId="6AC98B67" w14:textId="77777777">
        <w:trPr>
          <w:trHeight w:val="313"/>
          <w:jc w:val="center"/>
        </w:trPr>
        <w:tc>
          <w:tcPr>
            <w:tcW w:w="377" w:type="pct"/>
            <w:shd w:val="clear" w:color="auto" w:fill="C6EFCE"/>
            <w:noWrap/>
            <w:vAlign w:val="center"/>
          </w:tcPr>
          <w:p w14:paraId="3B7E4E9E" w14:textId="77777777" w:rsidR="00C972CB" w:rsidRDefault="002457F6">
            <w:pPr>
              <w:pStyle w:val="P68B1DB1-Normal11"/>
              <w:jc w:val="center"/>
              <w:rPr>
                <w:noProof/>
              </w:rPr>
            </w:pPr>
            <w:r>
              <w:rPr>
                <w:noProof/>
              </w:rPr>
              <w:t>M1C3–31</w:t>
            </w:r>
          </w:p>
        </w:tc>
        <w:tc>
          <w:tcPr>
            <w:tcW w:w="520" w:type="pct"/>
            <w:shd w:val="clear" w:color="auto" w:fill="C6EFCE"/>
            <w:noWrap/>
            <w:vAlign w:val="center"/>
          </w:tcPr>
          <w:p w14:paraId="0AFB20C7" w14:textId="5EEE6BEA" w:rsidR="00C972CB" w:rsidRDefault="002457F6">
            <w:pPr>
              <w:pStyle w:val="P68B1DB1-Normal11"/>
              <w:jc w:val="center"/>
              <w:rPr>
                <w:noProof/>
              </w:rPr>
            </w:pPr>
            <w:r>
              <w:rPr>
                <w:noProof/>
              </w:rPr>
              <w:t>Ieguldījums 4.2.:  Fondi tūrisma uzņēmumu konkurētspējai</w:t>
            </w:r>
          </w:p>
        </w:tc>
        <w:tc>
          <w:tcPr>
            <w:tcW w:w="378" w:type="pct"/>
            <w:shd w:val="clear" w:color="auto" w:fill="C6EFCE"/>
            <w:noWrap/>
            <w:vAlign w:val="center"/>
          </w:tcPr>
          <w:p w14:paraId="5F25167B" w14:textId="77777777" w:rsidR="00C972CB" w:rsidRDefault="002457F6">
            <w:pPr>
              <w:pStyle w:val="P68B1DB1-Normal11"/>
              <w:jc w:val="center"/>
              <w:rPr>
                <w:noProof/>
              </w:rPr>
            </w:pPr>
            <w:r>
              <w:rPr>
                <w:noProof/>
              </w:rPr>
              <w:t>Mērķa</w:t>
            </w:r>
          </w:p>
        </w:tc>
        <w:tc>
          <w:tcPr>
            <w:tcW w:w="520" w:type="pct"/>
            <w:shd w:val="clear" w:color="auto" w:fill="C6EFCE"/>
            <w:noWrap/>
            <w:vAlign w:val="center"/>
          </w:tcPr>
          <w:p w14:paraId="2CDC629F" w14:textId="77777777" w:rsidR="00C972CB" w:rsidRDefault="00C972CB">
            <w:pPr>
              <w:jc w:val="center"/>
              <w:rPr>
                <w:rFonts w:ascii="Arial Narrow" w:hAnsi="Arial Narrow"/>
                <w:noProof/>
                <w:color w:val="006100"/>
                <w:sz w:val="20"/>
              </w:rPr>
            </w:pPr>
          </w:p>
          <w:p w14:paraId="1DC043DB" w14:textId="77777777" w:rsidR="00C972CB" w:rsidRDefault="002457F6">
            <w:pPr>
              <w:pStyle w:val="P68B1DB1-Normal11"/>
              <w:jc w:val="center"/>
              <w:rPr>
                <w:noProof/>
              </w:rPr>
            </w:pPr>
            <w:r>
              <w:rPr>
                <w:noProof/>
              </w:rPr>
              <w:t>Valsts tūrisma fonds:</w:t>
            </w:r>
          </w:p>
          <w:p w14:paraId="73F7F715" w14:textId="10337D46" w:rsidR="00C972CB" w:rsidRDefault="002457F6">
            <w:pPr>
              <w:pStyle w:val="P68B1DB1-Normal12"/>
              <w:jc w:val="center"/>
              <w:rPr>
                <w:rFonts w:ascii="Arial Narrow" w:hAnsi="Arial Narrow"/>
                <w:noProof/>
              </w:rPr>
            </w:pPr>
            <w:r>
              <w:rPr>
                <w:rFonts w:ascii="Arial Narrow" w:hAnsi="Arial Narrow"/>
                <w:noProof/>
              </w:rPr>
              <w:t>Kopējā līdzekļu izmaksa fondam EUR 150000000 apmērā</w:t>
            </w:r>
            <w:r>
              <w:rPr>
                <w:noProof/>
              </w:rPr>
              <w:t xml:space="preserve">  </w:t>
            </w:r>
            <w:r>
              <w:rPr>
                <w:rFonts w:ascii="Arial Narrow" w:hAnsi="Arial Narrow"/>
                <w:noProof/>
              </w:rPr>
              <w:t>pašu kapitāla atbalstam</w:t>
            </w:r>
          </w:p>
        </w:tc>
        <w:tc>
          <w:tcPr>
            <w:tcW w:w="520" w:type="pct"/>
            <w:shd w:val="clear" w:color="auto" w:fill="C6EFCE"/>
            <w:noWrap/>
            <w:vAlign w:val="center"/>
          </w:tcPr>
          <w:p w14:paraId="0ACEC842" w14:textId="77777777" w:rsidR="00C972CB" w:rsidRDefault="002457F6">
            <w:pPr>
              <w:pStyle w:val="P68B1DB1-Normal11"/>
              <w:jc w:val="center"/>
              <w:rPr>
                <w:noProof/>
              </w:rPr>
            </w:pPr>
            <w:r>
              <w:rPr>
                <w:noProof/>
              </w:rPr>
              <w:t>NEPIEMĒRO</w:t>
            </w:r>
          </w:p>
        </w:tc>
        <w:tc>
          <w:tcPr>
            <w:tcW w:w="331" w:type="pct"/>
            <w:shd w:val="clear" w:color="auto" w:fill="C6EFCE"/>
            <w:noWrap/>
            <w:vAlign w:val="center"/>
          </w:tcPr>
          <w:p w14:paraId="39E5478C" w14:textId="77777777" w:rsidR="00C972CB" w:rsidRDefault="002457F6">
            <w:pPr>
              <w:pStyle w:val="P68B1DB1-Normal11"/>
              <w:jc w:val="center"/>
              <w:rPr>
                <w:noProof/>
              </w:rPr>
            </w:pPr>
            <w:r>
              <w:rPr>
                <w:noProof/>
              </w:rPr>
              <w:t>Skaits</w:t>
            </w:r>
          </w:p>
        </w:tc>
        <w:tc>
          <w:tcPr>
            <w:tcW w:w="332" w:type="pct"/>
            <w:shd w:val="clear" w:color="auto" w:fill="C6EFCE"/>
            <w:noWrap/>
            <w:vAlign w:val="center"/>
          </w:tcPr>
          <w:p w14:paraId="2BF688D9" w14:textId="77777777" w:rsidR="00C972CB" w:rsidRDefault="002457F6">
            <w:pPr>
              <w:pStyle w:val="P68B1DB1-Normal11"/>
              <w:jc w:val="center"/>
              <w:rPr>
                <w:noProof/>
              </w:rPr>
            </w:pPr>
            <w:r>
              <w:rPr>
                <w:noProof/>
              </w:rPr>
              <w:t>0</w:t>
            </w:r>
          </w:p>
        </w:tc>
        <w:tc>
          <w:tcPr>
            <w:tcW w:w="424" w:type="pct"/>
            <w:shd w:val="clear" w:color="auto" w:fill="C6EFCE"/>
            <w:noWrap/>
            <w:vAlign w:val="center"/>
          </w:tcPr>
          <w:p w14:paraId="2BECAF25" w14:textId="226F9A9A" w:rsidR="00C972CB" w:rsidRDefault="002457F6">
            <w:pPr>
              <w:pStyle w:val="P68B1DB1-Normal11"/>
              <w:jc w:val="center"/>
              <w:rPr>
                <w:noProof/>
              </w:rPr>
            </w:pPr>
            <w:r>
              <w:rPr>
                <w:noProof/>
              </w:rPr>
              <w:t>150 000 000</w:t>
            </w:r>
          </w:p>
        </w:tc>
        <w:tc>
          <w:tcPr>
            <w:tcW w:w="332" w:type="pct"/>
            <w:shd w:val="clear" w:color="auto" w:fill="C6EFCE"/>
            <w:noWrap/>
            <w:vAlign w:val="center"/>
          </w:tcPr>
          <w:p w14:paraId="3207EEC4" w14:textId="77777777" w:rsidR="00C972CB" w:rsidRDefault="002457F6">
            <w:pPr>
              <w:pStyle w:val="P68B1DB1-Normal11"/>
              <w:jc w:val="center"/>
              <w:rPr>
                <w:noProof/>
              </w:rPr>
            </w:pPr>
            <w:r>
              <w:rPr>
                <w:noProof/>
              </w:rPr>
              <w:t>4. CET.</w:t>
            </w:r>
          </w:p>
        </w:tc>
        <w:tc>
          <w:tcPr>
            <w:tcW w:w="220" w:type="pct"/>
            <w:shd w:val="clear" w:color="auto" w:fill="C6EFCE"/>
            <w:noWrap/>
            <w:vAlign w:val="center"/>
          </w:tcPr>
          <w:p w14:paraId="755FA440" w14:textId="77777777" w:rsidR="00C972CB" w:rsidRDefault="002457F6">
            <w:pPr>
              <w:pStyle w:val="P68B1DB1-Normal11"/>
              <w:jc w:val="center"/>
              <w:rPr>
                <w:noProof/>
              </w:rPr>
            </w:pPr>
            <w:r>
              <w:rPr>
                <w:noProof/>
              </w:rPr>
              <w:t>2022</w:t>
            </w:r>
          </w:p>
        </w:tc>
        <w:tc>
          <w:tcPr>
            <w:tcW w:w="1047" w:type="pct"/>
            <w:shd w:val="clear" w:color="auto" w:fill="C6EFCE"/>
            <w:noWrap/>
            <w:vAlign w:val="center"/>
          </w:tcPr>
          <w:p w14:paraId="712D1D4A" w14:textId="77777777" w:rsidR="00C972CB" w:rsidRDefault="002457F6">
            <w:pPr>
              <w:pStyle w:val="P68B1DB1-Normal11"/>
              <w:rPr>
                <w:noProof/>
              </w:rPr>
            </w:pPr>
            <w:r>
              <w:rPr>
                <w:noProof/>
              </w:rPr>
              <w:t>Izmaksa atbilst investīciju politikai, kas noteikta starpposma mērķrādītājā.</w:t>
            </w:r>
          </w:p>
        </w:tc>
      </w:tr>
      <w:tr w:rsidR="00C972CB" w14:paraId="693F78F4" w14:textId="77777777">
        <w:trPr>
          <w:trHeight w:val="313"/>
          <w:jc w:val="center"/>
        </w:trPr>
        <w:tc>
          <w:tcPr>
            <w:tcW w:w="377" w:type="pct"/>
            <w:shd w:val="clear" w:color="auto" w:fill="C6EFCE"/>
            <w:noWrap/>
            <w:vAlign w:val="center"/>
            <w:hideMark/>
          </w:tcPr>
          <w:p w14:paraId="50F5E16F" w14:textId="77777777" w:rsidR="00C972CB" w:rsidRDefault="002457F6">
            <w:pPr>
              <w:pStyle w:val="P68B1DB1-Normal11"/>
              <w:jc w:val="center"/>
              <w:rPr>
                <w:noProof/>
              </w:rPr>
            </w:pPr>
            <w:r>
              <w:rPr>
                <w:noProof/>
              </w:rPr>
              <w:t>M1C3–32</w:t>
            </w:r>
          </w:p>
        </w:tc>
        <w:tc>
          <w:tcPr>
            <w:tcW w:w="520" w:type="pct"/>
            <w:shd w:val="clear" w:color="auto" w:fill="C6EFCE"/>
            <w:noWrap/>
            <w:vAlign w:val="center"/>
            <w:hideMark/>
          </w:tcPr>
          <w:p w14:paraId="2C3656C4" w14:textId="59D064C7" w:rsidR="00C972CB" w:rsidRDefault="002457F6">
            <w:pPr>
              <w:pStyle w:val="P68B1DB1-Normal11"/>
              <w:jc w:val="center"/>
              <w:rPr>
                <w:noProof/>
              </w:rPr>
            </w:pPr>
            <w:r>
              <w:rPr>
                <w:noProof/>
              </w:rPr>
              <w:t>Ieguldījums 4.2.:  Fondi tūrisma uzņēmumu konkurētspējai</w:t>
            </w:r>
          </w:p>
        </w:tc>
        <w:tc>
          <w:tcPr>
            <w:tcW w:w="378" w:type="pct"/>
            <w:shd w:val="clear" w:color="auto" w:fill="C6EFCE"/>
            <w:noWrap/>
            <w:vAlign w:val="center"/>
            <w:hideMark/>
          </w:tcPr>
          <w:p w14:paraId="3C75AD7F" w14:textId="2B266E42" w:rsidR="00C972CB" w:rsidRDefault="002457F6">
            <w:pPr>
              <w:pStyle w:val="P68B1DB1-Normal11"/>
              <w:jc w:val="center"/>
              <w:rPr>
                <w:noProof/>
              </w:rPr>
            </w:pPr>
            <w:r>
              <w:rPr>
                <w:noProof/>
              </w:rPr>
              <w:t>Mērķa</w:t>
            </w:r>
          </w:p>
        </w:tc>
        <w:tc>
          <w:tcPr>
            <w:tcW w:w="520" w:type="pct"/>
            <w:shd w:val="clear" w:color="auto" w:fill="C6EFCE"/>
            <w:noWrap/>
            <w:vAlign w:val="center"/>
            <w:hideMark/>
          </w:tcPr>
          <w:p w14:paraId="098DAF24" w14:textId="77777777" w:rsidR="00C972CB" w:rsidRDefault="00C972CB">
            <w:pPr>
              <w:jc w:val="center"/>
              <w:rPr>
                <w:rFonts w:ascii="Arial Narrow" w:hAnsi="Arial Narrow"/>
                <w:noProof/>
                <w:color w:val="006100"/>
                <w:sz w:val="20"/>
              </w:rPr>
            </w:pPr>
          </w:p>
          <w:p w14:paraId="4C379270" w14:textId="3192D890" w:rsidR="00C972CB" w:rsidRDefault="002457F6">
            <w:pPr>
              <w:pStyle w:val="P68B1DB1-Normal11"/>
              <w:jc w:val="center"/>
              <w:rPr>
                <w:noProof/>
              </w:rPr>
            </w:pPr>
            <w:r>
              <w:rPr>
                <w:noProof/>
              </w:rPr>
              <w:t xml:space="preserve">No MVU garantiju fonda atbalstāmo </w:t>
            </w:r>
            <w:r>
              <w:rPr>
                <w:noProof/>
              </w:rPr>
              <w:t>tūrisma uzņēmumu skaits</w:t>
            </w:r>
          </w:p>
        </w:tc>
        <w:tc>
          <w:tcPr>
            <w:tcW w:w="520" w:type="pct"/>
            <w:shd w:val="clear" w:color="auto" w:fill="C6EFCE"/>
            <w:noWrap/>
            <w:vAlign w:val="center"/>
            <w:hideMark/>
          </w:tcPr>
          <w:p w14:paraId="283F9E80"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2BB05B3C"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27A8D242"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1296F011" w14:textId="1E1D11B3" w:rsidR="00C972CB" w:rsidRDefault="002457F6">
            <w:pPr>
              <w:pStyle w:val="P68B1DB1-Normal11"/>
              <w:jc w:val="center"/>
              <w:rPr>
                <w:noProof/>
              </w:rPr>
            </w:pPr>
            <w:r>
              <w:rPr>
                <w:noProof/>
              </w:rPr>
              <w:t>1 000</w:t>
            </w:r>
          </w:p>
        </w:tc>
        <w:tc>
          <w:tcPr>
            <w:tcW w:w="332" w:type="pct"/>
            <w:shd w:val="clear" w:color="auto" w:fill="C6EFCE"/>
            <w:noWrap/>
            <w:vAlign w:val="center"/>
            <w:hideMark/>
          </w:tcPr>
          <w:p w14:paraId="43847798" w14:textId="77777777" w:rsidR="00C972CB" w:rsidRDefault="002457F6">
            <w:pPr>
              <w:pStyle w:val="P68B1DB1-Normal11"/>
              <w:jc w:val="center"/>
              <w:rPr>
                <w:noProof/>
              </w:rPr>
            </w:pPr>
            <w:r>
              <w:rPr>
                <w:noProof/>
              </w:rPr>
              <w:t>4. CET.</w:t>
            </w:r>
          </w:p>
        </w:tc>
        <w:tc>
          <w:tcPr>
            <w:tcW w:w="220" w:type="pct"/>
            <w:shd w:val="clear" w:color="auto" w:fill="C6EFCE"/>
            <w:noWrap/>
            <w:vAlign w:val="center"/>
            <w:hideMark/>
          </w:tcPr>
          <w:p w14:paraId="4BECDDA2" w14:textId="77777777" w:rsidR="00C972CB" w:rsidRDefault="002457F6">
            <w:pPr>
              <w:pStyle w:val="P68B1DB1-Normal11"/>
              <w:jc w:val="center"/>
              <w:rPr>
                <w:noProof/>
              </w:rPr>
            </w:pPr>
            <w:r>
              <w:rPr>
                <w:noProof/>
              </w:rPr>
              <w:t>2025</w:t>
            </w:r>
          </w:p>
        </w:tc>
        <w:tc>
          <w:tcPr>
            <w:tcW w:w="1047" w:type="pct"/>
            <w:shd w:val="clear" w:color="auto" w:fill="C6EFCE"/>
            <w:noWrap/>
            <w:vAlign w:val="center"/>
            <w:hideMark/>
          </w:tcPr>
          <w:p w14:paraId="6AD42FED" w14:textId="5C3CB00E" w:rsidR="00C972CB" w:rsidRDefault="002457F6">
            <w:pPr>
              <w:pStyle w:val="P68B1DB1-Normal11"/>
              <w:rPr>
                <w:noProof/>
              </w:rPr>
            </w:pPr>
            <w:r>
              <w:rPr>
                <w:noProof/>
              </w:rPr>
              <w:t>Vismaz 1000 tūrisma uzņēmumu, ko atbalsta MVU garantiju fonds.</w:t>
            </w:r>
          </w:p>
        </w:tc>
      </w:tr>
      <w:tr w:rsidR="00C972CB" w14:paraId="5B4D0286" w14:textId="77777777">
        <w:trPr>
          <w:trHeight w:val="313"/>
          <w:jc w:val="center"/>
        </w:trPr>
        <w:tc>
          <w:tcPr>
            <w:tcW w:w="377" w:type="pct"/>
            <w:shd w:val="clear" w:color="auto" w:fill="C6EFCE"/>
            <w:noWrap/>
            <w:vAlign w:val="center"/>
            <w:hideMark/>
          </w:tcPr>
          <w:p w14:paraId="43100B2C" w14:textId="77777777" w:rsidR="00C972CB" w:rsidRDefault="002457F6">
            <w:pPr>
              <w:pStyle w:val="P68B1DB1-Normal11"/>
              <w:jc w:val="center"/>
              <w:rPr>
                <w:noProof/>
              </w:rPr>
            </w:pPr>
            <w:r>
              <w:rPr>
                <w:noProof/>
              </w:rPr>
              <w:t>M1C3–33</w:t>
            </w:r>
          </w:p>
        </w:tc>
        <w:tc>
          <w:tcPr>
            <w:tcW w:w="520" w:type="pct"/>
            <w:shd w:val="clear" w:color="auto" w:fill="C6EFCE"/>
            <w:noWrap/>
            <w:vAlign w:val="center"/>
            <w:hideMark/>
          </w:tcPr>
          <w:p w14:paraId="07E849C5" w14:textId="41B37B25" w:rsidR="00C972CB" w:rsidRDefault="002457F6">
            <w:pPr>
              <w:pStyle w:val="P68B1DB1-Normal11"/>
              <w:jc w:val="center"/>
              <w:rPr>
                <w:noProof/>
              </w:rPr>
            </w:pPr>
            <w:r>
              <w:rPr>
                <w:noProof/>
              </w:rPr>
              <w:t>Ieguldījums. Tūrisma uzņēmumu konkurētspējas fondi</w:t>
            </w:r>
          </w:p>
        </w:tc>
        <w:tc>
          <w:tcPr>
            <w:tcW w:w="378" w:type="pct"/>
            <w:shd w:val="clear" w:color="auto" w:fill="C6EFCE"/>
            <w:noWrap/>
            <w:vAlign w:val="center"/>
            <w:hideMark/>
          </w:tcPr>
          <w:p w14:paraId="7562B785" w14:textId="77777777" w:rsidR="00C972CB" w:rsidRDefault="002457F6">
            <w:pPr>
              <w:pStyle w:val="P68B1DB1-Normal11"/>
              <w:jc w:val="center"/>
              <w:rPr>
                <w:noProof/>
              </w:rPr>
            </w:pPr>
            <w:r>
              <w:rPr>
                <w:noProof/>
              </w:rPr>
              <w:t>Mērķa</w:t>
            </w:r>
          </w:p>
        </w:tc>
        <w:tc>
          <w:tcPr>
            <w:tcW w:w="520" w:type="pct"/>
            <w:shd w:val="clear" w:color="auto" w:fill="C6EFCE"/>
            <w:noWrap/>
            <w:vAlign w:val="center"/>
            <w:hideMark/>
          </w:tcPr>
          <w:p w14:paraId="2CE51B9E" w14:textId="47107059" w:rsidR="00C972CB" w:rsidRDefault="002457F6">
            <w:pPr>
              <w:pStyle w:val="P68B1DB1-Normal11"/>
              <w:jc w:val="center"/>
              <w:rPr>
                <w:noProof/>
              </w:rPr>
            </w:pPr>
            <w:r>
              <w:rPr>
                <w:noProof/>
              </w:rPr>
              <w:t xml:space="preserve">To uzņēmumu skaits, kuri tiks atbalstīti ar Fondo rotācijas </w:t>
            </w:r>
            <w:r>
              <w:rPr>
                <w:noProof/>
              </w:rPr>
              <w:t>palīdzību (pirmā partija)</w:t>
            </w:r>
          </w:p>
        </w:tc>
        <w:tc>
          <w:tcPr>
            <w:tcW w:w="520" w:type="pct"/>
            <w:shd w:val="clear" w:color="auto" w:fill="C6EFCE"/>
            <w:noWrap/>
            <w:vAlign w:val="center"/>
            <w:hideMark/>
          </w:tcPr>
          <w:p w14:paraId="6C614C45"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08DA4864" w14:textId="7418C54D" w:rsidR="00C972CB" w:rsidRDefault="002457F6">
            <w:pPr>
              <w:pStyle w:val="P68B1DB1-Normal11"/>
              <w:jc w:val="center"/>
              <w:rPr>
                <w:noProof/>
              </w:rPr>
            </w:pPr>
            <w:r>
              <w:rPr>
                <w:noProof/>
              </w:rPr>
              <w:t>Skaits</w:t>
            </w:r>
          </w:p>
        </w:tc>
        <w:tc>
          <w:tcPr>
            <w:tcW w:w="332" w:type="pct"/>
            <w:shd w:val="clear" w:color="auto" w:fill="C6EFCE"/>
            <w:noWrap/>
            <w:vAlign w:val="center"/>
            <w:hideMark/>
          </w:tcPr>
          <w:p w14:paraId="6057A72F" w14:textId="10D0CF41" w:rsidR="00C972CB" w:rsidRDefault="002457F6">
            <w:pPr>
              <w:pStyle w:val="P68B1DB1-Normal11"/>
              <w:jc w:val="center"/>
              <w:rPr>
                <w:noProof/>
              </w:rPr>
            </w:pPr>
            <w:r>
              <w:rPr>
                <w:noProof/>
              </w:rPr>
              <w:t>0</w:t>
            </w:r>
          </w:p>
        </w:tc>
        <w:tc>
          <w:tcPr>
            <w:tcW w:w="424" w:type="pct"/>
            <w:shd w:val="clear" w:color="auto" w:fill="C6EFCE"/>
            <w:noWrap/>
            <w:vAlign w:val="center"/>
            <w:hideMark/>
          </w:tcPr>
          <w:p w14:paraId="593C573B" w14:textId="7B490138" w:rsidR="00C972CB" w:rsidRDefault="002457F6">
            <w:pPr>
              <w:pStyle w:val="P68B1DB1-Normal11"/>
              <w:jc w:val="center"/>
              <w:rPr>
                <w:noProof/>
              </w:rPr>
            </w:pPr>
            <w:r>
              <w:rPr>
                <w:noProof/>
              </w:rPr>
              <w:t>300</w:t>
            </w:r>
          </w:p>
        </w:tc>
        <w:tc>
          <w:tcPr>
            <w:tcW w:w="332" w:type="pct"/>
            <w:shd w:val="clear" w:color="auto" w:fill="C6EFCE"/>
            <w:noWrap/>
            <w:vAlign w:val="center"/>
            <w:hideMark/>
          </w:tcPr>
          <w:p w14:paraId="317218BD" w14:textId="45F85636" w:rsidR="00C972CB" w:rsidRDefault="002457F6">
            <w:pPr>
              <w:pStyle w:val="P68B1DB1-Normal11"/>
              <w:jc w:val="center"/>
              <w:rPr>
                <w:noProof/>
              </w:rPr>
            </w:pPr>
            <w:r>
              <w:rPr>
                <w:noProof/>
              </w:rPr>
              <w:t>4. CET.</w:t>
            </w:r>
          </w:p>
        </w:tc>
        <w:tc>
          <w:tcPr>
            <w:tcW w:w="220" w:type="pct"/>
            <w:shd w:val="clear" w:color="auto" w:fill="C6EFCE"/>
            <w:noWrap/>
            <w:vAlign w:val="center"/>
            <w:hideMark/>
          </w:tcPr>
          <w:p w14:paraId="0A62E5C4" w14:textId="691F2515" w:rsidR="00C972CB" w:rsidRDefault="002457F6">
            <w:pPr>
              <w:pStyle w:val="P68B1DB1-Normal11"/>
              <w:jc w:val="center"/>
              <w:rPr>
                <w:noProof/>
              </w:rPr>
            </w:pPr>
            <w:r>
              <w:rPr>
                <w:noProof/>
              </w:rPr>
              <w:t>2025</w:t>
            </w:r>
          </w:p>
        </w:tc>
        <w:tc>
          <w:tcPr>
            <w:tcW w:w="1047" w:type="pct"/>
            <w:shd w:val="clear" w:color="auto" w:fill="C6EFCE"/>
            <w:noWrap/>
            <w:vAlign w:val="center"/>
            <w:hideMark/>
          </w:tcPr>
          <w:p w14:paraId="0F153440" w14:textId="77777777" w:rsidR="00C972CB" w:rsidRDefault="002457F6">
            <w:pPr>
              <w:pStyle w:val="P68B1DB1-Normal11"/>
              <w:rPr>
                <w:noProof/>
              </w:rPr>
            </w:pPr>
            <w:r>
              <w:rPr>
                <w:noProof/>
              </w:rPr>
              <w:t>Vismaz 300 uzņēmumi, ko atbalsta Fondo Rotativo;</w:t>
            </w:r>
          </w:p>
          <w:p w14:paraId="3B822207" w14:textId="77777777" w:rsidR="00C972CB" w:rsidRDefault="00C972CB">
            <w:pPr>
              <w:rPr>
                <w:rFonts w:ascii="Arial Narrow" w:hAnsi="Arial Narrow"/>
                <w:noProof/>
                <w:color w:val="006100"/>
                <w:sz w:val="20"/>
              </w:rPr>
            </w:pPr>
          </w:p>
          <w:p w14:paraId="0A602D2B" w14:textId="77777777" w:rsidR="00C972CB" w:rsidRDefault="002457F6">
            <w:pPr>
              <w:pStyle w:val="P68B1DB1-Normal11"/>
              <w:rPr>
                <w:noProof/>
              </w:rPr>
            </w:pPr>
            <w:r>
              <w:rPr>
                <w:noProof/>
              </w:rPr>
              <w:t>Ar Fondo Rotativo starpniecību finansētās intervences ietver:</w:t>
            </w:r>
          </w:p>
          <w:p w14:paraId="26B1727C" w14:textId="77777777" w:rsidR="00C972CB" w:rsidRDefault="002457F6">
            <w:pPr>
              <w:pStyle w:val="P68B1DB1-ListParagraph13"/>
              <w:numPr>
                <w:ilvl w:val="0"/>
                <w:numId w:val="89"/>
              </w:numPr>
              <w:ind w:left="26" w:hanging="103"/>
              <w:jc w:val="left"/>
              <w:rPr>
                <w:noProof/>
              </w:rPr>
            </w:pPr>
            <w:r>
              <w:rPr>
                <w:noProof/>
              </w:rPr>
              <w:t>enerģijas pārkvalifikācijas intervences</w:t>
            </w:r>
          </w:p>
          <w:p w14:paraId="0081CACE" w14:textId="77777777" w:rsidR="00C972CB" w:rsidRDefault="002457F6">
            <w:pPr>
              <w:pStyle w:val="P68B1DB1-ListParagraph13"/>
              <w:numPr>
                <w:ilvl w:val="0"/>
                <w:numId w:val="89"/>
              </w:numPr>
              <w:ind w:left="26" w:hanging="103"/>
              <w:jc w:val="left"/>
              <w:rPr>
                <w:noProof/>
              </w:rPr>
            </w:pPr>
            <w:r>
              <w:rPr>
                <w:noProof/>
              </w:rPr>
              <w:t xml:space="preserve">iejaukšanās saistībā ar norobežojošām </w:t>
            </w:r>
            <w:r>
              <w:rPr>
                <w:noProof/>
              </w:rPr>
              <w:t>konstrukcijām un atjaunošanu saskaņā ar DPR 380/2001 3. panta 1. punkta b) apakšpunktu (vienots tiesību aktu un regulatīvo noteikumu teksts par ēkām)</w:t>
            </w:r>
          </w:p>
          <w:p w14:paraId="0E4DE674" w14:textId="77777777" w:rsidR="00C972CB" w:rsidRDefault="002457F6">
            <w:pPr>
              <w:pStyle w:val="P68B1DB1-ListParagraph13"/>
              <w:numPr>
                <w:ilvl w:val="0"/>
                <w:numId w:val="89"/>
              </w:numPr>
              <w:ind w:left="26" w:hanging="103"/>
              <w:jc w:val="left"/>
              <w:rPr>
                <w:noProof/>
              </w:rPr>
            </w:pPr>
            <w:r>
              <w:rPr>
                <w:noProof/>
              </w:rPr>
              <w:t>intervences pasākumi arhitektonisko šķēršļu likvidēšanai.</w:t>
            </w:r>
          </w:p>
          <w:p w14:paraId="5D8EAAA9" w14:textId="77777777" w:rsidR="00C972CB" w:rsidRDefault="002457F6">
            <w:pPr>
              <w:pStyle w:val="P68B1DB1-ListParagraph13"/>
              <w:numPr>
                <w:ilvl w:val="0"/>
                <w:numId w:val="89"/>
              </w:numPr>
              <w:ind w:left="26" w:hanging="103"/>
              <w:jc w:val="left"/>
              <w:rPr>
                <w:noProof/>
              </w:rPr>
            </w:pPr>
            <w:r>
              <w:rPr>
                <w:noProof/>
              </w:rPr>
              <w:t>gaisa kondicionēšanas sistēmu pilnīgas vai daļēj</w:t>
            </w:r>
            <w:r>
              <w:rPr>
                <w:noProof/>
              </w:rPr>
              <w:t>as nomaiņas iejaukšanās.</w:t>
            </w:r>
          </w:p>
          <w:p w14:paraId="4535F56A" w14:textId="77777777" w:rsidR="00C972CB" w:rsidRDefault="002457F6">
            <w:pPr>
              <w:pStyle w:val="P68B1DB1-ListParagraph13"/>
              <w:numPr>
                <w:ilvl w:val="0"/>
                <w:numId w:val="89"/>
              </w:numPr>
              <w:ind w:left="26" w:hanging="103"/>
              <w:jc w:val="left"/>
              <w:rPr>
                <w:noProof/>
              </w:rPr>
            </w:pPr>
            <w:r>
              <w:rPr>
                <w:noProof/>
              </w:rPr>
              <w:t>mēbeļu un dzīvokļu detaļu iegāde, kas paredzētas vienīgi šajā dekrētā minētajām izmitināšanas struktūrām</w:t>
            </w:r>
          </w:p>
          <w:p w14:paraId="4214C7C3" w14:textId="77777777" w:rsidR="00C972CB" w:rsidRDefault="002457F6">
            <w:pPr>
              <w:pStyle w:val="P68B1DB1-ListParagraph13"/>
              <w:numPr>
                <w:ilvl w:val="0"/>
                <w:numId w:val="89"/>
              </w:numPr>
              <w:ind w:left="26" w:hanging="103"/>
              <w:jc w:val="left"/>
              <w:rPr>
                <w:noProof/>
              </w:rPr>
            </w:pPr>
            <w:r>
              <w:rPr>
                <w:noProof/>
              </w:rPr>
              <w:t>intervences pasākumi pret seismisko pasākumu pieņemšanu</w:t>
            </w:r>
          </w:p>
          <w:p w14:paraId="32405F07" w14:textId="77777777" w:rsidR="00C972CB" w:rsidRDefault="002457F6">
            <w:pPr>
              <w:pStyle w:val="P68B1DB1-ListParagraph13"/>
              <w:numPr>
                <w:ilvl w:val="0"/>
                <w:numId w:val="89"/>
              </w:numPr>
              <w:ind w:left="26" w:hanging="103"/>
              <w:jc w:val="left"/>
              <w:rPr>
                <w:noProof/>
              </w:rPr>
            </w:pPr>
            <w:r>
              <w:rPr>
                <w:noProof/>
              </w:rPr>
              <w:t>aprīkojuma sastāvdaļu atjaunošana.</w:t>
            </w:r>
          </w:p>
          <w:p w14:paraId="6A8A6B8D" w14:textId="77777777" w:rsidR="00C972CB" w:rsidRDefault="002457F6">
            <w:pPr>
              <w:pStyle w:val="P68B1DB1-ListParagraph13"/>
              <w:numPr>
                <w:ilvl w:val="0"/>
                <w:numId w:val="89"/>
              </w:numPr>
              <w:ind w:left="26" w:hanging="103"/>
              <w:jc w:val="left"/>
              <w:rPr>
                <w:noProof/>
              </w:rPr>
            </w:pPr>
            <w:r>
              <w:rPr>
                <w:noProof/>
              </w:rPr>
              <w:t>siltumkrānu ierīkošana un kūrortu d</w:t>
            </w:r>
            <w:r>
              <w:rPr>
                <w:noProof/>
              </w:rPr>
              <w:t>arbību veikšanai nepieciešamā aprīkojuma un aparatūras iegāde, kā arī gadatirgi izstāžu struktūru atjaunošanai.</w:t>
            </w:r>
          </w:p>
        </w:tc>
      </w:tr>
      <w:tr w:rsidR="00C972CB" w14:paraId="331691A9" w14:textId="77777777">
        <w:trPr>
          <w:trHeight w:val="313"/>
          <w:jc w:val="center"/>
        </w:trPr>
        <w:tc>
          <w:tcPr>
            <w:tcW w:w="377" w:type="pct"/>
            <w:shd w:val="clear" w:color="auto" w:fill="C6EFCE"/>
            <w:noWrap/>
            <w:vAlign w:val="center"/>
            <w:hideMark/>
          </w:tcPr>
          <w:p w14:paraId="3466A3A6" w14:textId="77777777" w:rsidR="00C972CB" w:rsidRDefault="002457F6">
            <w:pPr>
              <w:pStyle w:val="P68B1DB1-Normal11"/>
              <w:jc w:val="center"/>
              <w:rPr>
                <w:noProof/>
              </w:rPr>
            </w:pPr>
            <w:r>
              <w:rPr>
                <w:noProof/>
              </w:rPr>
              <w:t>M1C3–34</w:t>
            </w:r>
          </w:p>
        </w:tc>
        <w:tc>
          <w:tcPr>
            <w:tcW w:w="520" w:type="pct"/>
            <w:shd w:val="clear" w:color="auto" w:fill="C6EFCE"/>
            <w:noWrap/>
            <w:vAlign w:val="center"/>
            <w:hideMark/>
          </w:tcPr>
          <w:p w14:paraId="19332B69" w14:textId="1E47C1AF" w:rsidR="00C972CB" w:rsidRDefault="002457F6">
            <w:pPr>
              <w:pStyle w:val="P68B1DB1-Normal11"/>
              <w:jc w:val="center"/>
              <w:rPr>
                <w:noProof/>
              </w:rPr>
            </w:pPr>
            <w:r>
              <w:rPr>
                <w:noProof/>
              </w:rPr>
              <w:t>Ieguldījums. Tūrisma uzņēmumu konkurētspējas fondi</w:t>
            </w:r>
          </w:p>
        </w:tc>
        <w:tc>
          <w:tcPr>
            <w:tcW w:w="378" w:type="pct"/>
            <w:shd w:val="clear" w:color="auto" w:fill="C6EFCE"/>
            <w:noWrap/>
            <w:vAlign w:val="center"/>
            <w:hideMark/>
          </w:tcPr>
          <w:p w14:paraId="523AB74B" w14:textId="749C780E" w:rsidR="00C972CB" w:rsidRDefault="002457F6">
            <w:pPr>
              <w:pStyle w:val="P68B1DB1-Normal11"/>
              <w:jc w:val="center"/>
              <w:rPr>
                <w:noProof/>
              </w:rPr>
            </w:pPr>
            <w:r>
              <w:rPr>
                <w:noProof/>
              </w:rPr>
              <w:t>Mērķa</w:t>
            </w:r>
          </w:p>
        </w:tc>
        <w:tc>
          <w:tcPr>
            <w:tcW w:w="520" w:type="pct"/>
            <w:shd w:val="clear" w:color="auto" w:fill="C6EFCE"/>
            <w:noWrap/>
            <w:vAlign w:val="center"/>
            <w:hideMark/>
          </w:tcPr>
          <w:p w14:paraId="02719F4A" w14:textId="43785402" w:rsidR="00C972CB" w:rsidRDefault="002457F6">
            <w:pPr>
              <w:pStyle w:val="P68B1DB1-Normal11"/>
              <w:jc w:val="center"/>
              <w:rPr>
                <w:noProof/>
              </w:rPr>
            </w:pPr>
            <w:r>
              <w:rPr>
                <w:noProof/>
              </w:rPr>
              <w:t>Valsts Tūrisma fonda tūrisma vajadzībām pārbūvēto nekustamo īpašumu skaits</w:t>
            </w:r>
          </w:p>
        </w:tc>
        <w:tc>
          <w:tcPr>
            <w:tcW w:w="520" w:type="pct"/>
            <w:shd w:val="clear" w:color="auto" w:fill="C6EFCE"/>
            <w:noWrap/>
            <w:vAlign w:val="center"/>
            <w:hideMark/>
          </w:tcPr>
          <w:p w14:paraId="5BF88A96" w14:textId="77777777" w:rsidR="00C972CB" w:rsidRDefault="00C972CB">
            <w:pPr>
              <w:jc w:val="center"/>
              <w:rPr>
                <w:rFonts w:ascii="Arial Narrow" w:hAnsi="Arial Narrow"/>
                <w:noProof/>
                <w:color w:val="006100"/>
                <w:sz w:val="20"/>
              </w:rPr>
            </w:pPr>
          </w:p>
        </w:tc>
        <w:tc>
          <w:tcPr>
            <w:tcW w:w="331" w:type="pct"/>
            <w:shd w:val="clear" w:color="auto" w:fill="C6EFCE"/>
            <w:noWrap/>
            <w:vAlign w:val="center"/>
            <w:hideMark/>
          </w:tcPr>
          <w:p w14:paraId="68E978E1"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5FCF3F28"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79D19696" w14:textId="26F485D0" w:rsidR="00C972CB" w:rsidRDefault="002457F6">
            <w:pPr>
              <w:pStyle w:val="P68B1DB1-Normal11"/>
              <w:jc w:val="center"/>
              <w:rPr>
                <w:noProof/>
              </w:rPr>
            </w:pPr>
            <w:r>
              <w:rPr>
                <w:noProof/>
              </w:rPr>
              <w:t>12</w:t>
            </w:r>
          </w:p>
        </w:tc>
        <w:tc>
          <w:tcPr>
            <w:tcW w:w="332" w:type="pct"/>
            <w:shd w:val="clear" w:color="auto" w:fill="C6EFCE"/>
            <w:noWrap/>
            <w:vAlign w:val="center"/>
            <w:hideMark/>
          </w:tcPr>
          <w:p w14:paraId="788AE5E2" w14:textId="77777777" w:rsidR="00C972CB" w:rsidRDefault="002457F6">
            <w:pPr>
              <w:pStyle w:val="P68B1DB1-Normal11"/>
              <w:jc w:val="center"/>
              <w:rPr>
                <w:noProof/>
              </w:rPr>
            </w:pPr>
            <w:r>
              <w:rPr>
                <w:noProof/>
              </w:rPr>
              <w:t>4. CET.</w:t>
            </w:r>
          </w:p>
        </w:tc>
        <w:tc>
          <w:tcPr>
            <w:tcW w:w="220" w:type="pct"/>
            <w:shd w:val="clear" w:color="auto" w:fill="C6EFCE"/>
            <w:noWrap/>
            <w:vAlign w:val="center"/>
            <w:hideMark/>
          </w:tcPr>
          <w:p w14:paraId="03A216CD" w14:textId="77777777" w:rsidR="00C972CB" w:rsidRDefault="002457F6">
            <w:pPr>
              <w:pStyle w:val="P68B1DB1-Normal11"/>
              <w:jc w:val="center"/>
              <w:rPr>
                <w:noProof/>
              </w:rPr>
            </w:pPr>
            <w:r>
              <w:rPr>
                <w:noProof/>
              </w:rPr>
              <w:t>2025</w:t>
            </w:r>
          </w:p>
        </w:tc>
        <w:tc>
          <w:tcPr>
            <w:tcW w:w="1047" w:type="pct"/>
            <w:shd w:val="clear" w:color="auto" w:fill="C6EFCE"/>
            <w:noWrap/>
            <w:vAlign w:val="center"/>
            <w:hideMark/>
          </w:tcPr>
          <w:p w14:paraId="7C516826" w14:textId="77777777" w:rsidR="00C972CB" w:rsidRDefault="002457F6">
            <w:pPr>
              <w:pStyle w:val="P68B1DB1-Normal11"/>
              <w:rPr>
                <w:noProof/>
              </w:rPr>
            </w:pPr>
            <w:r>
              <w:rPr>
                <w:noProof/>
              </w:rPr>
              <w:t>Vismaz 12 nekustamā īpašuma īpašumi, kurus valsts tūrisma fonds ir atjaunojis tūrismam un kuri varētu sasniegt 17 nekustamo īpašumus, ņemot vērā sviras efektu.</w:t>
            </w:r>
          </w:p>
          <w:p w14:paraId="5A15640D" w14:textId="77777777" w:rsidR="00C972CB" w:rsidRDefault="002457F6">
            <w:pPr>
              <w:pStyle w:val="P68B1DB1-ListParagraph13"/>
              <w:ind w:left="26"/>
              <w:jc w:val="left"/>
              <w:rPr>
                <w:noProof/>
              </w:rPr>
            </w:pPr>
            <w:r>
              <w:rPr>
                <w:noProof/>
              </w:rPr>
              <w:t xml:space="preserve">Valsts tūrisma fonda atbalsta mērķis ir: </w:t>
            </w:r>
          </w:p>
          <w:p w14:paraId="01AC3672" w14:textId="77777777" w:rsidR="00C972CB" w:rsidRDefault="002457F6">
            <w:pPr>
              <w:pStyle w:val="P68B1DB1-ListParagraph13"/>
              <w:numPr>
                <w:ilvl w:val="0"/>
                <w:numId w:val="89"/>
              </w:numPr>
              <w:ind w:left="26" w:hanging="103"/>
              <w:jc w:val="left"/>
              <w:rPr>
                <w:noProof/>
              </w:rPr>
            </w:pPr>
            <w:r>
              <w:rPr>
                <w:noProof/>
              </w:rPr>
              <w:t>Investīcijas produktu, proces</w:t>
            </w:r>
            <w:r>
              <w:rPr>
                <w:noProof/>
              </w:rPr>
              <w:t>u un pārvaldības inovācijā, lai veicinātu tūrisma pakalpojumu sniegšanas digitālo pārveidi,</w:t>
            </w:r>
          </w:p>
          <w:p w14:paraId="46B16039" w14:textId="77777777" w:rsidR="00C972CB" w:rsidRDefault="002457F6">
            <w:pPr>
              <w:pStyle w:val="P68B1DB1-ListParagraph13"/>
              <w:numPr>
                <w:ilvl w:val="0"/>
                <w:numId w:val="89"/>
              </w:numPr>
              <w:ind w:left="26" w:hanging="103"/>
              <w:jc w:val="left"/>
              <w:rPr>
                <w:noProof/>
              </w:rPr>
            </w:pPr>
            <w:r>
              <w:rPr>
                <w:noProof/>
              </w:rPr>
              <w:t xml:space="preserve">Ieguldījumi tūristu viesmīlības standartu kvalitātes nodrošināšanā </w:t>
            </w:r>
          </w:p>
          <w:p w14:paraId="5695276E" w14:textId="74012F20" w:rsidR="00C972CB" w:rsidRDefault="002457F6">
            <w:pPr>
              <w:pStyle w:val="P68B1DB1-ListParagraph13"/>
              <w:numPr>
                <w:ilvl w:val="0"/>
                <w:numId w:val="89"/>
              </w:numPr>
              <w:ind w:left="26" w:hanging="103"/>
              <w:jc w:val="left"/>
              <w:rPr>
                <w:noProof/>
              </w:rPr>
            </w:pPr>
            <w:r>
              <w:rPr>
                <w:noProof/>
              </w:rPr>
              <w:t>veicināt summēšanu un uzņēmējdarbības tīklu attīstību.</w:t>
            </w:r>
          </w:p>
        </w:tc>
      </w:tr>
      <w:tr w:rsidR="00C972CB" w14:paraId="1A41421D" w14:textId="77777777">
        <w:trPr>
          <w:trHeight w:val="313"/>
          <w:jc w:val="center"/>
        </w:trPr>
        <w:tc>
          <w:tcPr>
            <w:tcW w:w="377" w:type="pct"/>
            <w:shd w:val="clear" w:color="auto" w:fill="C6EFCE"/>
            <w:noWrap/>
            <w:vAlign w:val="center"/>
            <w:hideMark/>
          </w:tcPr>
          <w:p w14:paraId="03DECD0D" w14:textId="77777777" w:rsidR="00C972CB" w:rsidRDefault="002457F6">
            <w:pPr>
              <w:pStyle w:val="P68B1DB1-Normal11"/>
              <w:jc w:val="center"/>
              <w:rPr>
                <w:noProof/>
              </w:rPr>
            </w:pPr>
            <w:r>
              <w:rPr>
                <w:noProof/>
              </w:rPr>
              <w:t>M1C3–35</w:t>
            </w:r>
          </w:p>
        </w:tc>
        <w:tc>
          <w:tcPr>
            <w:tcW w:w="520" w:type="pct"/>
            <w:shd w:val="clear" w:color="auto" w:fill="C6EFCE"/>
            <w:noWrap/>
            <w:vAlign w:val="center"/>
            <w:hideMark/>
          </w:tcPr>
          <w:p w14:paraId="156D183C" w14:textId="77777777" w:rsidR="00C972CB" w:rsidRDefault="002457F6">
            <w:pPr>
              <w:pStyle w:val="P68B1DB1-Normal11"/>
              <w:jc w:val="center"/>
              <w:rPr>
                <w:noProof/>
              </w:rPr>
            </w:pPr>
            <w:r>
              <w:rPr>
                <w:noProof/>
              </w:rPr>
              <w:t xml:space="preserve">Ieguldījumi — 4.3. “Caput </w:t>
            </w:r>
            <w:r>
              <w:rPr>
                <w:noProof/>
              </w:rPr>
              <w:t>Mundi-Next Generation EU” lieliem tūrisma pasākumiem</w:t>
            </w:r>
          </w:p>
        </w:tc>
        <w:tc>
          <w:tcPr>
            <w:tcW w:w="378" w:type="pct"/>
            <w:shd w:val="clear" w:color="auto" w:fill="C6EFCE"/>
            <w:noWrap/>
            <w:vAlign w:val="center"/>
            <w:hideMark/>
          </w:tcPr>
          <w:p w14:paraId="1547653B" w14:textId="77777777" w:rsidR="00C972CB" w:rsidRDefault="002457F6">
            <w:pPr>
              <w:pStyle w:val="P68B1DB1-Normal11"/>
              <w:jc w:val="center"/>
              <w:rPr>
                <w:noProof/>
              </w:rPr>
            </w:pPr>
            <w:r>
              <w:rPr>
                <w:noProof/>
              </w:rPr>
              <w:t>Starpposma mērķis</w:t>
            </w:r>
          </w:p>
        </w:tc>
        <w:tc>
          <w:tcPr>
            <w:tcW w:w="520" w:type="pct"/>
            <w:shd w:val="clear" w:color="auto" w:fill="C6EFCE"/>
            <w:noWrap/>
            <w:vAlign w:val="center"/>
            <w:hideMark/>
          </w:tcPr>
          <w:p w14:paraId="6F033B15" w14:textId="77777777" w:rsidR="00C972CB" w:rsidRDefault="002457F6">
            <w:pPr>
              <w:pStyle w:val="P68B1DB1-Normal11"/>
              <w:jc w:val="center"/>
              <w:rPr>
                <w:noProof/>
              </w:rPr>
            </w:pPr>
            <w:r>
              <w:rPr>
                <w:noProof/>
              </w:rPr>
              <w:t>Katra nolīguma parakstīšana par sešiem projektiem starp Tūrisma ministriju un atbalsta saņēmējiem/īstenošanas struktūrām</w:t>
            </w:r>
          </w:p>
        </w:tc>
        <w:tc>
          <w:tcPr>
            <w:tcW w:w="520" w:type="pct"/>
            <w:shd w:val="clear" w:color="auto" w:fill="C6EFCE"/>
            <w:noWrap/>
            <w:vAlign w:val="center"/>
            <w:hideMark/>
          </w:tcPr>
          <w:p w14:paraId="656A0F17" w14:textId="1CA18EE2" w:rsidR="00C972CB" w:rsidRDefault="002457F6">
            <w:pPr>
              <w:pStyle w:val="P68B1DB1-Normal11"/>
              <w:jc w:val="center"/>
              <w:rPr>
                <w:noProof/>
              </w:rPr>
            </w:pPr>
            <w:r>
              <w:rPr>
                <w:noProof/>
              </w:rPr>
              <w:t xml:space="preserve">Programmas nolīguma publicēšana starp Tūrisma ministriju, Romas </w:t>
            </w:r>
            <w:r>
              <w:rPr>
                <w:noProof/>
              </w:rPr>
              <w:t>galvaspilsētas pašvaldību un citiem iesaistītajiem dalībniekiem</w:t>
            </w:r>
          </w:p>
        </w:tc>
        <w:tc>
          <w:tcPr>
            <w:tcW w:w="331" w:type="pct"/>
            <w:shd w:val="clear" w:color="auto" w:fill="C6EFCE"/>
            <w:noWrap/>
            <w:vAlign w:val="center"/>
            <w:hideMark/>
          </w:tcPr>
          <w:p w14:paraId="30D1DCCB" w14:textId="77777777" w:rsidR="00C972CB" w:rsidRDefault="002457F6">
            <w:pPr>
              <w:pStyle w:val="P68B1DB1-Normal11"/>
              <w:jc w:val="center"/>
              <w:rPr>
                <w:noProof/>
              </w:rPr>
            </w:pPr>
            <w:r>
              <w:rPr>
                <w:noProof/>
              </w:rPr>
              <w:t>NEPIEMĒRO</w:t>
            </w:r>
          </w:p>
        </w:tc>
        <w:tc>
          <w:tcPr>
            <w:tcW w:w="332" w:type="pct"/>
            <w:shd w:val="clear" w:color="auto" w:fill="C6EFCE"/>
            <w:noWrap/>
            <w:vAlign w:val="center"/>
            <w:hideMark/>
          </w:tcPr>
          <w:p w14:paraId="7E101FC0" w14:textId="77777777" w:rsidR="00C972CB" w:rsidRDefault="002457F6">
            <w:pPr>
              <w:pStyle w:val="P68B1DB1-Normal11"/>
              <w:jc w:val="center"/>
              <w:rPr>
                <w:noProof/>
              </w:rPr>
            </w:pPr>
            <w:r>
              <w:rPr>
                <w:noProof/>
              </w:rPr>
              <w:t>NEPIEMĒRO</w:t>
            </w:r>
          </w:p>
        </w:tc>
        <w:tc>
          <w:tcPr>
            <w:tcW w:w="424" w:type="pct"/>
            <w:shd w:val="clear" w:color="auto" w:fill="C6EFCE"/>
            <w:noWrap/>
            <w:vAlign w:val="center"/>
            <w:hideMark/>
          </w:tcPr>
          <w:p w14:paraId="4B9EF7F1" w14:textId="77777777" w:rsidR="00C972CB" w:rsidRDefault="002457F6">
            <w:pPr>
              <w:pStyle w:val="P68B1DB1-Normal11"/>
              <w:jc w:val="center"/>
              <w:rPr>
                <w:noProof/>
              </w:rPr>
            </w:pPr>
            <w:r>
              <w:rPr>
                <w:noProof/>
              </w:rPr>
              <w:t>NEPIEMĒRO</w:t>
            </w:r>
          </w:p>
        </w:tc>
        <w:tc>
          <w:tcPr>
            <w:tcW w:w="332" w:type="pct"/>
            <w:shd w:val="clear" w:color="auto" w:fill="C6EFCE"/>
            <w:noWrap/>
            <w:vAlign w:val="center"/>
            <w:hideMark/>
          </w:tcPr>
          <w:p w14:paraId="2C9AC7AC" w14:textId="77777777" w:rsidR="00C972CB" w:rsidRDefault="002457F6">
            <w:pPr>
              <w:pStyle w:val="P68B1DB1-Normal11"/>
              <w:jc w:val="center"/>
              <w:rPr>
                <w:noProof/>
              </w:rPr>
            </w:pPr>
            <w:r>
              <w:rPr>
                <w:noProof/>
              </w:rPr>
              <w:t>2. CET.</w:t>
            </w:r>
          </w:p>
        </w:tc>
        <w:tc>
          <w:tcPr>
            <w:tcW w:w="220" w:type="pct"/>
            <w:shd w:val="clear" w:color="auto" w:fill="C6EFCE"/>
            <w:noWrap/>
            <w:vAlign w:val="center"/>
            <w:hideMark/>
          </w:tcPr>
          <w:p w14:paraId="48EAD345" w14:textId="77777777" w:rsidR="00C972CB" w:rsidRDefault="002457F6">
            <w:pPr>
              <w:pStyle w:val="P68B1DB1-Normal11"/>
              <w:jc w:val="center"/>
              <w:rPr>
                <w:noProof/>
              </w:rPr>
            </w:pPr>
            <w:r>
              <w:rPr>
                <w:noProof/>
              </w:rPr>
              <w:t>2022</w:t>
            </w:r>
          </w:p>
        </w:tc>
        <w:tc>
          <w:tcPr>
            <w:tcW w:w="1047" w:type="pct"/>
            <w:shd w:val="clear" w:color="auto" w:fill="C6EFCE"/>
            <w:noWrap/>
            <w:vAlign w:val="center"/>
            <w:hideMark/>
          </w:tcPr>
          <w:p w14:paraId="73B7EA56" w14:textId="77777777" w:rsidR="00C972CB" w:rsidRDefault="00C972CB">
            <w:pPr>
              <w:rPr>
                <w:rFonts w:ascii="Arial Narrow" w:hAnsi="Arial Narrow"/>
                <w:noProof/>
                <w:color w:val="006100"/>
                <w:sz w:val="20"/>
              </w:rPr>
            </w:pPr>
          </w:p>
          <w:p w14:paraId="71A5D123" w14:textId="77777777" w:rsidR="00C972CB" w:rsidRDefault="002457F6">
            <w:pPr>
              <w:pStyle w:val="P68B1DB1-Normal10"/>
              <w:rPr>
                <w:noProof/>
                <w:color w:val="006100"/>
                <w:sz w:val="20"/>
              </w:rPr>
            </w:pPr>
            <w:r>
              <w:rPr>
                <w:noProof/>
                <w:color w:val="006100"/>
                <w:sz w:val="20"/>
              </w:rPr>
              <w:t>Nolīgumus paraksta attiecībā uz sešiem projektiem:</w:t>
            </w:r>
            <w:r>
              <w:rPr>
                <w:noProof/>
              </w:rPr>
              <w:t xml:space="preserve"> </w:t>
            </w:r>
            <w:r>
              <w:rPr>
                <w:noProof/>
              </w:rPr>
              <w:br/>
            </w:r>
            <w:r>
              <w:rPr>
                <w:noProof/>
                <w:color w:val="006100"/>
                <w:sz w:val="20"/>
              </w:rPr>
              <w:t xml:space="preserve"> 1) romiešu kultūras mantojums ES nākamajai paaudzei; 2) no Pagan Romas uz Kristīgo Romu — Jubilejas ceļi; 3) #Lacittàcondivisa; 4) #Mitingodiverde; 5) romi 4.0; 6) #Amanotesa</w:t>
            </w:r>
          </w:p>
          <w:p w14:paraId="01551B23" w14:textId="77777777" w:rsidR="00C972CB" w:rsidRDefault="00C972CB">
            <w:pPr>
              <w:rPr>
                <w:rFonts w:ascii="Arial Narrow" w:hAnsi="Arial Narrow"/>
                <w:noProof/>
                <w:color w:val="006100"/>
                <w:sz w:val="20"/>
              </w:rPr>
            </w:pPr>
          </w:p>
          <w:p w14:paraId="38FEC516" w14:textId="77777777" w:rsidR="00C972CB" w:rsidRDefault="002457F6">
            <w:pPr>
              <w:pStyle w:val="P68B1DB1-Normal11"/>
              <w:rPr>
                <w:noProof/>
              </w:rPr>
            </w:pPr>
            <w:r>
              <w:rPr>
                <w:noProof/>
              </w:rPr>
              <w:t>Saņēmēju/īstenošanas struktūru sarakstā iekļauj: Romas galvaspilsēta; Romas arh</w:t>
            </w:r>
            <w:r>
              <w:rPr>
                <w:noProof/>
              </w:rPr>
              <w:t>eoloģiskā kultūras, vides un ainavu mantojuma virsvadība (MIC); Kolumbijas arheoloģiskais parks;  Appia Antica arheoloģiskais parks; Romas diecēze; Tūrisma ministrija; Lacio reģions.</w:t>
            </w:r>
          </w:p>
          <w:p w14:paraId="20DBBFC0" w14:textId="77777777" w:rsidR="00C972CB" w:rsidRDefault="00C972CB">
            <w:pPr>
              <w:rPr>
                <w:rFonts w:ascii="Arial Narrow" w:hAnsi="Arial Narrow"/>
                <w:noProof/>
                <w:color w:val="006100"/>
                <w:sz w:val="20"/>
              </w:rPr>
            </w:pPr>
          </w:p>
          <w:p w14:paraId="2957F720" w14:textId="77777777" w:rsidR="00C972CB" w:rsidRDefault="002457F6">
            <w:pPr>
              <w:pStyle w:val="P68B1DB1-Normal11"/>
              <w:rPr>
                <w:noProof/>
              </w:rPr>
            </w:pPr>
            <w:r>
              <w:rPr>
                <w:noProof/>
              </w:rPr>
              <w:t>Pirms uzaicinājuma iesniegt piedāvājumus atlases un piešķiršanas kritēri</w:t>
            </w:r>
            <w:r>
              <w:rPr>
                <w:noProof/>
              </w:rPr>
              <w:t>jus un projektu specifiku nosaka, izmantojot saistītos resursus.</w:t>
            </w:r>
          </w:p>
          <w:p w14:paraId="2EB06051" w14:textId="77777777" w:rsidR="00C972CB" w:rsidRDefault="00C972CB">
            <w:pPr>
              <w:rPr>
                <w:rFonts w:ascii="Arial Narrow" w:hAnsi="Arial Narrow"/>
                <w:noProof/>
                <w:color w:val="006100"/>
                <w:sz w:val="20"/>
              </w:rPr>
            </w:pPr>
          </w:p>
          <w:p w14:paraId="1A787585" w14:textId="078B4D60" w:rsidR="00C972CB" w:rsidRDefault="002457F6">
            <w:pPr>
              <w:pStyle w:val="P68B1DB1-Normal11"/>
              <w:rPr>
                <w:noProof/>
              </w:rPr>
            </w:pPr>
            <w:r>
              <w:rPr>
                <w:noProof/>
              </w:rPr>
              <w:t xml:space="preserve">Līgumslēgšanas tiesību piešķiršana projektiem, kas atlasīti konkursa uzaicinājumos iesniegt priekšlikumus, atbilst Tehniskajiem norādījumiem “Nenodarīt būtisku kaitējumu” (2021/C58/01), </w:t>
            </w:r>
            <w:r>
              <w:rPr>
                <w:noProof/>
              </w:rPr>
              <w:t>izmantojot izslēgšanas sarakstu un prasību par atbilstību attiecīgajiem ES un valsts tiesību aktiem vides jomā.</w:t>
            </w:r>
          </w:p>
        </w:tc>
      </w:tr>
      <w:tr w:rsidR="00C972CB" w14:paraId="7F2DBCD5" w14:textId="77777777">
        <w:trPr>
          <w:trHeight w:val="313"/>
          <w:jc w:val="center"/>
        </w:trPr>
        <w:tc>
          <w:tcPr>
            <w:tcW w:w="377" w:type="pct"/>
            <w:shd w:val="clear" w:color="auto" w:fill="C6EFCE"/>
            <w:noWrap/>
            <w:vAlign w:val="center"/>
            <w:hideMark/>
          </w:tcPr>
          <w:p w14:paraId="5492215C" w14:textId="77777777" w:rsidR="00C972CB" w:rsidRDefault="002457F6">
            <w:pPr>
              <w:pStyle w:val="P68B1DB1-Normal11"/>
              <w:jc w:val="center"/>
              <w:rPr>
                <w:noProof/>
              </w:rPr>
            </w:pPr>
            <w:r>
              <w:rPr>
                <w:noProof/>
              </w:rPr>
              <w:t>M1C3–36</w:t>
            </w:r>
          </w:p>
        </w:tc>
        <w:tc>
          <w:tcPr>
            <w:tcW w:w="520" w:type="pct"/>
            <w:shd w:val="clear" w:color="auto" w:fill="C6EFCE"/>
            <w:noWrap/>
            <w:vAlign w:val="center"/>
            <w:hideMark/>
          </w:tcPr>
          <w:p w14:paraId="0516A390" w14:textId="77777777" w:rsidR="00C972CB" w:rsidRDefault="002457F6">
            <w:pPr>
              <w:pStyle w:val="P68B1DB1-Normal11"/>
              <w:jc w:val="center"/>
              <w:rPr>
                <w:noProof/>
              </w:rPr>
            </w:pPr>
            <w:r>
              <w:rPr>
                <w:noProof/>
              </w:rPr>
              <w:t>Ieguldījumi — 4.3. Caput Mundi-Next Generation EU tūrisma lieliskiem pasākumiem</w:t>
            </w:r>
          </w:p>
        </w:tc>
        <w:tc>
          <w:tcPr>
            <w:tcW w:w="378" w:type="pct"/>
            <w:shd w:val="clear" w:color="auto" w:fill="C6EFCE"/>
            <w:noWrap/>
            <w:vAlign w:val="center"/>
            <w:hideMark/>
          </w:tcPr>
          <w:p w14:paraId="508D7652" w14:textId="77777777" w:rsidR="00C972CB" w:rsidRDefault="002457F6">
            <w:pPr>
              <w:pStyle w:val="P68B1DB1-Normal11"/>
              <w:jc w:val="center"/>
              <w:rPr>
                <w:noProof/>
              </w:rPr>
            </w:pPr>
            <w:r>
              <w:rPr>
                <w:noProof/>
              </w:rPr>
              <w:t>Mērķa</w:t>
            </w:r>
          </w:p>
        </w:tc>
        <w:tc>
          <w:tcPr>
            <w:tcW w:w="520" w:type="pct"/>
            <w:shd w:val="clear" w:color="auto" w:fill="C6EFCE"/>
            <w:noWrap/>
            <w:vAlign w:val="center"/>
            <w:hideMark/>
          </w:tcPr>
          <w:p w14:paraId="77CD1EA1" w14:textId="4C04C1E6" w:rsidR="00C972CB" w:rsidRDefault="002457F6">
            <w:pPr>
              <w:pStyle w:val="P68B1DB1-Normal11"/>
              <w:jc w:val="center"/>
              <w:rPr>
                <w:noProof/>
              </w:rPr>
            </w:pPr>
            <w:r>
              <w:rPr>
                <w:noProof/>
              </w:rPr>
              <w:t xml:space="preserve">To kultūras un tūrisma objektu skaits, kuru </w:t>
            </w:r>
            <w:r>
              <w:rPr>
                <w:noProof/>
              </w:rPr>
              <w:t>pārkvalificēšana ir pabeigta</w:t>
            </w:r>
          </w:p>
        </w:tc>
        <w:tc>
          <w:tcPr>
            <w:tcW w:w="520" w:type="pct"/>
            <w:shd w:val="clear" w:color="auto" w:fill="C6EFCE"/>
            <w:noWrap/>
            <w:vAlign w:val="center"/>
            <w:hideMark/>
          </w:tcPr>
          <w:p w14:paraId="131D06EB" w14:textId="77777777" w:rsidR="00C972CB" w:rsidRDefault="002457F6">
            <w:pPr>
              <w:pStyle w:val="P68B1DB1-Normal11"/>
              <w:jc w:val="center"/>
              <w:rPr>
                <w:noProof/>
              </w:rPr>
            </w:pPr>
            <w:r>
              <w:rPr>
                <w:noProof/>
              </w:rPr>
              <w:t>NEPIEMĒRO</w:t>
            </w:r>
          </w:p>
        </w:tc>
        <w:tc>
          <w:tcPr>
            <w:tcW w:w="331" w:type="pct"/>
            <w:shd w:val="clear" w:color="auto" w:fill="C6EFCE"/>
            <w:noWrap/>
            <w:vAlign w:val="center"/>
            <w:hideMark/>
          </w:tcPr>
          <w:p w14:paraId="5B9F25BC" w14:textId="77777777" w:rsidR="00C972CB" w:rsidRDefault="002457F6">
            <w:pPr>
              <w:pStyle w:val="P68B1DB1-Normal11"/>
              <w:jc w:val="center"/>
              <w:rPr>
                <w:noProof/>
              </w:rPr>
            </w:pPr>
            <w:r>
              <w:rPr>
                <w:noProof/>
              </w:rPr>
              <w:t>Skaits</w:t>
            </w:r>
          </w:p>
        </w:tc>
        <w:tc>
          <w:tcPr>
            <w:tcW w:w="332" w:type="pct"/>
            <w:shd w:val="clear" w:color="auto" w:fill="C6EFCE"/>
            <w:noWrap/>
            <w:vAlign w:val="center"/>
            <w:hideMark/>
          </w:tcPr>
          <w:p w14:paraId="03777844" w14:textId="77777777" w:rsidR="00C972CB" w:rsidRDefault="002457F6">
            <w:pPr>
              <w:pStyle w:val="P68B1DB1-Normal11"/>
              <w:jc w:val="center"/>
              <w:rPr>
                <w:noProof/>
              </w:rPr>
            </w:pPr>
            <w:r>
              <w:rPr>
                <w:noProof/>
              </w:rPr>
              <w:t>0</w:t>
            </w:r>
          </w:p>
        </w:tc>
        <w:tc>
          <w:tcPr>
            <w:tcW w:w="424" w:type="pct"/>
            <w:shd w:val="clear" w:color="auto" w:fill="C6EFCE"/>
            <w:noWrap/>
            <w:vAlign w:val="center"/>
            <w:hideMark/>
          </w:tcPr>
          <w:p w14:paraId="194D6973" w14:textId="77777777" w:rsidR="00C972CB" w:rsidRDefault="002457F6">
            <w:pPr>
              <w:pStyle w:val="P68B1DB1-Normal11"/>
              <w:jc w:val="center"/>
              <w:rPr>
                <w:noProof/>
              </w:rPr>
            </w:pPr>
            <w:r>
              <w:rPr>
                <w:noProof/>
              </w:rPr>
              <w:t>200</w:t>
            </w:r>
          </w:p>
        </w:tc>
        <w:tc>
          <w:tcPr>
            <w:tcW w:w="332" w:type="pct"/>
            <w:shd w:val="clear" w:color="auto" w:fill="C6EFCE"/>
            <w:noWrap/>
            <w:vAlign w:val="center"/>
            <w:hideMark/>
          </w:tcPr>
          <w:p w14:paraId="49D322B7" w14:textId="77777777" w:rsidR="00C972CB" w:rsidRDefault="002457F6">
            <w:pPr>
              <w:pStyle w:val="P68B1DB1-Normal11"/>
              <w:jc w:val="center"/>
              <w:rPr>
                <w:noProof/>
              </w:rPr>
            </w:pPr>
            <w:r>
              <w:rPr>
                <w:noProof/>
              </w:rPr>
              <w:t>2. CET.</w:t>
            </w:r>
          </w:p>
        </w:tc>
        <w:tc>
          <w:tcPr>
            <w:tcW w:w="220" w:type="pct"/>
            <w:shd w:val="clear" w:color="auto" w:fill="C6EFCE"/>
            <w:noWrap/>
            <w:vAlign w:val="center"/>
            <w:hideMark/>
          </w:tcPr>
          <w:p w14:paraId="43E79A53" w14:textId="77777777" w:rsidR="00C972CB" w:rsidRDefault="002457F6">
            <w:pPr>
              <w:pStyle w:val="P68B1DB1-Normal11"/>
              <w:jc w:val="center"/>
              <w:rPr>
                <w:noProof/>
              </w:rPr>
            </w:pPr>
            <w:r>
              <w:rPr>
                <w:noProof/>
              </w:rPr>
              <w:t>2026</w:t>
            </w:r>
          </w:p>
        </w:tc>
        <w:tc>
          <w:tcPr>
            <w:tcW w:w="1047" w:type="pct"/>
            <w:shd w:val="clear" w:color="auto" w:fill="C6EFCE"/>
            <w:noWrap/>
            <w:vAlign w:val="center"/>
            <w:hideMark/>
          </w:tcPr>
          <w:p w14:paraId="271845CF" w14:textId="77777777" w:rsidR="00C972CB" w:rsidRDefault="002457F6">
            <w:pPr>
              <w:pStyle w:val="P68B1DB1-Normal11"/>
              <w:rPr>
                <w:noProof/>
              </w:rPr>
            </w:pPr>
            <w:r>
              <w:rPr>
                <w:noProof/>
              </w:rPr>
              <w:t>Investīcija ietver intervences, kas aptver:</w:t>
            </w:r>
          </w:p>
          <w:p w14:paraId="693AE000" w14:textId="77777777" w:rsidR="00C972CB" w:rsidRDefault="002457F6">
            <w:pPr>
              <w:pStyle w:val="P68B1DB1-ListParagraph13"/>
              <w:numPr>
                <w:ilvl w:val="0"/>
                <w:numId w:val="87"/>
              </w:numPr>
              <w:ind w:left="599"/>
              <w:jc w:val="left"/>
              <w:rPr>
                <w:noProof/>
              </w:rPr>
            </w:pPr>
            <w:r>
              <w:rPr>
                <w:noProof/>
              </w:rPr>
              <w:t xml:space="preserve">atjaunot un atjaunot Romas pilsētas kultūras un pilsētu mantojumu un kompleksus ar augstu vēsturisko un arhitektisko vērtību investīciju pozīcijā “Romas kultūras mantojums ES un nākamajai paaudzei”;  </w:t>
            </w:r>
          </w:p>
          <w:p w14:paraId="12B05CFC" w14:textId="7EFEA00B" w:rsidR="00C972CB" w:rsidRDefault="002457F6">
            <w:pPr>
              <w:pStyle w:val="P68B1DB1-ListParagraph13"/>
              <w:numPr>
                <w:ilvl w:val="0"/>
                <w:numId w:val="87"/>
              </w:numPr>
              <w:tabs>
                <w:tab w:val="left" w:pos="1340"/>
                <w:tab w:val="left" w:pos="1341"/>
              </w:tabs>
              <w:spacing w:after="0"/>
              <w:ind w:left="599"/>
              <w:jc w:val="left"/>
              <w:rPr>
                <w:noProof/>
              </w:rPr>
            </w:pPr>
            <w:r>
              <w:rPr>
                <w:noProof/>
              </w:rPr>
              <w:t>ieguldījumu līnijas “Jubilee paths” uzlabošana, drošība</w:t>
            </w:r>
            <w:r>
              <w:rPr>
                <w:noProof/>
              </w:rPr>
              <w:t>, seismiskā konsolidācija, vēsturisko vietu un ēku atjaunošana un arheoloģiskie ceļi;</w:t>
            </w:r>
          </w:p>
          <w:p w14:paraId="12EBE220" w14:textId="77777777" w:rsidR="00C972CB" w:rsidRDefault="002457F6">
            <w:pPr>
              <w:pStyle w:val="P68B1DB1-ListParagraph13"/>
              <w:numPr>
                <w:ilvl w:val="0"/>
                <w:numId w:val="87"/>
              </w:numPr>
              <w:tabs>
                <w:tab w:val="left" w:pos="1340"/>
                <w:tab w:val="left" w:pos="1341"/>
              </w:tabs>
              <w:spacing w:after="0"/>
              <w:ind w:left="599"/>
              <w:jc w:val="left"/>
              <w:rPr>
                <w:noProof/>
              </w:rPr>
            </w:pPr>
            <w:r>
              <w:rPr>
                <w:noProof/>
              </w:rPr>
              <w:t>perifēro apgabalu objektu rekonstrukcija ieguldījumu līnijai “#LaCittàCondivisa”;</w:t>
            </w:r>
          </w:p>
          <w:p w14:paraId="7E4EB066" w14:textId="77777777" w:rsidR="00C972CB" w:rsidRDefault="002457F6">
            <w:pPr>
              <w:pStyle w:val="P68B1DB1-ListParagraph13"/>
              <w:numPr>
                <w:ilvl w:val="0"/>
                <w:numId w:val="87"/>
              </w:numPr>
              <w:tabs>
                <w:tab w:val="left" w:pos="1340"/>
                <w:tab w:val="left" w:pos="1341"/>
              </w:tabs>
              <w:spacing w:after="0"/>
              <w:ind w:left="599"/>
              <w:jc w:val="left"/>
              <w:rPr>
                <w:noProof/>
              </w:rPr>
            </w:pPr>
            <w:r>
              <w:rPr>
                <w:noProof/>
              </w:rPr>
              <w:t>intervences pasākumi parkos, vēsturiskajos dārzos, viļās un strūklās ieguldījumu pozīcij</w:t>
            </w:r>
            <w:r>
              <w:rPr>
                <w:noProof/>
              </w:rPr>
              <w:t>ā Nr. #Mitingodiverde;</w:t>
            </w:r>
          </w:p>
          <w:p w14:paraId="2BD243E6" w14:textId="77777777" w:rsidR="00C972CB" w:rsidRDefault="002457F6">
            <w:pPr>
              <w:pStyle w:val="P68B1DB1-ListParagraph13"/>
              <w:numPr>
                <w:ilvl w:val="0"/>
                <w:numId w:val="87"/>
              </w:numPr>
              <w:tabs>
                <w:tab w:val="left" w:pos="1340"/>
                <w:tab w:val="left" w:pos="1341"/>
              </w:tabs>
              <w:spacing w:after="0"/>
              <w:ind w:left="599"/>
              <w:jc w:val="left"/>
              <w:rPr>
                <w:noProof/>
              </w:rPr>
            </w:pPr>
            <w:r>
              <w:rPr>
                <w:noProof/>
              </w:rPr>
              <w:t>kultūras pakalpojumu digitalizācija un tūristiem paredzētu lietotņu izstrāde vai investīciju līnija Nr. #Roma 4.0;</w:t>
            </w:r>
          </w:p>
          <w:p w14:paraId="3C83985C" w14:textId="77777777" w:rsidR="00C972CB" w:rsidRDefault="002457F6">
            <w:pPr>
              <w:pStyle w:val="P68B1DB1-ListParagraph13"/>
              <w:numPr>
                <w:ilvl w:val="0"/>
                <w:numId w:val="87"/>
              </w:numPr>
              <w:tabs>
                <w:tab w:val="left" w:pos="1340"/>
                <w:tab w:val="left" w:pos="1341"/>
              </w:tabs>
              <w:spacing w:after="0"/>
              <w:ind w:left="599"/>
              <w:jc w:val="left"/>
              <w:rPr>
                <w:noProof/>
              </w:rPr>
            </w:pPr>
            <w:r>
              <w:rPr>
                <w:noProof/>
              </w:rPr>
              <w:t>intervences pasākumi, kuru mērķis ir palielināt kultūras piedāvājuma piedāvājumu perifērijām sociālajai integrācijai i</w:t>
            </w:r>
            <w:r>
              <w:rPr>
                <w:noProof/>
              </w:rPr>
              <w:t>eguldījumu pozīcijā Nr. #Amanotesa.</w:t>
            </w:r>
          </w:p>
          <w:p w14:paraId="1F78D80B" w14:textId="77777777" w:rsidR="00C972CB" w:rsidRDefault="00C972CB">
            <w:pPr>
              <w:pStyle w:val="ListParagraph"/>
              <w:tabs>
                <w:tab w:val="left" w:pos="1340"/>
                <w:tab w:val="left" w:pos="1341"/>
              </w:tabs>
              <w:spacing w:after="0"/>
              <w:jc w:val="left"/>
              <w:rPr>
                <w:rFonts w:ascii="Arial Narrow" w:hAnsi="Arial Narrow"/>
                <w:noProof/>
                <w:color w:val="006100"/>
                <w:sz w:val="20"/>
              </w:rPr>
            </w:pPr>
          </w:p>
          <w:p w14:paraId="7A04D092" w14:textId="77777777" w:rsidR="00C972CB" w:rsidRDefault="002457F6">
            <w:pPr>
              <w:pStyle w:val="P68B1DB1-Normal11"/>
              <w:rPr>
                <w:noProof/>
              </w:rPr>
            </w:pPr>
            <w:r>
              <w:rPr>
                <w:noProof/>
              </w:rPr>
              <w:t>Ieguldījums ietver pārkvalifikācijas darbības, kas tiek veiktas vismaz 5 arheoloģiskos/kultūras objektos investīciju līnijai “Romas kultūras mantojums ES un nākamajai paaudzei”, vismaz 125 arheoloģisku/kultūras vietu “J</w:t>
            </w:r>
            <w:r>
              <w:rPr>
                <w:noProof/>
              </w:rPr>
              <w:t xml:space="preserve">ubilee paths”; vismaz 50 arheoloģiskas/kultūras vietas attiecībā uz #Lacittàcondivisa; vismaz 15 arheoloģiskas/kultūras vietas Nr. #Mitingodiverde, vismaz 5 arheoloģijas/kultūras vietas romiem 4.0 </w:t>
            </w:r>
          </w:p>
          <w:p w14:paraId="25C2622F" w14:textId="77777777" w:rsidR="00C972CB" w:rsidRDefault="00C972CB">
            <w:pPr>
              <w:rPr>
                <w:rFonts w:ascii="Arial Narrow" w:hAnsi="Arial Narrow"/>
                <w:noProof/>
                <w:color w:val="006100"/>
                <w:sz w:val="20"/>
              </w:rPr>
            </w:pPr>
          </w:p>
          <w:p w14:paraId="2718D846" w14:textId="466E18C0" w:rsidR="00C972CB" w:rsidRDefault="002457F6">
            <w:pPr>
              <w:pStyle w:val="P68B1DB1-Normal11"/>
              <w:rPr>
                <w:noProof/>
              </w:rPr>
            </w:pPr>
            <w:r>
              <w:rPr>
                <w:noProof/>
              </w:rPr>
              <w:t>Mērķrādītāja apmierinoša sasniegšana ir atkarīga arī no v</w:t>
            </w:r>
            <w:r>
              <w:rPr>
                <w:noProof/>
              </w:rPr>
              <w:t>isu investīciju līnijas “#Amanotesa” projektu pabeigšanas un no lietotnes “CaputMundi — Roma4U” pieejamības sabiedrībai.</w:t>
            </w:r>
          </w:p>
        </w:tc>
      </w:tr>
    </w:tbl>
    <w:p w14:paraId="18B23B8E" w14:textId="77777777" w:rsidR="00C972CB" w:rsidRDefault="00C972CB">
      <w:pPr>
        <w:rPr>
          <w:b/>
          <w:noProof/>
        </w:rPr>
      </w:pPr>
    </w:p>
    <w:p w14:paraId="08A379F3" w14:textId="77777777" w:rsidR="00C972CB" w:rsidRDefault="00C972CB">
      <w:pPr>
        <w:rPr>
          <w:b/>
          <w:noProof/>
        </w:rPr>
      </w:pPr>
    </w:p>
    <w:p w14:paraId="028A1E12" w14:textId="77777777" w:rsidR="00C972CB" w:rsidRDefault="00C972CB">
      <w:pPr>
        <w:spacing w:before="120" w:after="120"/>
        <w:jc w:val="both"/>
        <w:rPr>
          <w:noProof/>
        </w:rPr>
        <w:sectPr w:rsidR="00C972CB" w:rsidSect="001354D1">
          <w:headerReference w:type="even" r:id="rId86"/>
          <w:headerReference w:type="default" r:id="rId87"/>
          <w:footerReference w:type="even" r:id="rId88"/>
          <w:footerReference w:type="default" r:id="rId89"/>
          <w:headerReference w:type="first" r:id="rId90"/>
          <w:footerReference w:type="first" r:id="rId91"/>
          <w:pgSz w:w="16839" w:h="11907" w:orient="landscape"/>
          <w:pgMar w:top="1134" w:right="1134" w:bottom="1134" w:left="1134" w:header="567" w:footer="567" w:gutter="0"/>
          <w:cols w:space="720"/>
          <w:docGrid w:linePitch="360"/>
        </w:sectPr>
      </w:pPr>
    </w:p>
    <w:p w14:paraId="4DD9C9DD" w14:textId="135696F1" w:rsidR="00C972CB" w:rsidRDefault="002457F6">
      <w:pPr>
        <w:pStyle w:val="Heading2"/>
        <w:numPr>
          <w:ilvl w:val="0"/>
          <w:numId w:val="0"/>
        </w:numPr>
        <w:ind w:left="850" w:hanging="850"/>
        <w:rPr>
          <w:noProof/>
        </w:rPr>
      </w:pPr>
      <w:r>
        <w:rPr>
          <w:noProof/>
        </w:rPr>
        <w:t xml:space="preserve">D. 2. MISIJAS 1. KOMPONENTS: Aprites ekonomika, lauksaimniecības </w:t>
      </w:r>
      <w:r>
        <w:rPr>
          <w:noProof/>
        </w:rPr>
        <w:t>pārtika un zaļā pārkārtošanās</w:t>
      </w:r>
    </w:p>
    <w:p w14:paraId="37220E22" w14:textId="77777777" w:rsidR="00C972CB" w:rsidRDefault="002457F6">
      <w:pPr>
        <w:spacing w:before="120" w:after="120"/>
        <w:jc w:val="both"/>
        <w:rPr>
          <w:noProof/>
        </w:rPr>
      </w:pPr>
      <w:r>
        <w:rPr>
          <w:noProof/>
        </w:rPr>
        <w:t>Šis Itālijas atveseļošanas un noturības plāna komponents aptver investīcijas un reformas atkritumu apsaimniekošanā, aprites ekonomikā, atbalstā lauksaimniecības pārtikas vērtības ķēdēm un zaļo pārkārtošanos. Šīs reformas un in</w:t>
      </w:r>
      <w:r>
        <w:rPr>
          <w:noProof/>
        </w:rPr>
        <w:t>vestīcijas papildina reformas, kuru mērķis ir palielināt konkurenci atkritumu apsaimniekošanas un vietējo sabiedrisko pakalpojumu jomā uzņēmējdarbības vides reformas komponentā un uzlabot ūdens patēriņu lauksaimniecībā. Šis komponents atbilst konkrētām val</w:t>
      </w:r>
      <w:r>
        <w:rPr>
          <w:noProof/>
        </w:rPr>
        <w:t xml:space="preserve">stīm adresētajiem ieteikumiem koncentrēt investīcijas zaļās pārkārtošanās procesā, tostarp aprites ekonomikā.  </w:t>
      </w:r>
    </w:p>
    <w:p w14:paraId="308508F1" w14:textId="77777777" w:rsidR="00C972CB" w:rsidRDefault="002457F6">
      <w:pPr>
        <w:spacing w:before="120" w:after="120"/>
        <w:jc w:val="both"/>
        <w:rPr>
          <w:noProof/>
        </w:rPr>
      </w:pPr>
      <w:r>
        <w:rPr>
          <w:noProof/>
        </w:rPr>
        <w:t>Investīcijas un reformas saskaņā ar šo komponentu palīdz īstenot Itālijai 2020. un 2019. gadā adresētos konkrētai valstij adresētos ieteikumus p</w:t>
      </w:r>
      <w:r>
        <w:rPr>
          <w:noProof/>
        </w:rPr>
        <w:t>ar nepieciešamību “koncentrēt investīcijas uz zaļo un digitālo pārkārtošanos, jo īpaši uz [...] atkritumu un ūdens apsaimniekošanu” (3. KVAI, 2020. gads) un “ar investīcijām saistīto ekonomikas politiku vērst uz [...] un infrastruktūras kvalitāti, ņemot vē</w:t>
      </w:r>
      <w:r>
        <w:rPr>
          <w:noProof/>
        </w:rPr>
        <w:t>rā arī reģionālās atšķirības” (konkrētai valstij adresētais ieteikums Nr. 3, 2019).</w:t>
      </w:r>
    </w:p>
    <w:p w14:paraId="7AB4D02D" w14:textId="77777777" w:rsidR="00C972CB" w:rsidRDefault="002457F6">
      <w:pPr>
        <w:spacing w:before="120" w:after="120"/>
        <w:jc w:val="both"/>
        <w:rPr>
          <w:noProof/>
        </w:rPr>
      </w:pPr>
      <w:r>
        <w:rPr>
          <w:noProof/>
        </w:rPr>
        <w:t>Paredzams, ka neviens pasākums šajā komponentā būtiski nekaitēs vides mērķiem Regulas (ES) 2020/852 17. panta nozīmē, ņemot vērā atveseļošanas un noturības plānā izklāstīto</w:t>
      </w:r>
      <w:r>
        <w:rPr>
          <w:noProof/>
        </w:rPr>
        <w:t xml:space="preserve"> pasākumu aprakstu un mazināšanas pasākumus saskaņā ar DNSH tehniskajiem norādījumiem (2021/C58/01).  </w:t>
      </w:r>
    </w:p>
    <w:p w14:paraId="43D35804" w14:textId="77777777" w:rsidR="00C972CB" w:rsidRDefault="002457F6">
      <w:pPr>
        <w:pStyle w:val="Heading3"/>
        <w:numPr>
          <w:ilvl w:val="0"/>
          <w:numId w:val="0"/>
        </w:numPr>
        <w:ind w:left="850" w:hanging="850"/>
        <w:rPr>
          <w:b/>
          <w:i w:val="0"/>
          <w:noProof/>
          <w:u w:val="single"/>
        </w:rPr>
      </w:pPr>
      <w:r>
        <w:rPr>
          <w:b/>
          <w:i w:val="0"/>
          <w:noProof/>
          <w:u w:val="single"/>
        </w:rPr>
        <w:t>D.1.</w:t>
      </w:r>
      <w:r>
        <w:rPr>
          <w:b/>
          <w:noProof/>
          <w:u w:val="single"/>
        </w:rPr>
        <w:t xml:space="preserve"> </w:t>
      </w:r>
      <w:r>
        <w:rPr>
          <w:noProof/>
        </w:rPr>
        <w:tab/>
      </w:r>
      <w:r>
        <w:rPr>
          <w:b/>
          <w:i w:val="0"/>
          <w:noProof/>
          <w:u w:val="single"/>
        </w:rPr>
        <w:t xml:space="preserve">Neatmaksājamam finansiālajam atbalstam pieteikto reformu un investīciju apraksts </w:t>
      </w:r>
    </w:p>
    <w:p w14:paraId="05A34B42" w14:textId="1F84C702" w:rsidR="00C972CB" w:rsidRDefault="002457F6">
      <w:pPr>
        <w:pStyle w:val="Axistitle"/>
        <w:ind w:left="0"/>
        <w:rPr>
          <w:noProof/>
        </w:rPr>
      </w:pPr>
      <w:r>
        <w:rPr>
          <w:noProof/>
        </w:rPr>
        <w:t xml:space="preserve">Aprites ekonomika </w:t>
      </w:r>
    </w:p>
    <w:p w14:paraId="648ACEA8" w14:textId="77777777" w:rsidR="00C972CB" w:rsidRDefault="002457F6">
      <w:pPr>
        <w:pStyle w:val="P68B1DB1-Normal2"/>
        <w:spacing w:before="120" w:after="120"/>
        <w:jc w:val="both"/>
        <w:rPr>
          <w:noProof/>
        </w:rPr>
      </w:pPr>
      <w:r>
        <w:rPr>
          <w:noProof/>
        </w:rPr>
        <w:t xml:space="preserve">Reforma. Valsts stratēģija pārejai uz aprites </w:t>
      </w:r>
      <w:r>
        <w:rPr>
          <w:noProof/>
        </w:rPr>
        <w:t>ekonomiku</w:t>
      </w:r>
    </w:p>
    <w:p w14:paraId="3C26FF43" w14:textId="0B814230" w:rsidR="00C972CB" w:rsidRDefault="002457F6">
      <w:pPr>
        <w:spacing w:before="120" w:after="120"/>
        <w:jc w:val="both"/>
        <w:rPr>
          <w:noProof/>
        </w:rPr>
      </w:pPr>
      <w:r>
        <w:rPr>
          <w:noProof/>
        </w:rPr>
        <w:t>Šīs reformas mērķis ir pieņemt plašu valsts stratēģiju pārejai uz aprites ekonomiku, kas aptver jaunu digitālu atkritumu izsekojamības sistēmu, nodokļu stimulus reciklēšanas darbību un otrreizējo izejvielu izmantošanas atbalstam, vides nodokļu pā</w:t>
      </w:r>
      <w:r>
        <w:rPr>
          <w:noProof/>
        </w:rPr>
        <w:t>rskatīšanu, tiesības uz atkārtotu izmantošanu un remontu, RPA (ražotāju paplašinātas atbildības) un konsorciju sistēmas reformu, atbalstu esošajiem regulatīvajiem instrumentiem (piemēram, atkritumu apsaimniekošanas izbeigšanas tiesību aktiem un minimālajie</w:t>
      </w:r>
      <w:r>
        <w:rPr>
          <w:noProof/>
        </w:rPr>
        <w:t>m vides kritērijiem saskaņā ar zaļo publisko iepirkumu) un atbalstu rūpnieciskās simbiozes projektam. RPA un konsorciju sistēmas reformā uzmanība tiks pievērsta arī vajadzībai efektīvāk izmantot ieguldījumu vides jomā, lai nodrošinātu pārredzamu un nediskr</w:t>
      </w:r>
      <w:r>
        <w:rPr>
          <w:noProof/>
        </w:rPr>
        <w:t xml:space="preserve">iminējošu kritēriju piemērošanu. Tiek izveidota īpaša uzraudzības iestāde, kuras uzdevums ir uzraudzīt konsorciju sistēmu darbību un efektivitāti Ekoloģiskās pārkārtošanās ministrijas (MITE) vadībā. Pasākums attiecas uz visiem konsorcijiem (ne tikai CONAI </w:t>
      </w:r>
      <w:r>
        <w:rPr>
          <w:noProof/>
        </w:rPr>
        <w:t>iepakošanas sistēmu).</w:t>
      </w:r>
    </w:p>
    <w:p w14:paraId="3F1B8D53" w14:textId="77777777" w:rsidR="00C972CB" w:rsidRDefault="002457F6">
      <w:pPr>
        <w:pStyle w:val="P68B1DB1-Normal2"/>
        <w:spacing w:before="120" w:after="120"/>
        <w:jc w:val="both"/>
        <w:rPr>
          <w:noProof/>
        </w:rPr>
      </w:pPr>
      <w:r>
        <w:rPr>
          <w:noProof/>
        </w:rPr>
        <w:t>Reforma. Tehniskais atbalsts vietējām pašvaldībām</w:t>
      </w:r>
    </w:p>
    <w:p w14:paraId="1F0976C8" w14:textId="77777777" w:rsidR="00C972CB" w:rsidRDefault="002457F6">
      <w:pPr>
        <w:spacing w:before="120" w:after="120"/>
        <w:jc w:val="both"/>
        <w:rPr>
          <w:noProof/>
        </w:rPr>
      </w:pPr>
      <w:r>
        <w:rPr>
          <w:noProof/>
        </w:rPr>
        <w:t xml:space="preserve">Šī reforma ietver valdības tehnisko atbalstu vietējām pašvaldībām ES un valsts vides regulējuma īstenošanai, plānu un projektu izstrādei attiecībā uz atkritumu apsaimniekošanu un </w:t>
      </w:r>
      <w:r>
        <w:rPr>
          <w:noProof/>
        </w:rPr>
        <w:t>konkursa procedūrām. Atbalsts konkursa procedūrām nodrošina, ka koncesijas atkritumu apsaimniekošanas jomā tiek piešķirtas pārredzamā un nediskriminējošā veidā, palielinot konkurences procesus, lai sasniegtu labākus sabiedrisko pakalpojumu standartus. Tāpē</w:t>
      </w:r>
      <w:r>
        <w:rPr>
          <w:noProof/>
        </w:rPr>
        <w:t>c šī reforma atbalsta uzņēmējdarbības vides reformas komponentā ierosināto atkritumu apsaimniekošanas reformu īstenošanu. Tehniskais atbalsts attiecas arī uz zaļo publisko iepirkumu.</w:t>
      </w:r>
    </w:p>
    <w:p w14:paraId="491E9106" w14:textId="77777777" w:rsidR="00C972CB" w:rsidRDefault="002457F6">
      <w:pPr>
        <w:pStyle w:val="P68B1DB1-Normal2"/>
        <w:spacing w:before="120" w:after="120"/>
        <w:jc w:val="both"/>
        <w:rPr>
          <w:noProof/>
        </w:rPr>
      </w:pPr>
      <w:r>
        <w:rPr>
          <w:noProof/>
        </w:rPr>
        <w:t>Ieguldījums. Lauksaimniecības pārtikas, zvejniecības un akvakultūras, mež</w:t>
      </w:r>
      <w:r>
        <w:rPr>
          <w:noProof/>
        </w:rPr>
        <w:t>saimniecības, puķkopības un stādaudzētavu nozares loģistikas plāns</w:t>
      </w:r>
    </w:p>
    <w:p w14:paraId="34AE8020" w14:textId="77777777" w:rsidR="00C972CB" w:rsidRDefault="002457F6">
      <w:pPr>
        <w:spacing w:before="120" w:after="120"/>
        <w:jc w:val="both"/>
        <w:rPr>
          <w:noProof/>
        </w:rPr>
      </w:pPr>
      <w:r>
        <w:rPr>
          <w:noProof/>
        </w:rPr>
        <w:t>Šis pasākums ietver atbalsta piešķiršanu materiālām un nemateriālām investīcijām (piemēram, lauksaimniecības izejvielu uzglabāšanas iekārtām, izejvielu pārveidei un saglabāšanai, loģistikas</w:t>
      </w:r>
      <w:r>
        <w:rPr>
          <w:noProof/>
        </w:rPr>
        <w:t xml:space="preserve"> digitalizācijai un infrastruktūras intervencei pārtikas tirgos), ieguldījumiem pārtikas transportā un loģistikā, lai samazinātu vidiskās un ekonomiskās izmaksas un ražošanas procesu inovāciju, precīzo lauksaimniecību un izsekojamību (piemēram, blokķēdi). </w:t>
      </w:r>
      <w:r>
        <w:rPr>
          <w:noProof/>
        </w:rPr>
        <w:t>Atlases kritēriji atbilst vajadzību novērtējumam, ko Lauksaimniecības, pārtikas un mežsaimniecības politikas ministrija izstrādājusi saskaņā ar kopējās lauksaimniecības politikas stratēģisko plānu. Pasākuma mērķis ir veicināt emisiju samazināšanu transport</w:t>
      </w:r>
      <w:r>
        <w:rPr>
          <w:noProof/>
        </w:rPr>
        <w:t xml:space="preserve">a un loģistikas posmos lauksaimniecības pārtikas nozarē, izmantojot elektrotransportlīdzekļus un transporta sistēmas un veicinot nozares digitalizāciju un atjaunīgās enerģijas izmantošanu. </w:t>
      </w:r>
    </w:p>
    <w:p w14:paraId="25762983" w14:textId="77777777" w:rsidR="00C972CB" w:rsidRDefault="002457F6">
      <w:pPr>
        <w:pStyle w:val="P68B1DB1-Normal2"/>
        <w:spacing w:before="120" w:after="120"/>
        <w:jc w:val="both"/>
        <w:rPr>
          <w:noProof/>
        </w:rPr>
      </w:pPr>
      <w:r>
        <w:rPr>
          <w:noProof/>
        </w:rPr>
        <w:t>Ieguldījums — agrosolārais parks</w:t>
      </w:r>
    </w:p>
    <w:p w14:paraId="412350EB" w14:textId="77777777" w:rsidR="00C972CB" w:rsidRDefault="002457F6">
      <w:pPr>
        <w:spacing w:before="120" w:after="120"/>
        <w:jc w:val="both"/>
        <w:rPr>
          <w:noProof/>
        </w:rPr>
      </w:pPr>
      <w:r>
        <w:rPr>
          <w:noProof/>
        </w:rPr>
        <w:t>Šis pasākums ietver atbalsta pieš</w:t>
      </w:r>
      <w:r>
        <w:rPr>
          <w:noProof/>
        </w:rPr>
        <w:t>ķiršanu investīcijām lauksaimniecības, lopkopības un agrorūpniecības nozares ražošanas struktūrās, esošā jumta aizvākšanai un likvidēšanai un jauna izolēta jumta būvniecībai, automatizētas ventilācijas un/vai dzesēšanas sistēmu izveidei un saules enerģijas</w:t>
      </w:r>
      <w:r>
        <w:rPr>
          <w:noProof/>
        </w:rPr>
        <w:t xml:space="preserve"> paneļu uzstādīšanai, plūsmu un akumulatoru viedai pārvaldībai. </w:t>
      </w:r>
    </w:p>
    <w:p w14:paraId="02E42868" w14:textId="77777777" w:rsidR="00C972CB" w:rsidRDefault="002457F6">
      <w:pPr>
        <w:pStyle w:val="P68B1DB1-Normal2"/>
        <w:spacing w:before="120" w:after="120"/>
        <w:jc w:val="both"/>
        <w:rPr>
          <w:noProof/>
        </w:rPr>
      </w:pPr>
      <w:r>
        <w:rPr>
          <w:noProof/>
        </w:rPr>
        <w:t>Ieguldījums 2.3. — Inovācija un mehanizācija lauksaimniecības un pārtikas nozarē</w:t>
      </w:r>
    </w:p>
    <w:p w14:paraId="05EED9E1" w14:textId="77777777" w:rsidR="00C972CB" w:rsidRDefault="002457F6">
      <w:pPr>
        <w:spacing w:before="120" w:after="120"/>
        <w:jc w:val="both"/>
        <w:rPr>
          <w:noProof/>
        </w:rPr>
      </w:pPr>
      <w:r>
        <w:rPr>
          <w:noProof/>
        </w:rPr>
        <w:t>Šis pasākums ietver atbalsta piešķiršanu ieguldījumiem materiālos un nemateriālos aktīvos, kuru mērķis ir:</w:t>
      </w:r>
    </w:p>
    <w:p w14:paraId="372933C7" w14:textId="77777777" w:rsidR="00C972CB" w:rsidRDefault="002457F6">
      <w:pPr>
        <w:numPr>
          <w:ilvl w:val="0"/>
          <w:numId w:val="63"/>
        </w:numPr>
        <w:spacing w:before="120" w:after="120" w:line="259" w:lineRule="auto"/>
        <w:ind w:left="360"/>
        <w:contextualSpacing/>
        <w:jc w:val="both"/>
        <w:rPr>
          <w:noProof/>
        </w:rPr>
      </w:pPr>
      <w:r>
        <w:rPr>
          <w:noProof/>
        </w:rPr>
        <w:t>lauksaimniecības inovācija un mehanizācija, jo īpaši bezceļu tehnika;</w:t>
      </w:r>
    </w:p>
    <w:p w14:paraId="42B43C1D" w14:textId="77777777" w:rsidR="00C972CB" w:rsidRDefault="002457F6">
      <w:pPr>
        <w:numPr>
          <w:ilvl w:val="0"/>
          <w:numId w:val="63"/>
        </w:numPr>
        <w:spacing w:before="120" w:after="120" w:line="259" w:lineRule="auto"/>
        <w:ind w:left="360"/>
        <w:contextualSpacing/>
        <w:jc w:val="both"/>
        <w:rPr>
          <w:i/>
          <w:noProof/>
        </w:rPr>
      </w:pPr>
      <w:r>
        <w:rPr>
          <w:noProof/>
        </w:rPr>
        <w:t>inovācija neapstrādātas augstākā labuma olīveļļas pārveidošanas, uzglabāšanas un iepakošanas procesos.</w:t>
      </w:r>
    </w:p>
    <w:p w14:paraId="1773057F" w14:textId="77777777" w:rsidR="00C972CB" w:rsidRDefault="002457F6">
      <w:pPr>
        <w:spacing w:before="120" w:after="120" w:line="259" w:lineRule="auto"/>
        <w:contextualSpacing/>
        <w:jc w:val="both"/>
        <w:rPr>
          <w:noProof/>
        </w:rPr>
      </w:pPr>
      <w:r>
        <w:rPr>
          <w:noProof/>
        </w:rPr>
        <w:t>Apvidus tehnika ir bezemisiju tehnika vai darbināma tikai ar biometānu, kas atbilst</w:t>
      </w:r>
      <w:r>
        <w:rPr>
          <w:noProof/>
        </w:rPr>
        <w:t xml:space="preserve"> Direktīvā 2018/2001 (RED II direktīva) noteiktajiem kritērijiem. Biodegvielas un biometāna gāzes un biodegvielas ražotājiem ir jāiesniedz sertifikāti (Ilgtspējas apliecinājums), ko izsnieguši neatkarīgi vērtētāji, kā paredzēts Direktīvā 2018/2001. Operato</w:t>
      </w:r>
      <w:r>
        <w:rPr>
          <w:noProof/>
        </w:rPr>
        <w:t xml:space="preserve">rs iegādājas izcelsmes apliecinājuma sertifikātus proporcionāli paredzamajam degvielas izmantojumam.  </w:t>
      </w:r>
    </w:p>
    <w:p w14:paraId="32A68E43" w14:textId="77777777" w:rsidR="00C972CB" w:rsidRDefault="002457F6">
      <w:pPr>
        <w:pStyle w:val="P68B1DB1-Normal2"/>
        <w:spacing w:before="120" w:after="120"/>
        <w:jc w:val="both"/>
        <w:rPr>
          <w:noProof/>
        </w:rPr>
      </w:pPr>
      <w:r>
        <w:rPr>
          <w:noProof/>
        </w:rPr>
        <w:t>Ieguldījums 3.3. Kultūra un informētība par vides jautājumiem un problēmām</w:t>
      </w:r>
    </w:p>
    <w:p w14:paraId="3B0D4B32" w14:textId="77777777" w:rsidR="00C972CB" w:rsidRDefault="002457F6">
      <w:pPr>
        <w:spacing w:before="120" w:after="120"/>
        <w:jc w:val="both"/>
        <w:rPr>
          <w:noProof/>
        </w:rPr>
        <w:sectPr w:rsidR="00C972CB">
          <w:headerReference w:type="even" r:id="rId92"/>
          <w:headerReference w:type="default" r:id="rId93"/>
          <w:footerReference w:type="even" r:id="rId94"/>
          <w:footerReference w:type="default" r:id="rId95"/>
          <w:headerReference w:type="first" r:id="rId96"/>
          <w:footerReference w:type="first" r:id="rId97"/>
          <w:pgSz w:w="11907" w:h="16839"/>
          <w:pgMar w:top="1440" w:right="1440" w:bottom="1440" w:left="1440" w:header="567" w:footer="567" w:gutter="0"/>
          <w:cols w:space="720"/>
          <w:docGrid w:linePitch="360"/>
        </w:sectPr>
      </w:pPr>
      <w:r>
        <w:rPr>
          <w:noProof/>
        </w:rPr>
        <w:t>Šis ieguldījums ietver digitālā</w:t>
      </w:r>
      <w:r>
        <w:rPr>
          <w:noProof/>
        </w:rPr>
        <w:t xml:space="preserve"> satura izstrādi un ražošanu, lai palielinātu informētību par vides un klimata problēmām. Digitālo saturu veido raidieraksti, skolas videonodarbības, video un raksti. Tiek izveidota tiešsaistes bezabonēšanas platforma, kuras mērķis ir kļūt par visaptverošā</w:t>
      </w:r>
      <w:r>
        <w:rPr>
          <w:noProof/>
        </w:rPr>
        <w:t>ko ar vidi saistītu izglītības un atpūtas materiālu “repozitoriju”. Paredzams, ka digitālā satura ražošanā būs iesaistīti galvenie ietekmētāji. Temati, kas aptverti pa dažādiem kanāliem, var būt, piemēram: pārejas noteikumi, energoresursu struktūras un atj</w:t>
      </w:r>
      <w:r>
        <w:rPr>
          <w:noProof/>
        </w:rPr>
        <w:t>aunojamo energoresursu nozīme, klimata pārmaiņas, atmosfēras un globālās temperatūras ilgtspēja, okeānu slēptā loma, ūdens rezerves, individuālā un organizatoriskā ekoloģiskā pēda, aprites ekonomika un jauna lauksaimniecība.</w:t>
      </w:r>
    </w:p>
    <w:p w14:paraId="1668DC05" w14:textId="77777777" w:rsidR="00C972CB" w:rsidRDefault="002457F6">
      <w:pPr>
        <w:pStyle w:val="Heading3"/>
        <w:numPr>
          <w:ilvl w:val="0"/>
          <w:numId w:val="0"/>
        </w:numPr>
        <w:ind w:left="850" w:hanging="850"/>
        <w:rPr>
          <w:b/>
          <w:i w:val="0"/>
          <w:noProof/>
          <w:u w:val="single"/>
        </w:rPr>
      </w:pPr>
      <w:r>
        <w:rPr>
          <w:b/>
          <w:i w:val="0"/>
          <w:noProof/>
          <w:u w:val="single"/>
        </w:rPr>
        <w:t xml:space="preserve">D.2. </w:t>
      </w:r>
      <w:r>
        <w:rPr>
          <w:noProof/>
        </w:rPr>
        <w:tab/>
      </w:r>
      <w:r>
        <w:rPr>
          <w:b/>
          <w:i w:val="0"/>
          <w:noProof/>
          <w:u w:val="single"/>
        </w:rPr>
        <w:t>Atskaites punkti, mērķrād</w:t>
      </w:r>
      <w:r>
        <w:rPr>
          <w:b/>
          <w:i w:val="0"/>
          <w:noProof/>
          <w:u w:val="single"/>
        </w:rPr>
        <w:t>ītāji, citi rādītāji un neatmaksājamā finansiālā atbalsta uzraudzības un īstenošanas grafiks</w:t>
      </w:r>
    </w:p>
    <w:tbl>
      <w:tblPr>
        <w:tblpPr w:leftFromText="180" w:rightFromText="180" w:vertAnchor="text" w:horzAnchor="margin" w:tblpY="781"/>
        <w:tblOverlap w:val="never"/>
        <w:tblW w:w="15309" w:type="dxa"/>
        <w:tblLayout w:type="fixed"/>
        <w:tblLook w:val="04A0" w:firstRow="1" w:lastRow="0" w:firstColumn="1" w:lastColumn="0" w:noHBand="0" w:noVBand="1"/>
      </w:tblPr>
      <w:tblGrid>
        <w:gridCol w:w="1129"/>
        <w:gridCol w:w="1701"/>
        <w:gridCol w:w="1134"/>
        <w:gridCol w:w="1701"/>
        <w:gridCol w:w="1843"/>
        <w:gridCol w:w="1180"/>
        <w:gridCol w:w="1159"/>
        <w:gridCol w:w="1347"/>
        <w:gridCol w:w="992"/>
        <w:gridCol w:w="680"/>
        <w:gridCol w:w="2443"/>
      </w:tblGrid>
      <w:tr w:rsidR="00C972CB" w14:paraId="51206506" w14:textId="77777777">
        <w:trPr>
          <w:trHeight w:val="927"/>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D0B0B4" w14:textId="77777777" w:rsidR="00C972CB" w:rsidRDefault="002457F6">
            <w:pPr>
              <w:pStyle w:val="P68B1DB1-Normal9"/>
              <w:jc w:val="center"/>
              <w:rPr>
                <w:noProof/>
              </w:rPr>
            </w:pPr>
            <w:r>
              <w:rPr>
                <w:noProof/>
              </w:rPr>
              <w:t>Kārtas numurs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17D9DC" w14:textId="77777777" w:rsidR="00C972CB" w:rsidRDefault="002457F6">
            <w:pPr>
              <w:pStyle w:val="P68B1DB1-Normal9"/>
              <w:jc w:val="center"/>
              <w:rPr>
                <w:noProof/>
              </w:rPr>
            </w:pPr>
            <w:r>
              <w:rPr>
                <w:noProof/>
              </w:rPr>
              <w:t>Pasākums (reforma vai investīcija)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0D990D" w14:textId="77777777" w:rsidR="00C972CB" w:rsidRDefault="002457F6">
            <w:pPr>
              <w:pStyle w:val="P68B1DB1-Normal9"/>
              <w:jc w:val="center"/>
              <w:rPr>
                <w:noProof/>
              </w:rPr>
            </w:pPr>
            <w:r>
              <w:rPr>
                <w:noProof/>
              </w:rPr>
              <w:t>Atskaites punkts/mērķrādītājs</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09B5502F" w14:textId="77777777" w:rsidR="00C972CB" w:rsidRDefault="002457F6">
            <w:pPr>
              <w:pStyle w:val="P68B1DB1-Normal9"/>
              <w:jc w:val="center"/>
              <w:rPr>
                <w:noProof/>
              </w:rPr>
            </w:pPr>
            <w:r>
              <w:rPr>
                <w:noProof/>
              </w:rPr>
              <w:t>Uzvārds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D1C0FE"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08E5804E" w14:textId="77777777" w:rsidR="00C972CB" w:rsidRDefault="002457F6">
            <w:pPr>
              <w:pStyle w:val="P68B1DB1-Normal10"/>
              <w:jc w:val="center"/>
              <w:rPr>
                <w:b/>
                <w:noProof/>
                <w:sz w:val="20"/>
              </w:rPr>
            </w:pPr>
            <w:r>
              <w:rPr>
                <w:b/>
                <w:noProof/>
                <w:sz w:val="20"/>
              </w:rPr>
              <w:t xml:space="preserve">Kvantitatīvie </w:t>
            </w:r>
            <w:r>
              <w:rPr>
                <w:b/>
                <w:noProof/>
                <w:sz w:val="20"/>
              </w:rPr>
              <w:t>rādītāji</w:t>
            </w:r>
            <w:r>
              <w:rPr>
                <w:noProof/>
              </w:rPr>
              <w:t xml:space="preserve"> </w:t>
            </w:r>
            <w:r>
              <w:rPr>
                <w:noProof/>
              </w:rPr>
              <w:br/>
            </w:r>
            <w:r>
              <w:rPr>
                <w:b/>
                <w:noProof/>
                <w:sz w:val="20"/>
              </w:rPr>
              <w:t>(mērķiem)</w:t>
            </w:r>
          </w:p>
        </w:tc>
        <w:tc>
          <w:tcPr>
            <w:tcW w:w="1672" w:type="dxa"/>
            <w:gridSpan w:val="2"/>
            <w:tcBorders>
              <w:top w:val="single" w:sz="4" w:space="0" w:color="auto"/>
              <w:left w:val="nil"/>
              <w:bottom w:val="single" w:sz="4" w:space="0" w:color="auto"/>
              <w:right w:val="single" w:sz="4" w:space="0" w:color="auto"/>
            </w:tcBorders>
            <w:shd w:val="clear" w:color="auto" w:fill="BDD7EE"/>
            <w:vAlign w:val="center"/>
            <w:hideMark/>
          </w:tcPr>
          <w:p w14:paraId="6777F45E" w14:textId="77777777" w:rsidR="00C972CB" w:rsidRDefault="002457F6">
            <w:pPr>
              <w:pStyle w:val="P68B1DB1-Normal9"/>
              <w:jc w:val="center"/>
              <w:rPr>
                <w:noProof/>
              </w:rPr>
            </w:pPr>
            <w:r>
              <w:rPr>
                <w:noProof/>
              </w:rPr>
              <w:t>Orientējošs pabeigšanas termiņš</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E6B7A6" w14:textId="77777777" w:rsidR="00C972CB" w:rsidRDefault="002457F6">
            <w:pPr>
              <w:pStyle w:val="P68B1DB1-Normal9"/>
              <w:rPr>
                <w:noProof/>
              </w:rPr>
            </w:pPr>
            <w:r>
              <w:rPr>
                <w:noProof/>
              </w:rPr>
              <w:t>Apraksts par katru atskaites punktu un mērķrādītāju</w:t>
            </w:r>
          </w:p>
        </w:tc>
      </w:tr>
      <w:tr w:rsidR="00C972CB" w14:paraId="482C0B3E" w14:textId="77777777">
        <w:trPr>
          <w:trHeight w:val="617"/>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2D06B9F" w14:textId="77777777" w:rsidR="00C972CB" w:rsidRDefault="00C972CB">
            <w:pPr>
              <w:jc w:val="center"/>
              <w:rPr>
                <w:rFonts w:ascii="Arial Narrow" w:hAnsi="Arial Narrow"/>
                <w:b/>
                <w:noProof/>
                <w:sz w:val="20"/>
              </w:rPr>
            </w:pPr>
          </w:p>
        </w:tc>
        <w:tc>
          <w:tcPr>
            <w:tcW w:w="1701" w:type="dxa"/>
            <w:vMerge/>
            <w:tcBorders>
              <w:left w:val="single" w:sz="4" w:space="0" w:color="auto"/>
              <w:bottom w:val="single" w:sz="4" w:space="0" w:color="auto"/>
              <w:right w:val="single" w:sz="4" w:space="0" w:color="auto"/>
            </w:tcBorders>
            <w:vAlign w:val="center"/>
            <w:hideMark/>
          </w:tcPr>
          <w:p w14:paraId="70BDA7CC" w14:textId="77777777" w:rsidR="00C972CB" w:rsidRDefault="00C972CB">
            <w:pPr>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DB32AC" w14:textId="77777777" w:rsidR="00C972CB" w:rsidRDefault="00C972CB">
            <w:pPr>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33CA2D" w14:textId="77777777" w:rsidR="00C972CB" w:rsidRDefault="00C972CB">
            <w:pPr>
              <w:jc w:val="center"/>
              <w:rPr>
                <w:rFonts w:ascii="Arial Narrow" w:hAnsi="Arial Narrow"/>
                <w:b/>
                <w:noProof/>
                <w:sz w:val="20"/>
              </w:rPr>
            </w:pPr>
          </w:p>
        </w:tc>
        <w:tc>
          <w:tcPr>
            <w:tcW w:w="1843" w:type="dxa"/>
            <w:vMerge/>
            <w:tcBorders>
              <w:left w:val="single" w:sz="4" w:space="0" w:color="auto"/>
              <w:bottom w:val="single" w:sz="4" w:space="0" w:color="auto"/>
            </w:tcBorders>
            <w:vAlign w:val="center"/>
            <w:hideMark/>
          </w:tcPr>
          <w:p w14:paraId="67DFE415" w14:textId="77777777" w:rsidR="00C972CB" w:rsidRDefault="00C972CB">
            <w:pPr>
              <w:jc w:val="center"/>
              <w:rPr>
                <w:rFonts w:ascii="Arial Narrow" w:hAnsi="Arial Narrow"/>
                <w:b/>
                <w:noProof/>
                <w:sz w:val="20"/>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133DDB43" w14:textId="77777777" w:rsidR="00C972CB" w:rsidRDefault="002457F6">
            <w:pPr>
              <w:pStyle w:val="P68B1DB1-Normal9"/>
              <w:jc w:val="center"/>
              <w:rPr>
                <w:noProof/>
              </w:rPr>
            </w:pPr>
            <w:r>
              <w:rPr>
                <w:noProof/>
              </w:rPr>
              <w:t>Mēra vienība</w:t>
            </w:r>
          </w:p>
        </w:tc>
        <w:tc>
          <w:tcPr>
            <w:tcW w:w="1159" w:type="dxa"/>
            <w:tcBorders>
              <w:top w:val="nil"/>
              <w:left w:val="nil"/>
              <w:bottom w:val="single" w:sz="4" w:space="0" w:color="auto"/>
              <w:right w:val="single" w:sz="4" w:space="0" w:color="auto"/>
            </w:tcBorders>
            <w:shd w:val="clear" w:color="auto" w:fill="BDD7EE"/>
            <w:vAlign w:val="center"/>
            <w:hideMark/>
          </w:tcPr>
          <w:p w14:paraId="471166D1" w14:textId="77777777" w:rsidR="00C972CB" w:rsidRDefault="002457F6">
            <w:pPr>
              <w:pStyle w:val="P68B1DB1-Normal9"/>
              <w:jc w:val="center"/>
              <w:rPr>
                <w:noProof/>
              </w:rPr>
            </w:pPr>
            <w:r>
              <w:rPr>
                <w:noProof/>
              </w:rPr>
              <w:t>Pamatscenārijs</w:t>
            </w:r>
          </w:p>
        </w:tc>
        <w:tc>
          <w:tcPr>
            <w:tcW w:w="1347" w:type="dxa"/>
            <w:tcBorders>
              <w:top w:val="nil"/>
              <w:left w:val="nil"/>
              <w:bottom w:val="single" w:sz="4" w:space="0" w:color="auto"/>
              <w:right w:val="single" w:sz="4" w:space="0" w:color="auto"/>
            </w:tcBorders>
            <w:shd w:val="clear" w:color="auto" w:fill="BDD7EE"/>
            <w:vAlign w:val="center"/>
            <w:hideMark/>
          </w:tcPr>
          <w:p w14:paraId="01A232BA" w14:textId="77777777" w:rsidR="00C972CB" w:rsidRDefault="002457F6">
            <w:pPr>
              <w:pStyle w:val="P68B1DB1-Normal9"/>
              <w:jc w:val="center"/>
              <w:rPr>
                <w:noProof/>
              </w:rPr>
            </w:pPr>
            <w:r>
              <w:rPr>
                <w:noProof/>
              </w:rPr>
              <w:t>Mērķis</w:t>
            </w:r>
          </w:p>
        </w:tc>
        <w:tc>
          <w:tcPr>
            <w:tcW w:w="992" w:type="dxa"/>
            <w:tcBorders>
              <w:top w:val="nil"/>
              <w:left w:val="nil"/>
              <w:bottom w:val="single" w:sz="4" w:space="0" w:color="auto"/>
              <w:right w:val="single" w:sz="4" w:space="0" w:color="auto"/>
            </w:tcBorders>
            <w:shd w:val="clear" w:color="auto" w:fill="BDD7EE"/>
            <w:vAlign w:val="center"/>
            <w:hideMark/>
          </w:tcPr>
          <w:p w14:paraId="4680B208" w14:textId="77777777" w:rsidR="00C972CB" w:rsidRDefault="002457F6">
            <w:pPr>
              <w:pStyle w:val="P68B1DB1-Normal9"/>
              <w:jc w:val="center"/>
              <w:rPr>
                <w:noProof/>
              </w:rPr>
            </w:pPr>
            <w:r>
              <w:rPr>
                <w:noProof/>
              </w:rPr>
              <w:t>Ceturtdaļa</w:t>
            </w:r>
          </w:p>
        </w:tc>
        <w:tc>
          <w:tcPr>
            <w:tcW w:w="680" w:type="dxa"/>
            <w:tcBorders>
              <w:top w:val="nil"/>
              <w:left w:val="nil"/>
              <w:bottom w:val="single" w:sz="4" w:space="0" w:color="auto"/>
              <w:right w:val="single" w:sz="4" w:space="0" w:color="auto"/>
            </w:tcBorders>
            <w:shd w:val="clear" w:color="auto" w:fill="BDD7EE"/>
            <w:vAlign w:val="center"/>
            <w:hideMark/>
          </w:tcPr>
          <w:p w14:paraId="523ABA0B" w14:textId="77777777" w:rsidR="00C972CB" w:rsidRDefault="002457F6">
            <w:pPr>
              <w:pStyle w:val="P68B1DB1-Normal9"/>
              <w:jc w:val="center"/>
              <w:rPr>
                <w:noProof/>
              </w:rPr>
            </w:pPr>
            <w:r>
              <w:rPr>
                <w:noProof/>
              </w:rPr>
              <w:t>Gadā</w:t>
            </w:r>
          </w:p>
        </w:tc>
        <w:tc>
          <w:tcPr>
            <w:tcW w:w="2443" w:type="dxa"/>
            <w:vMerge/>
            <w:tcBorders>
              <w:top w:val="single" w:sz="4" w:space="0" w:color="auto"/>
              <w:bottom w:val="single" w:sz="4" w:space="0" w:color="auto"/>
              <w:right w:val="single" w:sz="4" w:space="0" w:color="auto"/>
            </w:tcBorders>
            <w:vAlign w:val="center"/>
            <w:hideMark/>
          </w:tcPr>
          <w:p w14:paraId="320014D5" w14:textId="77777777" w:rsidR="00C972CB" w:rsidRDefault="00C972CB">
            <w:pPr>
              <w:rPr>
                <w:rFonts w:ascii="Arial Narrow" w:hAnsi="Arial Narrow"/>
                <w:b/>
                <w:noProof/>
                <w:sz w:val="20"/>
              </w:rPr>
            </w:pPr>
          </w:p>
        </w:tc>
      </w:tr>
      <w:tr w:rsidR="00C972CB" w14:paraId="146B1C23"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CB81786" w14:textId="77777777" w:rsidR="00C972CB" w:rsidRDefault="002457F6">
            <w:pPr>
              <w:pStyle w:val="P68B1DB1-Normal11"/>
              <w:spacing w:line="276" w:lineRule="auto"/>
              <w:jc w:val="center"/>
              <w:rPr>
                <w:noProof/>
              </w:rPr>
            </w:pPr>
            <w:r>
              <w:rPr>
                <w:noProof/>
              </w:rPr>
              <w:t>M2C1–1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6B4CE5" w14:textId="77777777" w:rsidR="00C972CB" w:rsidRDefault="002457F6">
            <w:pPr>
              <w:pStyle w:val="P68B1DB1-Normal11"/>
              <w:spacing w:line="276" w:lineRule="auto"/>
              <w:jc w:val="center"/>
              <w:rPr>
                <w:noProof/>
              </w:rPr>
            </w:pPr>
            <w:r>
              <w:rPr>
                <w:noProof/>
              </w:rPr>
              <w:t>Reforma. Valsts stratēģija pārejai uz aprites ekonomiku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8719F2B" w14:textId="77777777" w:rsidR="00C972CB" w:rsidRDefault="002457F6">
            <w:pPr>
              <w:pStyle w:val="P68B1DB1-Normal11"/>
              <w:spacing w:line="276" w:lineRule="auto"/>
              <w:jc w:val="center"/>
              <w:rPr>
                <w:noProof/>
              </w:rPr>
            </w:pPr>
            <w:r>
              <w:rPr>
                <w:noProof/>
              </w:rPr>
              <w:t>Starpposma mērķis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9F41460" w14:textId="77777777" w:rsidR="00C972CB" w:rsidRDefault="002457F6">
            <w:pPr>
              <w:pStyle w:val="P68B1DB1-Normal11"/>
              <w:spacing w:line="276" w:lineRule="auto"/>
              <w:jc w:val="center"/>
              <w:rPr>
                <w:noProof/>
              </w:rPr>
            </w:pPr>
            <w:r>
              <w:rPr>
                <w:noProof/>
              </w:rPr>
              <w:t>Stājas spēkā ministrijas dekrēts par valsts stratēģijas pārejai uz aprites ekonomiku pieņemšanu</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BEAC53" w14:textId="77777777" w:rsidR="00C972CB" w:rsidRDefault="002457F6">
            <w:pPr>
              <w:pStyle w:val="P68B1DB1-Normal11"/>
              <w:spacing w:line="276" w:lineRule="auto"/>
              <w:jc w:val="center"/>
              <w:rPr>
                <w:noProof/>
              </w:rPr>
            </w:pPr>
            <w:r>
              <w:rPr>
                <w:noProof/>
              </w:rPr>
              <w:t>Ministrijas dekrēta noteikums par stāšanos spēkā</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4E5B2F5" w14:textId="77777777" w:rsidR="00C972CB" w:rsidRDefault="002457F6">
            <w:pPr>
              <w:pStyle w:val="P68B1DB1-Normal11"/>
              <w:spacing w:line="276" w:lineRule="auto"/>
              <w:jc w:val="center"/>
              <w:rPr>
                <w:noProof/>
              </w:rPr>
            </w:pPr>
            <w:r>
              <w:rPr>
                <w:noProof/>
              </w:rPr>
              <w:t>NEPIEMĒRO</w:t>
            </w:r>
          </w:p>
        </w:tc>
        <w:tc>
          <w:tcPr>
            <w:tcW w:w="115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B0F53CB" w14:textId="77777777" w:rsidR="00C972CB" w:rsidRDefault="002457F6">
            <w:pPr>
              <w:pStyle w:val="P68B1DB1-Normal11"/>
              <w:spacing w:line="276" w:lineRule="auto"/>
              <w:jc w:val="center"/>
              <w:rPr>
                <w:noProof/>
              </w:rPr>
            </w:pPr>
            <w:r>
              <w:rPr>
                <w:noProof/>
              </w:rPr>
              <w:t>NEPIEMĒRO</w:t>
            </w:r>
          </w:p>
        </w:tc>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60E7712" w14:textId="77777777" w:rsidR="00C972CB" w:rsidRDefault="002457F6">
            <w:pPr>
              <w:pStyle w:val="P68B1DB1-Normal11"/>
              <w:spacing w:line="276" w:lineRule="auto"/>
              <w:jc w:val="center"/>
              <w:rPr>
                <w:noProof/>
              </w:rPr>
            </w:pPr>
            <w:r>
              <w:rPr>
                <w:noProof/>
              </w:rPr>
              <w:t>NEPIEMĒRO</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FAF60F" w14:textId="77777777" w:rsidR="00C972CB" w:rsidRDefault="002457F6">
            <w:pPr>
              <w:pStyle w:val="P68B1DB1-Normal11"/>
              <w:spacing w:line="276" w:lineRule="auto"/>
              <w:jc w:val="center"/>
              <w:rPr>
                <w:noProof/>
              </w:rPr>
            </w:pPr>
            <w:r>
              <w:rPr>
                <w:noProof/>
              </w:rPr>
              <w:t>2. CET.</w:t>
            </w:r>
          </w:p>
        </w:tc>
        <w:tc>
          <w:tcPr>
            <w:tcW w:w="6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DBE757D" w14:textId="77777777" w:rsidR="00C972CB" w:rsidRDefault="002457F6">
            <w:pPr>
              <w:pStyle w:val="P68B1DB1-Normal11"/>
              <w:spacing w:line="276" w:lineRule="auto"/>
              <w:jc w:val="center"/>
              <w:rPr>
                <w:noProof/>
              </w:rPr>
            </w:pPr>
            <w:r>
              <w:rPr>
                <w:noProof/>
              </w:rPr>
              <w:t>2022</w:t>
            </w:r>
          </w:p>
        </w:tc>
        <w:tc>
          <w:tcPr>
            <w:tcW w:w="24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EAE26A9" w14:textId="77777777" w:rsidR="00C972CB" w:rsidRDefault="002457F6">
            <w:pPr>
              <w:pStyle w:val="P68B1DB1-Normal11"/>
              <w:spacing w:before="120" w:after="120" w:line="276" w:lineRule="auto"/>
              <w:rPr>
                <w:noProof/>
              </w:rPr>
            </w:pPr>
            <w:r>
              <w:rPr>
                <w:noProof/>
              </w:rPr>
              <w:t>Ministrijas dekrētā par valsts stratēģijas pārejai uz aprites ekonomiku pieņemšanu ietver vismaz šādus pasākumus:</w:t>
            </w:r>
          </w:p>
          <w:p w14:paraId="3A0DEAC0" w14:textId="77777777" w:rsidR="00C972CB" w:rsidRDefault="002457F6">
            <w:pPr>
              <w:pStyle w:val="P68B1DB1-Normal11"/>
              <w:numPr>
                <w:ilvl w:val="0"/>
                <w:numId w:val="58"/>
              </w:numPr>
              <w:spacing w:before="120" w:line="276" w:lineRule="auto"/>
              <w:ind w:left="244" w:hanging="357"/>
              <w:rPr>
                <w:noProof/>
              </w:rPr>
            </w:pPr>
            <w:r>
              <w:rPr>
                <w:noProof/>
              </w:rPr>
              <w:t xml:space="preserve">jauna digitāla atkritumu izsekojamības sistēma, kas, no vienas puses, atbalsta otrreizējo izejvielu tirgus </w:t>
            </w:r>
            <w:r>
              <w:rPr>
                <w:noProof/>
              </w:rPr>
              <w:t>attīstību (nodrošinot skaidru regulējumu otrreizējo izejvielu piegādei), no otras puses, kontroles iestādēm atkritumu nelikumīgas apsaimniekošanas novēršanā un apkarošanā.</w:t>
            </w:r>
          </w:p>
          <w:p w14:paraId="42F39AEC" w14:textId="77777777" w:rsidR="00C972CB" w:rsidRDefault="002457F6">
            <w:pPr>
              <w:pStyle w:val="P68B1DB1-Normal11"/>
              <w:numPr>
                <w:ilvl w:val="0"/>
                <w:numId w:val="58"/>
              </w:numPr>
              <w:spacing w:before="120" w:line="276" w:lineRule="auto"/>
              <w:ind w:left="244" w:hanging="357"/>
              <w:rPr>
                <w:noProof/>
              </w:rPr>
            </w:pPr>
            <w:r>
              <w:rPr>
                <w:noProof/>
              </w:rPr>
              <w:t>nodokļu stimuli, lai atbalstītu reciklēšanas darbības un otrreizējo izejvielu izmant</w:t>
            </w:r>
            <w:r>
              <w:rPr>
                <w:noProof/>
              </w:rPr>
              <w:t>ošanu;</w:t>
            </w:r>
          </w:p>
          <w:p w14:paraId="168B1B0A" w14:textId="77777777" w:rsidR="00C972CB" w:rsidRDefault="002457F6">
            <w:pPr>
              <w:pStyle w:val="P68B1DB1-Normal11"/>
              <w:numPr>
                <w:ilvl w:val="0"/>
                <w:numId w:val="58"/>
              </w:numPr>
              <w:spacing w:before="120" w:line="276" w:lineRule="auto"/>
              <w:ind w:left="244" w:hanging="357"/>
              <w:rPr>
                <w:noProof/>
              </w:rPr>
            </w:pPr>
            <w:r>
              <w:rPr>
                <w:noProof/>
              </w:rPr>
              <w:t>pārskatīt vides nodokļu sistēmu atkritumiem, lai pārstrāde būtu ērtāka nekā apglabāšana poligonos un sadedzināšana valsts teritorijā;</w:t>
            </w:r>
          </w:p>
          <w:p w14:paraId="71991729" w14:textId="77777777" w:rsidR="00C972CB" w:rsidRDefault="002457F6">
            <w:pPr>
              <w:pStyle w:val="P68B1DB1-Normal11"/>
              <w:numPr>
                <w:ilvl w:val="0"/>
                <w:numId w:val="58"/>
              </w:numPr>
              <w:spacing w:before="120" w:line="276" w:lineRule="auto"/>
              <w:ind w:left="244" w:hanging="357"/>
              <w:rPr>
                <w:noProof/>
              </w:rPr>
            </w:pPr>
            <w:r>
              <w:rPr>
                <w:noProof/>
              </w:rPr>
              <w:t>tiesības uz atkārtotu izmantošanu un remontu;</w:t>
            </w:r>
          </w:p>
          <w:p w14:paraId="191A7981" w14:textId="77777777" w:rsidR="00C972CB" w:rsidRDefault="002457F6">
            <w:pPr>
              <w:pStyle w:val="P68B1DB1-Normal11"/>
              <w:numPr>
                <w:ilvl w:val="0"/>
                <w:numId w:val="58"/>
              </w:numPr>
              <w:spacing w:before="120" w:line="276" w:lineRule="auto"/>
              <w:ind w:left="244" w:hanging="357"/>
              <w:rPr>
                <w:noProof/>
              </w:rPr>
            </w:pPr>
            <w:r>
              <w:rPr>
                <w:noProof/>
              </w:rPr>
              <w:t xml:space="preserve">ražotāja paplašinātas atbildības un konsorciju sistēmas reforma, lai </w:t>
            </w:r>
            <w:r>
              <w:rPr>
                <w:noProof/>
              </w:rPr>
              <w:t>atbalstītu ES mērķu sasniegšanu, MITE vadībā izveidojot īpašu uzraudzības iestādi ar mērķi uzraudzīt konsorciju sistēmu darbību un efektivitāti;</w:t>
            </w:r>
          </w:p>
          <w:p w14:paraId="27B41C36" w14:textId="77777777" w:rsidR="00C972CB" w:rsidRDefault="002457F6">
            <w:pPr>
              <w:pStyle w:val="P68B1DB1-Normal11"/>
              <w:numPr>
                <w:ilvl w:val="0"/>
                <w:numId w:val="58"/>
              </w:numPr>
              <w:spacing w:before="120" w:line="276" w:lineRule="auto"/>
              <w:ind w:left="244" w:hanging="357"/>
              <w:rPr>
                <w:noProof/>
              </w:rPr>
            </w:pPr>
            <w:r>
              <w:rPr>
                <w:noProof/>
              </w:rPr>
              <w:t>atbalsts esošajiem regulatīvajiem instrumentiem: Atkritumu jomas (valsts un reģionālo) tiesību aktu izbeigšana,</w:t>
            </w:r>
            <w:r>
              <w:rPr>
                <w:noProof/>
              </w:rPr>
              <w:t xml:space="preserve"> minimālie vides kritēriji (CAM) saskaņā ar zaļo publisko iepirkumu. EOW un CAM izstrāde/atjaunināšana jo īpaši attiecas uz būvniecību, tekstilizstrādājumiem, plastmasu, elektrisko un elektronisko iekārtu atkritumiem (EEIA).</w:t>
            </w:r>
          </w:p>
          <w:p w14:paraId="43AB0EFF" w14:textId="77777777" w:rsidR="00C972CB" w:rsidRDefault="002457F6">
            <w:pPr>
              <w:pStyle w:val="P68B1DB1-Normal11"/>
              <w:numPr>
                <w:ilvl w:val="0"/>
                <w:numId w:val="58"/>
              </w:numPr>
              <w:spacing w:before="120" w:line="276" w:lineRule="auto"/>
              <w:ind w:left="244" w:hanging="357"/>
              <w:rPr>
                <w:noProof/>
              </w:rPr>
            </w:pPr>
            <w:r>
              <w:rPr>
                <w:noProof/>
              </w:rPr>
              <w:t>atbalsts rūpnieciskās simbiozes</w:t>
            </w:r>
            <w:r>
              <w:rPr>
                <w:noProof/>
              </w:rPr>
              <w:t xml:space="preserve"> projektam, izmantojot regulatīvus un finanšu instrumentus.)</w:t>
            </w:r>
          </w:p>
        </w:tc>
      </w:tr>
      <w:tr w:rsidR="00C972CB" w14:paraId="1349EF45"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C2339D6" w14:textId="77777777" w:rsidR="00C972CB" w:rsidRDefault="002457F6">
            <w:pPr>
              <w:pStyle w:val="P68B1DB1-Normal11"/>
              <w:spacing w:line="276" w:lineRule="auto"/>
              <w:jc w:val="center"/>
              <w:rPr>
                <w:noProof/>
              </w:rPr>
            </w:pPr>
            <w:r>
              <w:rPr>
                <w:noProof/>
              </w:rPr>
              <w:t>M2C1–2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1E6EBFC1" w14:textId="77777777" w:rsidR="00C972CB" w:rsidRDefault="002457F6">
            <w:pPr>
              <w:pStyle w:val="P68B1DB1-Normal11"/>
              <w:spacing w:line="276" w:lineRule="auto"/>
              <w:jc w:val="center"/>
              <w:rPr>
                <w:noProof/>
              </w:rPr>
            </w:pPr>
            <w:r>
              <w:rPr>
                <w:noProof/>
              </w:rPr>
              <w:t>Reforma. Tehniskais atbalsts vietējām pašvaldībām</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19BF1014" w14:textId="77777777" w:rsidR="00C972CB" w:rsidRDefault="002457F6">
            <w:pPr>
              <w:pStyle w:val="P68B1DB1-Normal11"/>
              <w:spacing w:line="276" w:lineRule="auto"/>
              <w:jc w:val="center"/>
              <w:rPr>
                <w:noProof/>
              </w:rPr>
            </w:pPr>
            <w:r>
              <w:rPr>
                <w:noProof/>
              </w:rPr>
              <w:t>Starpposma mērķis</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1D8953F" w14:textId="77777777" w:rsidR="00C972CB" w:rsidRDefault="002457F6">
            <w:pPr>
              <w:pStyle w:val="P68B1DB1-Normal11"/>
              <w:spacing w:line="276" w:lineRule="auto"/>
              <w:jc w:val="center"/>
              <w:rPr>
                <w:noProof/>
              </w:rPr>
            </w:pPr>
            <w:r>
              <w:rPr>
                <w:noProof/>
              </w:rPr>
              <w:t>Vienošanās apstiprināšana par spēju veidošanas rīcības plāna izstrādi, lai atbalstītu vietējās publiskās iestādes</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7CE284C0" w14:textId="77A58ADA" w:rsidR="00C972CB" w:rsidRDefault="002457F6">
            <w:pPr>
              <w:pStyle w:val="P68B1DB1-Normal11"/>
              <w:spacing w:line="276" w:lineRule="auto"/>
              <w:jc w:val="center"/>
              <w:rPr>
                <w:noProof/>
              </w:rPr>
            </w:pPr>
            <w:r>
              <w:rPr>
                <w:noProof/>
              </w:rPr>
              <w:t>Apstiprinātā līguma publicēšana ministrijas tīmekļa vietnē</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190BA50D" w14:textId="77777777" w:rsidR="00C972CB" w:rsidRDefault="002457F6">
            <w:pPr>
              <w:pStyle w:val="P68B1DB1-Normal11"/>
              <w:spacing w:line="276" w:lineRule="auto"/>
              <w:jc w:val="center"/>
              <w:rPr>
                <w:noProof/>
              </w:rPr>
            </w:pPr>
            <w:r>
              <w:rPr>
                <w:noProof/>
              </w:rPr>
              <w:t>NEPIEMĒRO</w:t>
            </w:r>
          </w:p>
        </w:tc>
        <w:tc>
          <w:tcPr>
            <w:tcW w:w="1159" w:type="dxa"/>
            <w:tcBorders>
              <w:top w:val="single" w:sz="4" w:space="0" w:color="auto"/>
              <w:left w:val="nil"/>
              <w:bottom w:val="single" w:sz="4" w:space="0" w:color="auto"/>
              <w:right w:val="single" w:sz="4" w:space="0" w:color="auto"/>
            </w:tcBorders>
            <w:shd w:val="clear" w:color="auto" w:fill="C6EFCE"/>
            <w:noWrap/>
            <w:vAlign w:val="center"/>
            <w:hideMark/>
          </w:tcPr>
          <w:p w14:paraId="6EC79B64" w14:textId="77777777" w:rsidR="00C972CB" w:rsidRDefault="002457F6">
            <w:pPr>
              <w:pStyle w:val="P68B1DB1-Normal11"/>
              <w:spacing w:line="276" w:lineRule="auto"/>
              <w:jc w:val="center"/>
              <w:rPr>
                <w:noProof/>
              </w:rPr>
            </w:pPr>
            <w:r>
              <w:rPr>
                <w:noProof/>
              </w:rPr>
              <w:t>NEPIEMĒRO</w:t>
            </w:r>
          </w:p>
        </w:tc>
        <w:tc>
          <w:tcPr>
            <w:tcW w:w="1347" w:type="dxa"/>
            <w:tcBorders>
              <w:top w:val="single" w:sz="4" w:space="0" w:color="auto"/>
              <w:left w:val="nil"/>
              <w:bottom w:val="single" w:sz="4" w:space="0" w:color="auto"/>
              <w:right w:val="single" w:sz="4" w:space="0" w:color="auto"/>
            </w:tcBorders>
            <w:shd w:val="clear" w:color="auto" w:fill="C6EFCE"/>
            <w:noWrap/>
            <w:vAlign w:val="center"/>
            <w:hideMark/>
          </w:tcPr>
          <w:p w14:paraId="7AA149F4" w14:textId="77777777" w:rsidR="00C972CB" w:rsidRDefault="002457F6">
            <w:pPr>
              <w:pStyle w:val="P68B1DB1-Normal11"/>
              <w:spacing w:line="276" w:lineRule="auto"/>
              <w:jc w:val="center"/>
              <w:rPr>
                <w:noProof/>
              </w:rPr>
            </w:pPr>
            <w:r>
              <w:rPr>
                <w:noProof/>
              </w:rPr>
              <w:t>NEPIEMĒRO</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189F14F2" w14:textId="77777777" w:rsidR="00C972CB" w:rsidRDefault="002457F6">
            <w:pPr>
              <w:pStyle w:val="P68B1DB1-Normal11"/>
              <w:spacing w:line="276" w:lineRule="auto"/>
              <w:jc w:val="center"/>
              <w:rPr>
                <w:noProof/>
              </w:rPr>
            </w:pPr>
            <w:r>
              <w:rPr>
                <w:noProof/>
              </w:rPr>
              <w:t>2. CET.</w:t>
            </w:r>
          </w:p>
        </w:tc>
        <w:tc>
          <w:tcPr>
            <w:tcW w:w="680" w:type="dxa"/>
            <w:tcBorders>
              <w:top w:val="single" w:sz="4" w:space="0" w:color="auto"/>
              <w:left w:val="nil"/>
              <w:bottom w:val="single" w:sz="4" w:space="0" w:color="auto"/>
              <w:right w:val="single" w:sz="4" w:space="0" w:color="auto"/>
            </w:tcBorders>
            <w:shd w:val="clear" w:color="auto" w:fill="C6EFCE"/>
            <w:noWrap/>
            <w:vAlign w:val="center"/>
            <w:hideMark/>
          </w:tcPr>
          <w:p w14:paraId="29F352C5" w14:textId="77777777" w:rsidR="00C972CB" w:rsidRDefault="002457F6">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hideMark/>
          </w:tcPr>
          <w:p w14:paraId="76BB14A6" w14:textId="77777777" w:rsidR="00C972CB" w:rsidRDefault="002457F6">
            <w:pPr>
              <w:pStyle w:val="P68B1DB1-Normal11"/>
              <w:spacing w:before="120" w:after="120" w:line="276" w:lineRule="auto"/>
              <w:rPr>
                <w:noProof/>
              </w:rPr>
            </w:pPr>
            <w:r>
              <w:rPr>
                <w:noProof/>
              </w:rPr>
              <w:t xml:space="preserve">Tiek apstiprināta vienošanās par spēju veidošanas rīcības plāna izstrādi, lai atbalstītu vietējās publiskās iestādes konkursa procedūrās attiecībā uz </w:t>
            </w:r>
            <w:r>
              <w:rPr>
                <w:noProof/>
              </w:rPr>
              <w:t>likumā (Likumdošanas dekrēts Nr. 50/2016 par publisko iepirkumu) noteikto minimālo vides kritēriju (CAM) īstenošanu zaļā publiskā iepirkuma (ZPI) ietvaros un atbalsta pasākuma uzsākšanu.</w:t>
            </w:r>
          </w:p>
          <w:p w14:paraId="02141048" w14:textId="77777777" w:rsidR="00C972CB" w:rsidRDefault="002457F6">
            <w:pPr>
              <w:pStyle w:val="P68B1DB1-Normal11"/>
              <w:suppressAutoHyphens/>
              <w:spacing w:line="276" w:lineRule="auto"/>
              <w:rPr>
                <w:noProof/>
              </w:rPr>
            </w:pPr>
            <w:r>
              <w:rPr>
                <w:noProof/>
              </w:rPr>
              <w:t>Tehnisko atbalstu vietējām pašpārvaldēm (reģioniem, provincēm un pašv</w:t>
            </w:r>
            <w:r>
              <w:rPr>
                <w:noProof/>
              </w:rPr>
              <w:t>aldībām) nodrošina valdība (Ekoloģiskās pārejas ministrija, Ekonomikas attīstības ministrija u. c.) ar iekšējo uzņēmumu starpniecību. Tehniskais atbalsts attiecas uz:</w:t>
            </w:r>
          </w:p>
          <w:p w14:paraId="56C143E4" w14:textId="77777777" w:rsidR="00C972CB" w:rsidRDefault="002457F6">
            <w:pPr>
              <w:pStyle w:val="P68B1DB1-Normal11"/>
              <w:numPr>
                <w:ilvl w:val="0"/>
                <w:numId w:val="58"/>
              </w:numPr>
              <w:suppressAutoHyphens/>
              <w:spacing w:before="120" w:line="276" w:lineRule="auto"/>
              <w:contextualSpacing/>
              <w:rPr>
                <w:noProof/>
              </w:rPr>
            </w:pPr>
            <w:r>
              <w:rPr>
                <w:noProof/>
              </w:rPr>
              <w:t>tehniskā palīdzība, lai īstenotu ES un valstu regulējumu vides jomā;</w:t>
            </w:r>
          </w:p>
          <w:p w14:paraId="4F566256" w14:textId="77777777" w:rsidR="00C972CB" w:rsidRDefault="002457F6">
            <w:pPr>
              <w:pStyle w:val="P68B1DB1-Normal11"/>
              <w:numPr>
                <w:ilvl w:val="0"/>
                <w:numId w:val="58"/>
              </w:numPr>
              <w:suppressAutoHyphens/>
              <w:spacing w:before="120" w:line="276" w:lineRule="auto"/>
              <w:contextualSpacing/>
              <w:rPr>
                <w:noProof/>
              </w:rPr>
            </w:pPr>
            <w:r>
              <w:rPr>
                <w:noProof/>
              </w:rPr>
              <w:t>atbalsts atkritumu a</w:t>
            </w:r>
            <w:r>
              <w:rPr>
                <w:noProof/>
              </w:rPr>
              <w:t>psaimniekošanas plānu un projektu izstrādei;</w:t>
            </w:r>
          </w:p>
          <w:p w14:paraId="40076C49" w14:textId="77777777" w:rsidR="00C972CB" w:rsidRDefault="002457F6">
            <w:pPr>
              <w:pStyle w:val="P68B1DB1-Normal11"/>
              <w:numPr>
                <w:ilvl w:val="0"/>
                <w:numId w:val="58"/>
              </w:numPr>
              <w:suppressAutoHyphens/>
              <w:spacing w:before="120" w:line="276" w:lineRule="auto"/>
              <w:contextualSpacing/>
              <w:rPr>
                <w:noProof/>
              </w:rPr>
            </w:pPr>
            <w:r>
              <w:rPr>
                <w:noProof/>
              </w:rPr>
              <w:t>atbalsts konkursa procedūrām, arī lai nodrošinātu, ka koncesijas atkritumu apsaimniekošanas jomā tiek piešķirtas pārredzamā un nediskriminējošā veidā, palielinot konkurences procesus, lai panāktu labākus standar</w:t>
            </w:r>
            <w:r>
              <w:rPr>
                <w:noProof/>
              </w:rPr>
              <w:t>tus sabiedrisko pakalpojumu jomā.</w:t>
            </w:r>
          </w:p>
          <w:p w14:paraId="77D20DB3" w14:textId="77777777" w:rsidR="00C972CB" w:rsidRDefault="00C972CB">
            <w:pPr>
              <w:suppressAutoHyphens/>
              <w:spacing w:line="276" w:lineRule="auto"/>
              <w:rPr>
                <w:rFonts w:ascii="Arial Narrow" w:hAnsi="Arial Narrow"/>
                <w:noProof/>
                <w:color w:val="006100"/>
                <w:sz w:val="20"/>
              </w:rPr>
            </w:pPr>
          </w:p>
          <w:p w14:paraId="3A060065" w14:textId="4A47491C" w:rsidR="00C972CB" w:rsidRDefault="002457F6">
            <w:pPr>
              <w:pStyle w:val="P68B1DB1-Normal11"/>
              <w:suppressAutoHyphens/>
              <w:spacing w:line="276" w:lineRule="auto"/>
              <w:rPr>
                <w:noProof/>
              </w:rPr>
            </w:pPr>
            <w:r>
              <w:rPr>
                <w:noProof/>
              </w:rPr>
              <w:t>Ekoloģiskās pārkārtošanās ministrija izstrādā īpašu spēju veidošanas rīcības plānu, lai palīdzētu vietējām publiskajām iestādēm un profesionāliem publiskajiem iepircējiem konkursa procedūrās piemērot minimālos vides kritē</w:t>
            </w:r>
            <w:r>
              <w:rPr>
                <w:noProof/>
              </w:rPr>
              <w:t>rijus (CAM), kas noteikti ar Likumu (Leģislatīvais dekrēts Nr. 50/2016 par publisko iepirkumu) saskaņā ar zaļo publisko iepirkumu (GPP).</w:t>
            </w:r>
          </w:p>
        </w:tc>
      </w:tr>
      <w:tr w:rsidR="00C972CB" w14:paraId="77B3D194"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CF5F9" w14:textId="77777777" w:rsidR="00C972CB" w:rsidRDefault="002457F6">
            <w:pPr>
              <w:pStyle w:val="P68B1DB1-Normal11"/>
              <w:spacing w:line="276" w:lineRule="auto"/>
              <w:jc w:val="center"/>
              <w:rPr>
                <w:noProof/>
              </w:rPr>
            </w:pPr>
            <w:r>
              <w:rPr>
                <w:noProof/>
              </w:rPr>
              <w:t>M2C1–3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D250501" w14:textId="77777777" w:rsidR="00C972CB" w:rsidRDefault="002457F6">
            <w:pPr>
              <w:pStyle w:val="P68B1DB1-Normal11"/>
              <w:spacing w:line="276" w:lineRule="auto"/>
              <w:jc w:val="center"/>
              <w:rPr>
                <w:noProof/>
              </w:rPr>
            </w:pPr>
            <w:r>
              <w:rPr>
                <w:noProof/>
              </w:rPr>
              <w:t xml:space="preserve">Ieguldījums 2.1.: Loģistikas plāns lauksaimniecības pārtikas, zvejniecības un akvakultūras, mežsaimniecības, </w:t>
            </w:r>
            <w:r>
              <w:rPr>
                <w:noProof/>
              </w:rPr>
              <w:t>puķkopības un stādaudzētavu nozarēm</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03DF65E" w14:textId="77777777" w:rsidR="00C972CB" w:rsidRDefault="002457F6">
            <w:pPr>
              <w:pStyle w:val="P68B1DB1-Normal11"/>
              <w:spacing w:line="276" w:lineRule="auto"/>
              <w:jc w:val="center"/>
              <w:rPr>
                <w:noProof/>
              </w:rPr>
            </w:pPr>
            <w:r>
              <w:rPr>
                <w:noProof/>
              </w:rPr>
              <w:t>Starpposma mērķis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421497E" w14:textId="77777777" w:rsidR="00C972CB" w:rsidRDefault="002457F6">
            <w:pPr>
              <w:pStyle w:val="P68B1DB1-Normal11"/>
              <w:spacing w:line="276" w:lineRule="auto"/>
              <w:jc w:val="center"/>
              <w:rPr>
                <w:noProof/>
              </w:rPr>
            </w:pPr>
            <w:r>
              <w:rPr>
                <w:noProof/>
              </w:rPr>
              <w:t>Galīgā vērtējuma publicēšana saskaņā ar loģistisko stimulu shēmu</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C0D3C58" w14:textId="77777777" w:rsidR="00C972CB" w:rsidRDefault="002457F6">
            <w:pPr>
              <w:pStyle w:val="P68B1DB1-Normal11"/>
              <w:spacing w:line="276" w:lineRule="auto"/>
              <w:jc w:val="center"/>
              <w:rPr>
                <w:noProof/>
              </w:rPr>
            </w:pPr>
            <w:r>
              <w:rPr>
                <w:noProof/>
              </w:rPr>
              <w:t>Publicēšana ministrijas tīmekļa vietnē vai citā atbalsta kanālā</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2D0C015" w14:textId="77777777" w:rsidR="00C972CB" w:rsidRDefault="002457F6">
            <w:pPr>
              <w:pStyle w:val="P68B1DB1-Normal11"/>
              <w:spacing w:line="276" w:lineRule="auto"/>
              <w:jc w:val="center"/>
              <w:rPr>
                <w:noProof/>
              </w:rPr>
            </w:pPr>
            <w:r>
              <w:rPr>
                <w:noProof/>
              </w:rPr>
              <w:t>NEPIEMĒRO</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D659D60" w14:textId="77777777" w:rsidR="00C972CB" w:rsidRDefault="002457F6">
            <w:pPr>
              <w:pStyle w:val="P68B1DB1-Normal11"/>
              <w:spacing w:line="276" w:lineRule="auto"/>
              <w:jc w:val="center"/>
              <w:rPr>
                <w:noProof/>
              </w:rPr>
            </w:pPr>
            <w:r>
              <w:rPr>
                <w:noProof/>
              </w:rPr>
              <w:t>NEPIEMĒRO</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E534B1B" w14:textId="77777777" w:rsidR="00C972CB" w:rsidRDefault="002457F6">
            <w:pPr>
              <w:pStyle w:val="P68B1DB1-Normal11"/>
              <w:spacing w:line="276" w:lineRule="auto"/>
              <w:jc w:val="center"/>
              <w:rPr>
                <w:noProof/>
              </w:rPr>
            </w:pPr>
            <w:r>
              <w:rPr>
                <w:noProof/>
              </w:rPr>
              <w:t>NEPIEMĒRO</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C7545EB" w14:textId="77777777" w:rsidR="00C972CB" w:rsidRDefault="002457F6">
            <w:pPr>
              <w:pStyle w:val="P68B1DB1-Normal11"/>
              <w:spacing w:line="276" w:lineRule="auto"/>
              <w:jc w:val="center"/>
              <w:rPr>
                <w:noProof/>
              </w:rPr>
            </w:pPr>
            <w:r>
              <w:rPr>
                <w:noProof/>
              </w:rPr>
              <w:t>4.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A080CA2" w14:textId="77777777" w:rsidR="00C972CB" w:rsidRDefault="002457F6">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1D96888" w14:textId="7C00BA82" w:rsidR="00C972CB" w:rsidRDefault="002457F6">
            <w:pPr>
              <w:pStyle w:val="P68B1DB1-Normal11"/>
              <w:spacing w:line="276" w:lineRule="auto"/>
              <w:rPr>
                <w:noProof/>
              </w:rPr>
            </w:pPr>
            <w:r>
              <w:rPr>
                <w:noProof/>
              </w:rPr>
              <w:t xml:space="preserve">Apstiprinājuma dekrētā nosaka </w:t>
            </w:r>
            <w:r>
              <w:rPr>
                <w:noProof/>
              </w:rPr>
              <w:t>galīgo sarindojumu.</w:t>
            </w:r>
          </w:p>
          <w:p w14:paraId="3C8C26C3" w14:textId="77777777" w:rsidR="00C972CB" w:rsidRDefault="00C972CB">
            <w:pPr>
              <w:spacing w:line="276" w:lineRule="auto"/>
              <w:rPr>
                <w:rFonts w:ascii="Arial Narrow" w:hAnsi="Arial Narrow"/>
                <w:noProof/>
                <w:color w:val="006100"/>
                <w:sz w:val="20"/>
              </w:rPr>
            </w:pPr>
          </w:p>
          <w:p w14:paraId="138C8C63" w14:textId="77777777" w:rsidR="00C972CB" w:rsidRDefault="002457F6">
            <w:pPr>
              <w:pStyle w:val="P68B1DB1-paragraph25"/>
              <w:spacing w:before="0" w:beforeAutospacing="0" w:after="0" w:afterAutospacing="0" w:line="276" w:lineRule="auto"/>
              <w:textAlignment w:val="baseline"/>
              <w:rPr>
                <w:noProof/>
              </w:rPr>
            </w:pPr>
            <w:r>
              <w:rPr>
                <w:noProof/>
              </w:rPr>
              <w:t>Loģistikas stimulu shēma ietver:</w:t>
            </w:r>
          </w:p>
          <w:p w14:paraId="11F26DD6" w14:textId="77777777" w:rsidR="00C972CB" w:rsidRDefault="002457F6">
            <w:pPr>
              <w:pStyle w:val="P68B1DB1-paragraph25"/>
              <w:spacing w:before="0" w:beforeAutospacing="0" w:after="0" w:afterAutospacing="0" w:line="276" w:lineRule="auto"/>
              <w:textAlignment w:val="baseline"/>
              <w:rPr>
                <w:noProof/>
              </w:rPr>
            </w:pPr>
            <w:r>
              <w:rPr>
                <w:noProof/>
              </w:rPr>
              <w:t>atbilstības kritēriji, kas nodrošina, ka atlasītie projekti atbilst Tehniskajiem norādījumiem “nenodari būtisku kaitējumu” (2021/C58/01), izmantojot izslēgšanas sarakstu un prasību par atbilstību attiec</w:t>
            </w:r>
            <w:r>
              <w:rPr>
                <w:noProof/>
              </w:rPr>
              <w:t>īgajiem ES un valsts tiesību aktiem vides jomā.</w:t>
            </w:r>
          </w:p>
          <w:p w14:paraId="1C6C633E" w14:textId="77777777" w:rsidR="00C972CB" w:rsidRDefault="002457F6">
            <w:pPr>
              <w:pStyle w:val="P68B1DB1-paragraph25"/>
              <w:spacing w:before="0" w:beforeAutospacing="0" w:after="0" w:afterAutospacing="0" w:line="276" w:lineRule="auto"/>
              <w:textAlignment w:val="baseline"/>
              <w:rPr>
                <w:noProof/>
              </w:rPr>
            </w:pPr>
            <w:r>
              <w:rPr>
                <w:noProof/>
              </w:rPr>
              <w:t>b) apņemšanās, ka investīciju ieguldījums klimata jomā saskaņā ar Regulas (ES) 2021/241 VI pielikumā izklāstīto metodiku veido vismaz 32 % no ANM atbalstīto investīciju kopējām izmaksām.</w:t>
            </w:r>
          </w:p>
          <w:p w14:paraId="0527F35B" w14:textId="77777777" w:rsidR="00C972CB" w:rsidRDefault="002457F6">
            <w:pPr>
              <w:pStyle w:val="P68B1DB1-Normal11"/>
              <w:spacing w:line="276" w:lineRule="auto"/>
              <w:rPr>
                <w:noProof/>
              </w:rPr>
            </w:pPr>
            <w:r>
              <w:rPr>
                <w:noProof/>
              </w:rPr>
              <w:t>C)apņemšanās, ka inve</w:t>
            </w:r>
            <w:r>
              <w:rPr>
                <w:noProof/>
              </w:rPr>
              <w:t>stīciju digitālais ieguldījums saskaņā ar Regulas (ES) 2021/241 VII pielikumā izklāstīto metodiku veido vismaz 27 % no ANM atbalstīto investīciju kopējām izmaksām.</w:t>
            </w:r>
          </w:p>
          <w:p w14:paraId="4DCE2024" w14:textId="284899A3" w:rsidR="00C972CB" w:rsidRDefault="002457F6">
            <w:pPr>
              <w:pStyle w:val="P68B1DB1-Normal11"/>
              <w:spacing w:line="276" w:lineRule="auto"/>
              <w:rPr>
                <w:noProof/>
              </w:rPr>
            </w:pPr>
            <w:r>
              <w:rPr>
                <w:noProof/>
              </w:rPr>
              <w:t>d) Saistības ziņot par pasākuma īstenošanu visā shēmas darbības laikā un shēmas darbības bei</w:t>
            </w:r>
            <w:r>
              <w:rPr>
                <w:noProof/>
              </w:rPr>
              <w:t>gās.</w:t>
            </w:r>
          </w:p>
        </w:tc>
      </w:tr>
      <w:tr w:rsidR="00C972CB" w14:paraId="3A178DBF"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C0610" w14:textId="77777777" w:rsidR="00C972CB" w:rsidRDefault="002457F6">
            <w:pPr>
              <w:pStyle w:val="P68B1DB1-Normal11"/>
              <w:spacing w:line="276" w:lineRule="auto"/>
              <w:jc w:val="center"/>
              <w:rPr>
                <w:noProof/>
              </w:rPr>
            </w:pPr>
            <w:r>
              <w:rPr>
                <w:noProof/>
              </w:rPr>
              <w:t>M2C1–4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0171D9" w14:textId="77777777" w:rsidR="00C972CB" w:rsidRDefault="002457F6">
            <w:pPr>
              <w:pStyle w:val="P68B1DB1-Normal11"/>
              <w:spacing w:line="276" w:lineRule="auto"/>
              <w:jc w:val="center"/>
              <w:rPr>
                <w:noProof/>
              </w:rPr>
            </w:pPr>
            <w:r>
              <w:rPr>
                <w:noProof/>
              </w:rPr>
              <w:t>Ieguldījums 2.2.: AGRI-solārais parks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796A19" w14:textId="77777777" w:rsidR="00C972CB" w:rsidRDefault="002457F6">
            <w:pPr>
              <w:pStyle w:val="P68B1DB1-Normal11"/>
              <w:spacing w:line="276" w:lineRule="auto"/>
              <w:jc w:val="center"/>
              <w:rPr>
                <w:noProof/>
              </w:rPr>
            </w:pPr>
            <w:r>
              <w:rPr>
                <w:noProof/>
              </w:rPr>
              <w:t>Mērķa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7E819DE" w14:textId="77777777" w:rsidR="00C972CB" w:rsidRDefault="002457F6">
            <w:pPr>
              <w:pStyle w:val="P68B1DB1-Normal11"/>
              <w:spacing w:line="276" w:lineRule="auto"/>
              <w:jc w:val="center"/>
              <w:rPr>
                <w:noProof/>
              </w:rPr>
            </w:pPr>
            <w:r>
              <w:rPr>
                <w:noProof/>
              </w:rPr>
              <w:t>Līdzekļu piešķiršana saņēmējiem % no kopējiem ieguldījumiem piešķirtajiem finanšu resursiem</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E356338" w14:textId="77777777" w:rsidR="00C972CB" w:rsidRDefault="002457F6">
            <w:pPr>
              <w:pStyle w:val="P68B1DB1-Normal11"/>
              <w:spacing w:line="276" w:lineRule="auto"/>
              <w:jc w:val="center"/>
              <w:rPr>
                <w:noProof/>
              </w:rPr>
            </w:pPr>
            <w:r>
              <w:rPr>
                <w:noProof/>
              </w:rPr>
              <w:t>NEPIEMĒRO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12C21B5" w14:textId="77777777" w:rsidR="00C972CB" w:rsidRDefault="002457F6">
            <w:pPr>
              <w:pStyle w:val="P68B1DB1-Normal11"/>
              <w:spacing w:line="276" w:lineRule="auto"/>
              <w:jc w:val="center"/>
              <w:rPr>
                <w:noProof/>
              </w:rPr>
            </w:pPr>
            <w:r>
              <w:rPr>
                <w:noProof/>
              </w:rPr>
              <w:t>Procentuālā daļa</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1515BF60" w14:textId="77777777" w:rsidR="00C972CB" w:rsidRDefault="002457F6">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7E5B7634" w14:textId="77777777" w:rsidR="00C972CB" w:rsidRDefault="002457F6">
            <w:pPr>
              <w:pStyle w:val="P68B1DB1-Normal11"/>
              <w:spacing w:line="276" w:lineRule="auto"/>
              <w:jc w:val="center"/>
              <w:rPr>
                <w:noProof/>
              </w:rPr>
            </w:pPr>
            <w:r>
              <w:rPr>
                <w:noProof/>
              </w:rPr>
              <w:t>30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15D2944E" w14:textId="77777777" w:rsidR="00C972CB" w:rsidRDefault="002457F6">
            <w:pPr>
              <w:pStyle w:val="P68B1DB1-Normal11"/>
              <w:spacing w:line="276" w:lineRule="auto"/>
              <w:jc w:val="center"/>
              <w:rPr>
                <w:noProof/>
              </w:rPr>
            </w:pPr>
            <w:r>
              <w:rPr>
                <w:noProof/>
              </w:rPr>
              <w:t>4.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902351" w14:textId="77777777" w:rsidR="00C972CB" w:rsidRDefault="002457F6">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6A7AFFF" w14:textId="77777777" w:rsidR="00C972CB" w:rsidRDefault="002457F6">
            <w:pPr>
              <w:pStyle w:val="P68B1DB1-Normal11"/>
              <w:spacing w:line="276" w:lineRule="auto"/>
              <w:rPr>
                <w:noProof/>
              </w:rPr>
            </w:pPr>
            <w:r>
              <w:rPr>
                <w:noProof/>
              </w:rPr>
              <w:t xml:space="preserve">To saņēmēju projektu identifikācija, kuru kopējā vērtība ir </w:t>
            </w:r>
            <w:r>
              <w:rPr>
                <w:noProof/>
              </w:rPr>
              <w:t>vismaz 30 % no kopējiem ieguldījumiem piešķirtajiem finanšu resursiem. Ieguldījumu īsteno, izmantojot divas dažādas procedūras, kas jau pastāv un tiek refinansētas. Šīs procedūras paredz aizdevumu izmaksu uzņēmumiem, kas atbilst prasībām, un iesniedz piete</w:t>
            </w:r>
            <w:r>
              <w:rPr>
                <w:noProof/>
              </w:rPr>
              <w:t>ikumu.</w:t>
            </w:r>
          </w:p>
        </w:tc>
      </w:tr>
      <w:tr w:rsidR="00C972CB" w14:paraId="422D9EF8"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A5B67F" w14:textId="77777777" w:rsidR="00C972CB" w:rsidRDefault="002457F6">
            <w:pPr>
              <w:pStyle w:val="P68B1DB1-Normal11"/>
              <w:spacing w:line="276" w:lineRule="auto"/>
              <w:jc w:val="center"/>
              <w:rPr>
                <w:noProof/>
              </w:rPr>
            </w:pPr>
            <w:r>
              <w:rPr>
                <w:noProof/>
              </w:rPr>
              <w:t>M2C1–5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57055F" w14:textId="77777777" w:rsidR="00C972CB" w:rsidRDefault="002457F6">
            <w:pPr>
              <w:pStyle w:val="P68B1DB1-Normal11"/>
              <w:spacing w:line="276" w:lineRule="auto"/>
              <w:jc w:val="center"/>
              <w:rPr>
                <w:noProof/>
              </w:rPr>
            </w:pPr>
            <w:r>
              <w:rPr>
                <w:noProof/>
              </w:rPr>
              <w:t>Ieguldījums 2.2.: AGRI-solārais parks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975E22F" w14:textId="77777777" w:rsidR="00C972CB" w:rsidRDefault="002457F6">
            <w:pPr>
              <w:pStyle w:val="P68B1DB1-Normal11"/>
              <w:spacing w:line="276" w:lineRule="auto"/>
              <w:jc w:val="center"/>
              <w:rPr>
                <w:noProof/>
              </w:rPr>
            </w:pPr>
            <w:r>
              <w:rPr>
                <w:noProof/>
              </w:rPr>
              <w:t>Mērķa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A72E24B" w14:textId="77777777" w:rsidR="00C972CB" w:rsidRDefault="002457F6">
            <w:pPr>
              <w:pStyle w:val="P68B1DB1-Normal11"/>
              <w:spacing w:line="276" w:lineRule="auto"/>
              <w:jc w:val="center"/>
              <w:rPr>
                <w:noProof/>
              </w:rPr>
            </w:pPr>
            <w:r>
              <w:rPr>
                <w:noProof/>
              </w:rPr>
              <w:t>Līdzekļu piešķiršana saņēmējiem % no kopējiem ieguldījumiem piešķirtajiem finanšu resursiem</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4601A16" w14:textId="77777777" w:rsidR="00C972CB" w:rsidRDefault="002457F6">
            <w:pPr>
              <w:pStyle w:val="P68B1DB1-Normal11"/>
              <w:spacing w:line="276" w:lineRule="auto"/>
              <w:jc w:val="center"/>
              <w:rPr>
                <w:noProof/>
              </w:rPr>
            </w:pPr>
            <w:r>
              <w:rPr>
                <w:noProof/>
              </w:rPr>
              <w:t>NEPIEMĒRO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5D5725E" w14:textId="77777777" w:rsidR="00C972CB" w:rsidRDefault="002457F6">
            <w:pPr>
              <w:pStyle w:val="P68B1DB1-Normal11"/>
              <w:spacing w:line="276" w:lineRule="auto"/>
              <w:jc w:val="center"/>
              <w:rPr>
                <w:noProof/>
              </w:rPr>
            </w:pPr>
            <w:r>
              <w:rPr>
                <w:noProof/>
              </w:rPr>
              <w:t>Procentuālā daļa</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89158B7" w14:textId="6159A9EE" w:rsidR="00C972CB" w:rsidRDefault="002457F6">
            <w:pPr>
              <w:pStyle w:val="P68B1DB1-Normal11"/>
              <w:spacing w:line="276" w:lineRule="auto"/>
              <w:jc w:val="center"/>
              <w:rPr>
                <w:noProof/>
              </w:rPr>
            </w:pPr>
            <w:r>
              <w:rPr>
                <w:noProof/>
              </w:rPr>
              <w:t>19</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B0532C7" w14:textId="16823094" w:rsidR="00C972CB" w:rsidRDefault="002457F6">
            <w:pPr>
              <w:pStyle w:val="P68B1DB1-Normal11"/>
              <w:spacing w:line="276" w:lineRule="auto"/>
              <w:jc w:val="center"/>
              <w:rPr>
                <w:noProof/>
              </w:rPr>
            </w:pPr>
            <w:r>
              <w:rPr>
                <w:noProof/>
              </w:rPr>
              <w:t>32</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4179F561" w14:textId="77777777" w:rsidR="00C972CB" w:rsidRDefault="002457F6">
            <w:pPr>
              <w:pStyle w:val="P68B1DB1-Normal11"/>
              <w:spacing w:line="276" w:lineRule="auto"/>
              <w:jc w:val="center"/>
              <w:rPr>
                <w:noProof/>
              </w:rPr>
            </w:pPr>
            <w:r>
              <w:rPr>
                <w:noProof/>
              </w:rPr>
              <w:t>4.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7EC75217" w14:textId="77777777" w:rsidR="00C972CB" w:rsidRDefault="002457F6">
            <w:pPr>
              <w:pStyle w:val="P68B1DB1-Normal11"/>
              <w:spacing w:line="276" w:lineRule="auto"/>
              <w:jc w:val="center"/>
              <w:rPr>
                <w:noProof/>
              </w:rPr>
            </w:pPr>
            <w:r>
              <w:rPr>
                <w:noProof/>
              </w:rPr>
              <w:t>2023</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FA543FA" w14:textId="5CEBF0B5" w:rsidR="00C972CB" w:rsidRDefault="002457F6">
            <w:pPr>
              <w:pStyle w:val="P68B1DB1-Normal11"/>
              <w:spacing w:line="276" w:lineRule="auto"/>
              <w:rPr>
                <w:noProof/>
              </w:rPr>
            </w:pPr>
            <w:r>
              <w:rPr>
                <w:noProof/>
              </w:rPr>
              <w:t xml:space="preserve">Norāda saņēmēju projektus, kuru kopējā vērtība ir vismaz </w:t>
            </w:r>
            <w:r>
              <w:rPr>
                <w:noProof/>
              </w:rPr>
              <w:t>32 % no kopējiem ieguldījumiem piešķirtajiem finanšu resursiem. Piešķiršanas procedūra paredz dotāciju vai citu stimulu izmaksu uzņēmumiem, kas atbilst prasībām un iesniedz pieteikumu.</w:t>
            </w:r>
          </w:p>
        </w:tc>
      </w:tr>
      <w:tr w:rsidR="00C972CB" w14:paraId="2CC7532A"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85F11" w14:textId="77777777" w:rsidR="00C972CB" w:rsidRDefault="002457F6">
            <w:pPr>
              <w:pStyle w:val="P68B1DB1-Normal11"/>
              <w:spacing w:line="276" w:lineRule="auto"/>
              <w:jc w:val="center"/>
              <w:rPr>
                <w:noProof/>
              </w:rPr>
            </w:pPr>
            <w:r>
              <w:rPr>
                <w:noProof/>
              </w:rPr>
              <w:t>M2C1–6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CA3FA3F" w14:textId="77777777" w:rsidR="00C972CB" w:rsidRDefault="002457F6">
            <w:pPr>
              <w:pStyle w:val="P68B1DB1-Normal11"/>
              <w:spacing w:line="276" w:lineRule="auto"/>
              <w:jc w:val="center"/>
              <w:rPr>
                <w:noProof/>
              </w:rPr>
            </w:pPr>
            <w:r>
              <w:rPr>
                <w:noProof/>
              </w:rPr>
              <w:t>Ieguldījums 2.2.: AGRI-solārais parks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9C43274" w14:textId="77777777" w:rsidR="00C972CB" w:rsidRDefault="002457F6">
            <w:pPr>
              <w:pStyle w:val="P68B1DB1-Normal11"/>
              <w:spacing w:line="276" w:lineRule="auto"/>
              <w:jc w:val="center"/>
              <w:rPr>
                <w:noProof/>
              </w:rPr>
            </w:pPr>
            <w:r>
              <w:rPr>
                <w:noProof/>
              </w:rPr>
              <w:t>Mērķa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6D077D0" w14:textId="77777777" w:rsidR="00C972CB" w:rsidRDefault="002457F6">
            <w:pPr>
              <w:pStyle w:val="P68B1DB1-Normal11"/>
              <w:spacing w:line="276" w:lineRule="auto"/>
              <w:jc w:val="center"/>
              <w:rPr>
                <w:noProof/>
              </w:rPr>
            </w:pPr>
            <w:r>
              <w:rPr>
                <w:noProof/>
              </w:rPr>
              <w:t xml:space="preserve">Līdzekļu </w:t>
            </w:r>
            <w:r>
              <w:rPr>
                <w:noProof/>
              </w:rPr>
              <w:t>piešķiršana saņēmējiem % no kopējiem ieguldījumiem piešķirtajiem finanšu resursiem</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6914114" w14:textId="77777777" w:rsidR="00C972CB" w:rsidRDefault="002457F6">
            <w:pPr>
              <w:pStyle w:val="P68B1DB1-Normal11"/>
              <w:spacing w:line="276" w:lineRule="auto"/>
              <w:jc w:val="center"/>
              <w:rPr>
                <w:noProof/>
              </w:rPr>
            </w:pPr>
            <w:r>
              <w:rPr>
                <w:noProof/>
              </w:rPr>
              <w:t>NEPIEMĒRO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D7A5FED" w14:textId="77777777" w:rsidR="00C972CB" w:rsidRDefault="002457F6">
            <w:pPr>
              <w:pStyle w:val="P68B1DB1-Normal11"/>
              <w:spacing w:line="276" w:lineRule="auto"/>
              <w:jc w:val="center"/>
              <w:rPr>
                <w:noProof/>
              </w:rPr>
            </w:pPr>
            <w:r>
              <w:rPr>
                <w:noProof/>
              </w:rPr>
              <w:t>Procentuālā daļa</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ABEE1C3" w14:textId="6582D99C" w:rsidR="00C972CB" w:rsidRDefault="002457F6">
            <w:pPr>
              <w:pStyle w:val="P68B1DB1-Normal11"/>
              <w:spacing w:line="276" w:lineRule="auto"/>
              <w:jc w:val="center"/>
              <w:rPr>
                <w:noProof/>
              </w:rPr>
            </w:pPr>
            <w:r>
              <w:rPr>
                <w:noProof/>
              </w:rPr>
              <w:t>32</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7E7C771" w14:textId="4AB683C3" w:rsidR="00C972CB" w:rsidRDefault="002457F6">
            <w:pPr>
              <w:pStyle w:val="P68B1DB1-Normal11"/>
              <w:spacing w:line="276" w:lineRule="auto"/>
              <w:jc w:val="center"/>
              <w:rPr>
                <w:noProof/>
              </w:rPr>
            </w:pPr>
            <w:r>
              <w:rPr>
                <w:noProof/>
              </w:rPr>
              <w:t>63.5</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1DAE61C" w14:textId="77777777" w:rsidR="00C972CB" w:rsidRDefault="002457F6">
            <w:pPr>
              <w:pStyle w:val="P68B1DB1-Normal11"/>
              <w:spacing w:line="276" w:lineRule="auto"/>
              <w:jc w:val="center"/>
              <w:rPr>
                <w:noProof/>
              </w:rPr>
            </w:pPr>
            <w:r>
              <w:rPr>
                <w:noProof/>
              </w:rPr>
              <w:t>2.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5BA9285" w14:textId="77777777" w:rsidR="00C972CB" w:rsidRDefault="002457F6">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93C3B2" w14:textId="0FA8BA2A" w:rsidR="00C972CB" w:rsidRDefault="002457F6">
            <w:pPr>
              <w:pStyle w:val="P68B1DB1-Normal11"/>
              <w:spacing w:line="276" w:lineRule="auto"/>
              <w:rPr>
                <w:noProof/>
              </w:rPr>
            </w:pPr>
            <w:r>
              <w:rPr>
                <w:noProof/>
              </w:rPr>
              <w:t>To saņēmēju projektu identifikācija, kuru kopējā vērtība ir vismaz 63,5 % no kopējiem ieguldījumiem piešķirtajiem finanšu res</w:t>
            </w:r>
            <w:r>
              <w:rPr>
                <w:noProof/>
              </w:rPr>
              <w:t>ursiem.  Piešķiršanas procedūrā paredz dotāciju vai citu stimulu izmaksu uzņēmumiem, kas atbilst prasībām, un iesniedz pieteikumu.</w:t>
            </w:r>
          </w:p>
        </w:tc>
      </w:tr>
      <w:tr w:rsidR="00C972CB" w14:paraId="14A9BE13"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E4161" w14:textId="77777777" w:rsidR="00C972CB" w:rsidRDefault="002457F6">
            <w:pPr>
              <w:pStyle w:val="P68B1DB1-Normal11"/>
              <w:spacing w:line="276" w:lineRule="auto"/>
              <w:jc w:val="center"/>
              <w:rPr>
                <w:noProof/>
              </w:rPr>
            </w:pPr>
            <w:r>
              <w:rPr>
                <w:noProof/>
              </w:rPr>
              <w:t>M2C1–6bis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AF1F40" w14:textId="77777777" w:rsidR="00C972CB" w:rsidRDefault="002457F6">
            <w:pPr>
              <w:pStyle w:val="P68B1DB1-Normal11"/>
              <w:spacing w:line="276" w:lineRule="auto"/>
              <w:jc w:val="center"/>
              <w:rPr>
                <w:noProof/>
              </w:rPr>
            </w:pPr>
            <w:r>
              <w:rPr>
                <w:noProof/>
              </w:rPr>
              <w:t>Ieguldījums 2.2.: AGRI-solārais parks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D4E9B36" w14:textId="77777777" w:rsidR="00C972CB" w:rsidRDefault="002457F6">
            <w:pPr>
              <w:pStyle w:val="P68B1DB1-Normal11"/>
              <w:spacing w:line="276" w:lineRule="auto"/>
              <w:jc w:val="center"/>
              <w:rPr>
                <w:noProof/>
              </w:rPr>
            </w:pPr>
            <w:r>
              <w:rPr>
                <w:noProof/>
              </w:rPr>
              <w:t>Mērķa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BA552F6" w14:textId="77777777" w:rsidR="00C972CB" w:rsidRDefault="002457F6">
            <w:pPr>
              <w:pStyle w:val="P68B1DB1-Normal11"/>
              <w:spacing w:line="276" w:lineRule="auto"/>
              <w:jc w:val="center"/>
              <w:rPr>
                <w:noProof/>
              </w:rPr>
            </w:pPr>
            <w:r>
              <w:rPr>
                <w:noProof/>
              </w:rPr>
              <w:t xml:space="preserve">Līdzekļu piešķiršana saņēmējiem % no kopējiem ieguldījumiem </w:t>
            </w:r>
            <w:r>
              <w:rPr>
                <w:noProof/>
              </w:rPr>
              <w:t>piešķirtajiem finanšu resursiem</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06C9A3B" w14:textId="77777777" w:rsidR="00C972CB" w:rsidRDefault="002457F6">
            <w:pPr>
              <w:pStyle w:val="P68B1DB1-Normal11"/>
              <w:spacing w:line="276" w:lineRule="auto"/>
              <w:jc w:val="center"/>
              <w:rPr>
                <w:noProof/>
              </w:rPr>
            </w:pPr>
            <w:r>
              <w:rPr>
                <w:noProof/>
              </w:rPr>
              <w:t>NEPIEMĒRO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65B4BC" w14:textId="77777777" w:rsidR="00C972CB" w:rsidRDefault="002457F6">
            <w:pPr>
              <w:pStyle w:val="P68B1DB1-Normal11"/>
              <w:spacing w:line="276" w:lineRule="auto"/>
              <w:jc w:val="center"/>
              <w:rPr>
                <w:noProof/>
              </w:rPr>
            </w:pPr>
            <w:r>
              <w:rPr>
                <w:noProof/>
              </w:rPr>
              <w:t>Procentuālā daļa</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5D347F9" w14:textId="414E88C1" w:rsidR="00C972CB" w:rsidRDefault="002457F6">
            <w:pPr>
              <w:pStyle w:val="P68B1DB1-Normal11"/>
              <w:spacing w:line="276" w:lineRule="auto"/>
              <w:jc w:val="center"/>
              <w:rPr>
                <w:noProof/>
              </w:rPr>
            </w:pPr>
            <w:r>
              <w:rPr>
                <w:noProof/>
              </w:rPr>
              <w:t>63.5</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57CCD5D" w14:textId="77777777" w:rsidR="00C972CB" w:rsidRDefault="002457F6">
            <w:pPr>
              <w:pStyle w:val="P68B1DB1-Normal11"/>
              <w:spacing w:line="276" w:lineRule="auto"/>
              <w:jc w:val="center"/>
              <w:rPr>
                <w:noProof/>
              </w:rPr>
            </w:pPr>
            <w:r>
              <w:rPr>
                <w:noProof/>
              </w:rPr>
              <w:t>100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DF1B36" w14:textId="77777777" w:rsidR="00C972CB" w:rsidRDefault="002457F6">
            <w:pPr>
              <w:pStyle w:val="P68B1DB1-Normal11"/>
              <w:spacing w:line="276" w:lineRule="auto"/>
              <w:jc w:val="center"/>
              <w:rPr>
                <w:noProof/>
              </w:rPr>
            </w:pPr>
            <w:r>
              <w:rPr>
                <w:noProof/>
              </w:rPr>
              <w:t>4.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D23C9D2" w14:textId="77777777" w:rsidR="00C972CB" w:rsidRDefault="002457F6">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1026A03" w14:textId="1EF27879" w:rsidR="00C972CB" w:rsidRDefault="002457F6">
            <w:pPr>
              <w:pStyle w:val="P68B1DB1-Normal11"/>
              <w:spacing w:line="276" w:lineRule="auto"/>
              <w:rPr>
                <w:noProof/>
              </w:rPr>
            </w:pPr>
            <w:r>
              <w:rPr>
                <w:noProof/>
              </w:rPr>
              <w:t>To saņēmēju projektu identifikācija, kuru kopējā vērtība ir vismaz 100 % no ieguldījumam piešķirtajiem papildu finanšu resursiem. Piešķiršanas procedūra paredz dotāciju vai ci</w:t>
            </w:r>
            <w:r>
              <w:rPr>
                <w:noProof/>
              </w:rPr>
              <w:t>tu stimulu izmaksu uzņēmumiem, kas atbilst prasībām un iesniedz pieteikumu.</w:t>
            </w:r>
          </w:p>
        </w:tc>
      </w:tr>
      <w:tr w:rsidR="00C972CB" w14:paraId="0512D932"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D8F3B" w14:textId="77777777" w:rsidR="00C972CB" w:rsidRDefault="002457F6">
            <w:pPr>
              <w:pStyle w:val="P68B1DB1-Normal11"/>
              <w:spacing w:line="276" w:lineRule="auto"/>
              <w:jc w:val="center"/>
              <w:rPr>
                <w:noProof/>
              </w:rPr>
            </w:pPr>
            <w:r>
              <w:rPr>
                <w:noProof/>
              </w:rPr>
              <w:t>M2C1–7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A9CAA58" w14:textId="77777777" w:rsidR="00C972CB" w:rsidRDefault="002457F6">
            <w:pPr>
              <w:pStyle w:val="P68B1DB1-Normal11"/>
              <w:spacing w:line="276" w:lineRule="auto"/>
              <w:jc w:val="center"/>
              <w:rPr>
                <w:noProof/>
              </w:rPr>
            </w:pPr>
            <w:r>
              <w:rPr>
                <w:noProof/>
              </w:rPr>
              <w:t>Ieguldījums 2.3. Inovācija un mehanizācija lauksaimniecības un pārtikas nozarē</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3FB8A1" w14:textId="77777777" w:rsidR="00C972CB" w:rsidRDefault="002457F6">
            <w:pPr>
              <w:pStyle w:val="P68B1DB1-Normal11"/>
              <w:spacing w:line="276" w:lineRule="auto"/>
              <w:jc w:val="center"/>
              <w:rPr>
                <w:noProof/>
              </w:rPr>
            </w:pPr>
            <w:r>
              <w:rPr>
                <w:noProof/>
              </w:rPr>
              <w:t>Mērķa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29AB6FB" w14:textId="77777777" w:rsidR="00C972CB" w:rsidRDefault="002457F6">
            <w:pPr>
              <w:pStyle w:val="P68B1DB1-Normal11"/>
              <w:spacing w:line="276" w:lineRule="auto"/>
              <w:jc w:val="center"/>
              <w:rPr>
                <w:noProof/>
              </w:rPr>
            </w:pPr>
            <w:r>
              <w:rPr>
                <w:noProof/>
              </w:rPr>
              <w:t>Galīgo sarindojumu publicēšana, norādot galasaņēmējus.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6A8165" w14:textId="77777777" w:rsidR="00C972CB" w:rsidRDefault="002457F6">
            <w:pPr>
              <w:pStyle w:val="P68B1DB1-Normal11"/>
              <w:spacing w:line="276" w:lineRule="auto"/>
              <w:jc w:val="center"/>
              <w:rPr>
                <w:noProof/>
              </w:rPr>
            </w:pPr>
            <w:r>
              <w:rPr>
                <w:noProof/>
              </w:rPr>
              <w:t>NEPIEMĒRO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4F2BABD" w14:textId="77777777" w:rsidR="00C972CB" w:rsidRDefault="002457F6">
            <w:pPr>
              <w:pStyle w:val="P68B1DB1-Normal11"/>
              <w:spacing w:line="276" w:lineRule="auto"/>
              <w:jc w:val="center"/>
              <w:rPr>
                <w:noProof/>
              </w:rPr>
            </w:pPr>
            <w:r>
              <w:rPr>
                <w:noProof/>
              </w:rPr>
              <w:t>Skaits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EF29D3C" w14:textId="77777777" w:rsidR="00C972CB" w:rsidRDefault="002457F6">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C86BF99" w14:textId="339BB331" w:rsidR="00C972CB" w:rsidRDefault="002457F6">
            <w:pPr>
              <w:pStyle w:val="P68B1DB1-Normal11"/>
              <w:spacing w:line="276" w:lineRule="auto"/>
              <w:jc w:val="center"/>
              <w:rPr>
                <w:noProof/>
              </w:rPr>
            </w:pPr>
            <w:r>
              <w:rPr>
                <w:noProof/>
              </w:rPr>
              <w:t>10 000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2870F7EC" w14:textId="77777777" w:rsidR="00C972CB" w:rsidRDefault="002457F6">
            <w:pPr>
              <w:pStyle w:val="P68B1DB1-Normal11"/>
              <w:spacing w:line="276" w:lineRule="auto"/>
              <w:jc w:val="center"/>
              <w:rPr>
                <w:noProof/>
              </w:rPr>
            </w:pPr>
            <w:r>
              <w:rPr>
                <w:noProof/>
              </w:rPr>
              <w:t xml:space="preserve">4. </w:t>
            </w:r>
            <w:r>
              <w:rPr>
                <w:noProof/>
              </w:rPr>
              <w:t>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0E3DA13" w14:textId="77777777" w:rsidR="00C972CB" w:rsidRDefault="002457F6">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031CD5E" w14:textId="63903E7E" w:rsidR="00C972CB" w:rsidRDefault="002457F6">
            <w:pPr>
              <w:pStyle w:val="P68B1DB1-Normal12"/>
              <w:spacing w:line="276" w:lineRule="auto"/>
              <w:rPr>
                <w:rFonts w:ascii="Arial Narrow" w:hAnsi="Arial Narrow"/>
                <w:noProof/>
              </w:rPr>
            </w:pPr>
            <w:r>
              <w:rPr>
                <w:rFonts w:ascii="Arial Narrow" w:hAnsi="Arial Narrow"/>
                <w:noProof/>
              </w:rPr>
              <w:t>Identificēt vismaz 10000</w:t>
            </w:r>
            <w:r>
              <w:rPr>
                <w:noProof/>
              </w:rPr>
              <w:t xml:space="preserve"> </w:t>
            </w:r>
            <w:r>
              <w:rPr>
                <w:rFonts w:ascii="Arial Narrow" w:hAnsi="Arial Narrow"/>
                <w:noProof/>
              </w:rPr>
              <w:t>galasaņēmējus investīcijām inovācijā aprites ekonomikā un bioekonomikā.</w:t>
            </w:r>
          </w:p>
          <w:p w14:paraId="61A0470B" w14:textId="77777777" w:rsidR="00C972CB" w:rsidRDefault="002457F6">
            <w:pPr>
              <w:pStyle w:val="P68B1DB1-Normal11"/>
              <w:spacing w:line="276" w:lineRule="auto"/>
              <w:rPr>
                <w:noProof/>
              </w:rPr>
            </w:pPr>
            <w:r>
              <w:rPr>
                <w:noProof/>
              </w:rPr>
              <w:t>Ieguldījumos ņem vērā vismaz vienu no šādiem aspektiem:</w:t>
            </w:r>
          </w:p>
          <w:p w14:paraId="5CD25E2A" w14:textId="77777777" w:rsidR="00C972CB" w:rsidRDefault="002457F6">
            <w:pPr>
              <w:pStyle w:val="P68B1DB1-Normal11"/>
              <w:spacing w:line="276" w:lineRule="auto"/>
              <w:rPr>
                <w:noProof/>
              </w:rPr>
            </w:pPr>
            <w:r>
              <w:rPr>
                <w:noProof/>
              </w:rPr>
              <w:t>—Vairāku aizstāšana</w:t>
            </w:r>
          </w:p>
          <w:p w14:paraId="0D73640D" w14:textId="77777777" w:rsidR="00C972CB" w:rsidRDefault="002457F6">
            <w:pPr>
              <w:pStyle w:val="P68B1DB1-Normal11"/>
              <w:spacing w:line="276" w:lineRule="auto"/>
              <w:rPr>
                <w:noProof/>
              </w:rPr>
            </w:pPr>
            <w:r>
              <w:rPr>
                <w:noProof/>
              </w:rPr>
              <w:t>piesārņojoši apvidus transportlīdzekļi</w:t>
            </w:r>
          </w:p>
          <w:p w14:paraId="1ED204B1" w14:textId="77777777" w:rsidR="00C972CB" w:rsidRDefault="002457F6">
            <w:pPr>
              <w:pStyle w:val="P68B1DB1-Normal11"/>
              <w:spacing w:line="276" w:lineRule="auto"/>
              <w:rPr>
                <w:noProof/>
              </w:rPr>
            </w:pPr>
            <w:r>
              <w:rPr>
                <w:noProof/>
              </w:rPr>
              <w:t>Precīzās lauksaimniecības un iekār</w:t>
            </w:r>
            <w:r>
              <w:rPr>
                <w:noProof/>
              </w:rPr>
              <w:t>tu ieviešana lauksaimniecībā 4.0</w:t>
            </w:r>
          </w:p>
          <w:p w14:paraId="7A0AB617" w14:textId="77777777" w:rsidR="00C972CB" w:rsidRDefault="002457F6">
            <w:pPr>
              <w:pStyle w:val="P68B1DB1-Normal11"/>
              <w:spacing w:line="276" w:lineRule="auto"/>
              <w:rPr>
                <w:noProof/>
              </w:rPr>
            </w:pPr>
            <w:r>
              <w:rPr>
                <w:noProof/>
              </w:rPr>
              <w:t>Novecojušu olīvu spiestuvju iekārtu aizstāšana</w:t>
            </w:r>
          </w:p>
          <w:p w14:paraId="07F88E9D" w14:textId="77777777" w:rsidR="00C972CB" w:rsidRDefault="002457F6">
            <w:pPr>
              <w:pStyle w:val="P68B1DB1-Normal11"/>
              <w:spacing w:line="276" w:lineRule="auto"/>
              <w:rPr>
                <w:noProof/>
              </w:rPr>
            </w:pPr>
            <w:r>
              <w:rPr>
                <w:noProof/>
              </w:rPr>
              <w:t>Lai ievērotu Do-No—</w:t>
            </w:r>
          </w:p>
          <w:p w14:paraId="0D44BEDE" w14:textId="175A16E0" w:rsidR="00C972CB" w:rsidRDefault="002457F6">
            <w:pPr>
              <w:pStyle w:val="P68B1DB1-Normal11"/>
              <w:spacing w:line="276" w:lineRule="auto"/>
              <w:rPr>
                <w:noProof/>
              </w:rPr>
            </w:pPr>
            <w:r>
              <w:rPr>
                <w:noProof/>
              </w:rPr>
              <w:t xml:space="preserve">Būtiska ugunsgrēka princips — apvidus transportlīdzekļi ir bezemisiju transportlīdzekļi vai tos darbina tikai ar biometānu, kas atbilst Direktīvā 2018/2001 </w:t>
            </w:r>
            <w:r>
              <w:rPr>
                <w:noProof/>
              </w:rPr>
              <w:t>(RED II direktīva) noteiktajiem kritērijiem.</w:t>
            </w:r>
          </w:p>
          <w:p w14:paraId="215B0B04" w14:textId="77777777" w:rsidR="00C972CB" w:rsidRDefault="002457F6">
            <w:pPr>
              <w:pStyle w:val="P68B1DB1-Normal11"/>
              <w:spacing w:line="276" w:lineRule="auto"/>
              <w:rPr>
                <w:noProof/>
              </w:rPr>
            </w:pPr>
            <w:r>
              <w:rPr>
                <w:noProof/>
              </w:rPr>
              <w:t>Biodegvielas un biometāna gāzes un biodegvielas ražotājiem ir jāiesniedz sertifikāti (Ilgtspējas apliecinājums), ko izsnieguši neatkarīgi vērtētāji, kā paredzēts Direktīvā 2018/2001.</w:t>
            </w:r>
          </w:p>
          <w:p w14:paraId="3CC24D0E" w14:textId="77777777" w:rsidR="00C972CB" w:rsidRDefault="002457F6">
            <w:pPr>
              <w:pStyle w:val="P68B1DB1-Normal11"/>
              <w:spacing w:line="276" w:lineRule="auto"/>
              <w:rPr>
                <w:noProof/>
              </w:rPr>
            </w:pPr>
            <w:r>
              <w:rPr>
                <w:noProof/>
              </w:rPr>
              <w:t>Operators iegādājas izcelsme</w:t>
            </w:r>
            <w:r>
              <w:rPr>
                <w:noProof/>
              </w:rPr>
              <w:t>s apliecinājuma sertifikātus proporcionāli paredzamajam degvielas izmantojumam.</w:t>
            </w:r>
          </w:p>
        </w:tc>
      </w:tr>
      <w:tr w:rsidR="00C972CB" w14:paraId="6455DBC7"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3151A" w14:textId="77777777" w:rsidR="00C972CB" w:rsidRDefault="002457F6">
            <w:pPr>
              <w:pStyle w:val="P68B1DB1-Normal11"/>
              <w:spacing w:line="276" w:lineRule="auto"/>
              <w:jc w:val="center"/>
              <w:rPr>
                <w:noProof/>
              </w:rPr>
            </w:pPr>
            <w:r>
              <w:rPr>
                <w:noProof/>
              </w:rPr>
              <w:t>M2C1–8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ED5A4A" w14:textId="77777777" w:rsidR="00C972CB" w:rsidRDefault="002457F6">
            <w:pPr>
              <w:pStyle w:val="P68B1DB1-Normal11"/>
              <w:spacing w:line="276" w:lineRule="auto"/>
              <w:jc w:val="center"/>
              <w:rPr>
                <w:noProof/>
              </w:rPr>
            </w:pPr>
            <w:r>
              <w:rPr>
                <w:noProof/>
              </w:rPr>
              <w:t>Ieguldījums 2.3. Inovācija un mehanizācija lauksaimniecības un pārtikas nozarē</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ADAC8A" w14:textId="77777777" w:rsidR="00C972CB" w:rsidRDefault="002457F6">
            <w:pPr>
              <w:pStyle w:val="P68B1DB1-Normal11"/>
              <w:spacing w:line="276" w:lineRule="auto"/>
              <w:jc w:val="center"/>
              <w:rPr>
                <w:noProof/>
              </w:rPr>
            </w:pPr>
            <w:r>
              <w:rPr>
                <w:noProof/>
              </w:rPr>
              <w:t>Mērķa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4C0F3F1" w14:textId="77777777" w:rsidR="00C972CB" w:rsidRDefault="002457F6">
            <w:pPr>
              <w:pStyle w:val="P68B1DB1-Normal11"/>
              <w:spacing w:line="276" w:lineRule="auto"/>
              <w:jc w:val="center"/>
              <w:rPr>
                <w:noProof/>
              </w:rPr>
            </w:pPr>
            <w:r>
              <w:rPr>
                <w:noProof/>
              </w:rPr>
              <w:t>Atbalsts investīcijām inovācijā aprites ekonomikā un bioekonomikā</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5B14CE" w14:textId="77777777" w:rsidR="00C972CB" w:rsidRDefault="002457F6">
            <w:pPr>
              <w:pStyle w:val="P68B1DB1-Normal11"/>
              <w:spacing w:line="276" w:lineRule="auto"/>
              <w:jc w:val="center"/>
              <w:rPr>
                <w:noProof/>
              </w:rPr>
            </w:pPr>
            <w:r>
              <w:rPr>
                <w:noProof/>
              </w:rPr>
              <w:t>NEPIEMĒRO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639FBC7" w14:textId="77777777" w:rsidR="00C972CB" w:rsidRDefault="002457F6">
            <w:pPr>
              <w:pStyle w:val="P68B1DB1-Normal11"/>
              <w:spacing w:line="276" w:lineRule="auto"/>
              <w:jc w:val="center"/>
              <w:rPr>
                <w:noProof/>
              </w:rPr>
            </w:pPr>
            <w:r>
              <w:rPr>
                <w:noProof/>
              </w:rPr>
              <w:t>Skaits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97CCC12" w14:textId="71D50F0A" w:rsidR="00C972CB" w:rsidRDefault="002457F6">
            <w:pPr>
              <w:pStyle w:val="P68B1DB1-Normal11"/>
              <w:spacing w:line="276" w:lineRule="auto"/>
              <w:jc w:val="center"/>
              <w:rPr>
                <w:noProof/>
              </w:rPr>
            </w:pPr>
            <w:r>
              <w:rPr>
                <w:noProof/>
              </w:rPr>
              <w:t>10 000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3ADB306" w14:textId="6FE6B8AE" w:rsidR="00C972CB" w:rsidRDefault="002457F6">
            <w:pPr>
              <w:pStyle w:val="P68B1DB1-Normal11"/>
              <w:spacing w:line="276" w:lineRule="auto"/>
              <w:jc w:val="center"/>
              <w:rPr>
                <w:noProof/>
              </w:rPr>
            </w:pPr>
            <w:r>
              <w:rPr>
                <w:noProof/>
              </w:rPr>
              <w:t>15 000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9B9908C" w14:textId="77777777" w:rsidR="00C972CB" w:rsidRDefault="002457F6">
            <w:pPr>
              <w:pStyle w:val="P68B1DB1-Normal11"/>
              <w:spacing w:line="276" w:lineRule="auto"/>
              <w:jc w:val="center"/>
              <w:rPr>
                <w:noProof/>
              </w:rPr>
            </w:pPr>
            <w:r>
              <w:rPr>
                <w:noProof/>
              </w:rPr>
              <w:t>2.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EEB1A83" w14:textId="77777777" w:rsidR="00C972CB" w:rsidRDefault="002457F6">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C64CA4A" w14:textId="3F66EFF2" w:rsidR="00C972CB" w:rsidRDefault="002457F6">
            <w:pPr>
              <w:pStyle w:val="P68B1DB1-Normal11"/>
              <w:spacing w:line="276" w:lineRule="auto"/>
              <w:rPr>
                <w:noProof/>
              </w:rPr>
            </w:pPr>
            <w:r>
              <w:rPr>
                <w:noProof/>
              </w:rPr>
              <w:t>Pēc projektu pabeigšanas vismaz 15000 galasaņēmēju ir saņēmuši atbalstu apmaksātām investīcijām inovācijā aprites ekonomikā un bioekonomikā.</w:t>
            </w:r>
          </w:p>
          <w:p w14:paraId="01B1434A" w14:textId="77777777" w:rsidR="00C972CB" w:rsidRDefault="002457F6">
            <w:pPr>
              <w:pStyle w:val="P68B1DB1-Normal11"/>
              <w:spacing w:line="276" w:lineRule="auto"/>
              <w:rPr>
                <w:noProof/>
              </w:rPr>
            </w:pPr>
            <w:r>
              <w:rPr>
                <w:noProof/>
              </w:rPr>
              <w:t>Atbalstītie ieguldījumi ir šādi:</w:t>
            </w:r>
          </w:p>
          <w:p w14:paraId="086F2F86" w14:textId="1ACB59D8" w:rsidR="00C972CB" w:rsidRDefault="002457F6">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Piesārņojošāku apvidus transportlīdzekļu nomaiņa</w:t>
            </w:r>
          </w:p>
          <w:p w14:paraId="2C7EDFA8" w14:textId="3F1A8511" w:rsidR="00C972CB" w:rsidRDefault="002457F6">
            <w:pPr>
              <w:pStyle w:val="P68B1DB1-Normal10"/>
              <w:spacing w:line="276" w:lineRule="auto"/>
              <w:rPr>
                <w:noProof/>
                <w:color w:val="006100"/>
                <w:sz w:val="20"/>
              </w:rPr>
            </w:pPr>
            <w:r>
              <w:rPr>
                <w:noProof/>
                <w:color w:val="006100"/>
                <w:sz w:val="20"/>
              </w:rPr>
              <w:t>Prec</w:t>
            </w:r>
            <w:r>
              <w:rPr>
                <w:noProof/>
                <w:color w:val="006100"/>
                <w:sz w:val="20"/>
              </w:rPr>
              <w:t>īzās</w:t>
            </w:r>
            <w:r>
              <w:rPr>
                <w:noProof/>
              </w:rPr>
              <w:t xml:space="preserve"> </w:t>
            </w:r>
            <w:r>
              <w:rPr>
                <w:noProof/>
                <w:color w:val="006100"/>
                <w:sz w:val="20"/>
              </w:rPr>
              <w:t>lauksaimniecības ieviešana</w:t>
            </w:r>
          </w:p>
          <w:p w14:paraId="1A56EE71" w14:textId="11B63E2F" w:rsidR="00C972CB" w:rsidRDefault="002457F6">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Novecojušāku iekārtu aizstāšana olīvu spiestuvēm</w:t>
            </w:r>
          </w:p>
          <w:p w14:paraId="1406150C" w14:textId="77777777" w:rsidR="00C972CB" w:rsidRDefault="00C972CB">
            <w:pPr>
              <w:spacing w:line="276" w:lineRule="auto"/>
              <w:rPr>
                <w:rFonts w:ascii="Arial Narrow" w:hAnsi="Arial Narrow"/>
                <w:noProof/>
                <w:color w:val="006100"/>
                <w:sz w:val="20"/>
              </w:rPr>
            </w:pPr>
          </w:p>
          <w:p w14:paraId="48621ABA" w14:textId="77777777" w:rsidR="00C972CB" w:rsidRDefault="002457F6">
            <w:pPr>
              <w:pStyle w:val="P68B1DB1-Normal11"/>
              <w:spacing w:line="276" w:lineRule="auto"/>
              <w:rPr>
                <w:noProof/>
              </w:rPr>
            </w:pPr>
            <w:r>
              <w:rPr>
                <w:noProof/>
              </w:rPr>
              <w:t>Lai izpildītu principu “nenodarīt būtisku apdraudējumu”, apvidus transportlīdzekļi ir bezemisiju transportlīdzekļi vai tos darbina tikai ar biometānu, kas atbilst Direktīvā</w:t>
            </w:r>
            <w:r>
              <w:rPr>
                <w:noProof/>
              </w:rPr>
              <w:t xml:space="preserve"> 2018/2001 (RED II direktīva) noteiktajiem kritērijiem.</w:t>
            </w:r>
          </w:p>
          <w:p w14:paraId="3556F731" w14:textId="4173B7D0" w:rsidR="00C972CB" w:rsidRDefault="002457F6">
            <w:pPr>
              <w:pStyle w:val="P68B1DB1-Normal11"/>
              <w:spacing w:line="276" w:lineRule="auto"/>
              <w:rPr>
                <w:noProof/>
              </w:rPr>
            </w:pPr>
            <w:r>
              <w:rPr>
                <w:noProof/>
              </w:rPr>
              <w:t>Biodegvielas un biometāna gāzes un biodegvielas ražotājiem ir jāiesniedz sertifikāti (Ilgtspējas apliecinājums), ko izsnieguši neatkarīgi vērtētāji, kā paredzēts Direktīvā 2018/2001. Operators iegādāj</w:t>
            </w:r>
            <w:r>
              <w:rPr>
                <w:noProof/>
              </w:rPr>
              <w:t>as izcelsmes apliecinājuma sertifikātus proporcionāli paredzamajam degvielas izmantojumam.</w:t>
            </w:r>
          </w:p>
        </w:tc>
      </w:tr>
      <w:tr w:rsidR="00C972CB" w14:paraId="5B929061"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D5E59" w14:textId="77777777" w:rsidR="00C972CB" w:rsidRDefault="002457F6">
            <w:pPr>
              <w:pStyle w:val="P68B1DB1-Normal11"/>
              <w:spacing w:line="276" w:lineRule="auto"/>
              <w:jc w:val="center"/>
              <w:rPr>
                <w:noProof/>
              </w:rPr>
            </w:pPr>
            <w:r>
              <w:rPr>
                <w:noProof/>
              </w:rPr>
              <w:t>M2C1–9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3795C3D" w14:textId="77777777" w:rsidR="00C972CB" w:rsidRDefault="002457F6">
            <w:pPr>
              <w:pStyle w:val="P68B1DB1-Normal11"/>
              <w:spacing w:line="276" w:lineRule="auto"/>
              <w:jc w:val="center"/>
              <w:rPr>
                <w:noProof/>
              </w:rPr>
            </w:pPr>
            <w:r>
              <w:rPr>
                <w:noProof/>
              </w:rPr>
              <w:t>Ieguldījums 2.2.: AGRI-solārais parks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1D47D2E" w14:textId="77777777" w:rsidR="00C972CB" w:rsidRDefault="002457F6">
            <w:pPr>
              <w:pStyle w:val="P68B1DB1-Normal11"/>
              <w:spacing w:line="276" w:lineRule="auto"/>
              <w:jc w:val="center"/>
              <w:rPr>
                <w:noProof/>
              </w:rPr>
            </w:pPr>
            <w:r>
              <w:rPr>
                <w:noProof/>
              </w:rPr>
              <w:t>Mērķa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FD33291" w14:textId="77777777" w:rsidR="00C972CB" w:rsidRDefault="002457F6">
            <w:pPr>
              <w:pStyle w:val="P68B1DB1-Normal11"/>
              <w:spacing w:line="276" w:lineRule="auto"/>
              <w:jc w:val="center"/>
              <w:rPr>
                <w:noProof/>
              </w:rPr>
            </w:pPr>
            <w:r>
              <w:rPr>
                <w:noProof/>
              </w:rPr>
              <w:t>Elektroenerģijas ražošana no AGRI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3447AAE2" w14:textId="77777777" w:rsidR="00C972CB" w:rsidRDefault="002457F6">
            <w:pPr>
              <w:pStyle w:val="P68B1DB1-Normal11"/>
              <w:spacing w:line="276" w:lineRule="auto"/>
              <w:jc w:val="center"/>
              <w:rPr>
                <w:noProof/>
              </w:rPr>
            </w:pPr>
            <w:r>
              <w:rPr>
                <w:noProof/>
              </w:rPr>
              <w:t>NEPIEMĒRO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C738182" w14:textId="77777777" w:rsidR="00C972CB" w:rsidRDefault="002457F6">
            <w:pPr>
              <w:pStyle w:val="P68B1DB1-Normal11"/>
              <w:spacing w:line="276" w:lineRule="auto"/>
              <w:jc w:val="center"/>
              <w:rPr>
                <w:noProof/>
              </w:rPr>
            </w:pPr>
            <w:r>
              <w:rPr>
                <w:noProof/>
              </w:rPr>
              <w:t>kW</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63C3729" w14:textId="77777777" w:rsidR="00C972CB" w:rsidRDefault="002457F6">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F1CFF0E" w14:textId="43F64FD0" w:rsidR="00C972CB" w:rsidRDefault="002457F6">
            <w:pPr>
              <w:pStyle w:val="P68B1DB1-Normal11"/>
              <w:spacing w:line="276" w:lineRule="auto"/>
              <w:jc w:val="center"/>
              <w:rPr>
                <w:noProof/>
              </w:rPr>
            </w:pPr>
            <w:r>
              <w:rPr>
                <w:noProof/>
              </w:rPr>
              <w:t>1 383 000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567189C9" w14:textId="77777777" w:rsidR="00C972CB" w:rsidRDefault="002457F6">
            <w:pPr>
              <w:pStyle w:val="P68B1DB1-Normal11"/>
              <w:spacing w:line="276" w:lineRule="auto"/>
              <w:jc w:val="center"/>
              <w:rPr>
                <w:noProof/>
              </w:rPr>
            </w:pPr>
            <w:r>
              <w:rPr>
                <w:noProof/>
              </w:rPr>
              <w:t>2.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CBFCBB8" w14:textId="77777777" w:rsidR="00C972CB" w:rsidRDefault="002457F6">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4F73AAB" w14:textId="489AB71C" w:rsidR="00C972CB" w:rsidRDefault="002457F6">
            <w:pPr>
              <w:pStyle w:val="P68B1DB1-Normal12"/>
              <w:spacing w:line="276" w:lineRule="auto"/>
              <w:rPr>
                <w:rFonts w:ascii="Arial Narrow" w:hAnsi="Arial Narrow"/>
                <w:noProof/>
              </w:rPr>
            </w:pPr>
            <w:r>
              <w:rPr>
                <w:rFonts w:ascii="Arial Narrow" w:hAnsi="Arial Narrow"/>
                <w:noProof/>
              </w:rPr>
              <w:t xml:space="preserve">Uzstādītā saules enerģijas ražošanas jaudavismaz 1 383 000 kW  </w:t>
            </w:r>
          </w:p>
        </w:tc>
      </w:tr>
      <w:tr w:rsidR="00C972CB" w14:paraId="7A9F6518"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9C669" w14:textId="77777777" w:rsidR="00C972CB" w:rsidRDefault="002457F6">
            <w:pPr>
              <w:pStyle w:val="P68B1DB1-Normal11"/>
              <w:spacing w:line="276" w:lineRule="auto"/>
              <w:jc w:val="center"/>
              <w:rPr>
                <w:noProof/>
              </w:rPr>
            </w:pPr>
            <w:r>
              <w:rPr>
                <w:noProof/>
              </w:rPr>
              <w:t>M2C1–10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1FD7693" w14:textId="77777777" w:rsidR="00C972CB" w:rsidRDefault="002457F6">
            <w:pPr>
              <w:pStyle w:val="P68B1DB1-Normal11"/>
              <w:spacing w:line="276" w:lineRule="auto"/>
              <w:jc w:val="center"/>
              <w:rPr>
                <w:noProof/>
              </w:rPr>
            </w:pPr>
            <w:r>
              <w:rPr>
                <w:noProof/>
              </w:rPr>
              <w:t>Ieguldījums 2.1.: Loģistikas plāns lauksaimniecības pārtikas, zvejniecības un akvakultūras, mežsaimniecības, puķkopības un stādaudzētavu nozarēm</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BAA35E" w14:textId="77777777" w:rsidR="00C972CB" w:rsidRDefault="002457F6">
            <w:pPr>
              <w:pStyle w:val="P68B1DB1-Normal11"/>
              <w:spacing w:line="276" w:lineRule="auto"/>
              <w:jc w:val="center"/>
              <w:rPr>
                <w:noProof/>
              </w:rPr>
            </w:pPr>
            <w:r>
              <w:rPr>
                <w:noProof/>
              </w:rPr>
              <w:t>Mērķa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A1A2F4D" w14:textId="77777777" w:rsidR="00C972CB" w:rsidRDefault="002457F6">
            <w:pPr>
              <w:pStyle w:val="P68B1DB1-Normal11"/>
              <w:spacing w:line="276" w:lineRule="auto"/>
              <w:jc w:val="center"/>
              <w:rPr>
                <w:noProof/>
              </w:rPr>
            </w:pPr>
            <w:r>
              <w:rPr>
                <w:noProof/>
              </w:rPr>
              <w:t xml:space="preserve">Intervences pasākumi, kuru </w:t>
            </w:r>
            <w:r>
              <w:rPr>
                <w:noProof/>
              </w:rPr>
              <w:t>mērķis ir uzlabot loģistiku lauksaimniecības pārtikas, zvejniecības un akvakultūras, mežsaimniecības, puķkopības un stādaudzētavu nozarēs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959B3B" w14:textId="77777777" w:rsidR="00C972CB" w:rsidRDefault="002457F6">
            <w:pPr>
              <w:pStyle w:val="P68B1DB1-Normal11"/>
              <w:spacing w:line="276" w:lineRule="auto"/>
              <w:jc w:val="center"/>
              <w:rPr>
                <w:noProof/>
              </w:rPr>
            </w:pPr>
            <w:r>
              <w:rPr>
                <w:noProof/>
              </w:rPr>
              <w:t>NEPIEMĒRO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B70DC62" w14:textId="77777777" w:rsidR="00C972CB" w:rsidRDefault="002457F6">
            <w:pPr>
              <w:pStyle w:val="P68B1DB1-Normal11"/>
              <w:spacing w:line="276" w:lineRule="auto"/>
              <w:jc w:val="center"/>
              <w:rPr>
                <w:noProof/>
              </w:rPr>
            </w:pPr>
            <w:r>
              <w:rPr>
                <w:noProof/>
              </w:rPr>
              <w:t>Skaits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3C36D0C" w14:textId="77777777" w:rsidR="00C972CB" w:rsidRDefault="002457F6">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B3B5035" w14:textId="77777777" w:rsidR="00C972CB" w:rsidRDefault="002457F6">
            <w:pPr>
              <w:pStyle w:val="P68B1DB1-Normal11"/>
              <w:spacing w:line="276" w:lineRule="auto"/>
              <w:jc w:val="center"/>
              <w:rPr>
                <w:noProof/>
              </w:rPr>
            </w:pPr>
            <w:r>
              <w:rPr>
                <w:noProof/>
              </w:rPr>
              <w:t>48</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D80DBD7" w14:textId="77777777" w:rsidR="00C972CB" w:rsidRDefault="002457F6">
            <w:pPr>
              <w:pStyle w:val="P68B1DB1-Normal11"/>
              <w:spacing w:line="276" w:lineRule="auto"/>
              <w:jc w:val="center"/>
              <w:rPr>
                <w:noProof/>
              </w:rPr>
            </w:pPr>
            <w:r>
              <w:rPr>
                <w:noProof/>
              </w:rPr>
              <w:t>2.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37EB81A" w14:textId="77777777" w:rsidR="00C972CB" w:rsidRDefault="002457F6">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F696DA0" w14:textId="77777777" w:rsidR="00C972CB" w:rsidRDefault="002457F6">
            <w:pPr>
              <w:pStyle w:val="P68B1DB1-Normal11"/>
              <w:spacing w:line="276" w:lineRule="auto"/>
              <w:rPr>
                <w:noProof/>
              </w:rPr>
            </w:pPr>
            <w:r>
              <w:rPr>
                <w:noProof/>
              </w:rPr>
              <w:t>Vismaz 48 intervences pasākumi, kuru mērķis ir uzlabot loģistiku lauksaimniecības p</w:t>
            </w:r>
            <w:r>
              <w:rPr>
                <w:noProof/>
              </w:rPr>
              <w:t>ārtikas, zvejniecības un akvakultūras, mežsaimniecības, puķkopības un stādaudzētavu nozarēs.</w:t>
            </w:r>
          </w:p>
        </w:tc>
      </w:tr>
      <w:tr w:rsidR="00C972CB" w14:paraId="0FDFBF26"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63EFB" w14:textId="77777777" w:rsidR="00C972CB" w:rsidRDefault="002457F6">
            <w:pPr>
              <w:pStyle w:val="P68B1DB1-Normal11"/>
              <w:spacing w:line="276" w:lineRule="auto"/>
              <w:jc w:val="center"/>
              <w:rPr>
                <w:noProof/>
              </w:rPr>
            </w:pPr>
            <w:r>
              <w:rPr>
                <w:noProof/>
              </w:rPr>
              <w:t>M2C1–11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4DB075D" w14:textId="77777777" w:rsidR="00C972CB" w:rsidRDefault="002457F6">
            <w:pPr>
              <w:pStyle w:val="P68B1DB1-Normal11"/>
              <w:spacing w:line="276" w:lineRule="auto"/>
              <w:jc w:val="center"/>
              <w:rPr>
                <w:noProof/>
              </w:rPr>
            </w:pPr>
            <w:r>
              <w:rPr>
                <w:noProof/>
              </w:rPr>
              <w:t>Ieguldījums 3.3. Kultūra un informētība par vides jautājumiem un problēmām</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64F01" w14:textId="77777777" w:rsidR="00C972CB" w:rsidRDefault="002457F6">
            <w:pPr>
              <w:pStyle w:val="P68B1DB1-Normal11"/>
              <w:spacing w:line="276" w:lineRule="auto"/>
              <w:jc w:val="center"/>
              <w:rPr>
                <w:noProof/>
              </w:rPr>
            </w:pPr>
            <w:r>
              <w:rPr>
                <w:noProof/>
              </w:rPr>
              <w:t>Starpposma mērķis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A01B97F" w14:textId="77777777" w:rsidR="00C972CB" w:rsidRDefault="002457F6">
            <w:pPr>
              <w:pStyle w:val="P68B1DB1-Normal11"/>
              <w:spacing w:line="276" w:lineRule="auto"/>
              <w:jc w:val="center"/>
              <w:rPr>
                <w:noProof/>
              </w:rPr>
            </w:pPr>
            <w:r>
              <w:rPr>
                <w:noProof/>
              </w:rPr>
              <w:t>Tīmekļa platformas izveide un līgumi ar autoriem</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F3618B4" w14:textId="77777777" w:rsidR="00C972CB" w:rsidRDefault="002457F6">
            <w:pPr>
              <w:pStyle w:val="P68B1DB1-Normal11"/>
              <w:spacing w:line="276" w:lineRule="auto"/>
              <w:jc w:val="center"/>
              <w:rPr>
                <w:noProof/>
              </w:rPr>
            </w:pPr>
            <w:r>
              <w:rPr>
                <w:noProof/>
              </w:rPr>
              <w:t xml:space="preserve">Paziņojums </w:t>
            </w:r>
            <w:r>
              <w:rPr>
                <w:noProof/>
              </w:rPr>
              <w:t>par līguma parakstīšanu ar satura veidotājiem</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95E6385" w14:textId="77777777" w:rsidR="00C972CB" w:rsidRDefault="002457F6">
            <w:pPr>
              <w:pStyle w:val="P68B1DB1-Normal11"/>
              <w:spacing w:line="276" w:lineRule="auto"/>
              <w:jc w:val="center"/>
              <w:rPr>
                <w:noProof/>
              </w:rPr>
            </w:pPr>
            <w:r>
              <w:rPr>
                <w:noProof/>
              </w:rPr>
              <w:t>NEPIEMĒRO</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51CACA6" w14:textId="77777777" w:rsidR="00C972CB" w:rsidRDefault="002457F6">
            <w:pPr>
              <w:pStyle w:val="P68B1DB1-Normal11"/>
              <w:spacing w:line="276" w:lineRule="auto"/>
              <w:jc w:val="center"/>
              <w:rPr>
                <w:noProof/>
              </w:rPr>
            </w:pPr>
            <w:r>
              <w:rPr>
                <w:noProof/>
              </w:rPr>
              <w:t>NEPIEMĒRO</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58183325" w14:textId="77777777" w:rsidR="00C972CB" w:rsidRDefault="002457F6">
            <w:pPr>
              <w:pStyle w:val="P68B1DB1-Normal11"/>
              <w:spacing w:line="276" w:lineRule="auto"/>
              <w:jc w:val="center"/>
              <w:rPr>
                <w:noProof/>
              </w:rPr>
            </w:pPr>
            <w:r>
              <w:rPr>
                <w:noProof/>
              </w:rPr>
              <w:t>NEPIEMĒRO</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36F004A" w14:textId="77777777" w:rsidR="00C972CB" w:rsidRDefault="002457F6">
            <w:pPr>
              <w:pStyle w:val="P68B1DB1-Normal11"/>
              <w:spacing w:line="276" w:lineRule="auto"/>
              <w:jc w:val="center"/>
              <w:rPr>
                <w:noProof/>
              </w:rPr>
            </w:pPr>
            <w:r>
              <w:rPr>
                <w:noProof/>
              </w:rPr>
              <w:t>2.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46AD54C" w14:textId="77777777" w:rsidR="00C972CB" w:rsidRDefault="002457F6">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85AA36" w14:textId="6B8B25F8" w:rsidR="00C972CB" w:rsidRDefault="002457F6">
            <w:pPr>
              <w:pStyle w:val="P68B1DB1-Normal11"/>
              <w:spacing w:line="276" w:lineRule="auto"/>
              <w:rPr>
                <w:noProof/>
              </w:rPr>
            </w:pPr>
            <w:r>
              <w:rPr>
                <w:noProof/>
              </w:rPr>
              <w:t xml:space="preserve">Tīmekļa platformas publiska atklāšana un galīgo nolīgumu parakstīšana ar “satura ražotājiem”. Projektu mērķis ir izstrādāt vismaz 180 raidierakstus, skolām paredzētas </w:t>
            </w:r>
            <w:r>
              <w:rPr>
                <w:noProof/>
              </w:rPr>
              <w:t>videonodarbības un videomateriālu saturu, kas sagatavots un pieejams tīmekļa platformā par vidisko pārkārtošanos.</w:t>
            </w:r>
          </w:p>
        </w:tc>
      </w:tr>
      <w:tr w:rsidR="00C972CB" w14:paraId="0D8E409E"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B4CD01" w14:textId="77777777" w:rsidR="00C972CB" w:rsidRDefault="002457F6">
            <w:pPr>
              <w:pStyle w:val="P68B1DB1-Normal11"/>
              <w:spacing w:line="276" w:lineRule="auto"/>
              <w:jc w:val="center"/>
              <w:rPr>
                <w:noProof/>
              </w:rPr>
            </w:pPr>
            <w:r>
              <w:rPr>
                <w:noProof/>
              </w:rPr>
              <w:t>M2C1–12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295BAE" w14:textId="77777777" w:rsidR="00C972CB" w:rsidRDefault="002457F6">
            <w:pPr>
              <w:pStyle w:val="P68B1DB1-Normal11"/>
              <w:spacing w:line="276" w:lineRule="auto"/>
              <w:jc w:val="center"/>
              <w:rPr>
                <w:noProof/>
              </w:rPr>
            </w:pPr>
            <w:r>
              <w:rPr>
                <w:noProof/>
              </w:rPr>
              <w:t>Ieguldījums 3.3. Kultūra un informētība par vides jautājumiem un problēmām</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AF0484" w14:textId="77777777" w:rsidR="00C972CB" w:rsidRDefault="002457F6">
            <w:pPr>
              <w:pStyle w:val="P68B1DB1-Normal11"/>
              <w:spacing w:line="276" w:lineRule="auto"/>
              <w:jc w:val="center"/>
              <w:rPr>
                <w:noProof/>
              </w:rPr>
            </w:pPr>
            <w:r>
              <w:rPr>
                <w:noProof/>
              </w:rPr>
              <w:t>Mērķa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24D21C8" w14:textId="77777777" w:rsidR="00C972CB" w:rsidRDefault="002457F6">
            <w:pPr>
              <w:pStyle w:val="P68B1DB1-Normal11"/>
              <w:spacing w:line="276" w:lineRule="auto"/>
              <w:jc w:val="center"/>
              <w:rPr>
                <w:noProof/>
              </w:rPr>
            </w:pPr>
            <w:r>
              <w:rPr>
                <w:noProof/>
              </w:rPr>
              <w:t>Audiovizuālie materiāli par vidisko pārkārtošanos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15C9BA" w14:textId="77777777" w:rsidR="00C972CB" w:rsidRDefault="002457F6">
            <w:pPr>
              <w:pStyle w:val="P68B1DB1-Normal11"/>
              <w:spacing w:line="276" w:lineRule="auto"/>
              <w:jc w:val="center"/>
              <w:rPr>
                <w:noProof/>
              </w:rPr>
            </w:pPr>
            <w:r>
              <w:rPr>
                <w:noProof/>
              </w:rPr>
              <w:t>NEPIEMĒRO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E8B6C4" w14:textId="77777777" w:rsidR="00C972CB" w:rsidRDefault="002457F6">
            <w:pPr>
              <w:pStyle w:val="P68B1DB1-Normal11"/>
              <w:spacing w:line="276" w:lineRule="auto"/>
              <w:jc w:val="center"/>
              <w:rPr>
                <w:noProof/>
              </w:rPr>
            </w:pPr>
            <w:r>
              <w:rPr>
                <w:noProof/>
              </w:rPr>
              <w:t>Skaits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4B86101" w14:textId="77777777" w:rsidR="00C972CB" w:rsidRDefault="002457F6">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06E6179" w14:textId="77777777" w:rsidR="00C972CB" w:rsidRDefault="002457F6">
            <w:pPr>
              <w:pStyle w:val="P68B1DB1-Normal11"/>
              <w:spacing w:line="276" w:lineRule="auto"/>
              <w:jc w:val="center"/>
              <w:rPr>
                <w:noProof/>
              </w:rPr>
            </w:pPr>
            <w:r>
              <w:rPr>
                <w:noProof/>
              </w:rPr>
              <w:t>180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59E06F7" w14:textId="77777777" w:rsidR="00C972CB" w:rsidRDefault="002457F6">
            <w:pPr>
              <w:pStyle w:val="P68B1DB1-Normal11"/>
              <w:spacing w:line="276" w:lineRule="auto"/>
              <w:jc w:val="center"/>
              <w:rPr>
                <w:noProof/>
              </w:rPr>
            </w:pPr>
            <w:r>
              <w:rPr>
                <w:noProof/>
              </w:rPr>
              <w:t>2. CET.</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7E31C8" w14:textId="77777777" w:rsidR="00C972CB" w:rsidRDefault="002457F6">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648AFD4" w14:textId="77777777" w:rsidR="00C972CB" w:rsidRDefault="002457F6">
            <w:pPr>
              <w:pStyle w:val="P68B1DB1-Normal11"/>
              <w:spacing w:line="276" w:lineRule="auto"/>
              <w:rPr>
                <w:noProof/>
              </w:rPr>
            </w:pPr>
            <w:r>
              <w:rPr>
                <w:noProof/>
              </w:rPr>
              <w:t>Tīmekļa platformā sagatavoti un tiešraidē sagatavoti vismaz 180 raidieraksti, skolas videonodarbības un video saturs</w:t>
            </w:r>
          </w:p>
        </w:tc>
      </w:tr>
    </w:tbl>
    <w:p w14:paraId="2551B6C1" w14:textId="77777777" w:rsidR="00C972CB" w:rsidRDefault="002457F6">
      <w:pPr>
        <w:spacing w:before="120" w:after="120"/>
        <w:ind w:left="709"/>
        <w:jc w:val="both"/>
        <w:rPr>
          <w:noProof/>
        </w:rPr>
      </w:pPr>
      <w:r>
        <w:rPr>
          <w:noProof/>
        </w:rPr>
        <w:br/>
      </w:r>
    </w:p>
    <w:p w14:paraId="4ADCDD49" w14:textId="77777777" w:rsidR="00C972CB" w:rsidRDefault="00C972CB">
      <w:pPr>
        <w:spacing w:before="120" w:after="120"/>
        <w:ind w:left="709"/>
        <w:jc w:val="both"/>
        <w:rPr>
          <w:noProof/>
        </w:rPr>
        <w:sectPr w:rsidR="00C972CB" w:rsidSect="001354D1">
          <w:headerReference w:type="even" r:id="rId98"/>
          <w:headerReference w:type="default" r:id="rId99"/>
          <w:footerReference w:type="even" r:id="rId100"/>
          <w:footerReference w:type="default" r:id="rId101"/>
          <w:headerReference w:type="first" r:id="rId102"/>
          <w:footerReference w:type="first" r:id="rId103"/>
          <w:pgSz w:w="16838" w:h="11907" w:orient="landscape"/>
          <w:pgMar w:top="1134" w:right="1134" w:bottom="1134" w:left="1134" w:header="567" w:footer="567" w:gutter="0"/>
          <w:cols w:space="720"/>
          <w:docGrid w:linePitch="360"/>
        </w:sectPr>
      </w:pPr>
    </w:p>
    <w:p w14:paraId="162204D3"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D.3. </w:t>
      </w:r>
      <w:r>
        <w:rPr>
          <w:noProof/>
        </w:rPr>
        <w:tab/>
      </w:r>
      <w:r>
        <w:rPr>
          <w:b/>
          <w:i w:val="0"/>
          <w:noProof/>
          <w:u w:val="single"/>
        </w:rPr>
        <w:t xml:space="preserve">Aizdevumam pieteikto reformu un investīciju apraksts </w:t>
      </w:r>
    </w:p>
    <w:p w14:paraId="321FDB2F" w14:textId="77777777" w:rsidR="00C972CB" w:rsidRDefault="002457F6">
      <w:pPr>
        <w:pStyle w:val="P68B1DB1-Normal2"/>
        <w:spacing w:before="120" w:after="120"/>
        <w:jc w:val="both"/>
        <w:rPr>
          <w:noProof/>
        </w:rPr>
      </w:pPr>
      <w:r>
        <w:rPr>
          <w:noProof/>
        </w:rPr>
        <w:t>Reforma — Atkritumu apsaimniekošanas valsts programma</w:t>
      </w:r>
    </w:p>
    <w:p w14:paraId="0B286D53" w14:textId="77777777" w:rsidR="00C972CB" w:rsidRDefault="002457F6">
      <w:pPr>
        <w:spacing w:before="120" w:after="120"/>
        <w:jc w:val="both"/>
        <w:rPr>
          <w:noProof/>
        </w:rPr>
      </w:pPr>
      <w:r>
        <w:rPr>
          <w:noProof/>
        </w:rPr>
        <w:t xml:space="preserve">Šī reforma ietver plašas atkritumu apsaimniekošanas valsts programmas pieņemšanu, kuras mērķis ir panākt visaugstāko līmeni atkritumu sagatavošanai </w:t>
      </w:r>
      <w:r>
        <w:rPr>
          <w:noProof/>
        </w:rPr>
        <w:t>atkārtotai izmantošanai, pārstrādei un reģenerācijai, pielāgot to iekārtu tīklu, kas nepieciešamas integrētai atkritumu apsaimniekošanai, samazināt galīgo apglabāšanu kā galīgo un atlikušo iespēju, izveidot uzraudzības sistēmas, novērst jaunu pārkāpuma pro</w:t>
      </w:r>
      <w:r>
        <w:rPr>
          <w:noProof/>
        </w:rPr>
        <w:t>cedūru uzsākšanu pret Itāliju, novērst atkritumu zemo savākšanu, atturēt no atkritumu apglabāšanas poligonos un nodrošināt papildināmību ar reģionālajām atkritumu apsaimniekošanas programmām, dodot iespēju sasniegt Eiropas un valstu tiesību aktu mērķus atk</w:t>
      </w:r>
      <w:r>
        <w:rPr>
          <w:noProof/>
        </w:rPr>
        <w:t xml:space="preserve">ritumu jomā un novērst nelikumīgu atkritumu izgāšanu un sadedzināšanu atklātā gaisā. </w:t>
      </w:r>
    </w:p>
    <w:p w14:paraId="28F6B510" w14:textId="77777777" w:rsidR="00C972CB" w:rsidRDefault="002457F6">
      <w:pPr>
        <w:pStyle w:val="P68B1DB1-Normal2"/>
        <w:spacing w:before="120" w:after="120"/>
        <w:jc w:val="both"/>
        <w:rPr>
          <w:noProof/>
        </w:rPr>
      </w:pPr>
      <w:r>
        <w:rPr>
          <w:noProof/>
        </w:rPr>
        <w:t>Ieguldījums 1.1. — Jaunu atkritumu apsaimniekošanas iekārtu ieviešana un esošo iekārtu modernizācija</w:t>
      </w:r>
    </w:p>
    <w:p w14:paraId="1B8CEB39" w14:textId="3E7A710E" w:rsidR="00C972CB" w:rsidRDefault="002457F6">
      <w:pPr>
        <w:spacing w:before="120" w:after="120"/>
        <w:jc w:val="both"/>
        <w:rPr>
          <w:noProof/>
        </w:rPr>
      </w:pPr>
      <w:r>
        <w:rPr>
          <w:noProof/>
        </w:rPr>
        <w:t xml:space="preserve">Šis ieguldījums ietver pašvaldību atkritumu dalītas savākšanas tīkla </w:t>
      </w:r>
      <w:r>
        <w:rPr>
          <w:noProof/>
        </w:rPr>
        <w:t>uzlabošanu un mehanizāciju, jaunu organisko atkritumu, daudzmateriālu, stikla un papīra iepakojuma apstrādes/pārstrādes iekārtu būvniecību, kā arī inovatīvas apstrādes/reciklēšanas iekārtas, kas pievēršas individuālai adsorbentu apglabāšanai (PAD), notekūd</w:t>
      </w:r>
      <w:r>
        <w:rPr>
          <w:noProof/>
        </w:rPr>
        <w:t>eņu dūņām, ādas atkritumiem un tekstilatkritumiem.</w:t>
      </w:r>
    </w:p>
    <w:p w14:paraId="0828BD55" w14:textId="77777777" w:rsidR="00C972CB" w:rsidRDefault="002457F6">
      <w:pPr>
        <w:pStyle w:val="P68B1DB1-Normal2"/>
        <w:spacing w:before="120" w:after="120"/>
        <w:jc w:val="both"/>
        <w:rPr>
          <w:noProof/>
        </w:rPr>
      </w:pPr>
      <w:r>
        <w:rPr>
          <w:noProof/>
        </w:rPr>
        <w:t>Investīcijas 1.2 — Aprites ekonomika: “pamatprojekti”</w:t>
      </w:r>
    </w:p>
    <w:p w14:paraId="1DF40E45" w14:textId="77777777" w:rsidR="00C972CB" w:rsidRDefault="002457F6">
      <w:pPr>
        <w:spacing w:before="120" w:after="120"/>
        <w:jc w:val="both"/>
        <w:rPr>
          <w:noProof/>
        </w:rPr>
      </w:pPr>
      <w:r>
        <w:rPr>
          <w:noProof/>
        </w:rPr>
        <w:t>Šīs investīcijas ietver atbalstu dalītas savākšanas tīkla uzlabošanai, tostarp ar procesu un/vai loģistikas digitalizāciju, un apstrādes/pārstrādes iek</w:t>
      </w:r>
      <w:r>
        <w:rPr>
          <w:noProof/>
        </w:rPr>
        <w:t>ārtām šādās nozarēs:</w:t>
      </w:r>
    </w:p>
    <w:p w14:paraId="36D41CDF" w14:textId="77777777" w:rsidR="00C972CB" w:rsidRDefault="002457F6">
      <w:pPr>
        <w:numPr>
          <w:ilvl w:val="0"/>
          <w:numId w:val="62"/>
        </w:numPr>
        <w:spacing w:before="120" w:after="120" w:line="259" w:lineRule="auto"/>
        <w:ind w:left="360"/>
        <w:contextualSpacing/>
        <w:jc w:val="both"/>
        <w:rPr>
          <w:noProof/>
        </w:rPr>
      </w:pPr>
      <w:r>
        <w:rPr>
          <w:noProof/>
        </w:rPr>
        <w:t>Elektrisko un elektronisko iekārtu atkritumi (EEIA), tostarp vējturbīnu lāpstiņas un fotoelementu paneļi;</w:t>
      </w:r>
    </w:p>
    <w:p w14:paraId="02646C82" w14:textId="77777777" w:rsidR="00C972CB" w:rsidRDefault="002457F6">
      <w:pPr>
        <w:numPr>
          <w:ilvl w:val="0"/>
          <w:numId w:val="62"/>
        </w:numPr>
        <w:spacing w:before="120" w:after="120" w:line="259" w:lineRule="auto"/>
        <w:ind w:left="360"/>
        <w:contextualSpacing/>
        <w:jc w:val="both"/>
        <w:rPr>
          <w:noProof/>
        </w:rPr>
      </w:pPr>
      <w:r>
        <w:rPr>
          <w:noProof/>
        </w:rPr>
        <w:t>Papīra/papīra rūpniecība;</w:t>
      </w:r>
    </w:p>
    <w:p w14:paraId="61A3745E" w14:textId="77777777" w:rsidR="00C972CB" w:rsidRDefault="002457F6">
      <w:pPr>
        <w:numPr>
          <w:ilvl w:val="0"/>
          <w:numId w:val="62"/>
        </w:numPr>
        <w:spacing w:before="120" w:after="120" w:line="259" w:lineRule="auto"/>
        <w:ind w:left="360"/>
        <w:contextualSpacing/>
        <w:jc w:val="both"/>
        <w:rPr>
          <w:noProof/>
        </w:rPr>
      </w:pPr>
      <w:r>
        <w:rPr>
          <w:noProof/>
        </w:rPr>
        <w:t>Plastmasas atkritumu pārstrāde (mehāniskā, ķīmiskā reciklēšana, “plastmasas centri”), tostarp jūras pla</w:t>
      </w:r>
      <w:r>
        <w:rPr>
          <w:noProof/>
        </w:rPr>
        <w:t>stmasas piedrazojums (MPL). Šajā jomā jāveicina rūpnieciskās simbiozes projekti “apaļo rajonu” veidā, lai nodrošinātu plastmasas pārstrādes blakusproduktu pilnīgu atkalizmantošanu un ražotu preces ar augstu pievienoto vērtību;</w:t>
      </w:r>
    </w:p>
    <w:p w14:paraId="56B41C61" w14:textId="77777777" w:rsidR="00C972CB" w:rsidRDefault="002457F6">
      <w:pPr>
        <w:numPr>
          <w:ilvl w:val="0"/>
          <w:numId w:val="62"/>
        </w:numPr>
        <w:spacing w:before="120" w:after="120" w:line="259" w:lineRule="auto"/>
        <w:ind w:left="360"/>
        <w:contextualSpacing/>
        <w:jc w:val="both"/>
        <w:rPr>
          <w:noProof/>
        </w:rPr>
      </w:pPr>
      <w:r>
        <w:rPr>
          <w:noProof/>
        </w:rPr>
        <w:t>Tekstilizstrādājumi (“tekstil</w:t>
      </w:r>
      <w:r>
        <w:rPr>
          <w:noProof/>
        </w:rPr>
        <w:t>izstrādājumu centri”).</w:t>
      </w:r>
    </w:p>
    <w:p w14:paraId="56B1AB19" w14:textId="77777777" w:rsidR="00C972CB" w:rsidRDefault="002457F6">
      <w:pPr>
        <w:spacing w:before="120" w:after="120"/>
        <w:jc w:val="both"/>
        <w:rPr>
          <w:noProof/>
        </w:rPr>
      </w:pPr>
      <w:r>
        <w:rPr>
          <w:noProof/>
        </w:rPr>
        <w:t xml:space="preserve">Turklāt, lai cīnītos pret nelikumīgu izgāšanu, izstrādā globālo uzraudzības sistēmu, izmantojot satelītus, bezpilota lidaparātus un mākslīgā intelekta (MI) tehnoloģijas (plašāku vispārējās iejaukšanās aprakstu sk. “ </w:t>
      </w:r>
      <w:r>
        <w:rPr>
          <w:i/>
          <w:noProof/>
        </w:rPr>
        <w:t>Ieguldījums 1.1-P</w:t>
      </w:r>
      <w:r>
        <w:rPr>
          <w:i/>
          <w:noProof/>
        </w:rPr>
        <w:t>rogresīvas un integrētas uzraudzības un prognozēšanas sistēmas īstenošana</w:t>
      </w:r>
      <w:r>
        <w:rPr>
          <w:noProof/>
        </w:rPr>
        <w:t>” 2. misijas 4. komponentā). Globālā uzraudzības sistēma kopā ar ierosinātajiem pasākumiem atkritumu izsekojamības jomā atbalsta vietējās kontroles iestādes un kārtības spēkus, lai no</w:t>
      </w:r>
      <w:r>
        <w:rPr>
          <w:noProof/>
        </w:rPr>
        <w:t>vērstu, kontrolētu un apkarotu nelikumīgu izgāšanu un organizētās noziedzības darbības atkritumu apsaimniekošanā.</w:t>
      </w:r>
    </w:p>
    <w:p w14:paraId="78FDD391" w14:textId="77777777" w:rsidR="00C972CB" w:rsidRDefault="002457F6">
      <w:pPr>
        <w:pStyle w:val="P68B1DB1-Normal2"/>
        <w:spacing w:before="120" w:after="120"/>
        <w:ind w:firstLine="567"/>
        <w:jc w:val="both"/>
        <w:rPr>
          <w:noProof/>
        </w:rPr>
      </w:pPr>
      <w:r>
        <w:rPr>
          <w:noProof/>
        </w:rPr>
        <w:t>Ieguldījums 3.1. — Zaļās salas</w:t>
      </w:r>
    </w:p>
    <w:p w14:paraId="3CAA5AAF" w14:textId="3B1F26DF" w:rsidR="00C972CB" w:rsidRDefault="002457F6">
      <w:pPr>
        <w:spacing w:before="120" w:after="120"/>
        <w:jc w:val="both"/>
        <w:rPr>
          <w:noProof/>
          <w:color w:val="006100"/>
        </w:rPr>
      </w:pPr>
      <w:r>
        <w:rPr>
          <w:noProof/>
        </w:rPr>
        <w:t xml:space="preserve">Šīs investīcijas ietver projektu finansēšanu un īstenošanu enerģētikas (piemēram, atjaunojamo energoresursu, </w:t>
      </w:r>
      <w:r>
        <w:rPr>
          <w:noProof/>
        </w:rPr>
        <w:t>tīklu un energoefektivitātes), ūdens (piemēram, atsāļošanas), transporta (piemēram, veloceliņu, bezemisiju autobusu un kuģu) un atkritumu (piemēram, atkritumu atdalīšanas) jomā 19 mazajās salās, kas nav savstarpēji savienotas. Biometāns atbilst Direktīvā 2</w:t>
      </w:r>
      <w:r>
        <w:rPr>
          <w:noProof/>
        </w:rPr>
        <w:t>018/2001 (RED II direktīva) noteiktajiem kritērijiem. Biodegvielas un biometāna gāzes un biodegvielas ražotājiem ir jāiesniedz sertifikāti (Ilgtspējas apliecinājums), ko izsnieguši neatkarīgi vērtētāji, kā paredzēts Direktīvā 2018/2001. Operators iegādājas</w:t>
      </w:r>
      <w:r>
        <w:rPr>
          <w:noProof/>
        </w:rPr>
        <w:t xml:space="preserve"> izcelsmes apliecinājuma sertifikātus proporcionāli paredzamajam degvielas izmantojumam.   Lai nodrošinātu, ka pasākums atbilst Tehniskajām vadlīnijām “Nenodari būtisku kaitējumu” (2021/C58/01), atbilstības kritērijos, kas ietverti darba uzdevumā turpmākaj</w:t>
      </w:r>
      <w:r>
        <w:rPr>
          <w:noProof/>
        </w:rPr>
        <w:t>iem uzaicinājumiem iesniegt projektus, izslēdz šādu darbību sarakstu: darbības, kas saistītas ar fosilajiem kurināmajiem, tostarp pakārtota izmantošana</w:t>
      </w:r>
      <w:r>
        <w:rPr>
          <w:rStyle w:val="FootnoteReference"/>
          <w:noProof/>
        </w:rPr>
        <w:footnoteReference w:id="35"/>
      </w:r>
      <w:r>
        <w:rPr>
          <w:noProof/>
        </w:rPr>
        <w:t>; darbības ES emisijas kvotu tirdzniecības sistēmas (ETS) ietvaros, lai sasniegtu prognozētās siltumnīce</w:t>
      </w:r>
      <w:r>
        <w:rPr>
          <w:noProof/>
        </w:rPr>
        <w:t>fekta gāzu emisijas, kas nav zemākas par attiecīgajām līmeņatzīmēm</w:t>
      </w:r>
      <w:r>
        <w:rPr>
          <w:rStyle w:val="FootnoteReference"/>
          <w:noProof/>
        </w:rPr>
        <w:footnoteReference w:id="36"/>
      </w:r>
      <w:r>
        <w:rPr>
          <w:noProof/>
        </w:rPr>
        <w:t>; III) darbības, kas saistītas ar atkritumu poligoniem, atkritumu sadedzināšanas iekārtām</w:t>
      </w:r>
      <w:r>
        <w:rPr>
          <w:rStyle w:val="FootnoteReference"/>
          <w:noProof/>
        </w:rPr>
        <w:footnoteReference w:id="37"/>
      </w:r>
      <w:r>
        <w:rPr>
          <w:noProof/>
        </w:rPr>
        <w:t xml:space="preserve"> un mehāniski bioloģiskās apstrādes iekārtām</w:t>
      </w:r>
      <w:r>
        <w:rPr>
          <w:rStyle w:val="FootnoteReference"/>
          <w:noProof/>
        </w:rPr>
        <w:footnoteReference w:id="38"/>
      </w:r>
      <w:r>
        <w:rPr>
          <w:noProof/>
        </w:rPr>
        <w:t>; un iv) darbības, kurās atkritumu ilgtermiņa apglabāš</w:t>
      </w:r>
      <w:r>
        <w:rPr>
          <w:noProof/>
        </w:rPr>
        <w:t>ana var radīt kaitējumu videi. Darba uzdevumā papildus nosaka, ka atlasa tikai tās darbības, kas atbilst attiecīgajiem ES un valsts tiesību aktiem vides jomā.</w:t>
      </w:r>
    </w:p>
    <w:p w14:paraId="6E65D2E6" w14:textId="77777777" w:rsidR="00C972CB" w:rsidRDefault="002457F6">
      <w:pPr>
        <w:pStyle w:val="P68B1DB1-Normal2"/>
        <w:spacing w:before="120" w:after="120"/>
        <w:jc w:val="both"/>
        <w:rPr>
          <w:noProof/>
        </w:rPr>
      </w:pPr>
      <w:r>
        <w:rPr>
          <w:noProof/>
        </w:rPr>
        <w:t>Ieguldījums. Zaļās kopienas</w:t>
      </w:r>
    </w:p>
    <w:p w14:paraId="5358ADE6" w14:textId="77777777" w:rsidR="00C972CB" w:rsidRDefault="002457F6">
      <w:pPr>
        <w:spacing w:before="120" w:after="120"/>
        <w:jc w:val="both"/>
        <w:rPr>
          <w:noProof/>
        </w:rPr>
      </w:pPr>
      <w:r>
        <w:rPr>
          <w:noProof/>
        </w:rPr>
        <w:t>Šo ieguldījumu veido atbalsts lauku un kalnu teritorijām, kuras plāno</w:t>
      </w:r>
      <w:r>
        <w:rPr>
          <w:noProof/>
        </w:rPr>
        <w:t xml:space="preserve"> līdzsvaroti izmantot savus galvenos resursus (tā sauktās “zaļās kopienas”), veicot ieguldījumus jo īpaši šādās jomās:</w:t>
      </w:r>
    </w:p>
    <w:p w14:paraId="0C144393" w14:textId="77777777" w:rsidR="00C972CB" w:rsidRDefault="002457F6">
      <w:pPr>
        <w:numPr>
          <w:ilvl w:val="0"/>
          <w:numId w:val="64"/>
        </w:numPr>
        <w:spacing w:before="120" w:after="120" w:line="259" w:lineRule="auto"/>
        <w:ind w:left="360"/>
        <w:contextualSpacing/>
        <w:jc w:val="both"/>
        <w:rPr>
          <w:noProof/>
        </w:rPr>
      </w:pPr>
      <w:r>
        <w:rPr>
          <w:noProof/>
        </w:rPr>
        <w:t>agromežsaimniecības mantojuma integrēta un sertificēta pārvaldība (arī apmainoties ar kredītiem, kas iegūti, uztverot oglekļa dioksīdu, p</w:t>
      </w:r>
      <w:r>
        <w:rPr>
          <w:noProof/>
        </w:rPr>
        <w:t>ārvaldot bioloģisko daudzveidību un sertificējot koksnes piegādes ķēdi);</w:t>
      </w:r>
    </w:p>
    <w:p w14:paraId="00710AEA" w14:textId="77777777" w:rsidR="00C972CB" w:rsidRDefault="002457F6">
      <w:pPr>
        <w:numPr>
          <w:ilvl w:val="0"/>
          <w:numId w:val="64"/>
        </w:numPr>
        <w:spacing w:before="120" w:after="120" w:line="259" w:lineRule="auto"/>
        <w:ind w:left="360"/>
        <w:contextualSpacing/>
        <w:jc w:val="both"/>
        <w:rPr>
          <w:noProof/>
        </w:rPr>
      </w:pPr>
      <w:r>
        <w:rPr>
          <w:noProof/>
        </w:rPr>
        <w:t>integrēta un sertificēta ūdens resursu apsaimniekošana;</w:t>
      </w:r>
    </w:p>
    <w:p w14:paraId="0BBC6271" w14:textId="77777777" w:rsidR="00C972CB" w:rsidRDefault="002457F6">
      <w:pPr>
        <w:numPr>
          <w:ilvl w:val="0"/>
          <w:numId w:val="64"/>
        </w:numPr>
        <w:spacing w:before="120" w:after="120" w:line="259" w:lineRule="auto"/>
        <w:ind w:left="360"/>
        <w:contextualSpacing/>
        <w:jc w:val="both"/>
        <w:rPr>
          <w:noProof/>
        </w:rPr>
      </w:pPr>
      <w:r>
        <w:rPr>
          <w:noProof/>
        </w:rPr>
        <w:t xml:space="preserve">enerģijas ražošana no vietējiem atjaunojamiem energoresursiem, piemēram, mikro hidroelektrostacijām, biomasas, biogāzes, vēja, </w:t>
      </w:r>
      <w:r>
        <w:rPr>
          <w:noProof/>
        </w:rPr>
        <w:t>koģenerācijas un biometāna;</w:t>
      </w:r>
    </w:p>
    <w:p w14:paraId="55193BB4" w14:textId="77777777" w:rsidR="00C972CB" w:rsidRDefault="002457F6">
      <w:pPr>
        <w:numPr>
          <w:ilvl w:val="0"/>
          <w:numId w:val="64"/>
        </w:numPr>
        <w:spacing w:before="120" w:after="120" w:line="259" w:lineRule="auto"/>
        <w:ind w:left="360"/>
        <w:contextualSpacing/>
        <w:jc w:val="both"/>
        <w:rPr>
          <w:noProof/>
        </w:rPr>
      </w:pPr>
      <w:r>
        <w:rPr>
          <w:noProof/>
        </w:rPr>
        <w:t>ilgtspējīga tūrisma attīstība (“var uzlabot vietējos produktus”);</w:t>
      </w:r>
    </w:p>
    <w:p w14:paraId="441445A4" w14:textId="77777777" w:rsidR="00C972CB" w:rsidRDefault="002457F6">
      <w:pPr>
        <w:numPr>
          <w:ilvl w:val="0"/>
          <w:numId w:val="64"/>
        </w:numPr>
        <w:spacing w:before="120" w:after="120" w:line="259" w:lineRule="auto"/>
        <w:ind w:left="360"/>
        <w:contextualSpacing/>
        <w:jc w:val="both"/>
        <w:rPr>
          <w:noProof/>
        </w:rPr>
      </w:pPr>
      <w:r>
        <w:rPr>
          <w:noProof/>
        </w:rPr>
        <w:t>moderna kalnu ēku fonda un infrastruktūras būvniecība un ilgtspējīga apsaimniekošana;</w:t>
      </w:r>
    </w:p>
    <w:p w14:paraId="58C06D42" w14:textId="77777777" w:rsidR="00C972CB" w:rsidRDefault="002457F6">
      <w:pPr>
        <w:numPr>
          <w:ilvl w:val="0"/>
          <w:numId w:val="64"/>
        </w:numPr>
        <w:spacing w:before="120" w:after="120" w:line="259" w:lineRule="auto"/>
        <w:ind w:left="360"/>
        <w:contextualSpacing/>
        <w:jc w:val="both"/>
        <w:rPr>
          <w:noProof/>
        </w:rPr>
      </w:pPr>
      <w:r>
        <w:rPr>
          <w:noProof/>
        </w:rPr>
        <w:t>energoefektivitāte un intelektiska iekārtu un tīklu integrācija;</w:t>
      </w:r>
    </w:p>
    <w:p w14:paraId="692C5E28" w14:textId="77777777" w:rsidR="00C972CB" w:rsidRDefault="002457F6">
      <w:pPr>
        <w:numPr>
          <w:ilvl w:val="0"/>
          <w:numId w:val="64"/>
        </w:numPr>
        <w:spacing w:before="120" w:after="120" w:line="259" w:lineRule="auto"/>
        <w:ind w:left="360"/>
        <w:contextualSpacing/>
        <w:jc w:val="both"/>
        <w:rPr>
          <w:noProof/>
        </w:rPr>
      </w:pPr>
      <w:r>
        <w:rPr>
          <w:noProof/>
        </w:rPr>
        <w:t>ražošanas d</w:t>
      </w:r>
      <w:r>
        <w:rPr>
          <w:noProof/>
        </w:rPr>
        <w:t>arbību ilgtspējīga attīstība (bez atkritumu radīšanas);</w:t>
      </w:r>
    </w:p>
    <w:p w14:paraId="662514EC" w14:textId="77777777" w:rsidR="00C972CB" w:rsidRDefault="002457F6">
      <w:pPr>
        <w:numPr>
          <w:ilvl w:val="0"/>
          <w:numId w:val="64"/>
        </w:numPr>
        <w:spacing w:before="120" w:after="120" w:line="259" w:lineRule="auto"/>
        <w:ind w:left="360"/>
        <w:contextualSpacing/>
        <w:jc w:val="both"/>
        <w:rPr>
          <w:noProof/>
        </w:rPr>
      </w:pPr>
      <w:r>
        <w:rPr>
          <w:noProof/>
        </w:rPr>
        <w:t>mobilitātes pakalpojumu integrācija;</w:t>
      </w:r>
    </w:p>
    <w:p w14:paraId="37A08D42" w14:textId="77777777" w:rsidR="00C972CB" w:rsidRDefault="002457F6">
      <w:pPr>
        <w:numPr>
          <w:ilvl w:val="0"/>
          <w:numId w:val="64"/>
        </w:numPr>
        <w:spacing w:before="120" w:after="120" w:line="259" w:lineRule="auto"/>
        <w:ind w:left="360"/>
        <w:contextualSpacing/>
        <w:jc w:val="both"/>
        <w:rPr>
          <w:noProof/>
        </w:rPr>
      </w:pPr>
      <w:r>
        <w:rPr>
          <w:noProof/>
        </w:rPr>
        <w:t>ilgtspējīga lauku saimniecības modeļa (“kas ir arī neatkarīgs no enerģijas ražošanas un izmantošanas no atjaunojamiem enerģijas avotiem elektroenerģijas, siltumene</w:t>
      </w:r>
      <w:r>
        <w:rPr>
          <w:noProof/>
        </w:rPr>
        <w:t>rģijas un transporta nozarē”) izstrāde.</w:t>
      </w:r>
    </w:p>
    <w:p w14:paraId="2557E98E" w14:textId="1FB63CEE" w:rsidR="00C972CB" w:rsidRDefault="002457F6">
      <w:pPr>
        <w:pStyle w:val="ListParagraph"/>
        <w:numPr>
          <w:ilvl w:val="0"/>
          <w:numId w:val="64"/>
        </w:numPr>
        <w:spacing w:line="259" w:lineRule="auto"/>
        <w:ind w:left="360"/>
        <w:rPr>
          <w:rFonts w:asciiTheme="minorHAnsi" w:eastAsiaTheme="minorEastAsia" w:hAnsiTheme="minorHAnsi" w:cstheme="minorBidi"/>
          <w:noProof/>
          <w:color w:val="006100"/>
        </w:rPr>
      </w:pPr>
      <w:r>
        <w:rPr>
          <w:noProof/>
        </w:rPr>
        <w:t>Lai nodrošinātu, ka pasākums atbilst Tehniskajām vadlīnijām “Nenodari būtisku kaitējumu” (2021/C58/01), atbilstības kritērijos, kas ietverti darba uzdevumā turpmākajiem uzaicinājumiem iesniegt projektus, izslēdz šādu</w:t>
      </w:r>
      <w:r>
        <w:rPr>
          <w:noProof/>
        </w:rPr>
        <w:t xml:space="preserve"> darbību sarakstu: darbības, kas saistītas ar fosilajiem kurināmajiem, tostarp pakārtota izmantošana</w:t>
      </w:r>
      <w:r>
        <w:rPr>
          <w:rStyle w:val="FootnoteReference"/>
          <w:noProof/>
        </w:rPr>
        <w:footnoteReference w:id="39"/>
      </w:r>
      <w:r>
        <w:rPr>
          <w:noProof/>
        </w:rPr>
        <w:t>; darbības ES emisijas kvotu tirdzniecības sistēmas (ETS) ietvaros, lai sasniegtu prognozētās siltumnīcefekta gāzu emisijas, kas nav zemākas par attiecīgaj</w:t>
      </w:r>
      <w:r>
        <w:rPr>
          <w:noProof/>
        </w:rPr>
        <w:t>ām līmeņatzīmēm</w:t>
      </w:r>
      <w:r>
        <w:rPr>
          <w:rStyle w:val="FootnoteReference"/>
          <w:noProof/>
        </w:rPr>
        <w:footnoteReference w:id="40"/>
      </w:r>
      <w:r>
        <w:rPr>
          <w:noProof/>
        </w:rPr>
        <w:t>; III) darbības, kas saistītas ar atkritumu poligoniem, atkritumu sadedzināšanas iekārtām</w:t>
      </w:r>
      <w:r>
        <w:rPr>
          <w:rStyle w:val="FootnoteReference"/>
          <w:noProof/>
        </w:rPr>
        <w:footnoteReference w:id="41"/>
      </w:r>
      <w:r>
        <w:rPr>
          <w:noProof/>
        </w:rPr>
        <w:t xml:space="preserve"> un mehāniski bioloģiskās apstrādes iekārtām</w:t>
      </w:r>
      <w:r>
        <w:rPr>
          <w:rStyle w:val="FootnoteReference"/>
          <w:noProof/>
        </w:rPr>
        <w:footnoteReference w:id="42"/>
      </w:r>
      <w:r>
        <w:rPr>
          <w:noProof/>
        </w:rPr>
        <w:t xml:space="preserve">; un iv) darbības, kurās atkritumu ilgtermiņa apglabāšana var radīt kaitējumu videi. Darba uzdevumā </w:t>
      </w:r>
      <w:r>
        <w:rPr>
          <w:noProof/>
        </w:rPr>
        <w:t>papildus nosaka, ka atlasa tikai tās darbības, kas atbilst attiecīgajiem ES un valsts tiesību aktiem vides jomā.</w:t>
      </w:r>
    </w:p>
    <w:p w14:paraId="38A7B87D" w14:textId="77777777" w:rsidR="00C972CB" w:rsidRDefault="002457F6">
      <w:pPr>
        <w:pStyle w:val="P68B1DB1-Normal2"/>
        <w:spacing w:before="120" w:after="120"/>
        <w:jc w:val="both"/>
        <w:rPr>
          <w:noProof/>
        </w:rPr>
      </w:pPr>
      <w:r>
        <w:rPr>
          <w:noProof/>
        </w:rPr>
        <w:t>Investīcija 3.4. Fondo Rotativo Contratti di Filiera (FCF), lai atbalstītu piegādes ķēžu līgumus lauksaimniecības pārtikas, zvejniecības un akv</w:t>
      </w:r>
      <w:r>
        <w:rPr>
          <w:noProof/>
        </w:rPr>
        <w:t>akultūras, mežsaimniecības, puķkopības un stādaudzētavu nozarē</w:t>
      </w:r>
    </w:p>
    <w:p w14:paraId="155D6D54" w14:textId="0A55B96B" w:rsidR="00C972CB" w:rsidRDefault="002457F6">
      <w:pPr>
        <w:spacing w:after="120"/>
        <w:jc w:val="both"/>
        <w:rPr>
          <w:noProof/>
        </w:rPr>
      </w:pPr>
      <w:r>
        <w:rPr>
          <w:noProof/>
        </w:rPr>
        <w:t>Šis pasākums ietver publiskas investīcijas mehānismā Fondo Rotativo Contratti di Filiera (FCF), lai stimulētu privātās investīcijas un uzlabotu piekļuvi finansējumam Itālijas lauksaimniecības p</w:t>
      </w:r>
      <w:r>
        <w:rPr>
          <w:noProof/>
        </w:rPr>
        <w:t>ārtikas, zvejniecības un akvakultūras, mežsaimniecības, puķkopības un stādaudzētavu nozarēs. Mehānisms darbojas, piešķirot dotācijas un subsidētus aizdevumus tieši ar ISMEA (Istituto di Servizi per il Mercato Agricolo Alimentare) starpniecību. Mehānisma su</w:t>
      </w:r>
      <w:r>
        <w:rPr>
          <w:noProof/>
        </w:rPr>
        <w:t xml:space="preserve">mma ir 2 miljardi EUR, ieskaitot maksas, kas jāmaksā ISMEA. </w:t>
      </w:r>
    </w:p>
    <w:p w14:paraId="3C37E1CB" w14:textId="2DE16382" w:rsidR="00C972CB" w:rsidRDefault="002457F6">
      <w:pPr>
        <w:spacing w:after="120"/>
        <w:jc w:val="both"/>
        <w:rPr>
          <w:noProof/>
        </w:rPr>
      </w:pPr>
      <w:r>
        <w:rPr>
          <w:noProof/>
        </w:rPr>
        <w:t>Mehānismu pārvalda ISMEA kā īstenošanas partneris. Fonds ietver šādas produktu pozīcijas:</w:t>
      </w:r>
    </w:p>
    <w:p w14:paraId="176B1E33" w14:textId="186CCCC3" w:rsidR="00C972CB" w:rsidRDefault="002457F6">
      <w:pPr>
        <w:pStyle w:val="ListParagraph"/>
        <w:numPr>
          <w:ilvl w:val="0"/>
          <w:numId w:val="104"/>
        </w:numPr>
        <w:spacing w:before="0"/>
        <w:contextualSpacing w:val="0"/>
        <w:rPr>
          <w:noProof/>
        </w:rPr>
      </w:pPr>
      <w:r>
        <w:rPr>
          <w:noProof/>
        </w:rPr>
        <w:t>Atbalstīt uzņēmumus, uzņēmumu grupas vai lauksaimniecības produktu ražotāju apvienības, kā arī pētniecība</w:t>
      </w:r>
      <w:r>
        <w:rPr>
          <w:noProof/>
        </w:rPr>
        <w:t>s un zināšanu izplatīšanas organizācijas lauksaimniecības pārtikas, zvejniecības un akvakultūras, mežsaimniecības, puķkopības un stādaudzētavu nozarēs, uzlabojot ražošanas procesus, iekļaujot šādu darbību kombināciju:</w:t>
      </w:r>
    </w:p>
    <w:p w14:paraId="3AA98B61" w14:textId="56CED051" w:rsidR="00C972CB" w:rsidRDefault="002457F6">
      <w:pPr>
        <w:pStyle w:val="ListParagraph"/>
        <w:numPr>
          <w:ilvl w:val="1"/>
          <w:numId w:val="104"/>
        </w:numPr>
        <w:spacing w:before="0"/>
        <w:contextualSpacing w:val="0"/>
        <w:rPr>
          <w:noProof/>
        </w:rPr>
      </w:pPr>
      <w:r>
        <w:rPr>
          <w:noProof/>
        </w:rPr>
        <w:t>Uzlabot ražošanas procesu vidisko ilgt</w:t>
      </w:r>
      <w:r>
        <w:rPr>
          <w:noProof/>
        </w:rPr>
        <w:t>spēju, ieguldot materiālos un nemateriālos aktīvos, lai būtiski palielinātu mērķtiecīgu ražošanas procesu enerģijas, ūdens un resursu patēriņa efektivitāti;</w:t>
      </w:r>
    </w:p>
    <w:p w14:paraId="1BEC3F9A" w14:textId="3044803B" w:rsidR="00C972CB" w:rsidRDefault="002457F6">
      <w:pPr>
        <w:pStyle w:val="ListParagraph"/>
        <w:numPr>
          <w:ilvl w:val="1"/>
          <w:numId w:val="104"/>
        </w:numPr>
        <w:spacing w:before="0"/>
        <w:contextualSpacing w:val="0"/>
        <w:rPr>
          <w:noProof/>
        </w:rPr>
      </w:pPr>
      <w:r>
        <w:rPr>
          <w:noProof/>
        </w:rPr>
        <w:t>Investīcijas zināšanās, apmācībā, pētniecībā un inovācijā, tehnoloģiju nodošanas un attīstības proj</w:t>
      </w:r>
      <w:r>
        <w:rPr>
          <w:noProof/>
        </w:rPr>
        <w:t xml:space="preserve">ektos, kas var arī atbalstīt dažādu piegādes ķēdes dalībnieku attiecību reorganizāciju, lai uzlabotu ražošanas procesu ilgtspēju; </w:t>
      </w:r>
    </w:p>
    <w:p w14:paraId="60F395CF" w14:textId="77777777" w:rsidR="00C972CB" w:rsidRDefault="002457F6">
      <w:pPr>
        <w:pStyle w:val="ListParagraph"/>
        <w:numPr>
          <w:ilvl w:val="1"/>
          <w:numId w:val="104"/>
        </w:numPr>
        <w:spacing w:before="0"/>
        <w:contextualSpacing w:val="0"/>
        <w:rPr>
          <w:noProof/>
        </w:rPr>
      </w:pPr>
      <w:r>
        <w:rPr>
          <w:noProof/>
        </w:rPr>
        <w:t>Investīcijas uzņēmumu digitalizācijā, tostarp e-komercijā un jaunās tehnoloģijās;</w:t>
      </w:r>
    </w:p>
    <w:p w14:paraId="46DDFE04" w14:textId="673F151B" w:rsidR="00C972CB" w:rsidRDefault="002457F6">
      <w:pPr>
        <w:pStyle w:val="ListParagraph"/>
        <w:numPr>
          <w:ilvl w:val="1"/>
          <w:numId w:val="104"/>
        </w:numPr>
        <w:spacing w:before="0"/>
        <w:contextualSpacing w:val="0"/>
        <w:rPr>
          <w:noProof/>
        </w:rPr>
      </w:pPr>
      <w:r>
        <w:rPr>
          <w:noProof/>
        </w:rPr>
        <w:t xml:space="preserve">Fotoelementu un saules enerģijas paneļu </w:t>
      </w:r>
      <w:r>
        <w:rPr>
          <w:noProof/>
        </w:rPr>
        <w:t>uzstādīšana</w:t>
      </w:r>
    </w:p>
    <w:p w14:paraId="112CEB86" w14:textId="7A19AA03" w:rsidR="00C972CB" w:rsidRDefault="002457F6">
      <w:pPr>
        <w:spacing w:before="120" w:after="120"/>
        <w:jc w:val="both"/>
        <w:rPr>
          <w:noProof/>
        </w:rPr>
      </w:pPr>
      <w:r>
        <w:rPr>
          <w:noProof/>
        </w:rPr>
        <w:t xml:space="preserve">Pasākuma mērķis ir samazināt siltumnīcefekta gāzu emisijas, pārtikas izšķērdēšanu un pesticīdu un antimikrobiālo līdzekļu izmantošanu, uzlabot energoefektivitāti un palielināt atjaunojamās enerģijas ražošanu un izmantošanu.  </w:t>
      </w:r>
    </w:p>
    <w:p w14:paraId="51F59298" w14:textId="3A4D9039" w:rsidR="00C972CB" w:rsidRDefault="002457F6">
      <w:pPr>
        <w:spacing w:after="120"/>
        <w:jc w:val="both"/>
        <w:rPr>
          <w:noProof/>
        </w:rPr>
      </w:pPr>
      <w:r>
        <w:rPr>
          <w:noProof/>
        </w:rPr>
        <w:t>Lai īstenotu iegul</w:t>
      </w:r>
      <w:r>
        <w:rPr>
          <w:noProof/>
        </w:rPr>
        <w:t>dījumu mehānismā, ministrija un ISMEA paraksta īstenošanas nolīgumu, kurā iekļauj šādu saturu:</w:t>
      </w:r>
    </w:p>
    <w:p w14:paraId="5505B4F3" w14:textId="38FADE8D" w:rsidR="00C972CB" w:rsidRDefault="002457F6">
      <w:pPr>
        <w:pStyle w:val="ListParagraph"/>
        <w:numPr>
          <w:ilvl w:val="0"/>
          <w:numId w:val="103"/>
        </w:numPr>
        <w:spacing w:before="0"/>
        <w:contextualSpacing w:val="0"/>
        <w:rPr>
          <w:noProof/>
        </w:rPr>
      </w:pPr>
      <w:r>
        <w:rPr>
          <w:noProof/>
        </w:rPr>
        <w:t>Mehānisma lēmumu pieņemšanas procesa apraksts: Fonda galīgo lēmumu par ieguldījumiem pieņem ieguldījumu komiteja vai cita attiecīga līdzvērtīga pārvaldes struktū</w:t>
      </w:r>
      <w:r>
        <w:rPr>
          <w:noProof/>
        </w:rPr>
        <w:t>ra, un to apstiprina ar to locekļu balsu vairākumu, kuri ir neatkarīgi no valdības.</w:t>
      </w:r>
    </w:p>
    <w:p w14:paraId="56FBB60D" w14:textId="77777777" w:rsidR="00C972CB" w:rsidRDefault="002457F6">
      <w:pPr>
        <w:pStyle w:val="ListParagraph"/>
        <w:numPr>
          <w:ilvl w:val="0"/>
          <w:numId w:val="103"/>
        </w:numPr>
        <w:spacing w:before="0"/>
        <w:contextualSpacing w:val="0"/>
        <w:rPr>
          <w:noProof/>
        </w:rPr>
      </w:pPr>
      <w:r>
        <w:rPr>
          <w:noProof/>
        </w:rPr>
        <w:t>Saistītās ieguldījumu politikas galvenās prasības, kas ietver:</w:t>
      </w:r>
    </w:p>
    <w:p w14:paraId="11840085" w14:textId="77777777" w:rsidR="00C972CB" w:rsidRDefault="002457F6">
      <w:pPr>
        <w:pStyle w:val="ListParagraph"/>
        <w:numPr>
          <w:ilvl w:val="1"/>
          <w:numId w:val="103"/>
        </w:numPr>
        <w:spacing w:before="0"/>
        <w:contextualSpacing w:val="0"/>
        <w:rPr>
          <w:noProof/>
        </w:rPr>
      </w:pPr>
      <w:r>
        <w:rPr>
          <w:noProof/>
        </w:rPr>
        <w:t>Finanšu produkta(-u) un atbalsttiesīgo galasaņēmēju apraksts.</w:t>
      </w:r>
    </w:p>
    <w:p w14:paraId="1014A218" w14:textId="77777777" w:rsidR="00C972CB" w:rsidRDefault="002457F6">
      <w:pPr>
        <w:pStyle w:val="ListParagraph"/>
        <w:numPr>
          <w:ilvl w:val="1"/>
          <w:numId w:val="103"/>
        </w:numPr>
        <w:spacing w:before="0"/>
        <w:contextualSpacing w:val="0"/>
        <w:rPr>
          <w:noProof/>
        </w:rPr>
      </w:pPr>
      <w:r>
        <w:rPr>
          <w:noProof/>
        </w:rPr>
        <w:t xml:space="preserve">Prasība, lai visi atbalstītie ieguldījumi būtu </w:t>
      </w:r>
      <w:r>
        <w:rPr>
          <w:noProof/>
        </w:rPr>
        <w:t>ekonomiski dzīvotspējīgi.</w:t>
      </w:r>
    </w:p>
    <w:p w14:paraId="029B39E8" w14:textId="147D4605" w:rsidR="00C972CB" w:rsidRDefault="002457F6">
      <w:pPr>
        <w:pStyle w:val="ListParagraph"/>
        <w:numPr>
          <w:ilvl w:val="1"/>
          <w:numId w:val="103"/>
        </w:numPr>
        <w:spacing w:before="0"/>
        <w:contextualSpacing w:val="0"/>
        <w:rPr>
          <w:noProof/>
        </w:rPr>
      </w:pPr>
      <w:r>
        <w:rPr>
          <w:noProof/>
        </w:rPr>
        <w:t>Prasība ievērot principu “nenodari būtisku kaitējumu” (DNSH), kā noteikts NBK tehniskajās norādēs (2021/C58/01). Ieguldījumu politika jo īpaši izslēdz no atbilstības šādu darbību un aktīvu sarakstu: darbības un aktīvi, kas saistīt</w:t>
      </w:r>
      <w:r>
        <w:rPr>
          <w:noProof/>
        </w:rPr>
        <w:t>i ar fosilajiem kurināmajiem un fosilajiem kurināmajiem, tostarp lejupējo izmantošanu</w:t>
      </w:r>
      <w:r>
        <w:rPr>
          <w:rStyle w:val="FootnoteReference"/>
          <w:noProof/>
        </w:rPr>
        <w:footnoteReference w:id="43"/>
      </w:r>
      <w:r>
        <w:rPr>
          <w:noProof/>
        </w:rPr>
        <w:t xml:space="preserve">, ii) darbības un aktīvi saskaņā ar ES emisijas kvotu tirdzniecības sistēmu (ETS), sasniedzot prognozētās siltumnīcefekta gāzu emisijas, kas nav zemākas par attiecīgajām </w:t>
      </w:r>
      <w:r>
        <w:rPr>
          <w:noProof/>
        </w:rPr>
        <w:t>līmeņatzīmēm</w:t>
      </w:r>
      <w:r>
        <w:rPr>
          <w:rStyle w:val="FootnoteReference"/>
          <w:noProof/>
        </w:rPr>
        <w:footnoteReference w:id="44"/>
      </w:r>
      <w:r>
        <w:rPr>
          <w:noProof/>
        </w:rPr>
        <w:t>, iii) darbības un aktīvi, kas saistīti ar atkritumu poligoniem, sadedzināšanas iekārtām</w:t>
      </w:r>
      <w:r>
        <w:rPr>
          <w:rStyle w:val="FootnoteReference"/>
          <w:noProof/>
        </w:rPr>
        <w:footnoteReference w:id="45"/>
      </w:r>
      <w:r>
        <w:rPr>
          <w:noProof/>
        </w:rPr>
        <w:t xml:space="preserve"> un mehāniski bioloģiskās apstrādes iekārtām</w:t>
      </w:r>
      <w:r>
        <w:rPr>
          <w:rStyle w:val="FootnoteReference"/>
          <w:noProof/>
        </w:rPr>
        <w:footnoteReference w:id="46"/>
      </w:r>
      <w:r>
        <w:rPr>
          <w:noProof/>
        </w:rPr>
        <w:t xml:space="preserve">. </w:t>
      </w:r>
    </w:p>
    <w:p w14:paraId="18091BD3" w14:textId="77777777" w:rsidR="00C972CB" w:rsidRDefault="002457F6">
      <w:pPr>
        <w:pStyle w:val="ListParagraph"/>
        <w:numPr>
          <w:ilvl w:val="1"/>
          <w:numId w:val="103"/>
        </w:numPr>
        <w:spacing w:before="0"/>
        <w:contextualSpacing w:val="0"/>
        <w:rPr>
          <w:noProof/>
        </w:rPr>
      </w:pPr>
      <w:r>
        <w:rPr>
          <w:noProof/>
        </w:rPr>
        <w:t>Prasība, ka Fonda galasaņēmēji nesaņem atbalstu no citiem Savienības instrumentiem, lai segtu tās pašas iz</w:t>
      </w:r>
      <w:r>
        <w:rPr>
          <w:noProof/>
        </w:rPr>
        <w:t>maksas.</w:t>
      </w:r>
    </w:p>
    <w:p w14:paraId="307D3D61" w14:textId="1E4100D3" w:rsidR="00C972CB" w:rsidRDefault="002457F6">
      <w:pPr>
        <w:pStyle w:val="ListParagraph"/>
        <w:numPr>
          <w:ilvl w:val="0"/>
          <w:numId w:val="103"/>
        </w:numPr>
        <w:spacing w:before="0"/>
        <w:contextualSpacing w:val="0"/>
        <w:rPr>
          <w:noProof/>
        </w:rPr>
      </w:pPr>
      <w:r>
        <w:rPr>
          <w:noProof/>
        </w:rPr>
        <w:t>Summa, uz kuru attiecas īstenošanas nolīgums, īstenošanas partnera maksu struktūra un prasība atkārtoti ieguldīt visas atmaksājamās summas saskaņā ar Mehānisma ieguldījumu politiku.</w:t>
      </w:r>
    </w:p>
    <w:p w14:paraId="4FA886E8" w14:textId="77777777" w:rsidR="00C972CB" w:rsidRDefault="002457F6">
      <w:pPr>
        <w:pStyle w:val="ListParagraph"/>
        <w:numPr>
          <w:ilvl w:val="0"/>
          <w:numId w:val="103"/>
        </w:numPr>
        <w:spacing w:before="0"/>
        <w:contextualSpacing w:val="0"/>
        <w:rPr>
          <w:noProof/>
        </w:rPr>
      </w:pPr>
      <w:r>
        <w:rPr>
          <w:noProof/>
        </w:rPr>
        <w:t>Uzraudzības, revīzijas un kontroles prasības, tostarp:</w:t>
      </w:r>
    </w:p>
    <w:p w14:paraId="0F4C55DD" w14:textId="77777777" w:rsidR="00C972CB" w:rsidRDefault="002457F6">
      <w:pPr>
        <w:pStyle w:val="ListParagraph"/>
        <w:numPr>
          <w:ilvl w:val="1"/>
          <w:numId w:val="103"/>
        </w:numPr>
        <w:spacing w:before="0"/>
        <w:contextualSpacing w:val="0"/>
        <w:rPr>
          <w:noProof/>
        </w:rPr>
      </w:pPr>
      <w:r>
        <w:rPr>
          <w:noProof/>
        </w:rPr>
        <w:t>Īstenošanas</w:t>
      </w:r>
      <w:r>
        <w:rPr>
          <w:noProof/>
        </w:rPr>
        <w:t xml:space="preserve"> partnera uzraudzības sistēmas apraksts ziņošanai par mobilizētajām investīcijām.</w:t>
      </w:r>
    </w:p>
    <w:p w14:paraId="7E86C21E" w14:textId="03E644F4" w:rsidR="00C972CB" w:rsidRDefault="002457F6">
      <w:pPr>
        <w:pStyle w:val="ListParagraph"/>
        <w:numPr>
          <w:ilvl w:val="1"/>
          <w:numId w:val="103"/>
        </w:numPr>
        <w:spacing w:before="0"/>
        <w:contextualSpacing w:val="0"/>
        <w:rPr>
          <w:noProof/>
        </w:rPr>
      </w:pPr>
      <w:r>
        <w:rPr>
          <w:noProof/>
        </w:rPr>
        <w:t xml:space="preserve">Īstenošanas partnera procedūru aprakstu, kas nodrošina krāpšanas, korupcijas un interešu konfliktu novēršanu, atklāšanu un labošanu. </w:t>
      </w:r>
    </w:p>
    <w:p w14:paraId="12D1FA01" w14:textId="77777777" w:rsidR="00C972CB" w:rsidRDefault="002457F6">
      <w:pPr>
        <w:pStyle w:val="ListParagraph"/>
        <w:numPr>
          <w:ilvl w:val="1"/>
          <w:numId w:val="103"/>
        </w:numPr>
        <w:spacing w:before="0"/>
        <w:contextualSpacing w:val="0"/>
        <w:rPr>
          <w:noProof/>
        </w:rPr>
      </w:pPr>
      <w:r>
        <w:rPr>
          <w:noProof/>
        </w:rPr>
        <w:t>Pienākums pārbaudīt katras darbības atti</w:t>
      </w:r>
      <w:r>
        <w:rPr>
          <w:noProof/>
        </w:rPr>
        <w:t>ecināmību saskaņā ar Īstenošanas nolīgumā noteiktajām prasībām pirms apņemšanās finansēt kādu darbību.</w:t>
      </w:r>
    </w:p>
    <w:p w14:paraId="1C70AAA5" w14:textId="7CBB8E1E" w:rsidR="00C972CB" w:rsidRDefault="002457F6">
      <w:pPr>
        <w:pStyle w:val="ListParagraph"/>
        <w:numPr>
          <w:ilvl w:val="1"/>
          <w:numId w:val="103"/>
        </w:numPr>
        <w:spacing w:before="0"/>
        <w:contextualSpacing w:val="0"/>
        <w:rPr>
          <w:noProof/>
        </w:rPr>
      </w:pPr>
      <w:r>
        <w:rPr>
          <w:noProof/>
        </w:rPr>
        <w:t>Pienākums veikt uz risku balstītas ex post revīzijas saskaņā ar ISMEA revīzijas plānu. Šajās revīzijās pārbauda i) kontroles sistēmu efektivitāti, tostar</w:t>
      </w:r>
      <w:r>
        <w:rPr>
          <w:noProof/>
        </w:rPr>
        <w:t>p krāpšanas, korupcijas un interešu konflikta atklāšanu; atbilstība NBK principam, valsts atbalsta noteikumiem, klimata un digitālās marķēšanas prasībām saskaņā ar ANM regulas VI pielikumu un ANM regulas VII pielikumu; un iii) tiek ievērota prasība, ka fon</w:t>
      </w:r>
      <w:r>
        <w:rPr>
          <w:noProof/>
        </w:rPr>
        <w:t xml:space="preserve">da galīgie saņēmēji nav saņēmuši atbalstu no citiem Savienības instrumentiem, lai segtu tās pašas izmaksas. Revīzijās pārbauda arī darījumu likumību un to, vai tiek ievēroti piemērojamā īstenošanas nolīguma un finansēšanas nolīgumu nosacījumi. </w:t>
      </w:r>
    </w:p>
    <w:p w14:paraId="266D99D6" w14:textId="4AD440F2" w:rsidR="00C972CB" w:rsidRDefault="002457F6">
      <w:pPr>
        <w:pStyle w:val="ListParagraph"/>
        <w:numPr>
          <w:ilvl w:val="0"/>
          <w:numId w:val="103"/>
        </w:numPr>
        <w:spacing w:before="0"/>
        <w:contextualSpacing w:val="0"/>
        <w:rPr>
          <w:noProof/>
        </w:rPr>
      </w:pPr>
      <w:r>
        <w:rPr>
          <w:noProof/>
        </w:rPr>
        <w:t>Prasības at</w:t>
      </w:r>
      <w:r>
        <w:rPr>
          <w:noProof/>
        </w:rPr>
        <w:t>tiecībā uz īstenošanas partnera veiktajām investīcijām klimata jomā: vismaz 924</w:t>
      </w:r>
      <w:r>
        <w:rPr>
          <w:noProof/>
          <w:color w:val="006100"/>
          <w:sz w:val="20"/>
        </w:rPr>
        <w:t xml:space="preserve"> </w:t>
      </w:r>
      <w:r>
        <w:rPr>
          <w:noProof/>
        </w:rPr>
        <w:t>000</w:t>
      </w:r>
      <w:r>
        <w:rPr>
          <w:noProof/>
          <w:color w:val="006100"/>
          <w:sz w:val="20"/>
        </w:rPr>
        <w:t xml:space="preserve"> </w:t>
      </w:r>
      <w:r>
        <w:rPr>
          <w:noProof/>
        </w:rPr>
        <w:t>000,00 EUR no ANM investīcijām fondā veicina klimata pārmaiņu mērķu sasniegšanu saskaņā ar ANM regulas VI pielikumu.</w:t>
      </w:r>
      <w:r>
        <w:rPr>
          <w:rStyle w:val="FootnoteReference"/>
          <w:noProof/>
        </w:rPr>
        <w:footnoteReference w:id="47"/>
      </w:r>
    </w:p>
    <w:p w14:paraId="628AF46B" w14:textId="5EA986BD" w:rsidR="00C972CB" w:rsidRDefault="002457F6">
      <w:pPr>
        <w:spacing w:after="120"/>
        <w:jc w:val="both"/>
        <w:rPr>
          <w:rFonts w:eastAsiaTheme="minorEastAsia"/>
          <w:noProof/>
        </w:rPr>
      </w:pPr>
      <w:r>
        <w:rPr>
          <w:noProof/>
        </w:rPr>
        <w:t>Pasākuma īstenošanu pabeidz, līdz 2026. gada 31. augus</w:t>
      </w:r>
      <w:r>
        <w:rPr>
          <w:noProof/>
        </w:rPr>
        <w:t xml:space="preserve">tam pārceļot kopējo resursu summu uz ISMEA fondam. </w:t>
      </w:r>
    </w:p>
    <w:p w14:paraId="07CF8DD5" w14:textId="77777777" w:rsidR="00C972CB" w:rsidRDefault="002457F6">
      <w:pPr>
        <w:pStyle w:val="Heading3"/>
        <w:numPr>
          <w:ilvl w:val="0"/>
          <w:numId w:val="0"/>
        </w:numPr>
        <w:ind w:left="850" w:hanging="850"/>
        <w:rPr>
          <w:b/>
          <w:i w:val="0"/>
          <w:noProof/>
          <w:u w:val="single"/>
        </w:rPr>
      </w:pPr>
      <w:r>
        <w:rPr>
          <w:b/>
          <w:i w:val="0"/>
          <w:noProof/>
          <w:u w:val="single"/>
        </w:rPr>
        <w:t xml:space="preserve">D.4. </w:t>
      </w:r>
      <w:r>
        <w:rPr>
          <w:noProof/>
        </w:rPr>
        <w:tab/>
      </w:r>
      <w:r>
        <w:rPr>
          <w:b/>
          <w:i w:val="0"/>
          <w:noProof/>
          <w:u w:val="single"/>
        </w:rPr>
        <w:t xml:space="preserve">Atskaites punkti, mērķrādītāji, citi rādītāji un aizdevuma uzraudzības un īstenošanas grafiks </w:t>
      </w:r>
    </w:p>
    <w:p w14:paraId="4080D981" w14:textId="77777777" w:rsidR="00C972CB" w:rsidRDefault="00C972CB">
      <w:pPr>
        <w:spacing w:before="120" w:after="120"/>
        <w:ind w:left="709"/>
        <w:contextualSpacing/>
        <w:jc w:val="both"/>
        <w:rPr>
          <w:noProof/>
        </w:rPr>
      </w:pPr>
    </w:p>
    <w:p w14:paraId="2A24FB63" w14:textId="77777777" w:rsidR="00C972CB" w:rsidRDefault="00C972CB">
      <w:pPr>
        <w:spacing w:before="120" w:after="120"/>
        <w:ind w:left="709"/>
        <w:contextualSpacing/>
        <w:jc w:val="both"/>
        <w:rPr>
          <w:noProof/>
        </w:rPr>
        <w:sectPr w:rsidR="00C972CB" w:rsidSect="001354D1">
          <w:headerReference w:type="even" r:id="rId104"/>
          <w:headerReference w:type="default" r:id="rId105"/>
          <w:footerReference w:type="even" r:id="rId106"/>
          <w:footerReference w:type="default" r:id="rId107"/>
          <w:headerReference w:type="first" r:id="rId108"/>
          <w:footerReference w:type="first" r:id="rId109"/>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98"/>
        <w:gridCol w:w="1185"/>
        <w:gridCol w:w="1732"/>
        <w:gridCol w:w="1603"/>
        <w:gridCol w:w="1275"/>
        <w:gridCol w:w="993"/>
        <w:gridCol w:w="1162"/>
        <w:gridCol w:w="963"/>
        <w:gridCol w:w="710"/>
        <w:gridCol w:w="3174"/>
      </w:tblGrid>
      <w:tr w:rsidR="00C972CB" w14:paraId="33D25ACC" w14:textId="77777777">
        <w:trPr>
          <w:trHeight w:val="939"/>
          <w:tblHeader/>
          <w:jc w:val="center"/>
        </w:trPr>
        <w:tc>
          <w:tcPr>
            <w:tcW w:w="1220" w:type="dxa"/>
            <w:vMerge w:val="restart"/>
            <w:shd w:val="clear" w:color="auto" w:fill="BDD7EE"/>
            <w:vAlign w:val="center"/>
            <w:hideMark/>
          </w:tcPr>
          <w:p w14:paraId="67CCD06A" w14:textId="086A065C" w:rsidR="00C972CB" w:rsidRDefault="002457F6">
            <w:pPr>
              <w:pStyle w:val="P68B1DB1-Normal9"/>
              <w:jc w:val="center"/>
              <w:rPr>
                <w:noProof/>
              </w:rPr>
            </w:pPr>
            <w:r>
              <w:rPr>
                <w:noProof/>
              </w:rPr>
              <w:t>Kārtas numurs</w:t>
            </w:r>
          </w:p>
        </w:tc>
        <w:tc>
          <w:tcPr>
            <w:tcW w:w="1598" w:type="dxa"/>
            <w:vMerge w:val="restart"/>
            <w:shd w:val="clear" w:color="auto" w:fill="BDD7EE"/>
            <w:vAlign w:val="center"/>
            <w:hideMark/>
          </w:tcPr>
          <w:p w14:paraId="37646F57" w14:textId="77777777" w:rsidR="00C972CB" w:rsidRDefault="002457F6">
            <w:pPr>
              <w:pStyle w:val="P68B1DB1-Normal9"/>
              <w:jc w:val="center"/>
              <w:rPr>
                <w:noProof/>
              </w:rPr>
            </w:pPr>
            <w:r>
              <w:rPr>
                <w:noProof/>
              </w:rPr>
              <w:t xml:space="preserve">Pasākums (reforma vai </w:t>
            </w:r>
            <w:r>
              <w:rPr>
                <w:noProof/>
              </w:rPr>
              <w:t>investīcija)</w:t>
            </w:r>
          </w:p>
        </w:tc>
        <w:tc>
          <w:tcPr>
            <w:tcW w:w="1185" w:type="dxa"/>
            <w:vMerge w:val="restart"/>
            <w:shd w:val="clear" w:color="auto" w:fill="BDD7EE"/>
            <w:vAlign w:val="center"/>
            <w:hideMark/>
          </w:tcPr>
          <w:p w14:paraId="2310279C" w14:textId="77777777" w:rsidR="00C972CB" w:rsidRDefault="002457F6">
            <w:pPr>
              <w:pStyle w:val="P68B1DB1-Normal9"/>
              <w:jc w:val="center"/>
              <w:rPr>
                <w:noProof/>
              </w:rPr>
            </w:pPr>
            <w:r>
              <w:rPr>
                <w:noProof/>
              </w:rPr>
              <w:t>Atskaites punkts/mērķrādītājs</w:t>
            </w:r>
          </w:p>
        </w:tc>
        <w:tc>
          <w:tcPr>
            <w:tcW w:w="1732" w:type="dxa"/>
            <w:vMerge w:val="restart"/>
            <w:shd w:val="clear" w:color="auto" w:fill="BDD7EE"/>
            <w:vAlign w:val="center"/>
            <w:hideMark/>
          </w:tcPr>
          <w:p w14:paraId="3DCC5EB1" w14:textId="77777777" w:rsidR="00C972CB" w:rsidRDefault="002457F6">
            <w:pPr>
              <w:pStyle w:val="P68B1DB1-Normal9"/>
              <w:jc w:val="center"/>
              <w:rPr>
                <w:noProof/>
              </w:rPr>
            </w:pPr>
            <w:r>
              <w:rPr>
                <w:noProof/>
              </w:rPr>
              <w:t>Uzvārds</w:t>
            </w:r>
          </w:p>
        </w:tc>
        <w:tc>
          <w:tcPr>
            <w:tcW w:w="1603" w:type="dxa"/>
            <w:vMerge w:val="restart"/>
            <w:shd w:val="clear" w:color="auto" w:fill="BDD7EE"/>
            <w:vAlign w:val="center"/>
            <w:hideMark/>
          </w:tcPr>
          <w:p w14:paraId="64599007"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430" w:type="dxa"/>
            <w:gridSpan w:val="3"/>
            <w:shd w:val="clear" w:color="auto" w:fill="BDD7EE"/>
            <w:vAlign w:val="center"/>
            <w:hideMark/>
          </w:tcPr>
          <w:p w14:paraId="5AF753AD"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673" w:type="dxa"/>
            <w:gridSpan w:val="2"/>
            <w:shd w:val="clear" w:color="auto" w:fill="BDD7EE"/>
            <w:vAlign w:val="center"/>
            <w:hideMark/>
          </w:tcPr>
          <w:p w14:paraId="5D520CB5" w14:textId="77777777" w:rsidR="00C972CB" w:rsidRDefault="002457F6">
            <w:pPr>
              <w:pStyle w:val="P68B1DB1-Normal9"/>
              <w:jc w:val="center"/>
              <w:rPr>
                <w:noProof/>
              </w:rPr>
            </w:pPr>
            <w:r>
              <w:rPr>
                <w:noProof/>
              </w:rPr>
              <w:t>Orientējošs pabeigšanas termiņš</w:t>
            </w:r>
          </w:p>
        </w:tc>
        <w:tc>
          <w:tcPr>
            <w:tcW w:w="3174" w:type="dxa"/>
            <w:vMerge w:val="restart"/>
            <w:shd w:val="clear" w:color="auto" w:fill="BDD7EE"/>
            <w:vAlign w:val="center"/>
            <w:hideMark/>
          </w:tcPr>
          <w:p w14:paraId="2FBE5512" w14:textId="77777777" w:rsidR="00C972CB" w:rsidRDefault="002457F6">
            <w:pPr>
              <w:pStyle w:val="P68B1DB1-Normal9"/>
              <w:jc w:val="center"/>
              <w:rPr>
                <w:noProof/>
              </w:rPr>
            </w:pPr>
            <w:r>
              <w:rPr>
                <w:noProof/>
              </w:rPr>
              <w:t>Apraksts par katru atskaites punktu un mērķrādītāju</w:t>
            </w:r>
          </w:p>
        </w:tc>
      </w:tr>
      <w:tr w:rsidR="00C972CB" w14:paraId="01AC8147" w14:textId="77777777">
        <w:trPr>
          <w:trHeight w:val="739"/>
          <w:tblHeader/>
          <w:jc w:val="center"/>
        </w:trPr>
        <w:tc>
          <w:tcPr>
            <w:tcW w:w="1220" w:type="dxa"/>
            <w:vMerge/>
            <w:vAlign w:val="center"/>
            <w:hideMark/>
          </w:tcPr>
          <w:p w14:paraId="27F213FC" w14:textId="77777777" w:rsidR="00C972CB" w:rsidRDefault="00C972CB">
            <w:pPr>
              <w:jc w:val="center"/>
              <w:rPr>
                <w:rFonts w:ascii="Arial Narrow" w:hAnsi="Arial Narrow"/>
                <w:b/>
                <w:noProof/>
                <w:sz w:val="20"/>
              </w:rPr>
            </w:pPr>
          </w:p>
        </w:tc>
        <w:tc>
          <w:tcPr>
            <w:tcW w:w="1598" w:type="dxa"/>
            <w:vMerge/>
            <w:vAlign w:val="center"/>
            <w:hideMark/>
          </w:tcPr>
          <w:p w14:paraId="0CF57627" w14:textId="77777777" w:rsidR="00C972CB" w:rsidRDefault="00C972CB">
            <w:pPr>
              <w:jc w:val="center"/>
              <w:rPr>
                <w:rFonts w:ascii="Arial Narrow" w:hAnsi="Arial Narrow"/>
                <w:b/>
                <w:noProof/>
                <w:sz w:val="20"/>
              </w:rPr>
            </w:pPr>
          </w:p>
        </w:tc>
        <w:tc>
          <w:tcPr>
            <w:tcW w:w="1185" w:type="dxa"/>
            <w:vMerge/>
            <w:vAlign w:val="center"/>
            <w:hideMark/>
          </w:tcPr>
          <w:p w14:paraId="3FC27435" w14:textId="77777777" w:rsidR="00C972CB" w:rsidRDefault="00C972CB">
            <w:pPr>
              <w:jc w:val="center"/>
              <w:rPr>
                <w:rFonts w:ascii="Arial Narrow" w:hAnsi="Arial Narrow"/>
                <w:b/>
                <w:noProof/>
                <w:sz w:val="20"/>
              </w:rPr>
            </w:pPr>
          </w:p>
        </w:tc>
        <w:tc>
          <w:tcPr>
            <w:tcW w:w="1732" w:type="dxa"/>
            <w:vMerge/>
            <w:vAlign w:val="center"/>
            <w:hideMark/>
          </w:tcPr>
          <w:p w14:paraId="21F0FE61" w14:textId="77777777" w:rsidR="00C972CB" w:rsidRDefault="00C972CB">
            <w:pPr>
              <w:jc w:val="center"/>
              <w:rPr>
                <w:rFonts w:ascii="Arial Narrow" w:hAnsi="Arial Narrow"/>
                <w:b/>
                <w:noProof/>
                <w:sz w:val="20"/>
              </w:rPr>
            </w:pPr>
          </w:p>
        </w:tc>
        <w:tc>
          <w:tcPr>
            <w:tcW w:w="1603" w:type="dxa"/>
            <w:vMerge/>
            <w:vAlign w:val="center"/>
            <w:hideMark/>
          </w:tcPr>
          <w:p w14:paraId="355BA302" w14:textId="77777777" w:rsidR="00C972CB" w:rsidRDefault="00C972CB">
            <w:pPr>
              <w:jc w:val="center"/>
              <w:rPr>
                <w:rFonts w:ascii="Arial Narrow" w:hAnsi="Arial Narrow"/>
                <w:b/>
                <w:noProof/>
                <w:sz w:val="20"/>
              </w:rPr>
            </w:pPr>
          </w:p>
        </w:tc>
        <w:tc>
          <w:tcPr>
            <w:tcW w:w="1275" w:type="dxa"/>
            <w:shd w:val="clear" w:color="auto" w:fill="BDD7EE"/>
            <w:vAlign w:val="center"/>
            <w:hideMark/>
          </w:tcPr>
          <w:p w14:paraId="1789606A" w14:textId="77777777" w:rsidR="00C972CB" w:rsidRDefault="002457F6">
            <w:pPr>
              <w:pStyle w:val="P68B1DB1-Normal9"/>
              <w:jc w:val="center"/>
              <w:rPr>
                <w:noProof/>
              </w:rPr>
            </w:pPr>
            <w:r>
              <w:rPr>
                <w:noProof/>
              </w:rPr>
              <w:t>Mēra vienība</w:t>
            </w:r>
          </w:p>
        </w:tc>
        <w:tc>
          <w:tcPr>
            <w:tcW w:w="993" w:type="dxa"/>
            <w:shd w:val="clear" w:color="auto" w:fill="BDD7EE"/>
            <w:vAlign w:val="center"/>
            <w:hideMark/>
          </w:tcPr>
          <w:p w14:paraId="0C449070" w14:textId="77777777" w:rsidR="00C972CB" w:rsidRDefault="002457F6">
            <w:pPr>
              <w:pStyle w:val="P68B1DB1-Normal9"/>
              <w:jc w:val="center"/>
              <w:rPr>
                <w:noProof/>
              </w:rPr>
            </w:pPr>
            <w:r>
              <w:rPr>
                <w:noProof/>
              </w:rPr>
              <w:t>Pamatscenārijs</w:t>
            </w:r>
          </w:p>
        </w:tc>
        <w:tc>
          <w:tcPr>
            <w:tcW w:w="1162" w:type="dxa"/>
            <w:shd w:val="clear" w:color="auto" w:fill="BDD7EE"/>
            <w:vAlign w:val="center"/>
            <w:hideMark/>
          </w:tcPr>
          <w:p w14:paraId="3D65C891" w14:textId="77777777" w:rsidR="00C972CB" w:rsidRDefault="002457F6">
            <w:pPr>
              <w:pStyle w:val="P68B1DB1-Normal9"/>
              <w:jc w:val="center"/>
              <w:rPr>
                <w:noProof/>
              </w:rPr>
            </w:pPr>
            <w:r>
              <w:rPr>
                <w:noProof/>
              </w:rPr>
              <w:t>Mērķis</w:t>
            </w:r>
          </w:p>
        </w:tc>
        <w:tc>
          <w:tcPr>
            <w:tcW w:w="963" w:type="dxa"/>
            <w:shd w:val="clear" w:color="auto" w:fill="BDD7EE"/>
            <w:vAlign w:val="center"/>
            <w:hideMark/>
          </w:tcPr>
          <w:p w14:paraId="04CC3F24" w14:textId="77777777" w:rsidR="00C972CB" w:rsidRDefault="002457F6">
            <w:pPr>
              <w:pStyle w:val="P68B1DB1-Normal9"/>
              <w:jc w:val="center"/>
              <w:rPr>
                <w:noProof/>
              </w:rPr>
            </w:pPr>
            <w:r>
              <w:rPr>
                <w:noProof/>
              </w:rPr>
              <w:t>Ceturtdaļa</w:t>
            </w:r>
          </w:p>
        </w:tc>
        <w:tc>
          <w:tcPr>
            <w:tcW w:w="710" w:type="dxa"/>
            <w:shd w:val="clear" w:color="auto" w:fill="BDD7EE"/>
            <w:vAlign w:val="center"/>
            <w:hideMark/>
          </w:tcPr>
          <w:p w14:paraId="2A9F011A" w14:textId="77777777" w:rsidR="00C972CB" w:rsidRDefault="002457F6">
            <w:pPr>
              <w:pStyle w:val="P68B1DB1-Normal9"/>
              <w:jc w:val="center"/>
              <w:rPr>
                <w:noProof/>
              </w:rPr>
            </w:pPr>
            <w:r>
              <w:rPr>
                <w:noProof/>
              </w:rPr>
              <w:t>Gadā</w:t>
            </w:r>
          </w:p>
        </w:tc>
        <w:tc>
          <w:tcPr>
            <w:tcW w:w="3174" w:type="dxa"/>
            <w:vMerge/>
            <w:vAlign w:val="center"/>
            <w:hideMark/>
          </w:tcPr>
          <w:p w14:paraId="30F9FEB0" w14:textId="77777777" w:rsidR="00C972CB" w:rsidRDefault="00C972CB">
            <w:pPr>
              <w:rPr>
                <w:rFonts w:ascii="Arial Narrow" w:hAnsi="Arial Narrow"/>
                <w:b/>
                <w:noProof/>
                <w:sz w:val="20"/>
              </w:rPr>
            </w:pPr>
          </w:p>
        </w:tc>
      </w:tr>
      <w:tr w:rsidR="00C972CB" w14:paraId="109DC8C8" w14:textId="77777777">
        <w:trPr>
          <w:trHeight w:val="313"/>
          <w:jc w:val="center"/>
        </w:trPr>
        <w:tc>
          <w:tcPr>
            <w:tcW w:w="1220" w:type="dxa"/>
            <w:shd w:val="clear" w:color="auto" w:fill="C6EFCE"/>
            <w:noWrap/>
            <w:vAlign w:val="center"/>
          </w:tcPr>
          <w:p w14:paraId="51E84461" w14:textId="77777777" w:rsidR="00C972CB" w:rsidRDefault="002457F6">
            <w:pPr>
              <w:pStyle w:val="P68B1DB1-Normal11"/>
              <w:spacing w:line="276" w:lineRule="auto"/>
              <w:jc w:val="center"/>
              <w:rPr>
                <w:noProof/>
              </w:rPr>
            </w:pPr>
            <w:r>
              <w:rPr>
                <w:noProof/>
              </w:rPr>
              <w:t>M2C1–13</w:t>
            </w:r>
          </w:p>
        </w:tc>
        <w:tc>
          <w:tcPr>
            <w:tcW w:w="1598" w:type="dxa"/>
            <w:shd w:val="clear" w:color="auto" w:fill="C6EFCE"/>
            <w:noWrap/>
            <w:vAlign w:val="center"/>
          </w:tcPr>
          <w:p w14:paraId="569410EF" w14:textId="77777777" w:rsidR="00C972CB" w:rsidRDefault="002457F6">
            <w:pPr>
              <w:pStyle w:val="P68B1DB1-Normal11"/>
              <w:spacing w:line="276" w:lineRule="auto"/>
              <w:jc w:val="center"/>
              <w:rPr>
                <w:noProof/>
              </w:rPr>
            </w:pPr>
            <w:r>
              <w:rPr>
                <w:noProof/>
              </w:rPr>
              <w:t>Reforma — Valsts atkritumu apsaimniekošanas programma</w:t>
            </w:r>
          </w:p>
        </w:tc>
        <w:tc>
          <w:tcPr>
            <w:tcW w:w="1185" w:type="dxa"/>
            <w:shd w:val="clear" w:color="auto" w:fill="C6EFCE"/>
            <w:noWrap/>
            <w:vAlign w:val="center"/>
          </w:tcPr>
          <w:p w14:paraId="095A8D8D" w14:textId="77777777" w:rsidR="00C972CB" w:rsidRDefault="002457F6">
            <w:pPr>
              <w:pStyle w:val="P68B1DB1-Normal11"/>
              <w:spacing w:line="276" w:lineRule="auto"/>
              <w:jc w:val="center"/>
              <w:rPr>
                <w:noProof/>
              </w:rPr>
            </w:pPr>
            <w:r>
              <w:rPr>
                <w:noProof/>
              </w:rPr>
              <w:t>Starpposma mērķis</w:t>
            </w:r>
          </w:p>
        </w:tc>
        <w:tc>
          <w:tcPr>
            <w:tcW w:w="1732" w:type="dxa"/>
            <w:shd w:val="clear" w:color="auto" w:fill="C6EFCE"/>
            <w:noWrap/>
            <w:vAlign w:val="center"/>
          </w:tcPr>
          <w:p w14:paraId="71F4FCD6" w14:textId="77777777" w:rsidR="00C972CB" w:rsidRDefault="002457F6">
            <w:pPr>
              <w:pStyle w:val="P68B1DB1-Normal11"/>
              <w:spacing w:line="276" w:lineRule="auto"/>
              <w:jc w:val="center"/>
              <w:rPr>
                <w:noProof/>
              </w:rPr>
            </w:pPr>
            <w:r>
              <w:rPr>
                <w:noProof/>
              </w:rPr>
              <w:t>Stājas spēkā ministrijas dekrēts par valsts atkritumu apsaimniekošanas programmu</w:t>
            </w:r>
          </w:p>
        </w:tc>
        <w:tc>
          <w:tcPr>
            <w:tcW w:w="1603" w:type="dxa"/>
            <w:shd w:val="clear" w:color="auto" w:fill="C6EFCE"/>
            <w:noWrap/>
            <w:vAlign w:val="center"/>
          </w:tcPr>
          <w:p w14:paraId="5E949ACC" w14:textId="77777777" w:rsidR="00C972CB" w:rsidRDefault="002457F6">
            <w:pPr>
              <w:pStyle w:val="P68B1DB1-Normal11"/>
              <w:spacing w:line="276" w:lineRule="auto"/>
              <w:jc w:val="center"/>
              <w:rPr>
                <w:noProof/>
              </w:rPr>
            </w:pPr>
            <w:r>
              <w:rPr>
                <w:noProof/>
              </w:rPr>
              <w:t>Likuma norma, kas norāda uz stāšanos spēkā</w:t>
            </w:r>
          </w:p>
        </w:tc>
        <w:tc>
          <w:tcPr>
            <w:tcW w:w="1275" w:type="dxa"/>
            <w:shd w:val="clear" w:color="auto" w:fill="C6EFCE"/>
            <w:noWrap/>
            <w:vAlign w:val="center"/>
          </w:tcPr>
          <w:p w14:paraId="06036419"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4B23BA58"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34B0A2B4" w14:textId="77777777" w:rsidR="00C972CB" w:rsidRDefault="002457F6">
            <w:pPr>
              <w:pStyle w:val="P68B1DB1-Normal11"/>
              <w:spacing w:line="276" w:lineRule="auto"/>
              <w:jc w:val="center"/>
              <w:rPr>
                <w:noProof/>
              </w:rPr>
            </w:pPr>
            <w:r>
              <w:rPr>
                <w:noProof/>
              </w:rPr>
              <w:t>NEPIEMĒRO</w:t>
            </w:r>
          </w:p>
        </w:tc>
        <w:tc>
          <w:tcPr>
            <w:tcW w:w="963" w:type="dxa"/>
            <w:shd w:val="clear" w:color="auto" w:fill="C6EFCE"/>
            <w:noWrap/>
            <w:vAlign w:val="center"/>
          </w:tcPr>
          <w:p w14:paraId="775E99F8" w14:textId="77777777" w:rsidR="00C972CB" w:rsidRDefault="002457F6">
            <w:pPr>
              <w:pStyle w:val="P68B1DB1-Normal11"/>
              <w:spacing w:line="276" w:lineRule="auto"/>
              <w:jc w:val="center"/>
              <w:rPr>
                <w:noProof/>
              </w:rPr>
            </w:pPr>
            <w:r>
              <w:rPr>
                <w:noProof/>
              </w:rPr>
              <w:t>2. CET.</w:t>
            </w:r>
          </w:p>
        </w:tc>
        <w:tc>
          <w:tcPr>
            <w:tcW w:w="710" w:type="dxa"/>
            <w:shd w:val="clear" w:color="auto" w:fill="C6EFCE"/>
            <w:noWrap/>
            <w:vAlign w:val="center"/>
          </w:tcPr>
          <w:p w14:paraId="0345C359" w14:textId="77777777" w:rsidR="00C972CB" w:rsidRDefault="002457F6">
            <w:pPr>
              <w:pStyle w:val="P68B1DB1-Normal11"/>
              <w:spacing w:line="276" w:lineRule="auto"/>
              <w:rPr>
                <w:noProof/>
              </w:rPr>
            </w:pPr>
            <w:r>
              <w:rPr>
                <w:noProof/>
              </w:rPr>
              <w:t>2022</w:t>
            </w:r>
          </w:p>
        </w:tc>
        <w:tc>
          <w:tcPr>
            <w:tcW w:w="3174" w:type="dxa"/>
            <w:shd w:val="clear" w:color="auto" w:fill="C6EFCE"/>
            <w:noWrap/>
            <w:vAlign w:val="center"/>
          </w:tcPr>
          <w:p w14:paraId="2663D160" w14:textId="77777777" w:rsidR="00C972CB" w:rsidRDefault="002457F6">
            <w:pPr>
              <w:pStyle w:val="P68B1DB1-Normal11"/>
              <w:spacing w:before="120" w:after="120" w:line="276" w:lineRule="auto"/>
              <w:rPr>
                <w:noProof/>
              </w:rPr>
            </w:pPr>
            <w:r>
              <w:rPr>
                <w:noProof/>
              </w:rPr>
              <w:t>Ministrijas dekrētā par valsts atkritumu apsaimniekošanas programmu ir ietverti vismaz šādi mērķi:</w:t>
            </w:r>
          </w:p>
          <w:p w14:paraId="5E641183" w14:textId="77777777" w:rsidR="00C972CB" w:rsidRDefault="002457F6">
            <w:pPr>
              <w:pStyle w:val="P68B1DB1-Normal11"/>
              <w:spacing w:line="276" w:lineRule="auto"/>
              <w:rPr>
                <w:noProof/>
              </w:rPr>
            </w:pPr>
            <w:r>
              <w:rPr>
                <w:noProof/>
              </w:rPr>
              <w:t xml:space="preserve">sasniegt augstāko līmeni attiecībā uz atkritumu sagatavošanu atkārtotai izmantošanai, pārstrādi un reģenerāciju, sasniedzot </w:t>
            </w:r>
            <w:r>
              <w:rPr>
                <w:noProof/>
              </w:rPr>
              <w:t>vismaz Likumdošanas dekrēta Nr. 152/06 181. pantā noteiktos mērķus, kā arī ņemot vērā ražotāja paplašinātas atbildības shēmas;</w:t>
            </w:r>
          </w:p>
          <w:p w14:paraId="4000C3EE" w14:textId="77777777" w:rsidR="00C972CB" w:rsidRDefault="002457F6">
            <w:pPr>
              <w:pStyle w:val="P68B1DB1-Normal11"/>
              <w:numPr>
                <w:ilvl w:val="0"/>
                <w:numId w:val="59"/>
              </w:numPr>
              <w:spacing w:before="120" w:line="276" w:lineRule="auto"/>
              <w:ind w:left="244" w:hanging="357"/>
              <w:contextualSpacing/>
              <w:rPr>
                <w:noProof/>
              </w:rPr>
            </w:pPr>
            <w:r>
              <w:rPr>
                <w:noProof/>
              </w:rPr>
              <w:t>pielāgot integrētai atkritumu apsaimniekošanai nepieciešamo iekārtu tīklu, lai attīstītu aprites ekonomiku, nodrošinot vajadzīgās</w:t>
            </w:r>
            <w:r>
              <w:rPr>
                <w:noProof/>
              </w:rPr>
              <w:t xml:space="preserve"> spējas, lai sasniegtu a) apakšpunktā noteiktos mērķus un līdz ar to līdz minimumam samazinātu galīgo apglabāšanu kā galīgo un atlikušo iespēju saskaņā ar tuvuma principu un ņemot vērā novēršanas mērķus, kas noteikti Likumdošanas dekrēta 152/06 180. pantā </w:t>
            </w:r>
            <w:r>
              <w:rPr>
                <w:noProof/>
              </w:rPr>
              <w:t>paredzētajā valsts atkritumu rašanās novēršanas plānā;</w:t>
            </w:r>
          </w:p>
          <w:p w14:paraId="7869462B" w14:textId="77777777" w:rsidR="00C972CB" w:rsidRDefault="002457F6">
            <w:pPr>
              <w:pStyle w:val="P68B1DB1-Normal11"/>
              <w:numPr>
                <w:ilvl w:val="0"/>
                <w:numId w:val="59"/>
              </w:numPr>
              <w:spacing w:before="120" w:line="276" w:lineRule="auto"/>
              <w:ind w:left="244" w:hanging="357"/>
              <w:contextualSpacing/>
              <w:rPr>
                <w:noProof/>
              </w:rPr>
            </w:pPr>
            <w:r>
              <w:rPr>
                <w:noProof/>
              </w:rPr>
              <w:t>izveidot pienācīgu programmas īstenošanas uzraudzību, lai varētu pastāvīgi pārbaudīt atbilstību tās mērķiem un iespējamo nepieciešamību pieņemt koriģējošus instrumentus plānoto darbību īstenošanai;</w:t>
            </w:r>
          </w:p>
          <w:p w14:paraId="79B5CF1C" w14:textId="77777777" w:rsidR="00C972CB" w:rsidRDefault="002457F6">
            <w:pPr>
              <w:pStyle w:val="P68B1DB1-Normal11"/>
              <w:numPr>
                <w:ilvl w:val="0"/>
                <w:numId w:val="59"/>
              </w:numPr>
              <w:spacing w:before="120" w:line="276" w:lineRule="auto"/>
              <w:ind w:left="244" w:hanging="357"/>
              <w:contextualSpacing/>
              <w:rPr>
                <w:noProof/>
              </w:rPr>
            </w:pPr>
            <w:r>
              <w:rPr>
                <w:noProof/>
              </w:rPr>
              <w:t>nov</w:t>
            </w:r>
            <w:r>
              <w:rPr>
                <w:noProof/>
              </w:rPr>
              <w:t>ērst jaunu pienākumu neizpildes procedūru uzsākšanu pret Itālijas Republiku par to, ka tā nav īstenojusi Eiropas noteikumus par atkritumu cikla plānošanu;</w:t>
            </w:r>
          </w:p>
          <w:p w14:paraId="4ED7702A" w14:textId="77777777" w:rsidR="00C972CB" w:rsidRDefault="002457F6">
            <w:pPr>
              <w:pStyle w:val="P68B1DB1-Normal11"/>
              <w:numPr>
                <w:ilvl w:val="0"/>
                <w:numId w:val="59"/>
              </w:numPr>
              <w:spacing w:before="120" w:line="276" w:lineRule="auto"/>
              <w:ind w:left="244" w:hanging="357"/>
              <w:contextualSpacing/>
              <w:rPr>
                <w:noProof/>
              </w:rPr>
            </w:pPr>
            <w:r>
              <w:rPr>
                <w:noProof/>
              </w:rPr>
              <w:t>novērst atkritumu savākšanas zemo līmeni un atturēt no apglabāšanas poligonos (sk. arī Valsts aprites</w:t>
            </w:r>
            <w:r>
              <w:rPr>
                <w:noProof/>
              </w:rPr>
              <w:t xml:space="preserve"> ekonomikas stratēģiju);</w:t>
            </w:r>
          </w:p>
          <w:p w14:paraId="39F6D300" w14:textId="77777777" w:rsidR="00C972CB" w:rsidRDefault="002457F6">
            <w:pPr>
              <w:pStyle w:val="P68B1DB1-Normal11"/>
              <w:numPr>
                <w:ilvl w:val="0"/>
                <w:numId w:val="59"/>
              </w:numPr>
              <w:spacing w:before="120" w:line="276" w:lineRule="auto"/>
              <w:ind w:left="244" w:hanging="357"/>
              <w:contextualSpacing/>
              <w:rPr>
                <w:noProof/>
              </w:rPr>
            </w:pPr>
            <w:r>
              <w:rPr>
                <w:noProof/>
              </w:rPr>
              <w:t>reģionālā atkritumu apsaimniekošanas iekārta papildina atkritumu apsaimniekošanas valsts programmu;</w:t>
            </w:r>
          </w:p>
          <w:p w14:paraId="4D097560" w14:textId="77777777" w:rsidR="00C972CB" w:rsidRDefault="002457F6">
            <w:pPr>
              <w:pStyle w:val="P68B1DB1-Normal11"/>
              <w:numPr>
                <w:ilvl w:val="0"/>
                <w:numId w:val="59"/>
              </w:numPr>
              <w:spacing w:before="120" w:line="276" w:lineRule="auto"/>
              <w:ind w:left="244" w:hanging="357"/>
              <w:contextualSpacing/>
              <w:rPr>
                <w:noProof/>
              </w:rPr>
            </w:pPr>
            <w:r>
              <w:rPr>
                <w:noProof/>
              </w:rPr>
              <w:t xml:space="preserve">novērst atkritumu apsaimniekošanas nepilnības un reģionālo plaisu attiecībā uz iekārtu jaudu un kvalitātes standartiem, kas pastāv </w:t>
            </w:r>
            <w:r>
              <w:rPr>
                <w:noProof/>
              </w:rPr>
              <w:t>starp dažādiem valsts teritorijas reģioniem un apgabaliem, lai atgūtu kavējumus;</w:t>
            </w:r>
          </w:p>
          <w:p w14:paraId="7EE8BD90" w14:textId="77777777" w:rsidR="00C972CB" w:rsidRDefault="002457F6">
            <w:pPr>
              <w:pStyle w:val="P68B1DB1-Normal11"/>
              <w:spacing w:before="120" w:after="120" w:line="276" w:lineRule="auto"/>
              <w:rPr>
                <w:noProof/>
              </w:rPr>
            </w:pPr>
            <w:r>
              <w:rPr>
                <w:noProof/>
              </w:rPr>
              <w:t>sasniegt pašreizējos un jaunos mērķus, kas noteikti Eiropas un valstu tiesību aktos;</w:t>
            </w:r>
          </w:p>
          <w:p w14:paraId="41BD2769" w14:textId="77777777" w:rsidR="00C972CB" w:rsidRDefault="002457F6">
            <w:pPr>
              <w:pStyle w:val="P68B1DB1-Normal11"/>
              <w:spacing w:before="120" w:after="120" w:line="276" w:lineRule="auto"/>
              <w:rPr>
                <w:noProof/>
              </w:rPr>
            </w:pPr>
            <w:r>
              <w:rPr>
                <w:noProof/>
              </w:rPr>
              <w:t>I)lai cīnītos pret nelikumīgu atkritumu izgāšanu un sadedzināšanu brīvā dabā (piemēram, Te</w:t>
            </w:r>
            <w:r>
              <w:rPr>
                <w:noProof/>
              </w:rPr>
              <w:t>rra dei Fuochi apgabalā), tostarp ieviešot jaunu atkritumu izsekojamības sistēmu, un, izmantojot satelītus, bezpilota lidaparātu un mākslīgā intelekta (MI) tehnoloģijas, tiks izstrādāta atbalstīta Globālā uzraudzības sistēma cīņai pret nelikumīgu izgāšanu.</w:t>
            </w:r>
          </w:p>
        </w:tc>
      </w:tr>
      <w:tr w:rsidR="00C972CB" w14:paraId="790A85C5" w14:textId="77777777">
        <w:trPr>
          <w:trHeight w:val="313"/>
          <w:jc w:val="center"/>
        </w:trPr>
        <w:tc>
          <w:tcPr>
            <w:tcW w:w="1220" w:type="dxa"/>
            <w:shd w:val="clear" w:color="auto" w:fill="C6EFCE"/>
            <w:noWrap/>
            <w:vAlign w:val="center"/>
          </w:tcPr>
          <w:p w14:paraId="102C47C6" w14:textId="77777777" w:rsidR="00C972CB" w:rsidRDefault="002457F6">
            <w:pPr>
              <w:pStyle w:val="P68B1DB1-Normal11"/>
              <w:spacing w:line="276" w:lineRule="auto"/>
              <w:jc w:val="center"/>
              <w:rPr>
                <w:noProof/>
              </w:rPr>
            </w:pPr>
            <w:r>
              <w:rPr>
                <w:noProof/>
              </w:rPr>
              <w:t>M2C1–14</w:t>
            </w:r>
          </w:p>
        </w:tc>
        <w:tc>
          <w:tcPr>
            <w:tcW w:w="1598" w:type="dxa"/>
            <w:shd w:val="clear" w:color="auto" w:fill="C6EFCE"/>
            <w:noWrap/>
            <w:vAlign w:val="center"/>
          </w:tcPr>
          <w:p w14:paraId="0DCA235E" w14:textId="77777777" w:rsidR="00C972CB" w:rsidRDefault="002457F6">
            <w:pPr>
              <w:pStyle w:val="P68B1DB1-Normal11"/>
              <w:spacing w:line="276" w:lineRule="auto"/>
              <w:jc w:val="center"/>
              <w:rPr>
                <w:noProof/>
              </w:rPr>
            </w:pPr>
            <w:r>
              <w:rPr>
                <w:noProof/>
              </w:rPr>
              <w:t>Ieguldījums 1.1 — Jaunu atkritumu apsaimniekošanas iekārtu ieviešana un esošo iekārtu modernizācija;</w:t>
            </w:r>
          </w:p>
          <w:p w14:paraId="1EBB759D" w14:textId="77777777" w:rsidR="00C972CB" w:rsidRDefault="002457F6">
            <w:pPr>
              <w:pStyle w:val="P68B1DB1-Normal11"/>
              <w:spacing w:line="276" w:lineRule="auto"/>
              <w:jc w:val="center"/>
              <w:rPr>
                <w:noProof/>
              </w:rPr>
            </w:pPr>
            <w:r>
              <w:rPr>
                <w:noProof/>
              </w:rPr>
              <w:t>Investīcijas 1.2 — Aprites ekonomikas pamatprojekti</w:t>
            </w:r>
          </w:p>
        </w:tc>
        <w:tc>
          <w:tcPr>
            <w:tcW w:w="1185" w:type="dxa"/>
            <w:shd w:val="clear" w:color="auto" w:fill="C6EFCE"/>
            <w:noWrap/>
            <w:vAlign w:val="center"/>
          </w:tcPr>
          <w:p w14:paraId="189BBECF" w14:textId="77777777" w:rsidR="00C972CB" w:rsidRDefault="002457F6">
            <w:pPr>
              <w:pStyle w:val="P68B1DB1-Normal11"/>
              <w:spacing w:line="276" w:lineRule="auto"/>
              <w:jc w:val="center"/>
              <w:rPr>
                <w:noProof/>
              </w:rPr>
            </w:pPr>
            <w:r>
              <w:rPr>
                <w:noProof/>
              </w:rPr>
              <w:t>Starpposma mērķis</w:t>
            </w:r>
          </w:p>
        </w:tc>
        <w:tc>
          <w:tcPr>
            <w:tcW w:w="1732" w:type="dxa"/>
            <w:shd w:val="clear" w:color="auto" w:fill="C6EFCE"/>
            <w:noWrap/>
            <w:vAlign w:val="center"/>
          </w:tcPr>
          <w:p w14:paraId="29F3DC93" w14:textId="77777777" w:rsidR="00C972CB" w:rsidRDefault="002457F6">
            <w:pPr>
              <w:pStyle w:val="P68B1DB1-Normal11"/>
              <w:spacing w:line="276" w:lineRule="auto"/>
              <w:jc w:val="center"/>
              <w:rPr>
                <w:noProof/>
              </w:rPr>
            </w:pPr>
            <w:r>
              <w:rPr>
                <w:noProof/>
              </w:rPr>
              <w:t>Ministra dekrēta stāšanās spēkā.</w:t>
            </w:r>
          </w:p>
        </w:tc>
        <w:tc>
          <w:tcPr>
            <w:tcW w:w="1603" w:type="dxa"/>
            <w:shd w:val="clear" w:color="auto" w:fill="C6EFCE"/>
            <w:noWrap/>
            <w:vAlign w:val="center"/>
          </w:tcPr>
          <w:p w14:paraId="0B61B0EC" w14:textId="77777777" w:rsidR="00C972CB" w:rsidRDefault="002457F6">
            <w:pPr>
              <w:pStyle w:val="P68B1DB1-Normal11"/>
              <w:spacing w:line="276" w:lineRule="auto"/>
              <w:jc w:val="center"/>
              <w:rPr>
                <w:noProof/>
              </w:rPr>
            </w:pPr>
            <w:r>
              <w:rPr>
                <w:noProof/>
              </w:rPr>
              <w:t xml:space="preserve">Ministrijas dekrēta pieņemšana par </w:t>
            </w:r>
            <w:r>
              <w:rPr>
                <w:noProof/>
              </w:rPr>
              <w:t>pašvaldību ierosināto projektu atlases kritēriju apstiprināšanu.</w:t>
            </w:r>
          </w:p>
        </w:tc>
        <w:tc>
          <w:tcPr>
            <w:tcW w:w="1275" w:type="dxa"/>
            <w:shd w:val="clear" w:color="auto" w:fill="C6EFCE"/>
            <w:noWrap/>
            <w:vAlign w:val="center"/>
          </w:tcPr>
          <w:p w14:paraId="3DCD0615" w14:textId="77777777" w:rsidR="00C972CB" w:rsidRDefault="002457F6">
            <w:pPr>
              <w:pStyle w:val="P68B1DB1-Normal11"/>
              <w:spacing w:line="276" w:lineRule="auto"/>
              <w:jc w:val="center"/>
              <w:rPr>
                <w:noProof/>
              </w:rPr>
            </w:pPr>
            <w:r>
              <w:rPr>
                <w:noProof/>
              </w:rPr>
              <w:t>Publikācija Gazzetta Ufficiale</w:t>
            </w:r>
          </w:p>
        </w:tc>
        <w:tc>
          <w:tcPr>
            <w:tcW w:w="993" w:type="dxa"/>
            <w:shd w:val="clear" w:color="auto" w:fill="C6EFCE"/>
            <w:noWrap/>
            <w:vAlign w:val="center"/>
          </w:tcPr>
          <w:p w14:paraId="7D6F1DE1"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2ADA412B" w14:textId="77777777" w:rsidR="00C972CB" w:rsidRDefault="002457F6">
            <w:pPr>
              <w:pStyle w:val="P68B1DB1-Normal11"/>
              <w:spacing w:line="276" w:lineRule="auto"/>
              <w:jc w:val="center"/>
              <w:rPr>
                <w:noProof/>
              </w:rPr>
            </w:pPr>
            <w:r>
              <w:rPr>
                <w:noProof/>
              </w:rPr>
              <w:t>NEPIEMĒRO</w:t>
            </w:r>
          </w:p>
        </w:tc>
        <w:tc>
          <w:tcPr>
            <w:tcW w:w="963" w:type="dxa"/>
            <w:shd w:val="clear" w:color="auto" w:fill="C6EFCE"/>
            <w:noWrap/>
            <w:vAlign w:val="center"/>
          </w:tcPr>
          <w:p w14:paraId="1202CEFD" w14:textId="77777777" w:rsidR="00C972CB" w:rsidRDefault="002457F6">
            <w:pPr>
              <w:pStyle w:val="P68B1DB1-Normal11"/>
              <w:spacing w:line="276" w:lineRule="auto"/>
              <w:jc w:val="center"/>
              <w:rPr>
                <w:noProof/>
              </w:rPr>
            </w:pPr>
            <w:r>
              <w:rPr>
                <w:noProof/>
              </w:rPr>
              <w:t>3. CET.</w:t>
            </w:r>
          </w:p>
        </w:tc>
        <w:tc>
          <w:tcPr>
            <w:tcW w:w="710" w:type="dxa"/>
            <w:shd w:val="clear" w:color="auto" w:fill="C6EFCE"/>
            <w:noWrap/>
            <w:vAlign w:val="center"/>
          </w:tcPr>
          <w:p w14:paraId="10CB7483" w14:textId="77777777" w:rsidR="00C972CB" w:rsidRDefault="002457F6">
            <w:pPr>
              <w:pStyle w:val="P68B1DB1-Normal11"/>
              <w:spacing w:line="276" w:lineRule="auto"/>
              <w:rPr>
                <w:noProof/>
              </w:rPr>
            </w:pPr>
            <w:r>
              <w:rPr>
                <w:noProof/>
              </w:rPr>
              <w:t>2021</w:t>
            </w:r>
          </w:p>
        </w:tc>
        <w:tc>
          <w:tcPr>
            <w:tcW w:w="3174" w:type="dxa"/>
            <w:shd w:val="clear" w:color="auto" w:fill="C6EFCE"/>
            <w:noWrap/>
            <w:vAlign w:val="center"/>
          </w:tcPr>
          <w:p w14:paraId="68418CB2" w14:textId="77777777" w:rsidR="00C972CB" w:rsidRDefault="002457F6">
            <w:pPr>
              <w:pStyle w:val="P68B1DB1-Normal11"/>
              <w:spacing w:before="60" w:after="120" w:line="276" w:lineRule="auto"/>
              <w:rPr>
                <w:noProof/>
              </w:rPr>
            </w:pPr>
            <w:r>
              <w:rPr>
                <w:noProof/>
              </w:rPr>
              <w:t>Stājas spēkā ministrijas dekrēts par pašvaldību ierosināto projektu atlases kritēriju apstiprināšanu.</w:t>
            </w:r>
          </w:p>
          <w:p w14:paraId="35BF70F7" w14:textId="77777777" w:rsidR="00C972CB" w:rsidRDefault="002457F6">
            <w:pPr>
              <w:pStyle w:val="P68B1DB1-Normal11"/>
              <w:spacing w:before="60" w:after="120" w:line="276" w:lineRule="auto"/>
              <w:rPr>
                <w:noProof/>
              </w:rPr>
            </w:pPr>
            <w:r>
              <w:rPr>
                <w:noProof/>
              </w:rPr>
              <w:t xml:space="preserve">Ministrijas dekrētā ir </w:t>
            </w:r>
            <w:r>
              <w:rPr>
                <w:noProof/>
              </w:rPr>
              <w:t>noteikts, ka projektus izvēlas no šādiem kritērijiem:</w:t>
            </w:r>
          </w:p>
          <w:p w14:paraId="0C5D8794" w14:textId="77777777" w:rsidR="00C972CB" w:rsidRDefault="002457F6">
            <w:pPr>
              <w:pStyle w:val="P68B1DB1-Normal11"/>
              <w:numPr>
                <w:ilvl w:val="0"/>
                <w:numId w:val="58"/>
              </w:numPr>
              <w:spacing w:before="60" w:line="276" w:lineRule="auto"/>
              <w:ind w:left="244" w:hanging="357"/>
              <w:contextualSpacing/>
              <w:rPr>
                <w:noProof/>
              </w:rPr>
            </w:pPr>
            <w:r>
              <w:rPr>
                <w:noProof/>
              </w:rPr>
              <w:t>Saskaņotība ar ES un valstu tiesību aktiem un Eiropas rīcības plānu aprites ekonomikas jomā,</w:t>
            </w:r>
          </w:p>
          <w:p w14:paraId="7B26F60E" w14:textId="77777777" w:rsidR="00C972CB" w:rsidRDefault="002457F6">
            <w:pPr>
              <w:pStyle w:val="P68B1DB1-Normal11"/>
              <w:numPr>
                <w:ilvl w:val="0"/>
                <w:numId w:val="58"/>
              </w:numPr>
              <w:spacing w:before="60" w:line="276" w:lineRule="auto"/>
              <w:ind w:left="244" w:hanging="357"/>
              <w:contextualSpacing/>
              <w:rPr>
                <w:noProof/>
              </w:rPr>
            </w:pPr>
            <w:r>
              <w:rPr>
                <w:noProof/>
              </w:rPr>
              <w:t>Paredzamais pārstrādes mērķu uzlabojums</w:t>
            </w:r>
          </w:p>
          <w:p w14:paraId="20BA6741" w14:textId="77777777" w:rsidR="00C972CB" w:rsidRDefault="002457F6">
            <w:pPr>
              <w:pStyle w:val="P68B1DB1-Normal11"/>
              <w:numPr>
                <w:ilvl w:val="0"/>
                <w:numId w:val="58"/>
              </w:numPr>
              <w:spacing w:before="60" w:line="276" w:lineRule="auto"/>
              <w:ind w:left="244" w:hanging="357"/>
              <w:contextualSpacing/>
              <w:rPr>
                <w:noProof/>
              </w:rPr>
            </w:pPr>
            <w:r>
              <w:rPr>
                <w:noProof/>
              </w:rPr>
              <w:t>Saskaņotība ar reģionālajiem un valsts plānošanas instrumentiem,</w:t>
            </w:r>
          </w:p>
          <w:p w14:paraId="2A17FF4F" w14:textId="77777777" w:rsidR="00C972CB" w:rsidRDefault="002457F6">
            <w:pPr>
              <w:pStyle w:val="P68B1DB1-Normal11"/>
              <w:numPr>
                <w:ilvl w:val="0"/>
                <w:numId w:val="58"/>
              </w:numPr>
              <w:spacing w:before="60" w:line="276" w:lineRule="auto"/>
              <w:ind w:left="244" w:hanging="357"/>
              <w:contextualSpacing/>
              <w:rPr>
                <w:noProof/>
              </w:rPr>
            </w:pPr>
            <w:r>
              <w:rPr>
                <w:noProof/>
              </w:rPr>
              <w:t>Iegu</w:t>
            </w:r>
            <w:r>
              <w:rPr>
                <w:noProof/>
              </w:rPr>
              <w:t>ldījums ES pārkāpumu novēršanā, sinerģija ar citu nozaru plānošanu (piemēram, PNIEC) un/vai citiem plāna elementiem, inovatīvas tehnoloģijas, kuru pamatā ir plaša mēroga pieredze,</w:t>
            </w:r>
          </w:p>
          <w:p w14:paraId="75AA333E" w14:textId="77777777" w:rsidR="00C972CB" w:rsidRDefault="002457F6">
            <w:pPr>
              <w:pStyle w:val="P68B1DB1-Normal11"/>
              <w:numPr>
                <w:ilvl w:val="0"/>
                <w:numId w:val="58"/>
              </w:numPr>
              <w:spacing w:before="60" w:line="276" w:lineRule="auto"/>
              <w:ind w:left="244" w:hanging="357"/>
              <w:contextualSpacing/>
              <w:rPr>
                <w:noProof/>
              </w:rPr>
            </w:pPr>
            <w:r>
              <w:rPr>
                <w:noProof/>
              </w:rPr>
              <w:t>Priekšlikuma tehniskā kvalitāte.</w:t>
            </w:r>
          </w:p>
          <w:p w14:paraId="1D7CBE8C" w14:textId="77777777" w:rsidR="00C972CB" w:rsidRDefault="002457F6">
            <w:pPr>
              <w:pStyle w:val="P68B1DB1-Normal11"/>
              <w:numPr>
                <w:ilvl w:val="0"/>
                <w:numId w:val="58"/>
              </w:numPr>
              <w:spacing w:before="60" w:line="276" w:lineRule="auto"/>
              <w:ind w:left="244" w:hanging="357"/>
              <w:contextualSpacing/>
              <w:rPr>
                <w:noProof/>
              </w:rPr>
            </w:pPr>
            <w:r>
              <w:rPr>
                <w:noProof/>
              </w:rPr>
              <w:t>Saskaņotība un papildināmība ar kohēzijas p</w:t>
            </w:r>
            <w:r>
              <w:rPr>
                <w:noProof/>
              </w:rPr>
              <w:t>olitikas programmām un līdzīgiem projektiem, ko finansē no citiem ES un valstu instrumentiem</w:t>
            </w:r>
          </w:p>
          <w:p w14:paraId="55A6BF6C" w14:textId="77777777" w:rsidR="00C972CB" w:rsidRDefault="002457F6">
            <w:pPr>
              <w:pStyle w:val="P68B1DB1-Normal11"/>
              <w:spacing w:before="120" w:after="120" w:line="276" w:lineRule="auto"/>
              <w:rPr>
                <w:noProof/>
              </w:rPr>
            </w:pPr>
            <w:r>
              <w:rPr>
                <w:noProof/>
              </w:rPr>
              <w:t>Intervences neietver ieguldījumus poligonos, apglabāšanas iekārtās, mehāniskās bioloģiskās apstrādes/mehāniskās apstrādes iekārtās vai sadedzināšanas iekārtās sask</w:t>
            </w:r>
            <w:r>
              <w:rPr>
                <w:noProof/>
              </w:rPr>
              <w:t>aņā ar principu “nenodarīt būtisku kaitējumu”.</w:t>
            </w:r>
          </w:p>
        </w:tc>
      </w:tr>
      <w:tr w:rsidR="00C972CB" w14:paraId="144C7BAD" w14:textId="77777777">
        <w:trPr>
          <w:trHeight w:val="313"/>
          <w:jc w:val="center"/>
        </w:trPr>
        <w:tc>
          <w:tcPr>
            <w:tcW w:w="1220" w:type="dxa"/>
            <w:shd w:val="clear" w:color="auto" w:fill="C6EFCE"/>
            <w:noWrap/>
            <w:vAlign w:val="center"/>
          </w:tcPr>
          <w:p w14:paraId="23BADA38" w14:textId="77777777" w:rsidR="00C972CB" w:rsidRDefault="002457F6">
            <w:pPr>
              <w:pStyle w:val="P68B1DB1-Normal11"/>
              <w:spacing w:line="276" w:lineRule="auto"/>
              <w:jc w:val="center"/>
              <w:rPr>
                <w:noProof/>
              </w:rPr>
            </w:pPr>
            <w:r>
              <w:rPr>
                <w:noProof/>
              </w:rPr>
              <w:t>M2C1–15</w:t>
            </w:r>
          </w:p>
        </w:tc>
        <w:tc>
          <w:tcPr>
            <w:tcW w:w="1598" w:type="dxa"/>
            <w:shd w:val="clear" w:color="auto" w:fill="C6EFCE"/>
            <w:noWrap/>
            <w:vAlign w:val="center"/>
          </w:tcPr>
          <w:p w14:paraId="52524F5D" w14:textId="77777777" w:rsidR="00C972CB" w:rsidRDefault="002457F6">
            <w:pPr>
              <w:pStyle w:val="P68B1DB1-Normal11"/>
              <w:spacing w:line="276" w:lineRule="auto"/>
              <w:jc w:val="center"/>
              <w:rPr>
                <w:noProof/>
              </w:rPr>
            </w:pPr>
            <w:r>
              <w:rPr>
                <w:noProof/>
              </w:rPr>
              <w:t>Reforma</w:t>
            </w:r>
          </w:p>
          <w:p w14:paraId="3ABB8564" w14:textId="77777777" w:rsidR="00C972CB" w:rsidRDefault="002457F6">
            <w:pPr>
              <w:pStyle w:val="P68B1DB1-Normal11"/>
              <w:spacing w:line="276" w:lineRule="auto"/>
              <w:jc w:val="center"/>
              <w:rPr>
                <w:noProof/>
              </w:rPr>
            </w:pPr>
            <w:r>
              <w:rPr>
                <w:noProof/>
              </w:rPr>
              <w:t>Valsts atkritumu apsaimniekošanas programma;</w:t>
            </w:r>
          </w:p>
          <w:p w14:paraId="46F928AA" w14:textId="77777777" w:rsidR="00C972CB" w:rsidRDefault="002457F6">
            <w:pPr>
              <w:pStyle w:val="P68B1DB1-Normal11"/>
              <w:spacing w:line="276" w:lineRule="auto"/>
              <w:jc w:val="center"/>
              <w:rPr>
                <w:noProof/>
              </w:rPr>
            </w:pPr>
            <w:r>
              <w:rPr>
                <w:noProof/>
              </w:rPr>
              <w:t xml:space="preserve"> </w:t>
            </w:r>
          </w:p>
          <w:p w14:paraId="5F99EBB4" w14:textId="77777777" w:rsidR="00C972CB" w:rsidRDefault="002457F6">
            <w:pPr>
              <w:pStyle w:val="P68B1DB1-Normal11"/>
              <w:spacing w:line="276" w:lineRule="auto"/>
              <w:jc w:val="center"/>
              <w:rPr>
                <w:noProof/>
              </w:rPr>
            </w:pPr>
            <w:r>
              <w:rPr>
                <w:noProof/>
              </w:rPr>
              <w:t>Ieguldījums 1.1. — Jaunu atkritumu apsaimniekošanas iekārtu ieviešana un esošo iekārtu modernizācija</w:t>
            </w:r>
          </w:p>
        </w:tc>
        <w:tc>
          <w:tcPr>
            <w:tcW w:w="1185" w:type="dxa"/>
            <w:shd w:val="clear" w:color="auto" w:fill="C6EFCE"/>
            <w:noWrap/>
            <w:vAlign w:val="center"/>
          </w:tcPr>
          <w:p w14:paraId="2EF45273"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57F0692F" w14:textId="2087930D" w:rsidR="00C972CB" w:rsidRDefault="002457F6">
            <w:pPr>
              <w:pStyle w:val="P68B1DB1-Normal11"/>
              <w:spacing w:line="276" w:lineRule="auto"/>
              <w:jc w:val="center"/>
              <w:rPr>
                <w:noProof/>
              </w:rPr>
            </w:pPr>
            <w:r>
              <w:rPr>
                <w:noProof/>
              </w:rPr>
              <w:t xml:space="preserve">Nelikumīgo atkritumu poligonu skaita samazināšana (T1) </w:t>
            </w:r>
          </w:p>
        </w:tc>
        <w:tc>
          <w:tcPr>
            <w:tcW w:w="1603" w:type="dxa"/>
            <w:shd w:val="clear" w:color="auto" w:fill="C6EFCE"/>
            <w:noWrap/>
            <w:vAlign w:val="center"/>
          </w:tcPr>
          <w:p w14:paraId="3D000604"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44F3AE68" w14:textId="77777777" w:rsidR="00C972CB" w:rsidRDefault="002457F6">
            <w:pPr>
              <w:pStyle w:val="P68B1DB1-Normal11"/>
              <w:spacing w:line="276" w:lineRule="auto"/>
              <w:jc w:val="center"/>
              <w:rPr>
                <w:noProof/>
              </w:rPr>
            </w:pPr>
            <w:r>
              <w:rPr>
                <w:noProof/>
              </w:rPr>
              <w:t>Neregulāro atkritumu poligonu skaits</w:t>
            </w:r>
          </w:p>
        </w:tc>
        <w:tc>
          <w:tcPr>
            <w:tcW w:w="993" w:type="dxa"/>
            <w:shd w:val="clear" w:color="auto" w:fill="C6EFCE"/>
            <w:noWrap/>
            <w:vAlign w:val="center"/>
          </w:tcPr>
          <w:p w14:paraId="53769549" w14:textId="77777777" w:rsidR="00C972CB" w:rsidRDefault="002457F6">
            <w:pPr>
              <w:pStyle w:val="P68B1DB1-Normal11"/>
              <w:spacing w:line="276" w:lineRule="auto"/>
              <w:jc w:val="center"/>
              <w:rPr>
                <w:noProof/>
              </w:rPr>
            </w:pPr>
            <w:r>
              <w:rPr>
                <w:noProof/>
              </w:rPr>
              <w:t>33</w:t>
            </w:r>
          </w:p>
        </w:tc>
        <w:tc>
          <w:tcPr>
            <w:tcW w:w="1162" w:type="dxa"/>
            <w:shd w:val="clear" w:color="auto" w:fill="C6EFCE"/>
            <w:noWrap/>
            <w:vAlign w:val="center"/>
          </w:tcPr>
          <w:p w14:paraId="0749F2A1" w14:textId="77777777" w:rsidR="00C972CB" w:rsidRDefault="002457F6">
            <w:pPr>
              <w:pStyle w:val="P68B1DB1-Normal11"/>
              <w:spacing w:line="276" w:lineRule="auto"/>
              <w:jc w:val="center"/>
              <w:rPr>
                <w:noProof/>
              </w:rPr>
            </w:pPr>
            <w:r>
              <w:rPr>
                <w:noProof/>
              </w:rPr>
              <w:t>11</w:t>
            </w:r>
          </w:p>
        </w:tc>
        <w:tc>
          <w:tcPr>
            <w:tcW w:w="963" w:type="dxa"/>
            <w:shd w:val="clear" w:color="auto" w:fill="C6EFCE"/>
            <w:noWrap/>
            <w:vAlign w:val="center"/>
          </w:tcPr>
          <w:p w14:paraId="3AEDCD8D" w14:textId="77777777" w:rsidR="00C972CB" w:rsidRDefault="002457F6">
            <w:pPr>
              <w:pStyle w:val="P68B1DB1-Normal11"/>
              <w:spacing w:line="276" w:lineRule="auto"/>
              <w:jc w:val="center"/>
              <w:rPr>
                <w:noProof/>
              </w:rPr>
            </w:pPr>
            <w:r>
              <w:rPr>
                <w:noProof/>
              </w:rPr>
              <w:t>2. CET.</w:t>
            </w:r>
          </w:p>
        </w:tc>
        <w:tc>
          <w:tcPr>
            <w:tcW w:w="710" w:type="dxa"/>
            <w:shd w:val="clear" w:color="auto" w:fill="C6EFCE"/>
            <w:noWrap/>
            <w:vAlign w:val="center"/>
          </w:tcPr>
          <w:p w14:paraId="4FF36380" w14:textId="5E2FDEB9" w:rsidR="00C972CB" w:rsidRDefault="002457F6">
            <w:pPr>
              <w:pStyle w:val="P68B1DB1-Normal11"/>
              <w:spacing w:line="276" w:lineRule="auto"/>
              <w:rPr>
                <w:noProof/>
              </w:rPr>
            </w:pPr>
            <w:r>
              <w:rPr>
                <w:noProof/>
              </w:rPr>
              <w:t>2024</w:t>
            </w:r>
          </w:p>
        </w:tc>
        <w:tc>
          <w:tcPr>
            <w:tcW w:w="3174" w:type="dxa"/>
            <w:shd w:val="clear" w:color="auto" w:fill="C6EFCE"/>
            <w:noWrap/>
            <w:vAlign w:val="center"/>
          </w:tcPr>
          <w:p w14:paraId="473D1811" w14:textId="77777777" w:rsidR="00C972CB" w:rsidRDefault="002457F6">
            <w:pPr>
              <w:pStyle w:val="P68B1DB1-Normal11"/>
              <w:spacing w:before="60" w:after="120"/>
              <w:jc w:val="both"/>
              <w:rPr>
                <w:noProof/>
              </w:rPr>
            </w:pPr>
            <w:r>
              <w:rPr>
                <w:noProof/>
              </w:rPr>
              <w:t xml:space="preserve">Ierosinātie pasākumi atbalsta jaunu apstrādes un pārstrādes iekārtu būvniecību un esošo iekārtu tehnisko uzlabošanu. Turklāt pasākumu </w:t>
            </w:r>
            <w:r>
              <w:rPr>
                <w:noProof/>
              </w:rPr>
              <w:t>mērķis ir īstenot un digitalizēt dalītās savākšanas tīklu, lai atbalstītu un iesaistītu iedzīvotājus labas prakses ieviešanā atkritumu apsaimniekošanā.</w:t>
            </w:r>
          </w:p>
          <w:p w14:paraId="0DD1139A" w14:textId="1E4743ED" w:rsidR="00C972CB" w:rsidRDefault="002457F6">
            <w:pPr>
              <w:pStyle w:val="P68B1DB1-Normal11"/>
              <w:spacing w:after="120"/>
              <w:jc w:val="both"/>
              <w:rPr>
                <w:noProof/>
              </w:rPr>
            </w:pPr>
            <w:r>
              <w:rPr>
                <w:noProof/>
              </w:rPr>
              <w:t xml:space="preserve">Ierosinātā intervence samazina pārkāpuma procedūrā NIF 2003/2077 iekļauto nelikumīgo atkritumu poligonu </w:t>
            </w:r>
            <w:r>
              <w:rPr>
                <w:noProof/>
              </w:rPr>
              <w:t>skaitu no 33 līdz 11 (t. i., vismaz par 66 %).</w:t>
            </w:r>
          </w:p>
          <w:p w14:paraId="28E9C31A" w14:textId="77777777" w:rsidR="00C972CB" w:rsidRDefault="002457F6">
            <w:pPr>
              <w:pStyle w:val="P68B1DB1-Normal11"/>
              <w:spacing w:after="120"/>
              <w:jc w:val="both"/>
              <w:rPr>
                <w:noProof/>
              </w:rPr>
            </w:pPr>
            <w:r>
              <w:rPr>
                <w:noProof/>
              </w:rPr>
              <w:t>Līdz 2023. gada 31. decembrim vismaz 27 (no 33) anulēšanas pieprasījumiem nosūta Eiropas Komisijai. Izslēgšanas pieprasījumā iekļauj pilnīgu piesārņojuma (augsnes un ūdens) analīzi, skaidru paskaidrojumu par p</w:t>
            </w:r>
            <w:r>
              <w:rPr>
                <w:noProof/>
              </w:rPr>
              <w:t>iesārņojuma sanāciju un garantē, ka ir izslēgts jebkāds turpmāka piesārņojuma risks.</w:t>
            </w:r>
          </w:p>
          <w:p w14:paraId="1D92657F" w14:textId="1089FCF7" w:rsidR="00C972CB" w:rsidRDefault="002457F6">
            <w:pPr>
              <w:pStyle w:val="P68B1DB1-Normal11"/>
              <w:spacing w:after="120"/>
              <w:jc w:val="both"/>
              <w:rPr>
                <w:noProof/>
              </w:rPr>
            </w:pPr>
            <w:r>
              <w:rPr>
                <w:noProof/>
              </w:rPr>
              <w:t xml:space="preserve">Līdz 2024. gada 30. jūnijam vismaz 29 (no 33) anulēšanas pieprasījumiem nosūta Eiropas Komisijai. Izslēgšanas pieprasījumā iekļauj pilnīgu piesārņojuma (augsnes un ūdens) </w:t>
            </w:r>
            <w:r>
              <w:rPr>
                <w:noProof/>
              </w:rPr>
              <w:t>analīzi, skaidru paskaidrojumu par piesārņojuma sanāciju un garantē, ka ir izslēgts jebkāds turpmāka piesārņojuma risks.</w:t>
            </w:r>
          </w:p>
        </w:tc>
      </w:tr>
      <w:tr w:rsidR="00C972CB" w14:paraId="6FCC5EAD" w14:textId="77777777">
        <w:trPr>
          <w:trHeight w:val="313"/>
          <w:jc w:val="center"/>
        </w:trPr>
        <w:tc>
          <w:tcPr>
            <w:tcW w:w="1220" w:type="dxa"/>
            <w:shd w:val="clear" w:color="auto" w:fill="C6EFCE"/>
            <w:noWrap/>
            <w:vAlign w:val="center"/>
          </w:tcPr>
          <w:p w14:paraId="55315AB6" w14:textId="77777777" w:rsidR="00C972CB" w:rsidRDefault="002457F6">
            <w:pPr>
              <w:pStyle w:val="P68B1DB1-Normal11"/>
              <w:spacing w:line="276" w:lineRule="auto"/>
              <w:jc w:val="center"/>
              <w:rPr>
                <w:noProof/>
              </w:rPr>
            </w:pPr>
            <w:r>
              <w:rPr>
                <w:noProof/>
              </w:rPr>
              <w:t>M2C1–15.bis</w:t>
            </w:r>
          </w:p>
        </w:tc>
        <w:tc>
          <w:tcPr>
            <w:tcW w:w="1598" w:type="dxa"/>
            <w:shd w:val="clear" w:color="auto" w:fill="C6EFCE"/>
            <w:noWrap/>
            <w:vAlign w:val="center"/>
          </w:tcPr>
          <w:p w14:paraId="6171E12A" w14:textId="77777777" w:rsidR="00C972CB" w:rsidRDefault="002457F6">
            <w:pPr>
              <w:pStyle w:val="P68B1DB1-Normal11"/>
              <w:spacing w:line="276" w:lineRule="auto"/>
              <w:jc w:val="center"/>
              <w:rPr>
                <w:noProof/>
              </w:rPr>
            </w:pPr>
            <w:r>
              <w:rPr>
                <w:noProof/>
              </w:rPr>
              <w:t>Reforma</w:t>
            </w:r>
          </w:p>
          <w:p w14:paraId="68D7FB6C" w14:textId="77777777" w:rsidR="00C972CB" w:rsidRDefault="002457F6">
            <w:pPr>
              <w:pStyle w:val="P68B1DB1-Normal11"/>
              <w:spacing w:line="276" w:lineRule="auto"/>
              <w:jc w:val="center"/>
              <w:rPr>
                <w:noProof/>
              </w:rPr>
            </w:pPr>
            <w:r>
              <w:rPr>
                <w:noProof/>
              </w:rPr>
              <w:t>Valsts atkritumu apsaimniekošanas programma:</w:t>
            </w:r>
          </w:p>
          <w:p w14:paraId="40D53F0B" w14:textId="77777777" w:rsidR="00C972CB" w:rsidRDefault="00C972CB">
            <w:pPr>
              <w:spacing w:line="276" w:lineRule="auto"/>
              <w:jc w:val="center"/>
              <w:rPr>
                <w:rFonts w:ascii="Arial Narrow" w:hAnsi="Arial Narrow"/>
                <w:noProof/>
                <w:color w:val="006100"/>
                <w:sz w:val="20"/>
              </w:rPr>
            </w:pPr>
          </w:p>
          <w:p w14:paraId="4FE0568C" w14:textId="77777777" w:rsidR="00C972CB" w:rsidRDefault="002457F6">
            <w:pPr>
              <w:pStyle w:val="P68B1DB1-Normal11"/>
              <w:spacing w:line="276" w:lineRule="auto"/>
              <w:jc w:val="center"/>
              <w:rPr>
                <w:noProof/>
              </w:rPr>
            </w:pPr>
            <w:r>
              <w:rPr>
                <w:noProof/>
              </w:rPr>
              <w:t xml:space="preserve">Ieguldījums 1.1. — Jaunu atkritumu apsaimniekošanas iekārtu </w:t>
            </w:r>
            <w:r>
              <w:rPr>
                <w:noProof/>
              </w:rPr>
              <w:t>ieviešana un esošo iekārtu modernizācija</w:t>
            </w:r>
          </w:p>
        </w:tc>
        <w:tc>
          <w:tcPr>
            <w:tcW w:w="1185" w:type="dxa"/>
            <w:shd w:val="clear" w:color="auto" w:fill="C6EFCE"/>
            <w:noWrap/>
            <w:vAlign w:val="center"/>
          </w:tcPr>
          <w:p w14:paraId="6C65129F"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7C884ED3" w14:textId="77777777" w:rsidR="00C972CB" w:rsidRDefault="002457F6">
            <w:pPr>
              <w:pStyle w:val="P68B1DB1-Normal11"/>
              <w:spacing w:line="276" w:lineRule="auto"/>
              <w:jc w:val="center"/>
              <w:rPr>
                <w:noProof/>
              </w:rPr>
            </w:pPr>
            <w:r>
              <w:rPr>
                <w:noProof/>
              </w:rPr>
              <w:t>Nelikumīgo atkritumu poligonu skaita samazināšana (T2)</w:t>
            </w:r>
          </w:p>
        </w:tc>
        <w:tc>
          <w:tcPr>
            <w:tcW w:w="1603" w:type="dxa"/>
            <w:shd w:val="clear" w:color="auto" w:fill="C6EFCE"/>
            <w:noWrap/>
            <w:vAlign w:val="center"/>
          </w:tcPr>
          <w:p w14:paraId="1444F89B"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350200D7" w14:textId="77777777" w:rsidR="00C972CB" w:rsidRDefault="002457F6">
            <w:pPr>
              <w:pStyle w:val="P68B1DB1-Normal11"/>
              <w:spacing w:line="276" w:lineRule="auto"/>
              <w:jc w:val="center"/>
              <w:rPr>
                <w:noProof/>
              </w:rPr>
            </w:pPr>
            <w:r>
              <w:rPr>
                <w:noProof/>
              </w:rPr>
              <w:t>Neregulāro atkritumu poligonu skaits</w:t>
            </w:r>
          </w:p>
        </w:tc>
        <w:tc>
          <w:tcPr>
            <w:tcW w:w="993" w:type="dxa"/>
            <w:shd w:val="clear" w:color="auto" w:fill="C6EFCE"/>
            <w:noWrap/>
            <w:vAlign w:val="center"/>
          </w:tcPr>
          <w:p w14:paraId="28E70A3B" w14:textId="77777777" w:rsidR="00C972CB" w:rsidRDefault="002457F6">
            <w:pPr>
              <w:pStyle w:val="P68B1DB1-Normal11"/>
              <w:spacing w:line="276" w:lineRule="auto"/>
              <w:jc w:val="center"/>
              <w:rPr>
                <w:noProof/>
              </w:rPr>
            </w:pPr>
            <w:r>
              <w:rPr>
                <w:noProof/>
              </w:rPr>
              <w:t>34</w:t>
            </w:r>
          </w:p>
        </w:tc>
        <w:tc>
          <w:tcPr>
            <w:tcW w:w="1162" w:type="dxa"/>
            <w:shd w:val="clear" w:color="auto" w:fill="C6EFCE"/>
            <w:noWrap/>
            <w:vAlign w:val="center"/>
          </w:tcPr>
          <w:p w14:paraId="42802FE8" w14:textId="77777777" w:rsidR="00C972CB" w:rsidRDefault="002457F6">
            <w:pPr>
              <w:pStyle w:val="P68B1DB1-Normal11"/>
              <w:spacing w:line="276" w:lineRule="auto"/>
              <w:jc w:val="center"/>
              <w:rPr>
                <w:noProof/>
              </w:rPr>
            </w:pPr>
            <w:r>
              <w:rPr>
                <w:noProof/>
              </w:rPr>
              <w:t>14</w:t>
            </w:r>
          </w:p>
        </w:tc>
        <w:tc>
          <w:tcPr>
            <w:tcW w:w="963" w:type="dxa"/>
            <w:shd w:val="clear" w:color="auto" w:fill="C6EFCE"/>
            <w:noWrap/>
            <w:vAlign w:val="center"/>
          </w:tcPr>
          <w:p w14:paraId="4ABAB325"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77776070" w14:textId="77777777" w:rsidR="00C972CB" w:rsidRDefault="002457F6">
            <w:pPr>
              <w:pStyle w:val="P68B1DB1-Normal11"/>
              <w:spacing w:line="276" w:lineRule="auto"/>
              <w:rPr>
                <w:noProof/>
              </w:rPr>
            </w:pPr>
            <w:r>
              <w:rPr>
                <w:noProof/>
              </w:rPr>
              <w:t>2023</w:t>
            </w:r>
          </w:p>
        </w:tc>
        <w:tc>
          <w:tcPr>
            <w:tcW w:w="3174" w:type="dxa"/>
            <w:shd w:val="clear" w:color="auto" w:fill="C6EFCE"/>
            <w:noWrap/>
            <w:vAlign w:val="center"/>
          </w:tcPr>
          <w:p w14:paraId="39BBAC43" w14:textId="77777777" w:rsidR="00C972CB" w:rsidRDefault="002457F6">
            <w:pPr>
              <w:pStyle w:val="P68B1DB1-Normal11"/>
              <w:rPr>
                <w:noProof/>
              </w:rPr>
            </w:pPr>
            <w:r>
              <w:rPr>
                <w:noProof/>
              </w:rPr>
              <w:t xml:space="preserve">Ierosinātie pasākumi atbalsta jaunu apstrādes un pārstrādes iekārtu būvniecību un esošo </w:t>
            </w:r>
            <w:r>
              <w:rPr>
                <w:noProof/>
              </w:rPr>
              <w:t>iekārtu tehnisko uzlabošanu. Turklāt pasākumu mērķis ir īstenot un digitalizēt dalītās savākšanas tīklu, lai atbalstītu un iesaistītu iedzīvotājus labas prakses ieviešanā atkritumu apsaimniekošanā. Ierosinātā intervence samazina pārkāpuma procedūrā 2011/22</w:t>
            </w:r>
            <w:r>
              <w:rPr>
                <w:noProof/>
              </w:rPr>
              <w:t>15 iekļauto nelikumīgo atkritumu poligonu skaitu no 34 līdz 14 (t. i., vismaz par 60 %).</w:t>
            </w:r>
          </w:p>
        </w:tc>
      </w:tr>
      <w:tr w:rsidR="00C972CB" w14:paraId="66558607" w14:textId="77777777">
        <w:trPr>
          <w:trHeight w:val="313"/>
          <w:jc w:val="center"/>
        </w:trPr>
        <w:tc>
          <w:tcPr>
            <w:tcW w:w="1220" w:type="dxa"/>
            <w:shd w:val="clear" w:color="auto" w:fill="C6EFCE"/>
            <w:noWrap/>
            <w:vAlign w:val="center"/>
          </w:tcPr>
          <w:p w14:paraId="0E5918F9" w14:textId="77777777" w:rsidR="00C972CB" w:rsidRDefault="002457F6">
            <w:pPr>
              <w:pStyle w:val="P68B1DB1-Normal11"/>
              <w:spacing w:line="276" w:lineRule="auto"/>
              <w:jc w:val="center"/>
              <w:rPr>
                <w:noProof/>
              </w:rPr>
            </w:pPr>
            <w:r>
              <w:rPr>
                <w:noProof/>
              </w:rPr>
              <w:t>M2C1–15.ter</w:t>
            </w:r>
          </w:p>
        </w:tc>
        <w:tc>
          <w:tcPr>
            <w:tcW w:w="1598" w:type="dxa"/>
            <w:shd w:val="clear" w:color="auto" w:fill="C6EFCE"/>
            <w:noWrap/>
            <w:vAlign w:val="center"/>
          </w:tcPr>
          <w:p w14:paraId="0B1FC155" w14:textId="77777777" w:rsidR="00C972CB" w:rsidRDefault="002457F6">
            <w:pPr>
              <w:pStyle w:val="P68B1DB1-Normal11"/>
              <w:spacing w:line="276" w:lineRule="auto"/>
              <w:jc w:val="center"/>
              <w:rPr>
                <w:noProof/>
              </w:rPr>
            </w:pPr>
            <w:r>
              <w:rPr>
                <w:noProof/>
              </w:rPr>
              <w:t>Reforma</w:t>
            </w:r>
          </w:p>
          <w:p w14:paraId="5C48882F" w14:textId="77777777" w:rsidR="00C972CB" w:rsidRDefault="002457F6">
            <w:pPr>
              <w:pStyle w:val="P68B1DB1-Normal11"/>
              <w:spacing w:line="276" w:lineRule="auto"/>
              <w:jc w:val="center"/>
              <w:rPr>
                <w:noProof/>
              </w:rPr>
            </w:pPr>
            <w:r>
              <w:rPr>
                <w:noProof/>
              </w:rPr>
              <w:t>Valsts atkritumu apsaimniekošanas programma:</w:t>
            </w:r>
          </w:p>
          <w:p w14:paraId="659D56A7" w14:textId="77777777" w:rsidR="00C972CB" w:rsidRDefault="00C972CB">
            <w:pPr>
              <w:spacing w:line="276" w:lineRule="auto"/>
              <w:jc w:val="center"/>
              <w:rPr>
                <w:rFonts w:ascii="Arial Narrow" w:hAnsi="Arial Narrow"/>
                <w:noProof/>
                <w:color w:val="006100"/>
                <w:sz w:val="20"/>
              </w:rPr>
            </w:pPr>
          </w:p>
          <w:p w14:paraId="60122DDE" w14:textId="77777777" w:rsidR="00C972CB" w:rsidRDefault="002457F6">
            <w:pPr>
              <w:pStyle w:val="P68B1DB1-Normal11"/>
              <w:spacing w:line="276" w:lineRule="auto"/>
              <w:jc w:val="center"/>
              <w:rPr>
                <w:noProof/>
              </w:rPr>
            </w:pPr>
            <w:r>
              <w:rPr>
                <w:noProof/>
              </w:rPr>
              <w:t>Ieguldījums 1.1. — Jaunu atkritumu apsaimniekošanas iekārtu ieviešana un esošo iekārtu modernizācija</w:t>
            </w:r>
          </w:p>
        </w:tc>
        <w:tc>
          <w:tcPr>
            <w:tcW w:w="1185" w:type="dxa"/>
            <w:shd w:val="clear" w:color="auto" w:fill="C6EFCE"/>
            <w:noWrap/>
            <w:vAlign w:val="center"/>
          </w:tcPr>
          <w:p w14:paraId="34767863"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3FF54688" w14:textId="77777777" w:rsidR="00C972CB" w:rsidRDefault="002457F6">
            <w:pPr>
              <w:pStyle w:val="P68B1DB1-Normal11"/>
              <w:spacing w:line="276" w:lineRule="auto"/>
              <w:jc w:val="center"/>
              <w:rPr>
                <w:noProof/>
              </w:rPr>
            </w:pPr>
            <w:r>
              <w:rPr>
                <w:noProof/>
              </w:rPr>
              <w:t>Reģionālās atšķirības dalītajā savākšanā</w:t>
            </w:r>
          </w:p>
        </w:tc>
        <w:tc>
          <w:tcPr>
            <w:tcW w:w="1603" w:type="dxa"/>
            <w:shd w:val="clear" w:color="auto" w:fill="C6EFCE"/>
            <w:noWrap/>
            <w:vAlign w:val="center"/>
          </w:tcPr>
          <w:p w14:paraId="3F9F9DB5"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6971FB79" w14:textId="77777777" w:rsidR="00C972CB" w:rsidRDefault="002457F6">
            <w:pPr>
              <w:pStyle w:val="P68B1DB1-Normal11"/>
              <w:spacing w:line="276" w:lineRule="auto"/>
              <w:jc w:val="center"/>
              <w:rPr>
                <w:noProof/>
              </w:rPr>
            </w:pPr>
            <w:r>
              <w:rPr>
                <w:noProof/>
              </w:rPr>
              <w:t>Procentpunkti</w:t>
            </w:r>
          </w:p>
        </w:tc>
        <w:tc>
          <w:tcPr>
            <w:tcW w:w="993" w:type="dxa"/>
            <w:shd w:val="clear" w:color="auto" w:fill="C6EFCE"/>
            <w:noWrap/>
            <w:vAlign w:val="center"/>
          </w:tcPr>
          <w:p w14:paraId="54C93F2D" w14:textId="77777777" w:rsidR="00C972CB" w:rsidRDefault="002457F6">
            <w:pPr>
              <w:pStyle w:val="P68B1DB1-Normal11"/>
              <w:spacing w:line="276" w:lineRule="auto"/>
              <w:jc w:val="center"/>
              <w:rPr>
                <w:noProof/>
              </w:rPr>
            </w:pPr>
            <w:r>
              <w:rPr>
                <w:noProof/>
              </w:rPr>
              <w:t>22.8</w:t>
            </w:r>
          </w:p>
        </w:tc>
        <w:tc>
          <w:tcPr>
            <w:tcW w:w="1162" w:type="dxa"/>
            <w:shd w:val="clear" w:color="auto" w:fill="C6EFCE"/>
            <w:noWrap/>
            <w:vAlign w:val="center"/>
          </w:tcPr>
          <w:p w14:paraId="4789829B" w14:textId="77777777" w:rsidR="00C972CB" w:rsidRDefault="002457F6">
            <w:pPr>
              <w:pStyle w:val="P68B1DB1-Normal11"/>
              <w:spacing w:line="276" w:lineRule="auto"/>
              <w:jc w:val="center"/>
              <w:rPr>
                <w:noProof/>
              </w:rPr>
            </w:pPr>
            <w:r>
              <w:rPr>
                <w:noProof/>
              </w:rPr>
              <w:t>20</w:t>
            </w:r>
          </w:p>
        </w:tc>
        <w:tc>
          <w:tcPr>
            <w:tcW w:w="963" w:type="dxa"/>
            <w:shd w:val="clear" w:color="auto" w:fill="C6EFCE"/>
            <w:noWrap/>
            <w:vAlign w:val="center"/>
          </w:tcPr>
          <w:p w14:paraId="0164454F"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7EC3A8BC" w14:textId="77777777" w:rsidR="00C972CB" w:rsidRDefault="002457F6">
            <w:pPr>
              <w:pStyle w:val="P68B1DB1-Normal11"/>
              <w:spacing w:line="276" w:lineRule="auto"/>
              <w:rPr>
                <w:noProof/>
              </w:rPr>
            </w:pPr>
            <w:r>
              <w:rPr>
                <w:noProof/>
              </w:rPr>
              <w:t>2023</w:t>
            </w:r>
          </w:p>
        </w:tc>
        <w:tc>
          <w:tcPr>
            <w:tcW w:w="3174" w:type="dxa"/>
            <w:shd w:val="clear" w:color="auto" w:fill="C6EFCE"/>
            <w:noWrap/>
            <w:vAlign w:val="center"/>
          </w:tcPr>
          <w:p w14:paraId="332D279D" w14:textId="77777777" w:rsidR="00C972CB" w:rsidRDefault="002457F6">
            <w:pPr>
              <w:pStyle w:val="P68B1DB1-Normal11"/>
              <w:spacing w:line="276" w:lineRule="auto"/>
              <w:rPr>
                <w:noProof/>
              </w:rPr>
            </w:pPr>
            <w:r>
              <w:rPr>
                <w:noProof/>
              </w:rPr>
              <w:t xml:space="preserve">Ierosinātie pasākumi atbalsta jaunu apstrādes un pārstrādes iekārtu būvniecību un esošo iekārtu tehnisko uzlabošanu. Turklāt pasākumu mērķis ir īstenot un </w:t>
            </w:r>
            <w:r>
              <w:rPr>
                <w:noProof/>
              </w:rPr>
              <w:t>digitalizēt dalītās savākšanas tīklu, lai atbalstītu un iesaistītu iedzīvotājus labas prakses ieviešanā atkritumu apsaimniekošanā. Starpība starp valsts vidējo rādītāju un reģionu ar sliktākajiem rādītājiem dalītajā savākšanā ir samazināta līdz 20 procentp</w:t>
            </w:r>
            <w:r>
              <w:rPr>
                <w:noProof/>
              </w:rPr>
              <w:t>unktiem.</w:t>
            </w:r>
          </w:p>
        </w:tc>
      </w:tr>
      <w:tr w:rsidR="00C972CB" w14:paraId="659A7C70" w14:textId="77777777">
        <w:trPr>
          <w:trHeight w:val="313"/>
          <w:jc w:val="center"/>
        </w:trPr>
        <w:tc>
          <w:tcPr>
            <w:tcW w:w="1220" w:type="dxa"/>
            <w:shd w:val="clear" w:color="auto" w:fill="C6EFCE"/>
            <w:noWrap/>
            <w:vAlign w:val="center"/>
          </w:tcPr>
          <w:p w14:paraId="7A03AC22" w14:textId="77777777" w:rsidR="00C972CB" w:rsidRDefault="002457F6">
            <w:pPr>
              <w:pStyle w:val="P68B1DB1-Normal11"/>
              <w:spacing w:line="276" w:lineRule="auto"/>
              <w:jc w:val="center"/>
              <w:rPr>
                <w:noProof/>
              </w:rPr>
            </w:pPr>
            <w:r>
              <w:rPr>
                <w:noProof/>
              </w:rPr>
              <w:t>M2C1–15 ceturtd.</w:t>
            </w:r>
          </w:p>
        </w:tc>
        <w:tc>
          <w:tcPr>
            <w:tcW w:w="1598" w:type="dxa"/>
            <w:shd w:val="clear" w:color="auto" w:fill="C6EFCE"/>
            <w:noWrap/>
            <w:vAlign w:val="center"/>
          </w:tcPr>
          <w:p w14:paraId="79EF7C46" w14:textId="77777777" w:rsidR="00C972CB" w:rsidRDefault="002457F6">
            <w:pPr>
              <w:pStyle w:val="P68B1DB1-Normal11"/>
              <w:spacing w:line="276" w:lineRule="auto"/>
              <w:jc w:val="center"/>
              <w:rPr>
                <w:noProof/>
              </w:rPr>
            </w:pPr>
            <w:r>
              <w:rPr>
                <w:noProof/>
              </w:rPr>
              <w:t>Ieguldījums 1.1. — Jaunu atkritumu apsaimniekošanas iekārtu ieviešana un esošo iekārtu modernizācija</w:t>
            </w:r>
          </w:p>
        </w:tc>
        <w:tc>
          <w:tcPr>
            <w:tcW w:w="1185" w:type="dxa"/>
            <w:shd w:val="clear" w:color="auto" w:fill="C6EFCE"/>
            <w:noWrap/>
            <w:vAlign w:val="center"/>
          </w:tcPr>
          <w:p w14:paraId="737F873B" w14:textId="77777777" w:rsidR="00C972CB" w:rsidRDefault="002457F6">
            <w:pPr>
              <w:pStyle w:val="P68B1DB1-Normal11"/>
              <w:spacing w:line="276" w:lineRule="auto"/>
              <w:jc w:val="center"/>
              <w:rPr>
                <w:noProof/>
              </w:rPr>
            </w:pPr>
            <w:r>
              <w:rPr>
                <w:noProof/>
              </w:rPr>
              <w:t>Starpposma mērķis</w:t>
            </w:r>
          </w:p>
        </w:tc>
        <w:tc>
          <w:tcPr>
            <w:tcW w:w="1732" w:type="dxa"/>
            <w:shd w:val="clear" w:color="auto" w:fill="C6EFCE"/>
            <w:noWrap/>
            <w:vAlign w:val="center"/>
          </w:tcPr>
          <w:p w14:paraId="7E73E1BC" w14:textId="77777777" w:rsidR="00C972CB" w:rsidRDefault="002457F6">
            <w:pPr>
              <w:pStyle w:val="P68B1DB1-Normal11"/>
              <w:spacing w:line="276" w:lineRule="auto"/>
              <w:jc w:val="center"/>
              <w:rPr>
                <w:noProof/>
              </w:rPr>
            </w:pPr>
            <w:r>
              <w:rPr>
                <w:noProof/>
              </w:rPr>
              <w:t>Bioatkritumu dalītas savākšanas pienākuma stāšanās spēkā</w:t>
            </w:r>
          </w:p>
        </w:tc>
        <w:tc>
          <w:tcPr>
            <w:tcW w:w="1603" w:type="dxa"/>
            <w:shd w:val="clear" w:color="auto" w:fill="C6EFCE"/>
            <w:noWrap/>
            <w:vAlign w:val="center"/>
          </w:tcPr>
          <w:p w14:paraId="3EA7DA84" w14:textId="77777777" w:rsidR="00C972CB" w:rsidRDefault="002457F6">
            <w:pPr>
              <w:pStyle w:val="P68B1DB1-Normal11"/>
              <w:spacing w:line="276" w:lineRule="auto"/>
              <w:jc w:val="center"/>
              <w:rPr>
                <w:noProof/>
              </w:rPr>
            </w:pPr>
            <w:r>
              <w:rPr>
                <w:noProof/>
              </w:rPr>
              <w:t>Likuma norma, kas norāda uz stāšanos spēkā</w:t>
            </w:r>
          </w:p>
        </w:tc>
        <w:tc>
          <w:tcPr>
            <w:tcW w:w="1275" w:type="dxa"/>
            <w:shd w:val="clear" w:color="auto" w:fill="C6EFCE"/>
            <w:noWrap/>
            <w:vAlign w:val="center"/>
          </w:tcPr>
          <w:p w14:paraId="4876BF1D"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0E8E881D"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0D088C71" w14:textId="77777777" w:rsidR="00C972CB" w:rsidRDefault="002457F6">
            <w:pPr>
              <w:pStyle w:val="P68B1DB1-Normal11"/>
              <w:spacing w:line="276" w:lineRule="auto"/>
              <w:jc w:val="center"/>
              <w:rPr>
                <w:noProof/>
              </w:rPr>
            </w:pPr>
            <w:r>
              <w:rPr>
                <w:noProof/>
              </w:rPr>
              <w:t>NEPIEMĒRO</w:t>
            </w:r>
          </w:p>
        </w:tc>
        <w:tc>
          <w:tcPr>
            <w:tcW w:w="963" w:type="dxa"/>
            <w:shd w:val="clear" w:color="auto" w:fill="C6EFCE"/>
            <w:noWrap/>
            <w:vAlign w:val="center"/>
          </w:tcPr>
          <w:p w14:paraId="1C007E9B"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5A05B296" w14:textId="77777777" w:rsidR="00C972CB" w:rsidRDefault="002457F6">
            <w:pPr>
              <w:pStyle w:val="P68B1DB1-Normal11"/>
              <w:spacing w:line="276" w:lineRule="auto"/>
              <w:rPr>
                <w:noProof/>
              </w:rPr>
            </w:pPr>
            <w:r>
              <w:rPr>
                <w:noProof/>
              </w:rPr>
              <w:t>2023</w:t>
            </w:r>
          </w:p>
        </w:tc>
        <w:tc>
          <w:tcPr>
            <w:tcW w:w="3174" w:type="dxa"/>
            <w:shd w:val="clear" w:color="auto" w:fill="C6EFCE"/>
            <w:noWrap/>
            <w:vAlign w:val="center"/>
          </w:tcPr>
          <w:p w14:paraId="27A0F9C3" w14:textId="77777777" w:rsidR="00C972CB" w:rsidRDefault="002457F6">
            <w:pPr>
              <w:pStyle w:val="P68B1DB1-Normal11"/>
              <w:spacing w:line="276" w:lineRule="auto"/>
              <w:rPr>
                <w:noProof/>
              </w:rPr>
            </w:pPr>
            <w:r>
              <w:rPr>
                <w:noProof/>
              </w:rPr>
              <w:t>Bioatkritumu dalītās savākšanas pienākums stājas spēkā līdz 2023. gada 31. decembrim saskaņā ar ES aprites ekonomikas rīcības plānu.</w:t>
            </w:r>
          </w:p>
        </w:tc>
      </w:tr>
      <w:tr w:rsidR="00C972CB" w14:paraId="19B9145B" w14:textId="77777777">
        <w:trPr>
          <w:trHeight w:val="313"/>
          <w:jc w:val="center"/>
        </w:trPr>
        <w:tc>
          <w:tcPr>
            <w:tcW w:w="1220" w:type="dxa"/>
            <w:shd w:val="clear" w:color="auto" w:fill="C6EFCE"/>
            <w:noWrap/>
            <w:vAlign w:val="center"/>
          </w:tcPr>
          <w:p w14:paraId="72A4C347" w14:textId="77777777" w:rsidR="00C972CB" w:rsidRDefault="002457F6">
            <w:pPr>
              <w:pStyle w:val="P68B1DB1-Normal11"/>
              <w:spacing w:line="276" w:lineRule="auto"/>
              <w:jc w:val="center"/>
              <w:rPr>
                <w:noProof/>
              </w:rPr>
            </w:pPr>
            <w:r>
              <w:rPr>
                <w:noProof/>
              </w:rPr>
              <w:t>M2C1–16</w:t>
            </w:r>
          </w:p>
        </w:tc>
        <w:tc>
          <w:tcPr>
            <w:tcW w:w="1598" w:type="dxa"/>
            <w:shd w:val="clear" w:color="auto" w:fill="C6EFCE"/>
            <w:noWrap/>
            <w:vAlign w:val="center"/>
          </w:tcPr>
          <w:p w14:paraId="19E4D3A9" w14:textId="77777777" w:rsidR="00C972CB" w:rsidRDefault="002457F6">
            <w:pPr>
              <w:pStyle w:val="P68B1DB1-Normal11"/>
              <w:spacing w:line="276" w:lineRule="auto"/>
              <w:jc w:val="center"/>
              <w:rPr>
                <w:noProof/>
              </w:rPr>
            </w:pPr>
            <w:r>
              <w:rPr>
                <w:noProof/>
              </w:rPr>
              <w:t xml:space="preserve">Ieguldījums 1.1. — Jaunu atkritumu apsaimniekošanas iekārtu ieviešana un esošo </w:t>
            </w:r>
            <w:r>
              <w:rPr>
                <w:noProof/>
              </w:rPr>
              <w:t>iekārtu modernizācija</w:t>
            </w:r>
          </w:p>
        </w:tc>
        <w:tc>
          <w:tcPr>
            <w:tcW w:w="1185" w:type="dxa"/>
            <w:shd w:val="clear" w:color="auto" w:fill="C6EFCE"/>
            <w:noWrap/>
            <w:vAlign w:val="center"/>
          </w:tcPr>
          <w:p w14:paraId="7A98C445"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30B16159" w14:textId="77777777" w:rsidR="00C972CB" w:rsidRDefault="002457F6">
            <w:pPr>
              <w:pStyle w:val="P68B1DB1-Normal11"/>
              <w:spacing w:line="276" w:lineRule="auto"/>
              <w:jc w:val="center"/>
              <w:rPr>
                <w:noProof/>
              </w:rPr>
            </w:pPr>
            <w:r>
              <w:rPr>
                <w:noProof/>
              </w:rPr>
              <w:t>Neregulāri atkritumu poligoni</w:t>
            </w:r>
          </w:p>
        </w:tc>
        <w:tc>
          <w:tcPr>
            <w:tcW w:w="1603" w:type="dxa"/>
            <w:shd w:val="clear" w:color="auto" w:fill="C6EFCE"/>
            <w:noWrap/>
            <w:vAlign w:val="center"/>
          </w:tcPr>
          <w:p w14:paraId="1FF06575"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6470EFFA" w14:textId="77777777" w:rsidR="00C972CB" w:rsidRDefault="002457F6">
            <w:pPr>
              <w:pStyle w:val="P68B1DB1-Normal11"/>
              <w:spacing w:line="276" w:lineRule="auto"/>
              <w:jc w:val="center"/>
              <w:rPr>
                <w:noProof/>
              </w:rPr>
            </w:pPr>
            <w:r>
              <w:rPr>
                <w:noProof/>
              </w:rPr>
              <w:t>Neregulāro atkritumu poligonu skaits</w:t>
            </w:r>
          </w:p>
        </w:tc>
        <w:tc>
          <w:tcPr>
            <w:tcW w:w="993" w:type="dxa"/>
            <w:shd w:val="clear" w:color="auto" w:fill="C6EFCE"/>
            <w:noWrap/>
            <w:vAlign w:val="center"/>
          </w:tcPr>
          <w:p w14:paraId="5BB325AE" w14:textId="77777777" w:rsidR="00C972CB" w:rsidRDefault="002457F6">
            <w:pPr>
              <w:pStyle w:val="P68B1DB1-Normal11"/>
              <w:spacing w:line="276" w:lineRule="auto"/>
              <w:jc w:val="center"/>
              <w:rPr>
                <w:noProof/>
              </w:rPr>
            </w:pPr>
            <w:r>
              <w:rPr>
                <w:noProof/>
              </w:rPr>
              <w:t>11</w:t>
            </w:r>
          </w:p>
        </w:tc>
        <w:tc>
          <w:tcPr>
            <w:tcW w:w="1162" w:type="dxa"/>
            <w:shd w:val="clear" w:color="auto" w:fill="C6EFCE"/>
            <w:noWrap/>
            <w:vAlign w:val="center"/>
          </w:tcPr>
          <w:p w14:paraId="02B97894" w14:textId="77777777" w:rsidR="00C972CB" w:rsidRDefault="002457F6">
            <w:pPr>
              <w:pStyle w:val="P68B1DB1-Normal11"/>
              <w:spacing w:line="276" w:lineRule="auto"/>
              <w:jc w:val="center"/>
              <w:rPr>
                <w:noProof/>
              </w:rPr>
            </w:pPr>
            <w:r>
              <w:rPr>
                <w:noProof/>
              </w:rPr>
              <w:t>0</w:t>
            </w:r>
          </w:p>
        </w:tc>
        <w:tc>
          <w:tcPr>
            <w:tcW w:w="963" w:type="dxa"/>
            <w:shd w:val="clear" w:color="auto" w:fill="C6EFCE"/>
            <w:noWrap/>
            <w:vAlign w:val="center"/>
          </w:tcPr>
          <w:p w14:paraId="20537C9E" w14:textId="77777777" w:rsidR="00C972CB" w:rsidRDefault="002457F6">
            <w:pPr>
              <w:pStyle w:val="P68B1DB1-Normal11"/>
              <w:spacing w:line="276" w:lineRule="auto"/>
              <w:jc w:val="center"/>
              <w:rPr>
                <w:noProof/>
              </w:rPr>
            </w:pPr>
            <w:r>
              <w:rPr>
                <w:noProof/>
              </w:rPr>
              <w:t>2. CET.</w:t>
            </w:r>
          </w:p>
        </w:tc>
        <w:tc>
          <w:tcPr>
            <w:tcW w:w="710" w:type="dxa"/>
            <w:shd w:val="clear" w:color="auto" w:fill="C6EFCE"/>
            <w:noWrap/>
            <w:vAlign w:val="center"/>
          </w:tcPr>
          <w:p w14:paraId="3DE06B61" w14:textId="77777777" w:rsidR="00C972CB" w:rsidRDefault="002457F6">
            <w:pPr>
              <w:pStyle w:val="P68B1DB1-Normal11"/>
              <w:spacing w:line="276" w:lineRule="auto"/>
              <w:rPr>
                <w:noProof/>
              </w:rPr>
            </w:pPr>
            <w:r>
              <w:rPr>
                <w:noProof/>
              </w:rPr>
              <w:t>2026</w:t>
            </w:r>
          </w:p>
        </w:tc>
        <w:tc>
          <w:tcPr>
            <w:tcW w:w="3174" w:type="dxa"/>
            <w:shd w:val="clear" w:color="auto" w:fill="C6EFCE"/>
            <w:noWrap/>
            <w:vAlign w:val="center"/>
          </w:tcPr>
          <w:p w14:paraId="1C7D9B3C" w14:textId="1EC418F0" w:rsidR="00C972CB" w:rsidRDefault="002457F6">
            <w:pPr>
              <w:pStyle w:val="P68B1DB1-Normal11"/>
              <w:spacing w:line="276" w:lineRule="auto"/>
              <w:rPr>
                <w:noProof/>
              </w:rPr>
            </w:pPr>
            <w:r>
              <w:rPr>
                <w:noProof/>
              </w:rPr>
              <w:t>Ierosinātie pasākumi atbalsta jaunu apstrādes un pārstrādes iekārtu būvniecību un esošo iekārtu tehnisko uzlabošanu. Turklāt pasākumu</w:t>
            </w:r>
            <w:r>
              <w:rPr>
                <w:noProof/>
              </w:rPr>
              <w:t xml:space="preserve"> mērķis ir īstenot un digitalizēt dalītās savākšanas tīklu, lai atbalstītu un iesaistītu iedzīvotājus labas prakses ieviešanā atkritumu apsaimniekošanā. Ierosinātā intervence samazina pārkāpuma procedūrā 2003/2077 iekļauto nelikumīgo atkritumu poligonu ska</w:t>
            </w:r>
            <w:r>
              <w:rPr>
                <w:noProof/>
              </w:rPr>
              <w:t>itu no 11 līdz 0 (t. i., vismaz 100 %).</w:t>
            </w:r>
          </w:p>
        </w:tc>
      </w:tr>
      <w:tr w:rsidR="00C972CB" w14:paraId="3D9C9CE5" w14:textId="77777777">
        <w:trPr>
          <w:trHeight w:val="313"/>
          <w:jc w:val="center"/>
        </w:trPr>
        <w:tc>
          <w:tcPr>
            <w:tcW w:w="1220" w:type="dxa"/>
            <w:shd w:val="clear" w:color="auto" w:fill="C6EFCE"/>
            <w:noWrap/>
            <w:vAlign w:val="center"/>
          </w:tcPr>
          <w:p w14:paraId="6C4EAC71" w14:textId="77777777" w:rsidR="00C972CB" w:rsidRDefault="002457F6">
            <w:pPr>
              <w:pStyle w:val="P68B1DB1-Normal11"/>
              <w:spacing w:line="276" w:lineRule="auto"/>
              <w:jc w:val="center"/>
              <w:rPr>
                <w:noProof/>
              </w:rPr>
            </w:pPr>
            <w:r>
              <w:rPr>
                <w:noProof/>
              </w:rPr>
              <w:t>M2C1–16.a</w:t>
            </w:r>
          </w:p>
        </w:tc>
        <w:tc>
          <w:tcPr>
            <w:tcW w:w="1598" w:type="dxa"/>
            <w:shd w:val="clear" w:color="auto" w:fill="C6EFCE"/>
            <w:noWrap/>
            <w:vAlign w:val="center"/>
          </w:tcPr>
          <w:p w14:paraId="213A4C89" w14:textId="77777777" w:rsidR="00C972CB" w:rsidRDefault="00C972CB">
            <w:pPr>
              <w:spacing w:line="276" w:lineRule="auto"/>
              <w:jc w:val="center"/>
              <w:rPr>
                <w:rFonts w:ascii="Arial Narrow" w:hAnsi="Arial Narrow"/>
                <w:noProof/>
                <w:color w:val="006100"/>
                <w:sz w:val="20"/>
              </w:rPr>
            </w:pPr>
          </w:p>
          <w:p w14:paraId="5496E362" w14:textId="77777777" w:rsidR="00C972CB" w:rsidRDefault="002457F6">
            <w:pPr>
              <w:pStyle w:val="P68B1DB1-Normal11"/>
              <w:spacing w:line="276" w:lineRule="auto"/>
              <w:jc w:val="center"/>
              <w:rPr>
                <w:noProof/>
              </w:rPr>
            </w:pPr>
            <w:r>
              <w:rPr>
                <w:noProof/>
              </w:rPr>
              <w:t>Ieguldījums 1.1. — Jaunu atkritumu apsaimniekošanas iekārtu ieviešana un esošo iekārtu modernizācija</w:t>
            </w:r>
          </w:p>
        </w:tc>
        <w:tc>
          <w:tcPr>
            <w:tcW w:w="1185" w:type="dxa"/>
            <w:shd w:val="clear" w:color="auto" w:fill="C6EFCE"/>
            <w:noWrap/>
            <w:vAlign w:val="center"/>
          </w:tcPr>
          <w:p w14:paraId="3B9E089C"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38BD12A0" w14:textId="77777777" w:rsidR="00C972CB" w:rsidRDefault="002457F6">
            <w:pPr>
              <w:pStyle w:val="P68B1DB1-Normal11"/>
              <w:spacing w:line="276" w:lineRule="auto"/>
              <w:jc w:val="center"/>
              <w:rPr>
                <w:noProof/>
              </w:rPr>
            </w:pPr>
            <w:r>
              <w:rPr>
                <w:noProof/>
              </w:rPr>
              <w:t>Neregulāri atkritumu poligoni</w:t>
            </w:r>
          </w:p>
        </w:tc>
        <w:tc>
          <w:tcPr>
            <w:tcW w:w="1603" w:type="dxa"/>
            <w:shd w:val="clear" w:color="auto" w:fill="C6EFCE"/>
            <w:noWrap/>
            <w:vAlign w:val="center"/>
          </w:tcPr>
          <w:p w14:paraId="488068AE"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013CABEA" w14:textId="77777777" w:rsidR="00C972CB" w:rsidRDefault="002457F6">
            <w:pPr>
              <w:pStyle w:val="P68B1DB1-Normal11"/>
              <w:spacing w:line="276" w:lineRule="auto"/>
              <w:jc w:val="center"/>
              <w:rPr>
                <w:noProof/>
              </w:rPr>
            </w:pPr>
            <w:r>
              <w:rPr>
                <w:noProof/>
              </w:rPr>
              <w:t>Neregulāro atkritumu poligonu skaits</w:t>
            </w:r>
          </w:p>
        </w:tc>
        <w:tc>
          <w:tcPr>
            <w:tcW w:w="993" w:type="dxa"/>
            <w:shd w:val="clear" w:color="auto" w:fill="C6EFCE"/>
            <w:noWrap/>
            <w:vAlign w:val="center"/>
          </w:tcPr>
          <w:p w14:paraId="0F9BD52D" w14:textId="77777777" w:rsidR="00C972CB" w:rsidRDefault="002457F6">
            <w:pPr>
              <w:pStyle w:val="P68B1DB1-Normal11"/>
              <w:spacing w:line="276" w:lineRule="auto"/>
              <w:jc w:val="center"/>
              <w:rPr>
                <w:noProof/>
              </w:rPr>
            </w:pPr>
            <w:r>
              <w:rPr>
                <w:noProof/>
              </w:rPr>
              <w:t>14</w:t>
            </w:r>
          </w:p>
        </w:tc>
        <w:tc>
          <w:tcPr>
            <w:tcW w:w="1162" w:type="dxa"/>
            <w:shd w:val="clear" w:color="auto" w:fill="C6EFCE"/>
            <w:noWrap/>
            <w:vAlign w:val="center"/>
          </w:tcPr>
          <w:p w14:paraId="684DD66B" w14:textId="77777777" w:rsidR="00C972CB" w:rsidRDefault="002457F6">
            <w:pPr>
              <w:pStyle w:val="P68B1DB1-Normal11"/>
              <w:spacing w:line="276" w:lineRule="auto"/>
              <w:jc w:val="center"/>
              <w:rPr>
                <w:noProof/>
              </w:rPr>
            </w:pPr>
            <w:r>
              <w:rPr>
                <w:noProof/>
              </w:rPr>
              <w:t>9</w:t>
            </w:r>
          </w:p>
        </w:tc>
        <w:tc>
          <w:tcPr>
            <w:tcW w:w="963" w:type="dxa"/>
            <w:shd w:val="clear" w:color="auto" w:fill="C6EFCE"/>
            <w:noWrap/>
            <w:vAlign w:val="center"/>
          </w:tcPr>
          <w:p w14:paraId="0D27BF9F"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48EEF268" w14:textId="77777777" w:rsidR="00C972CB" w:rsidRDefault="002457F6">
            <w:pPr>
              <w:pStyle w:val="P68B1DB1-Normal11"/>
              <w:spacing w:line="276" w:lineRule="auto"/>
              <w:rPr>
                <w:noProof/>
              </w:rPr>
            </w:pPr>
            <w:r>
              <w:rPr>
                <w:noProof/>
              </w:rPr>
              <w:t>2024</w:t>
            </w:r>
          </w:p>
        </w:tc>
        <w:tc>
          <w:tcPr>
            <w:tcW w:w="3174" w:type="dxa"/>
            <w:shd w:val="clear" w:color="auto" w:fill="C6EFCE"/>
            <w:noWrap/>
            <w:vAlign w:val="center"/>
          </w:tcPr>
          <w:p w14:paraId="64D795D9" w14:textId="63FD75FE" w:rsidR="00C972CB" w:rsidRDefault="002457F6">
            <w:pPr>
              <w:pStyle w:val="P68B1DB1-Normal11"/>
              <w:spacing w:line="276" w:lineRule="auto"/>
              <w:rPr>
                <w:noProof/>
              </w:rPr>
            </w:pPr>
            <w:r>
              <w:rPr>
                <w:noProof/>
              </w:rPr>
              <w:t>Ierosinātie pasākumi atbalsta jaunu apstrādes un pārstrādes iekārtu būvniecību un esošo iekārtu tehnisko uzlabošanu. Turklāt pasākumu mērķis ir īstenot un digitalizēt dalītās savākšanas tīklu, lai atbalstītu un iesaistītu iedzīvotājus labas prakses ievieša</w:t>
            </w:r>
            <w:r>
              <w:rPr>
                <w:noProof/>
              </w:rPr>
              <w:t>nā atkritumu apsaimniekošanā. Ierosinātā intervence samazina pārkāpuma procedūrā 2011/2215 iekļauto nelikumīgo atkritumu poligonu skaitu no 14 līdz 9 atkritumu poligoniem (t. i., vismaz 75 %).</w:t>
            </w:r>
          </w:p>
        </w:tc>
      </w:tr>
      <w:tr w:rsidR="00C972CB" w14:paraId="3441287E" w14:textId="77777777">
        <w:trPr>
          <w:trHeight w:val="313"/>
          <w:jc w:val="center"/>
        </w:trPr>
        <w:tc>
          <w:tcPr>
            <w:tcW w:w="1220" w:type="dxa"/>
            <w:shd w:val="clear" w:color="auto" w:fill="C6EFCE"/>
            <w:noWrap/>
            <w:vAlign w:val="center"/>
          </w:tcPr>
          <w:p w14:paraId="3C3BC8B8" w14:textId="77777777" w:rsidR="00C972CB" w:rsidRDefault="002457F6">
            <w:pPr>
              <w:pStyle w:val="P68B1DB1-Normal11"/>
              <w:spacing w:line="276" w:lineRule="auto"/>
              <w:jc w:val="center"/>
              <w:rPr>
                <w:noProof/>
              </w:rPr>
            </w:pPr>
            <w:r>
              <w:rPr>
                <w:noProof/>
              </w:rPr>
              <w:t>M2C1–16.ter</w:t>
            </w:r>
          </w:p>
        </w:tc>
        <w:tc>
          <w:tcPr>
            <w:tcW w:w="1598" w:type="dxa"/>
            <w:shd w:val="clear" w:color="auto" w:fill="C6EFCE"/>
            <w:noWrap/>
            <w:vAlign w:val="center"/>
          </w:tcPr>
          <w:p w14:paraId="5C901847" w14:textId="77777777" w:rsidR="00C972CB" w:rsidRDefault="002457F6">
            <w:pPr>
              <w:pStyle w:val="P68B1DB1-Normal11"/>
              <w:spacing w:line="276" w:lineRule="auto"/>
              <w:jc w:val="center"/>
              <w:rPr>
                <w:noProof/>
              </w:rPr>
            </w:pPr>
            <w:r>
              <w:rPr>
                <w:noProof/>
              </w:rPr>
              <w:t>Reforma</w:t>
            </w:r>
          </w:p>
          <w:p w14:paraId="1F00490A" w14:textId="77777777" w:rsidR="00C972CB" w:rsidRDefault="002457F6">
            <w:pPr>
              <w:pStyle w:val="P68B1DB1-Normal11"/>
              <w:spacing w:line="276" w:lineRule="auto"/>
              <w:jc w:val="center"/>
              <w:rPr>
                <w:noProof/>
              </w:rPr>
            </w:pPr>
            <w:r>
              <w:rPr>
                <w:noProof/>
              </w:rPr>
              <w:t xml:space="preserve">Valsts atkritumu apsaimniekošanas </w:t>
            </w:r>
            <w:r>
              <w:rPr>
                <w:noProof/>
              </w:rPr>
              <w:t>programma</w:t>
            </w:r>
          </w:p>
          <w:p w14:paraId="68FED807" w14:textId="77777777" w:rsidR="00C972CB" w:rsidRDefault="00C972CB">
            <w:pPr>
              <w:spacing w:line="276" w:lineRule="auto"/>
              <w:jc w:val="center"/>
              <w:rPr>
                <w:rFonts w:ascii="Arial Narrow" w:hAnsi="Arial Narrow"/>
                <w:noProof/>
                <w:color w:val="006100"/>
                <w:sz w:val="20"/>
              </w:rPr>
            </w:pPr>
          </w:p>
          <w:p w14:paraId="13B264C1" w14:textId="77777777" w:rsidR="00C972CB" w:rsidRDefault="002457F6">
            <w:pPr>
              <w:pStyle w:val="P68B1DB1-Normal11"/>
              <w:spacing w:line="276" w:lineRule="auto"/>
              <w:jc w:val="center"/>
              <w:rPr>
                <w:noProof/>
              </w:rPr>
            </w:pPr>
            <w:r>
              <w:rPr>
                <w:noProof/>
              </w:rPr>
              <w:t>Ieguldījums 1.1. — Jaunu atkritumu apsaimniekošanas iekārtu ieviešana un esošo iekārtu modernizācija</w:t>
            </w:r>
          </w:p>
        </w:tc>
        <w:tc>
          <w:tcPr>
            <w:tcW w:w="1185" w:type="dxa"/>
            <w:shd w:val="clear" w:color="auto" w:fill="C6EFCE"/>
            <w:noWrap/>
            <w:vAlign w:val="center"/>
          </w:tcPr>
          <w:p w14:paraId="3DCFFC48"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6F0E2A86" w14:textId="77777777" w:rsidR="00C972CB" w:rsidRDefault="002457F6">
            <w:pPr>
              <w:pStyle w:val="P68B1DB1-Normal11"/>
              <w:spacing w:line="276" w:lineRule="auto"/>
              <w:jc w:val="center"/>
              <w:rPr>
                <w:noProof/>
              </w:rPr>
            </w:pPr>
            <w:r>
              <w:rPr>
                <w:noProof/>
              </w:rPr>
              <w:t>Dalītas savākšanas rādītāju reģionālās atšķirības</w:t>
            </w:r>
          </w:p>
        </w:tc>
        <w:tc>
          <w:tcPr>
            <w:tcW w:w="1603" w:type="dxa"/>
            <w:shd w:val="clear" w:color="auto" w:fill="C6EFCE"/>
            <w:noWrap/>
            <w:vAlign w:val="center"/>
          </w:tcPr>
          <w:p w14:paraId="0D8244C1"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59944D25" w14:textId="77777777" w:rsidR="00C972CB" w:rsidRDefault="002457F6">
            <w:pPr>
              <w:pStyle w:val="P68B1DB1-Normal11"/>
              <w:spacing w:line="276" w:lineRule="auto"/>
              <w:jc w:val="center"/>
              <w:rPr>
                <w:noProof/>
              </w:rPr>
            </w:pPr>
            <w:r>
              <w:rPr>
                <w:noProof/>
              </w:rPr>
              <w:t>Procentpunkti</w:t>
            </w:r>
          </w:p>
        </w:tc>
        <w:tc>
          <w:tcPr>
            <w:tcW w:w="993" w:type="dxa"/>
            <w:shd w:val="clear" w:color="auto" w:fill="C6EFCE"/>
            <w:noWrap/>
            <w:vAlign w:val="center"/>
          </w:tcPr>
          <w:p w14:paraId="296064A7" w14:textId="77777777" w:rsidR="00C972CB" w:rsidRDefault="002457F6">
            <w:pPr>
              <w:pStyle w:val="P68B1DB1-Normal11"/>
              <w:spacing w:line="276" w:lineRule="auto"/>
              <w:jc w:val="center"/>
              <w:rPr>
                <w:noProof/>
              </w:rPr>
            </w:pPr>
            <w:r>
              <w:rPr>
                <w:noProof/>
              </w:rPr>
              <w:t>27,6</w:t>
            </w:r>
          </w:p>
        </w:tc>
        <w:tc>
          <w:tcPr>
            <w:tcW w:w="1162" w:type="dxa"/>
            <w:shd w:val="clear" w:color="auto" w:fill="C6EFCE"/>
            <w:noWrap/>
            <w:vAlign w:val="center"/>
          </w:tcPr>
          <w:p w14:paraId="720216D5" w14:textId="77777777" w:rsidR="00C972CB" w:rsidRDefault="002457F6">
            <w:pPr>
              <w:pStyle w:val="P68B1DB1-Normal11"/>
              <w:spacing w:line="276" w:lineRule="auto"/>
              <w:jc w:val="center"/>
              <w:rPr>
                <w:noProof/>
              </w:rPr>
            </w:pPr>
            <w:r>
              <w:rPr>
                <w:noProof/>
              </w:rPr>
              <w:t>20</w:t>
            </w:r>
          </w:p>
        </w:tc>
        <w:tc>
          <w:tcPr>
            <w:tcW w:w="963" w:type="dxa"/>
            <w:shd w:val="clear" w:color="auto" w:fill="C6EFCE"/>
            <w:noWrap/>
            <w:vAlign w:val="center"/>
          </w:tcPr>
          <w:p w14:paraId="5532E41C"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1C65F465" w14:textId="77777777" w:rsidR="00C972CB" w:rsidRDefault="002457F6">
            <w:pPr>
              <w:pStyle w:val="P68B1DB1-Normal11"/>
              <w:spacing w:line="276" w:lineRule="auto"/>
              <w:rPr>
                <w:noProof/>
              </w:rPr>
            </w:pPr>
            <w:r>
              <w:rPr>
                <w:noProof/>
              </w:rPr>
              <w:t>2024</w:t>
            </w:r>
          </w:p>
        </w:tc>
        <w:tc>
          <w:tcPr>
            <w:tcW w:w="3174" w:type="dxa"/>
            <w:shd w:val="clear" w:color="auto" w:fill="C6EFCE"/>
            <w:noWrap/>
            <w:vAlign w:val="center"/>
          </w:tcPr>
          <w:p w14:paraId="0E5D8197" w14:textId="77777777" w:rsidR="00C972CB" w:rsidRDefault="002457F6">
            <w:pPr>
              <w:pStyle w:val="P68B1DB1-Normal11"/>
              <w:spacing w:before="60" w:after="120" w:line="276" w:lineRule="auto"/>
              <w:rPr>
                <w:noProof/>
              </w:rPr>
            </w:pPr>
            <w:r>
              <w:rPr>
                <w:noProof/>
              </w:rPr>
              <w:t xml:space="preserve">Ierosinātie pasākumi atbalsta jaunu </w:t>
            </w:r>
            <w:r>
              <w:rPr>
                <w:noProof/>
              </w:rPr>
              <w:t>apstrādes un pārstrādes iekārtu būvniecību un esošo iekārtu tehnisko uzlabošanu. Turklāt pasākumu mērķis ir īstenot un digitalizēt dalītās savākšanas tīklu, lai atbalstītu un iesaistītu iedzīvotājus labas prakses ieviešanā atkritumu apsaimniekošanā. Ierosi</w:t>
            </w:r>
            <w:r>
              <w:rPr>
                <w:noProof/>
              </w:rPr>
              <w:t>nātā intervence par 20 procentpunktiem samazina atšķirības starp vidējiem trim reģioniem ar labākajiem rādītājiem un trim reģioniem ar sliktākajiem rādītājiem dalītās savākšanas rādītājos.</w:t>
            </w:r>
          </w:p>
        </w:tc>
      </w:tr>
      <w:tr w:rsidR="00C972CB" w14:paraId="4C7F7771" w14:textId="77777777">
        <w:trPr>
          <w:trHeight w:val="313"/>
          <w:jc w:val="center"/>
        </w:trPr>
        <w:tc>
          <w:tcPr>
            <w:tcW w:w="1220" w:type="dxa"/>
            <w:shd w:val="clear" w:color="auto" w:fill="C6EFCE"/>
            <w:noWrap/>
            <w:vAlign w:val="center"/>
          </w:tcPr>
          <w:p w14:paraId="42BB2AD0" w14:textId="77777777" w:rsidR="00C972CB" w:rsidRDefault="002457F6">
            <w:pPr>
              <w:pStyle w:val="P68B1DB1-Normal11"/>
              <w:spacing w:line="276" w:lineRule="auto"/>
              <w:jc w:val="center"/>
              <w:rPr>
                <w:noProof/>
              </w:rPr>
            </w:pPr>
            <w:r>
              <w:rPr>
                <w:noProof/>
              </w:rPr>
              <w:t>M2C1–17</w:t>
            </w:r>
          </w:p>
        </w:tc>
        <w:tc>
          <w:tcPr>
            <w:tcW w:w="1598" w:type="dxa"/>
            <w:shd w:val="clear" w:color="auto" w:fill="C6EFCE"/>
            <w:noWrap/>
            <w:vAlign w:val="center"/>
          </w:tcPr>
          <w:p w14:paraId="69DFA255" w14:textId="77777777" w:rsidR="00C972CB" w:rsidRDefault="002457F6">
            <w:pPr>
              <w:pStyle w:val="P68B1DB1-Normal11"/>
              <w:spacing w:line="276" w:lineRule="auto"/>
              <w:jc w:val="center"/>
              <w:rPr>
                <w:noProof/>
              </w:rPr>
            </w:pPr>
            <w:r>
              <w:rPr>
                <w:noProof/>
              </w:rPr>
              <w:t>Investīcijas 1.2 — Aprites ekonomikas pamatprojekti</w:t>
            </w:r>
          </w:p>
        </w:tc>
        <w:tc>
          <w:tcPr>
            <w:tcW w:w="1185" w:type="dxa"/>
            <w:shd w:val="clear" w:color="auto" w:fill="C6EFCE"/>
            <w:noWrap/>
            <w:vAlign w:val="center"/>
          </w:tcPr>
          <w:p w14:paraId="4363828D"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6FC8BF73" w14:textId="7069B427" w:rsidR="00C972CB" w:rsidRDefault="002457F6">
            <w:pPr>
              <w:pStyle w:val="P68B1DB1-Normal11"/>
              <w:spacing w:line="276" w:lineRule="auto"/>
              <w:jc w:val="center"/>
              <w:rPr>
                <w:noProof/>
              </w:rPr>
            </w:pPr>
            <w:r>
              <w:rPr>
                <w:noProof/>
              </w:rPr>
              <w:t>Sadzīves atkritumu reciklēšanas rādītāji aprites ekonomikas rīcības plānā</w:t>
            </w:r>
          </w:p>
        </w:tc>
        <w:tc>
          <w:tcPr>
            <w:tcW w:w="1603" w:type="dxa"/>
            <w:shd w:val="clear" w:color="auto" w:fill="C6EFCE"/>
            <w:noWrap/>
            <w:vAlign w:val="center"/>
          </w:tcPr>
          <w:p w14:paraId="036596BE"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6B54A327" w14:textId="77777777" w:rsidR="00C972CB" w:rsidRDefault="002457F6">
            <w:pPr>
              <w:pStyle w:val="P68B1DB1-Normal11"/>
              <w:spacing w:line="276" w:lineRule="auto"/>
              <w:jc w:val="center"/>
              <w:rPr>
                <w:noProof/>
              </w:rPr>
            </w:pPr>
            <w:r>
              <w:rPr>
                <w:noProof/>
              </w:rPr>
              <w:t>Otrreizējas pārstrādes īpatsvars</w:t>
            </w:r>
          </w:p>
        </w:tc>
        <w:tc>
          <w:tcPr>
            <w:tcW w:w="993" w:type="dxa"/>
            <w:shd w:val="clear" w:color="auto" w:fill="C6EFCE"/>
            <w:noWrap/>
            <w:vAlign w:val="center"/>
          </w:tcPr>
          <w:p w14:paraId="29040ED9" w14:textId="5A89CC1E"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1BBA6217" w14:textId="77777777" w:rsidR="00C972CB" w:rsidRDefault="002457F6">
            <w:pPr>
              <w:pStyle w:val="P68B1DB1-Normal11"/>
              <w:spacing w:line="276" w:lineRule="auto"/>
              <w:jc w:val="center"/>
              <w:rPr>
                <w:noProof/>
              </w:rPr>
            </w:pPr>
            <w:r>
              <w:rPr>
                <w:noProof/>
              </w:rPr>
              <w:t>55</w:t>
            </w:r>
          </w:p>
        </w:tc>
        <w:tc>
          <w:tcPr>
            <w:tcW w:w="963" w:type="dxa"/>
            <w:shd w:val="clear" w:color="auto" w:fill="C6EFCE"/>
            <w:noWrap/>
            <w:vAlign w:val="center"/>
          </w:tcPr>
          <w:p w14:paraId="5851DC3A"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577A8F09"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682E1F9B" w14:textId="45FD352D" w:rsidR="00C972CB" w:rsidRDefault="002457F6">
            <w:pPr>
              <w:pStyle w:val="P68B1DB1-Normal11"/>
              <w:spacing w:before="60" w:after="120" w:line="276" w:lineRule="auto"/>
              <w:rPr>
                <w:noProof/>
              </w:rPr>
            </w:pPr>
            <w:r>
              <w:rPr>
                <w:noProof/>
              </w:rPr>
              <w:t xml:space="preserve">Sadzīves atkritumu reciklēšanas rādītājs sasniedz vismaz 55 % (kā noteikts 11. panta 2. punkta C) apakšpunktā </w:t>
            </w:r>
            <w:r>
              <w:rPr>
                <w:noProof/>
              </w:rPr>
              <w:t>Direktīvā 2008/98/EK par atkritumiem, kas grozīta ar Direktīvu 2018/851).</w:t>
            </w:r>
          </w:p>
        </w:tc>
      </w:tr>
      <w:tr w:rsidR="00C972CB" w14:paraId="5EA343E1" w14:textId="77777777">
        <w:trPr>
          <w:trHeight w:val="313"/>
          <w:jc w:val="center"/>
        </w:trPr>
        <w:tc>
          <w:tcPr>
            <w:tcW w:w="1220" w:type="dxa"/>
            <w:shd w:val="clear" w:color="auto" w:fill="C6EFCE"/>
            <w:noWrap/>
            <w:vAlign w:val="center"/>
          </w:tcPr>
          <w:p w14:paraId="511606BD" w14:textId="77777777" w:rsidR="00C972CB" w:rsidRDefault="002457F6">
            <w:pPr>
              <w:pStyle w:val="P68B1DB1-Normal11"/>
              <w:spacing w:line="276" w:lineRule="auto"/>
              <w:jc w:val="center"/>
              <w:rPr>
                <w:noProof/>
              </w:rPr>
            </w:pPr>
            <w:r>
              <w:rPr>
                <w:noProof/>
              </w:rPr>
              <w:t>M2C1–17.bis</w:t>
            </w:r>
          </w:p>
        </w:tc>
        <w:tc>
          <w:tcPr>
            <w:tcW w:w="1598" w:type="dxa"/>
            <w:shd w:val="clear" w:color="auto" w:fill="C6EFCE"/>
            <w:noWrap/>
            <w:vAlign w:val="center"/>
          </w:tcPr>
          <w:p w14:paraId="550D4E96" w14:textId="77777777" w:rsidR="00C972CB" w:rsidRDefault="002457F6">
            <w:pPr>
              <w:pStyle w:val="P68B1DB1-Normal11"/>
              <w:spacing w:line="276" w:lineRule="auto"/>
              <w:jc w:val="center"/>
              <w:rPr>
                <w:noProof/>
              </w:rPr>
            </w:pPr>
            <w:r>
              <w:rPr>
                <w:noProof/>
              </w:rPr>
              <w:t>Investīcijas 1.2 — Aprites ekonomikas pamatprojekti</w:t>
            </w:r>
          </w:p>
        </w:tc>
        <w:tc>
          <w:tcPr>
            <w:tcW w:w="1185" w:type="dxa"/>
            <w:shd w:val="clear" w:color="auto" w:fill="C6EFCE"/>
            <w:noWrap/>
            <w:vAlign w:val="center"/>
          </w:tcPr>
          <w:p w14:paraId="7A8CA6BB"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00E556C3" w14:textId="77777777" w:rsidR="00C972CB" w:rsidRDefault="002457F6">
            <w:pPr>
              <w:pStyle w:val="P68B1DB1-Normal11"/>
              <w:spacing w:line="276" w:lineRule="auto"/>
              <w:jc w:val="center"/>
              <w:rPr>
                <w:noProof/>
              </w:rPr>
            </w:pPr>
            <w:r>
              <w:rPr>
                <w:noProof/>
              </w:rPr>
              <w:t>Izlietotā iepakojuma reciklēšanas rādītāji aprites ekonomikas rīcības plānā</w:t>
            </w:r>
          </w:p>
        </w:tc>
        <w:tc>
          <w:tcPr>
            <w:tcW w:w="1603" w:type="dxa"/>
            <w:shd w:val="clear" w:color="auto" w:fill="C6EFCE"/>
            <w:noWrap/>
            <w:vAlign w:val="center"/>
          </w:tcPr>
          <w:p w14:paraId="793E3002"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61C4AD45" w14:textId="77777777" w:rsidR="00C972CB" w:rsidRDefault="002457F6">
            <w:pPr>
              <w:pStyle w:val="P68B1DB1-Normal11"/>
              <w:spacing w:line="276" w:lineRule="auto"/>
              <w:jc w:val="center"/>
              <w:rPr>
                <w:noProof/>
              </w:rPr>
            </w:pPr>
            <w:r>
              <w:rPr>
                <w:noProof/>
              </w:rPr>
              <w:t xml:space="preserve">Otrreizējas pārstrādes </w:t>
            </w:r>
            <w:r>
              <w:rPr>
                <w:noProof/>
              </w:rPr>
              <w:t>īpatsvars</w:t>
            </w:r>
          </w:p>
        </w:tc>
        <w:tc>
          <w:tcPr>
            <w:tcW w:w="993" w:type="dxa"/>
            <w:shd w:val="clear" w:color="auto" w:fill="C6EFCE"/>
            <w:noWrap/>
            <w:vAlign w:val="center"/>
          </w:tcPr>
          <w:p w14:paraId="51380EB3"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6E98D2AC" w14:textId="77777777" w:rsidR="00C972CB" w:rsidRDefault="002457F6">
            <w:pPr>
              <w:pStyle w:val="P68B1DB1-Normal11"/>
              <w:spacing w:line="276" w:lineRule="auto"/>
              <w:jc w:val="center"/>
              <w:rPr>
                <w:noProof/>
              </w:rPr>
            </w:pPr>
            <w:r>
              <w:rPr>
                <w:noProof/>
              </w:rPr>
              <w:t>65</w:t>
            </w:r>
          </w:p>
        </w:tc>
        <w:tc>
          <w:tcPr>
            <w:tcW w:w="963" w:type="dxa"/>
            <w:shd w:val="clear" w:color="auto" w:fill="C6EFCE"/>
            <w:noWrap/>
            <w:vAlign w:val="center"/>
          </w:tcPr>
          <w:p w14:paraId="77D71508"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114EBA30"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610D848F" w14:textId="7BF838C3" w:rsidR="00C972CB" w:rsidRDefault="002457F6">
            <w:pPr>
              <w:pStyle w:val="P68B1DB1-Normal11"/>
              <w:spacing w:before="60" w:after="120" w:line="276" w:lineRule="auto"/>
              <w:rPr>
                <w:noProof/>
              </w:rPr>
            </w:pPr>
            <w:r>
              <w:rPr>
                <w:noProof/>
              </w:rPr>
              <w:t>Izlietotā iepakojuma reciklēšanas rādītājs pēc masas sasniedz vismaz 65 % (kā noteikts Direktīvas 94/62/EK par izlietoto iepakojumu (kas grozīta ar Direktīvu 2018/852) 6. panta 1. punkta g) apakšpunkta I-VI punktā).</w:t>
            </w:r>
          </w:p>
        </w:tc>
      </w:tr>
      <w:tr w:rsidR="00C972CB" w14:paraId="3D71AD6B" w14:textId="77777777">
        <w:trPr>
          <w:trHeight w:val="313"/>
          <w:jc w:val="center"/>
        </w:trPr>
        <w:tc>
          <w:tcPr>
            <w:tcW w:w="1220" w:type="dxa"/>
            <w:shd w:val="clear" w:color="auto" w:fill="C6EFCE"/>
            <w:noWrap/>
            <w:vAlign w:val="center"/>
          </w:tcPr>
          <w:p w14:paraId="386FF817" w14:textId="77777777" w:rsidR="00C972CB" w:rsidRDefault="002457F6">
            <w:pPr>
              <w:pStyle w:val="P68B1DB1-Normal11"/>
              <w:spacing w:line="276" w:lineRule="auto"/>
              <w:jc w:val="center"/>
              <w:rPr>
                <w:noProof/>
              </w:rPr>
            </w:pPr>
            <w:r>
              <w:rPr>
                <w:noProof/>
              </w:rPr>
              <w:t>M2C1–17ter</w:t>
            </w:r>
          </w:p>
        </w:tc>
        <w:tc>
          <w:tcPr>
            <w:tcW w:w="1598" w:type="dxa"/>
            <w:shd w:val="clear" w:color="auto" w:fill="C6EFCE"/>
            <w:noWrap/>
            <w:vAlign w:val="center"/>
          </w:tcPr>
          <w:p w14:paraId="3A8D4CAB" w14:textId="77777777" w:rsidR="00C972CB" w:rsidRDefault="002457F6">
            <w:pPr>
              <w:pStyle w:val="P68B1DB1-Normal11"/>
              <w:spacing w:line="276" w:lineRule="auto"/>
              <w:jc w:val="center"/>
              <w:rPr>
                <w:noProof/>
              </w:rPr>
            </w:pPr>
            <w:r>
              <w:rPr>
                <w:noProof/>
              </w:rPr>
              <w:t>Investīcijas 1.2 — Aprites ekonomikas pamatprojekti</w:t>
            </w:r>
          </w:p>
        </w:tc>
        <w:tc>
          <w:tcPr>
            <w:tcW w:w="1185" w:type="dxa"/>
            <w:shd w:val="clear" w:color="auto" w:fill="C6EFCE"/>
            <w:noWrap/>
            <w:vAlign w:val="center"/>
          </w:tcPr>
          <w:p w14:paraId="59C30C71"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2AC14077" w14:textId="77777777" w:rsidR="00C972CB" w:rsidRDefault="002457F6">
            <w:pPr>
              <w:pStyle w:val="P68B1DB1-Normal11"/>
              <w:spacing w:line="276" w:lineRule="auto"/>
              <w:jc w:val="center"/>
              <w:rPr>
                <w:noProof/>
              </w:rPr>
            </w:pPr>
            <w:r>
              <w:rPr>
                <w:noProof/>
              </w:rPr>
              <w:t>Koksnes iepakojuma reciklēšanas rādītāji aprites ekonomikas rīcības plānā</w:t>
            </w:r>
          </w:p>
        </w:tc>
        <w:tc>
          <w:tcPr>
            <w:tcW w:w="1603" w:type="dxa"/>
            <w:shd w:val="clear" w:color="auto" w:fill="C6EFCE"/>
            <w:noWrap/>
            <w:vAlign w:val="center"/>
          </w:tcPr>
          <w:p w14:paraId="52D2E0E8"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7F0B0FA6" w14:textId="77777777" w:rsidR="00C972CB" w:rsidRDefault="002457F6">
            <w:pPr>
              <w:pStyle w:val="P68B1DB1-Normal11"/>
              <w:spacing w:line="276" w:lineRule="auto"/>
              <w:jc w:val="center"/>
              <w:rPr>
                <w:noProof/>
              </w:rPr>
            </w:pPr>
            <w:r>
              <w:rPr>
                <w:noProof/>
              </w:rPr>
              <w:t>Otrreizējas pārstrādes īpatsvars</w:t>
            </w:r>
          </w:p>
        </w:tc>
        <w:tc>
          <w:tcPr>
            <w:tcW w:w="993" w:type="dxa"/>
            <w:shd w:val="clear" w:color="auto" w:fill="C6EFCE"/>
            <w:noWrap/>
            <w:vAlign w:val="center"/>
          </w:tcPr>
          <w:p w14:paraId="66645EAB"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3390C0A1" w14:textId="77777777" w:rsidR="00C972CB" w:rsidRDefault="002457F6">
            <w:pPr>
              <w:pStyle w:val="P68B1DB1-Normal11"/>
              <w:spacing w:line="276" w:lineRule="auto"/>
              <w:jc w:val="center"/>
              <w:rPr>
                <w:noProof/>
              </w:rPr>
            </w:pPr>
            <w:r>
              <w:rPr>
                <w:noProof/>
              </w:rPr>
              <w:t>25</w:t>
            </w:r>
          </w:p>
        </w:tc>
        <w:tc>
          <w:tcPr>
            <w:tcW w:w="963" w:type="dxa"/>
            <w:shd w:val="clear" w:color="auto" w:fill="C6EFCE"/>
            <w:noWrap/>
            <w:vAlign w:val="center"/>
          </w:tcPr>
          <w:p w14:paraId="533AB9A7"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0EF11B5B"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52B323CF" w14:textId="77777777" w:rsidR="00C972CB" w:rsidRDefault="002457F6">
            <w:pPr>
              <w:pStyle w:val="P68B1DB1-Normal11"/>
              <w:spacing w:before="60" w:after="120" w:line="276" w:lineRule="auto"/>
              <w:rPr>
                <w:noProof/>
              </w:rPr>
            </w:pPr>
            <w:r>
              <w:rPr>
                <w:noProof/>
              </w:rPr>
              <w:t>Koksnes iepakojuma reciklēšanas rādītājs pēc</w:t>
            </w:r>
            <w:r>
              <w:rPr>
                <w:noProof/>
              </w:rPr>
              <w:t xml:space="preserve"> masas sasniedz vismaz 25 % (kā noteikts Direktīvas 94/62/EK par izlietoto iepakojumu (kas grozīta ar Direktīvu 2018/852) 6. panta 1. punkta g) apakšpunkta I-VI punktā)25 %</w:t>
            </w:r>
          </w:p>
        </w:tc>
      </w:tr>
      <w:tr w:rsidR="00C972CB" w14:paraId="5DF7B1F4" w14:textId="77777777">
        <w:trPr>
          <w:trHeight w:val="313"/>
          <w:jc w:val="center"/>
        </w:trPr>
        <w:tc>
          <w:tcPr>
            <w:tcW w:w="1220" w:type="dxa"/>
            <w:shd w:val="clear" w:color="auto" w:fill="C6EFCE"/>
            <w:noWrap/>
            <w:vAlign w:val="center"/>
          </w:tcPr>
          <w:p w14:paraId="4D16A6F4" w14:textId="77777777" w:rsidR="00C972CB" w:rsidRDefault="002457F6">
            <w:pPr>
              <w:pStyle w:val="P68B1DB1-Normal11"/>
              <w:spacing w:line="276" w:lineRule="auto"/>
              <w:jc w:val="center"/>
              <w:rPr>
                <w:noProof/>
              </w:rPr>
            </w:pPr>
            <w:r>
              <w:rPr>
                <w:noProof/>
              </w:rPr>
              <w:t>M2C1–17quater</w:t>
            </w:r>
          </w:p>
        </w:tc>
        <w:tc>
          <w:tcPr>
            <w:tcW w:w="1598" w:type="dxa"/>
            <w:shd w:val="clear" w:color="auto" w:fill="C6EFCE"/>
            <w:noWrap/>
            <w:vAlign w:val="center"/>
          </w:tcPr>
          <w:p w14:paraId="790FCA9C" w14:textId="77777777" w:rsidR="00C972CB" w:rsidRDefault="002457F6">
            <w:pPr>
              <w:pStyle w:val="P68B1DB1-Normal11"/>
              <w:spacing w:line="276" w:lineRule="auto"/>
              <w:jc w:val="center"/>
              <w:rPr>
                <w:noProof/>
              </w:rPr>
            </w:pPr>
            <w:r>
              <w:rPr>
                <w:noProof/>
              </w:rPr>
              <w:t>Investīcijas 1.2 — Aprites ekonomikas pamatprojekti</w:t>
            </w:r>
          </w:p>
        </w:tc>
        <w:tc>
          <w:tcPr>
            <w:tcW w:w="1185" w:type="dxa"/>
            <w:shd w:val="clear" w:color="auto" w:fill="C6EFCE"/>
            <w:noWrap/>
            <w:vAlign w:val="center"/>
          </w:tcPr>
          <w:p w14:paraId="6DDCB90E"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47B44DFD" w14:textId="77777777" w:rsidR="00C972CB" w:rsidRDefault="002457F6">
            <w:pPr>
              <w:pStyle w:val="P68B1DB1-Normal11"/>
              <w:spacing w:line="276" w:lineRule="auto"/>
              <w:jc w:val="center"/>
              <w:rPr>
                <w:noProof/>
              </w:rPr>
            </w:pPr>
            <w:r>
              <w:rPr>
                <w:noProof/>
              </w:rPr>
              <w:t xml:space="preserve">Melnā </w:t>
            </w:r>
            <w:r>
              <w:rPr>
                <w:noProof/>
              </w:rPr>
              <w:t>metāla iepakojuma reciklēšanas rādītāji aprites ekonomikas rīcības plānā</w:t>
            </w:r>
          </w:p>
        </w:tc>
        <w:tc>
          <w:tcPr>
            <w:tcW w:w="1603" w:type="dxa"/>
            <w:shd w:val="clear" w:color="auto" w:fill="C6EFCE"/>
            <w:noWrap/>
            <w:vAlign w:val="center"/>
          </w:tcPr>
          <w:p w14:paraId="6B20BF25"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6251DF48" w14:textId="77777777" w:rsidR="00C972CB" w:rsidRDefault="002457F6">
            <w:pPr>
              <w:pStyle w:val="P68B1DB1-Normal11"/>
              <w:spacing w:line="276" w:lineRule="auto"/>
              <w:jc w:val="center"/>
              <w:rPr>
                <w:noProof/>
              </w:rPr>
            </w:pPr>
            <w:r>
              <w:rPr>
                <w:noProof/>
              </w:rPr>
              <w:t>Otrreizējas pārstrādes īpatsvars</w:t>
            </w:r>
          </w:p>
        </w:tc>
        <w:tc>
          <w:tcPr>
            <w:tcW w:w="993" w:type="dxa"/>
            <w:shd w:val="clear" w:color="auto" w:fill="C6EFCE"/>
            <w:noWrap/>
            <w:vAlign w:val="center"/>
          </w:tcPr>
          <w:p w14:paraId="79EFBC46"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7D16B194" w14:textId="77777777" w:rsidR="00C972CB" w:rsidRDefault="002457F6">
            <w:pPr>
              <w:pStyle w:val="P68B1DB1-Normal11"/>
              <w:spacing w:line="276" w:lineRule="auto"/>
              <w:jc w:val="center"/>
              <w:rPr>
                <w:noProof/>
              </w:rPr>
            </w:pPr>
            <w:r>
              <w:rPr>
                <w:noProof/>
              </w:rPr>
              <w:t>70</w:t>
            </w:r>
          </w:p>
        </w:tc>
        <w:tc>
          <w:tcPr>
            <w:tcW w:w="963" w:type="dxa"/>
            <w:shd w:val="clear" w:color="auto" w:fill="C6EFCE"/>
            <w:noWrap/>
            <w:vAlign w:val="center"/>
          </w:tcPr>
          <w:p w14:paraId="6AA7672F"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332E6FFC"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458016CE" w14:textId="57851994" w:rsidR="00C972CB" w:rsidRDefault="002457F6">
            <w:pPr>
              <w:pStyle w:val="P68B1DB1-Normal11"/>
              <w:spacing w:before="60" w:after="120" w:line="276" w:lineRule="auto"/>
              <w:rPr>
                <w:noProof/>
              </w:rPr>
            </w:pPr>
            <w:r>
              <w:rPr>
                <w:noProof/>
              </w:rPr>
              <w:t xml:space="preserve">Melnā metāla iepakojuma reciklēšanas rādītājs pēc masas sasniedz vismaz 70 % (kā noteikts 6. panta 1. punkta g) </w:t>
            </w:r>
            <w:r>
              <w:rPr>
                <w:noProof/>
              </w:rPr>
              <w:t>apakšpunkta I-VI punktā Direktīvā 94/62/EK par izlietoto iepakojumu (kas grozīta ar Direktīvu 2018/852)).</w:t>
            </w:r>
          </w:p>
        </w:tc>
      </w:tr>
      <w:tr w:rsidR="00C972CB" w14:paraId="6B57FDF1" w14:textId="77777777">
        <w:trPr>
          <w:trHeight w:val="313"/>
          <w:jc w:val="center"/>
        </w:trPr>
        <w:tc>
          <w:tcPr>
            <w:tcW w:w="1220" w:type="dxa"/>
            <w:shd w:val="clear" w:color="auto" w:fill="C6EFCE"/>
            <w:noWrap/>
            <w:vAlign w:val="center"/>
          </w:tcPr>
          <w:p w14:paraId="0272C4AC" w14:textId="77777777" w:rsidR="00C972CB" w:rsidRDefault="002457F6">
            <w:pPr>
              <w:pStyle w:val="P68B1DB1-Normal11"/>
              <w:spacing w:line="276" w:lineRule="auto"/>
              <w:jc w:val="center"/>
              <w:rPr>
                <w:noProof/>
              </w:rPr>
            </w:pPr>
            <w:r>
              <w:rPr>
                <w:noProof/>
              </w:rPr>
              <w:t>M2C1–17 quinquies</w:t>
            </w:r>
          </w:p>
        </w:tc>
        <w:tc>
          <w:tcPr>
            <w:tcW w:w="1598" w:type="dxa"/>
            <w:shd w:val="clear" w:color="auto" w:fill="C6EFCE"/>
            <w:noWrap/>
            <w:vAlign w:val="center"/>
          </w:tcPr>
          <w:p w14:paraId="07EFA499" w14:textId="77777777" w:rsidR="00C972CB" w:rsidRDefault="002457F6">
            <w:pPr>
              <w:pStyle w:val="P68B1DB1-Normal11"/>
              <w:spacing w:line="276" w:lineRule="auto"/>
              <w:jc w:val="center"/>
              <w:rPr>
                <w:noProof/>
              </w:rPr>
            </w:pPr>
            <w:r>
              <w:rPr>
                <w:noProof/>
              </w:rPr>
              <w:t>Investīcijas 1.2 — Aprites ekonomikas pamatprojekti</w:t>
            </w:r>
          </w:p>
        </w:tc>
        <w:tc>
          <w:tcPr>
            <w:tcW w:w="1185" w:type="dxa"/>
            <w:shd w:val="clear" w:color="auto" w:fill="C6EFCE"/>
            <w:noWrap/>
            <w:vAlign w:val="center"/>
          </w:tcPr>
          <w:p w14:paraId="0F8A3836"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449B23AF" w14:textId="77777777" w:rsidR="00C972CB" w:rsidRDefault="002457F6">
            <w:pPr>
              <w:pStyle w:val="P68B1DB1-Normal11"/>
              <w:spacing w:line="276" w:lineRule="auto"/>
              <w:jc w:val="center"/>
              <w:rPr>
                <w:noProof/>
              </w:rPr>
            </w:pPr>
            <w:r>
              <w:rPr>
                <w:noProof/>
              </w:rPr>
              <w:t xml:space="preserve">Aprites ekonomikas rīcības plāna alumīnija iepakojuma reciklēšanas </w:t>
            </w:r>
            <w:r>
              <w:rPr>
                <w:noProof/>
              </w:rPr>
              <w:t>rādītāji</w:t>
            </w:r>
          </w:p>
        </w:tc>
        <w:tc>
          <w:tcPr>
            <w:tcW w:w="1603" w:type="dxa"/>
            <w:shd w:val="clear" w:color="auto" w:fill="C6EFCE"/>
            <w:noWrap/>
            <w:vAlign w:val="center"/>
          </w:tcPr>
          <w:p w14:paraId="0EB4C463"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47DEB0A1" w14:textId="77777777" w:rsidR="00C972CB" w:rsidRDefault="002457F6">
            <w:pPr>
              <w:pStyle w:val="P68B1DB1-Normal11"/>
              <w:spacing w:line="276" w:lineRule="auto"/>
              <w:jc w:val="center"/>
              <w:rPr>
                <w:noProof/>
              </w:rPr>
            </w:pPr>
            <w:r>
              <w:rPr>
                <w:noProof/>
              </w:rPr>
              <w:t>Otrreizējas pārstrādes īpatsvars</w:t>
            </w:r>
          </w:p>
        </w:tc>
        <w:tc>
          <w:tcPr>
            <w:tcW w:w="993" w:type="dxa"/>
            <w:shd w:val="clear" w:color="auto" w:fill="C6EFCE"/>
            <w:noWrap/>
            <w:vAlign w:val="center"/>
          </w:tcPr>
          <w:p w14:paraId="452ADFD6"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18D9FC4C" w14:textId="77777777" w:rsidR="00C972CB" w:rsidRDefault="002457F6">
            <w:pPr>
              <w:pStyle w:val="P68B1DB1-Normal11"/>
              <w:spacing w:line="276" w:lineRule="auto"/>
              <w:jc w:val="center"/>
              <w:rPr>
                <w:noProof/>
              </w:rPr>
            </w:pPr>
            <w:r>
              <w:rPr>
                <w:noProof/>
              </w:rPr>
              <w:t>50</w:t>
            </w:r>
          </w:p>
        </w:tc>
        <w:tc>
          <w:tcPr>
            <w:tcW w:w="963" w:type="dxa"/>
            <w:shd w:val="clear" w:color="auto" w:fill="C6EFCE"/>
            <w:noWrap/>
            <w:vAlign w:val="center"/>
          </w:tcPr>
          <w:p w14:paraId="7DB0A421"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7C9592DA"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112FA19F" w14:textId="1A31861D" w:rsidR="00C972CB" w:rsidRDefault="002457F6">
            <w:pPr>
              <w:pStyle w:val="P68B1DB1-Normal11"/>
              <w:spacing w:before="60" w:after="120" w:line="276" w:lineRule="auto"/>
              <w:rPr>
                <w:noProof/>
              </w:rPr>
            </w:pPr>
            <w:r>
              <w:rPr>
                <w:noProof/>
              </w:rPr>
              <w:t xml:space="preserve">Alumīnija iepakojuma reciklēšanas rādītājs pēc masas sasniedz vismaz 50 % (kā noteikts Direktīvas 94/62/EK par izlietoto iepakojumu (kas grozīta ar Direktīvu 2018/852) 6. panta </w:t>
            </w:r>
            <w:r>
              <w:rPr>
                <w:noProof/>
              </w:rPr>
              <w:t>1. punkta g) apakšpunkta I-VI punktā).</w:t>
            </w:r>
          </w:p>
        </w:tc>
      </w:tr>
      <w:tr w:rsidR="00C972CB" w14:paraId="4378EB55" w14:textId="77777777">
        <w:trPr>
          <w:trHeight w:val="313"/>
          <w:jc w:val="center"/>
        </w:trPr>
        <w:tc>
          <w:tcPr>
            <w:tcW w:w="1220" w:type="dxa"/>
            <w:shd w:val="clear" w:color="auto" w:fill="C6EFCE"/>
            <w:noWrap/>
            <w:vAlign w:val="center"/>
          </w:tcPr>
          <w:p w14:paraId="29B5F4B2" w14:textId="77777777" w:rsidR="00C972CB" w:rsidRDefault="002457F6">
            <w:pPr>
              <w:pStyle w:val="P68B1DB1-Normal11"/>
              <w:spacing w:line="276" w:lineRule="auto"/>
              <w:jc w:val="center"/>
              <w:rPr>
                <w:noProof/>
              </w:rPr>
            </w:pPr>
            <w:r>
              <w:rPr>
                <w:noProof/>
              </w:rPr>
              <w:t>M2C1–17 seksiji</w:t>
            </w:r>
          </w:p>
        </w:tc>
        <w:tc>
          <w:tcPr>
            <w:tcW w:w="1598" w:type="dxa"/>
            <w:shd w:val="clear" w:color="auto" w:fill="C6EFCE"/>
            <w:noWrap/>
            <w:vAlign w:val="center"/>
          </w:tcPr>
          <w:p w14:paraId="44792B1A" w14:textId="77777777" w:rsidR="00C972CB" w:rsidRDefault="002457F6">
            <w:pPr>
              <w:pStyle w:val="P68B1DB1-Normal11"/>
              <w:spacing w:line="276" w:lineRule="auto"/>
              <w:jc w:val="center"/>
              <w:rPr>
                <w:noProof/>
              </w:rPr>
            </w:pPr>
            <w:r>
              <w:rPr>
                <w:noProof/>
              </w:rPr>
              <w:t>Investīcijas 1.2 — Aprites ekonomikas pamatprojekti</w:t>
            </w:r>
          </w:p>
        </w:tc>
        <w:tc>
          <w:tcPr>
            <w:tcW w:w="1185" w:type="dxa"/>
            <w:shd w:val="clear" w:color="auto" w:fill="C6EFCE"/>
            <w:noWrap/>
            <w:vAlign w:val="center"/>
          </w:tcPr>
          <w:p w14:paraId="7777677F"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3ACA7849" w14:textId="77777777" w:rsidR="00C972CB" w:rsidRDefault="002457F6">
            <w:pPr>
              <w:pStyle w:val="P68B1DB1-Normal11"/>
              <w:spacing w:line="276" w:lineRule="auto"/>
              <w:jc w:val="center"/>
              <w:rPr>
                <w:noProof/>
              </w:rPr>
            </w:pPr>
            <w:r>
              <w:rPr>
                <w:noProof/>
              </w:rPr>
              <w:t>Stikla iepakojuma reciklēšanas rādītāji aprites ekonomikas rīcības plānā</w:t>
            </w:r>
          </w:p>
        </w:tc>
        <w:tc>
          <w:tcPr>
            <w:tcW w:w="1603" w:type="dxa"/>
            <w:shd w:val="clear" w:color="auto" w:fill="C6EFCE"/>
            <w:noWrap/>
            <w:vAlign w:val="center"/>
          </w:tcPr>
          <w:p w14:paraId="047559D2"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250383D7" w14:textId="77777777" w:rsidR="00C972CB" w:rsidRDefault="002457F6">
            <w:pPr>
              <w:pStyle w:val="P68B1DB1-Normal11"/>
              <w:spacing w:line="276" w:lineRule="auto"/>
              <w:jc w:val="center"/>
              <w:rPr>
                <w:noProof/>
              </w:rPr>
            </w:pPr>
            <w:r>
              <w:rPr>
                <w:noProof/>
              </w:rPr>
              <w:t>Otrreizējas pārstrādes īpatsvars</w:t>
            </w:r>
          </w:p>
        </w:tc>
        <w:tc>
          <w:tcPr>
            <w:tcW w:w="993" w:type="dxa"/>
            <w:shd w:val="clear" w:color="auto" w:fill="C6EFCE"/>
            <w:noWrap/>
            <w:vAlign w:val="center"/>
          </w:tcPr>
          <w:p w14:paraId="12E58B93"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0B285049" w14:textId="77777777" w:rsidR="00C972CB" w:rsidRDefault="002457F6">
            <w:pPr>
              <w:pStyle w:val="P68B1DB1-Normal11"/>
              <w:spacing w:line="276" w:lineRule="auto"/>
              <w:jc w:val="center"/>
              <w:rPr>
                <w:noProof/>
              </w:rPr>
            </w:pPr>
            <w:r>
              <w:rPr>
                <w:noProof/>
              </w:rPr>
              <w:t>70</w:t>
            </w:r>
          </w:p>
        </w:tc>
        <w:tc>
          <w:tcPr>
            <w:tcW w:w="963" w:type="dxa"/>
            <w:shd w:val="clear" w:color="auto" w:fill="C6EFCE"/>
            <w:noWrap/>
            <w:vAlign w:val="center"/>
          </w:tcPr>
          <w:p w14:paraId="249CB7BE"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2B41C8D8"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6DF0A1B7" w14:textId="096C09E7" w:rsidR="00C972CB" w:rsidRDefault="002457F6">
            <w:pPr>
              <w:pStyle w:val="P68B1DB1-Normal11"/>
              <w:spacing w:before="60" w:after="120" w:line="276" w:lineRule="auto"/>
              <w:rPr>
                <w:noProof/>
              </w:rPr>
            </w:pPr>
            <w:r>
              <w:rPr>
                <w:noProof/>
              </w:rPr>
              <w:t>Stikla iepakojuma reciklēšanas rādītājs pēc masas sasniedz vismaz 70 % (kā noteikts 6. panta 1. punkta g) apakšpunkta I-VI punktā Direktīvā 94/62/EK par izlietoto iepakojumu (kas grozīta ar Direktīvu 2018/852)).</w:t>
            </w:r>
          </w:p>
        </w:tc>
      </w:tr>
      <w:tr w:rsidR="00C972CB" w14:paraId="755BAE73" w14:textId="77777777">
        <w:trPr>
          <w:trHeight w:val="313"/>
          <w:jc w:val="center"/>
        </w:trPr>
        <w:tc>
          <w:tcPr>
            <w:tcW w:w="1220" w:type="dxa"/>
            <w:shd w:val="clear" w:color="auto" w:fill="C6EFCE"/>
            <w:noWrap/>
            <w:vAlign w:val="center"/>
          </w:tcPr>
          <w:p w14:paraId="10E8ED7B" w14:textId="77777777" w:rsidR="00C972CB" w:rsidRDefault="002457F6">
            <w:pPr>
              <w:pStyle w:val="P68B1DB1-Normal11"/>
              <w:spacing w:line="276" w:lineRule="auto"/>
              <w:jc w:val="center"/>
              <w:rPr>
                <w:noProof/>
              </w:rPr>
            </w:pPr>
            <w:r>
              <w:rPr>
                <w:noProof/>
              </w:rPr>
              <w:t>M2C1–17 sept.</w:t>
            </w:r>
          </w:p>
        </w:tc>
        <w:tc>
          <w:tcPr>
            <w:tcW w:w="1598" w:type="dxa"/>
            <w:shd w:val="clear" w:color="auto" w:fill="C6EFCE"/>
            <w:noWrap/>
            <w:vAlign w:val="center"/>
          </w:tcPr>
          <w:p w14:paraId="52EB33BE" w14:textId="77777777" w:rsidR="00C972CB" w:rsidRDefault="002457F6">
            <w:pPr>
              <w:pStyle w:val="P68B1DB1-Normal11"/>
              <w:spacing w:line="276" w:lineRule="auto"/>
              <w:jc w:val="center"/>
              <w:rPr>
                <w:noProof/>
              </w:rPr>
            </w:pPr>
            <w:r>
              <w:rPr>
                <w:noProof/>
              </w:rPr>
              <w:t xml:space="preserve">Investīcijas 1.2 — Aprites </w:t>
            </w:r>
            <w:r>
              <w:rPr>
                <w:noProof/>
              </w:rPr>
              <w:t>ekonomikas pamatprojekti</w:t>
            </w:r>
          </w:p>
        </w:tc>
        <w:tc>
          <w:tcPr>
            <w:tcW w:w="1185" w:type="dxa"/>
            <w:shd w:val="clear" w:color="auto" w:fill="C6EFCE"/>
            <w:noWrap/>
            <w:vAlign w:val="center"/>
          </w:tcPr>
          <w:p w14:paraId="242CD25F"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668F51E3" w14:textId="77777777" w:rsidR="00C972CB" w:rsidRDefault="002457F6">
            <w:pPr>
              <w:pStyle w:val="P68B1DB1-Normal11"/>
              <w:spacing w:line="276" w:lineRule="auto"/>
              <w:jc w:val="center"/>
              <w:rPr>
                <w:noProof/>
              </w:rPr>
            </w:pPr>
            <w:r>
              <w:rPr>
                <w:noProof/>
              </w:rPr>
              <w:t>Papīra un kartona reciklēšanas rādītāji aprites ekonomikas rīcības plānā</w:t>
            </w:r>
          </w:p>
        </w:tc>
        <w:tc>
          <w:tcPr>
            <w:tcW w:w="1603" w:type="dxa"/>
            <w:shd w:val="clear" w:color="auto" w:fill="C6EFCE"/>
            <w:noWrap/>
            <w:vAlign w:val="center"/>
          </w:tcPr>
          <w:p w14:paraId="23456754"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3899D0A4" w14:textId="77777777" w:rsidR="00C972CB" w:rsidRDefault="002457F6">
            <w:pPr>
              <w:pStyle w:val="P68B1DB1-Normal11"/>
              <w:spacing w:line="276" w:lineRule="auto"/>
              <w:jc w:val="center"/>
              <w:rPr>
                <w:noProof/>
              </w:rPr>
            </w:pPr>
            <w:r>
              <w:rPr>
                <w:noProof/>
              </w:rPr>
              <w:t>Otrreizējas pārstrādes īpatsvars</w:t>
            </w:r>
          </w:p>
        </w:tc>
        <w:tc>
          <w:tcPr>
            <w:tcW w:w="993" w:type="dxa"/>
            <w:shd w:val="clear" w:color="auto" w:fill="C6EFCE"/>
            <w:noWrap/>
            <w:vAlign w:val="center"/>
          </w:tcPr>
          <w:p w14:paraId="7FE5F638"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3423CFF6" w14:textId="77777777" w:rsidR="00C972CB" w:rsidRDefault="002457F6">
            <w:pPr>
              <w:pStyle w:val="P68B1DB1-Normal11"/>
              <w:spacing w:line="276" w:lineRule="auto"/>
              <w:jc w:val="center"/>
              <w:rPr>
                <w:noProof/>
              </w:rPr>
            </w:pPr>
            <w:r>
              <w:rPr>
                <w:noProof/>
              </w:rPr>
              <w:t>75</w:t>
            </w:r>
          </w:p>
        </w:tc>
        <w:tc>
          <w:tcPr>
            <w:tcW w:w="963" w:type="dxa"/>
            <w:shd w:val="clear" w:color="auto" w:fill="C6EFCE"/>
            <w:noWrap/>
            <w:vAlign w:val="center"/>
          </w:tcPr>
          <w:p w14:paraId="5CEDCF88"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2A3F72F8"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5F2A5069" w14:textId="28332F1D" w:rsidR="00C972CB" w:rsidRDefault="002457F6">
            <w:pPr>
              <w:pStyle w:val="P68B1DB1-Normal11"/>
              <w:spacing w:before="60" w:after="120" w:line="276" w:lineRule="auto"/>
              <w:rPr>
                <w:noProof/>
              </w:rPr>
            </w:pPr>
            <w:r>
              <w:rPr>
                <w:noProof/>
              </w:rPr>
              <w:t xml:space="preserve">Papīra un kartona reciklēšanas rādītājs sasniedz vismaz 75 % (kā noteikts </w:t>
            </w:r>
            <w:r>
              <w:rPr>
                <w:noProof/>
              </w:rPr>
              <w:t>Direktīvas 94/62/EK par izlietoto iepakojumu (kurā grozījumi izdarīti ar Direktīvu 2018/852) 6. panta 1. punkta g) apakšpunkta I-VI punktā).</w:t>
            </w:r>
          </w:p>
        </w:tc>
      </w:tr>
      <w:tr w:rsidR="00C972CB" w14:paraId="27D3F78C" w14:textId="77777777">
        <w:trPr>
          <w:trHeight w:val="313"/>
          <w:jc w:val="center"/>
        </w:trPr>
        <w:tc>
          <w:tcPr>
            <w:tcW w:w="1220" w:type="dxa"/>
            <w:shd w:val="clear" w:color="auto" w:fill="C6EFCE"/>
            <w:noWrap/>
            <w:vAlign w:val="center"/>
          </w:tcPr>
          <w:p w14:paraId="5940579B" w14:textId="77777777" w:rsidR="00C972CB" w:rsidRDefault="002457F6">
            <w:pPr>
              <w:pStyle w:val="P68B1DB1-Normal11"/>
              <w:spacing w:line="276" w:lineRule="auto"/>
              <w:jc w:val="center"/>
              <w:rPr>
                <w:noProof/>
              </w:rPr>
            </w:pPr>
            <w:r>
              <w:rPr>
                <w:noProof/>
              </w:rPr>
              <w:t>M2C1–17 okti</w:t>
            </w:r>
          </w:p>
        </w:tc>
        <w:tc>
          <w:tcPr>
            <w:tcW w:w="1598" w:type="dxa"/>
            <w:shd w:val="clear" w:color="auto" w:fill="C6EFCE"/>
            <w:noWrap/>
            <w:vAlign w:val="center"/>
          </w:tcPr>
          <w:p w14:paraId="146DA975" w14:textId="77777777" w:rsidR="00C972CB" w:rsidRDefault="002457F6">
            <w:pPr>
              <w:pStyle w:val="P68B1DB1-Normal11"/>
              <w:spacing w:line="276" w:lineRule="auto"/>
              <w:jc w:val="center"/>
              <w:rPr>
                <w:noProof/>
              </w:rPr>
            </w:pPr>
            <w:r>
              <w:rPr>
                <w:noProof/>
              </w:rPr>
              <w:t>Investīcijas 1.2 — Aprites ekonomikas pamatprojekti</w:t>
            </w:r>
          </w:p>
        </w:tc>
        <w:tc>
          <w:tcPr>
            <w:tcW w:w="1185" w:type="dxa"/>
            <w:shd w:val="clear" w:color="auto" w:fill="C6EFCE"/>
            <w:noWrap/>
            <w:vAlign w:val="center"/>
          </w:tcPr>
          <w:p w14:paraId="4E0AA04E"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08B4B006" w14:textId="77777777" w:rsidR="00C972CB" w:rsidRDefault="002457F6">
            <w:pPr>
              <w:pStyle w:val="P68B1DB1-Normal11"/>
              <w:spacing w:line="276" w:lineRule="auto"/>
              <w:jc w:val="center"/>
              <w:rPr>
                <w:noProof/>
              </w:rPr>
            </w:pPr>
            <w:r>
              <w:rPr>
                <w:noProof/>
              </w:rPr>
              <w:t>Plastmasas iepakojuma reciklēšanas rādītāji</w:t>
            </w:r>
            <w:r>
              <w:rPr>
                <w:noProof/>
              </w:rPr>
              <w:t xml:space="preserve"> aprites ekonomikas rīcības plānā</w:t>
            </w:r>
          </w:p>
        </w:tc>
        <w:tc>
          <w:tcPr>
            <w:tcW w:w="1603" w:type="dxa"/>
            <w:shd w:val="clear" w:color="auto" w:fill="C6EFCE"/>
            <w:noWrap/>
            <w:vAlign w:val="center"/>
          </w:tcPr>
          <w:p w14:paraId="16D187EF"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7F58A6AD" w14:textId="77777777" w:rsidR="00C972CB" w:rsidRDefault="002457F6">
            <w:pPr>
              <w:pStyle w:val="P68B1DB1-Normal11"/>
              <w:spacing w:line="276" w:lineRule="auto"/>
              <w:jc w:val="center"/>
              <w:rPr>
                <w:noProof/>
              </w:rPr>
            </w:pPr>
            <w:r>
              <w:rPr>
                <w:noProof/>
              </w:rPr>
              <w:t>Otrreizējas pārstrādes īpatsvars</w:t>
            </w:r>
          </w:p>
        </w:tc>
        <w:tc>
          <w:tcPr>
            <w:tcW w:w="993" w:type="dxa"/>
            <w:shd w:val="clear" w:color="auto" w:fill="C6EFCE"/>
            <w:noWrap/>
            <w:vAlign w:val="center"/>
          </w:tcPr>
          <w:p w14:paraId="06FF264C"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056CF75F" w14:textId="77777777" w:rsidR="00C972CB" w:rsidRDefault="002457F6">
            <w:pPr>
              <w:pStyle w:val="P68B1DB1-Normal11"/>
              <w:spacing w:line="276" w:lineRule="auto"/>
              <w:jc w:val="center"/>
              <w:rPr>
                <w:noProof/>
              </w:rPr>
            </w:pPr>
            <w:r>
              <w:rPr>
                <w:noProof/>
              </w:rPr>
              <w:t>50</w:t>
            </w:r>
          </w:p>
        </w:tc>
        <w:tc>
          <w:tcPr>
            <w:tcW w:w="963" w:type="dxa"/>
            <w:shd w:val="clear" w:color="auto" w:fill="C6EFCE"/>
            <w:noWrap/>
            <w:vAlign w:val="center"/>
          </w:tcPr>
          <w:p w14:paraId="405AAF1C"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71FC9677"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6D7475B1" w14:textId="50A0D262" w:rsidR="00C972CB" w:rsidRDefault="002457F6">
            <w:pPr>
              <w:pStyle w:val="P68B1DB1-Normal11"/>
              <w:spacing w:before="60" w:after="120" w:line="276" w:lineRule="auto"/>
              <w:rPr>
                <w:noProof/>
              </w:rPr>
            </w:pPr>
            <w:r>
              <w:rPr>
                <w:noProof/>
              </w:rPr>
              <w:t xml:space="preserve">Plastmasas iepakojuma reciklēšanas rādītājs pēc masas sasniedz vismaz 50 % (kā noteikts Direktīvas 94/62/EK par izlietoto iepakojumu (kas grozīta ar </w:t>
            </w:r>
            <w:r>
              <w:rPr>
                <w:noProof/>
              </w:rPr>
              <w:t>Direktīvu 2018/852) 6. panta 1. punkta g) apakšpunkta I-VI punktā).</w:t>
            </w:r>
          </w:p>
        </w:tc>
      </w:tr>
      <w:tr w:rsidR="00C972CB" w14:paraId="00752DFA" w14:textId="77777777">
        <w:trPr>
          <w:trHeight w:val="313"/>
          <w:jc w:val="center"/>
        </w:trPr>
        <w:tc>
          <w:tcPr>
            <w:tcW w:w="1220" w:type="dxa"/>
            <w:shd w:val="clear" w:color="auto" w:fill="C6EFCE"/>
            <w:noWrap/>
            <w:vAlign w:val="center"/>
          </w:tcPr>
          <w:p w14:paraId="09CC842A" w14:textId="77777777" w:rsidR="00C972CB" w:rsidRDefault="002457F6">
            <w:pPr>
              <w:pStyle w:val="P68B1DB1-Normal11"/>
              <w:spacing w:line="276" w:lineRule="auto"/>
              <w:jc w:val="center"/>
              <w:rPr>
                <w:noProof/>
              </w:rPr>
            </w:pPr>
            <w:r>
              <w:rPr>
                <w:noProof/>
              </w:rPr>
              <w:t>M2C1–17 valstis</w:t>
            </w:r>
          </w:p>
        </w:tc>
        <w:tc>
          <w:tcPr>
            <w:tcW w:w="1598" w:type="dxa"/>
            <w:shd w:val="clear" w:color="auto" w:fill="C6EFCE"/>
            <w:noWrap/>
            <w:vAlign w:val="center"/>
          </w:tcPr>
          <w:p w14:paraId="05F6EB9F" w14:textId="77777777" w:rsidR="00C972CB" w:rsidRDefault="002457F6">
            <w:pPr>
              <w:pStyle w:val="P68B1DB1-Normal11"/>
              <w:spacing w:line="276" w:lineRule="auto"/>
              <w:jc w:val="center"/>
              <w:rPr>
                <w:noProof/>
              </w:rPr>
            </w:pPr>
            <w:r>
              <w:rPr>
                <w:noProof/>
              </w:rPr>
              <w:t>Reforma</w:t>
            </w:r>
          </w:p>
          <w:p w14:paraId="6CB9D441" w14:textId="77777777" w:rsidR="00C972CB" w:rsidRDefault="002457F6">
            <w:pPr>
              <w:pStyle w:val="P68B1DB1-Normal11"/>
              <w:spacing w:line="276" w:lineRule="auto"/>
              <w:jc w:val="center"/>
              <w:rPr>
                <w:noProof/>
              </w:rPr>
            </w:pPr>
            <w:r>
              <w:rPr>
                <w:noProof/>
              </w:rPr>
              <w:t>Valsts aprites ekonomikas programma;</w:t>
            </w:r>
          </w:p>
          <w:p w14:paraId="3010A2DF" w14:textId="77777777" w:rsidR="00C972CB" w:rsidRDefault="002457F6">
            <w:pPr>
              <w:pStyle w:val="P68B1DB1-Normal11"/>
              <w:spacing w:line="276" w:lineRule="auto"/>
              <w:jc w:val="center"/>
              <w:rPr>
                <w:noProof/>
              </w:rPr>
            </w:pPr>
            <w:r>
              <w:rPr>
                <w:noProof/>
              </w:rPr>
              <w:t>Investīcijas 1.2 — Aprites ekonomikas pamatprojekti</w:t>
            </w:r>
          </w:p>
        </w:tc>
        <w:tc>
          <w:tcPr>
            <w:tcW w:w="1185" w:type="dxa"/>
            <w:shd w:val="clear" w:color="auto" w:fill="C6EFCE"/>
            <w:noWrap/>
            <w:vAlign w:val="center"/>
          </w:tcPr>
          <w:p w14:paraId="0945162A" w14:textId="77777777" w:rsidR="00C972CB" w:rsidRDefault="002457F6">
            <w:pPr>
              <w:pStyle w:val="P68B1DB1-Normal11"/>
              <w:spacing w:line="276" w:lineRule="auto"/>
              <w:jc w:val="center"/>
              <w:rPr>
                <w:noProof/>
              </w:rPr>
            </w:pPr>
            <w:r>
              <w:rPr>
                <w:noProof/>
              </w:rPr>
              <w:t>Starpposma mērķis</w:t>
            </w:r>
          </w:p>
        </w:tc>
        <w:tc>
          <w:tcPr>
            <w:tcW w:w="1732" w:type="dxa"/>
            <w:shd w:val="clear" w:color="auto" w:fill="C6EFCE"/>
            <w:noWrap/>
            <w:vAlign w:val="center"/>
          </w:tcPr>
          <w:p w14:paraId="3A6FF1DF" w14:textId="77777777" w:rsidR="00C972CB" w:rsidRDefault="002457F6">
            <w:pPr>
              <w:pStyle w:val="P68B1DB1-Normal11"/>
              <w:spacing w:line="276" w:lineRule="auto"/>
              <w:jc w:val="center"/>
              <w:rPr>
                <w:noProof/>
              </w:rPr>
            </w:pPr>
            <w:r>
              <w:rPr>
                <w:noProof/>
              </w:rPr>
              <w:t xml:space="preserve">Mājsaimniecību un tekstilizstrādājumu radīto bīstamo </w:t>
            </w:r>
            <w:r>
              <w:rPr>
                <w:noProof/>
              </w:rPr>
              <w:t>atkritumu frakciju dalītas savākšanas stāšanās spēkā</w:t>
            </w:r>
          </w:p>
        </w:tc>
        <w:tc>
          <w:tcPr>
            <w:tcW w:w="1603" w:type="dxa"/>
            <w:shd w:val="clear" w:color="auto" w:fill="C6EFCE"/>
            <w:noWrap/>
            <w:vAlign w:val="center"/>
          </w:tcPr>
          <w:p w14:paraId="739EBCB8" w14:textId="77777777" w:rsidR="00C972CB" w:rsidRDefault="002457F6">
            <w:pPr>
              <w:pStyle w:val="P68B1DB1-Normal11"/>
              <w:spacing w:line="276" w:lineRule="auto"/>
              <w:jc w:val="center"/>
              <w:rPr>
                <w:noProof/>
              </w:rPr>
            </w:pPr>
            <w:r>
              <w:rPr>
                <w:noProof/>
              </w:rPr>
              <w:t>Likuma norma, kas norāda uz stāšanos spēkā</w:t>
            </w:r>
          </w:p>
        </w:tc>
        <w:tc>
          <w:tcPr>
            <w:tcW w:w="1275" w:type="dxa"/>
            <w:shd w:val="clear" w:color="auto" w:fill="C6EFCE"/>
            <w:noWrap/>
            <w:vAlign w:val="center"/>
          </w:tcPr>
          <w:p w14:paraId="2BBACE57"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388A9DDF"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38D74BAE" w14:textId="77777777" w:rsidR="00C972CB" w:rsidRDefault="002457F6">
            <w:pPr>
              <w:pStyle w:val="P68B1DB1-Normal11"/>
              <w:spacing w:line="276" w:lineRule="auto"/>
              <w:jc w:val="center"/>
              <w:rPr>
                <w:noProof/>
              </w:rPr>
            </w:pPr>
            <w:r>
              <w:rPr>
                <w:noProof/>
              </w:rPr>
              <w:t>NEPIEMĒRO</w:t>
            </w:r>
          </w:p>
        </w:tc>
        <w:tc>
          <w:tcPr>
            <w:tcW w:w="963" w:type="dxa"/>
            <w:shd w:val="clear" w:color="auto" w:fill="C6EFCE"/>
            <w:noWrap/>
            <w:vAlign w:val="center"/>
          </w:tcPr>
          <w:p w14:paraId="367F199E"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4506A035"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2A3CFAFB" w14:textId="77777777" w:rsidR="00C972CB" w:rsidRDefault="002457F6">
            <w:pPr>
              <w:pStyle w:val="P68B1DB1-Normal11"/>
              <w:spacing w:before="60" w:after="120" w:line="276" w:lineRule="auto"/>
              <w:rPr>
                <w:noProof/>
              </w:rPr>
            </w:pPr>
            <w:r>
              <w:rPr>
                <w:noProof/>
              </w:rPr>
              <w:t>Stājas spēkā mājsaimniecību un tekstilizstrādājumu radīto bīstamo atkritumu frakciju dalīta savākšana saskaņā ar apri</w:t>
            </w:r>
            <w:r>
              <w:rPr>
                <w:noProof/>
              </w:rPr>
              <w:t>tes ekonomikas rīcības plānu.</w:t>
            </w:r>
          </w:p>
        </w:tc>
      </w:tr>
      <w:tr w:rsidR="00C972CB" w14:paraId="5BBC14CE" w14:textId="77777777">
        <w:trPr>
          <w:trHeight w:val="313"/>
          <w:jc w:val="center"/>
        </w:trPr>
        <w:tc>
          <w:tcPr>
            <w:tcW w:w="1220" w:type="dxa"/>
            <w:shd w:val="clear" w:color="auto" w:fill="C6EFCE"/>
            <w:noWrap/>
            <w:vAlign w:val="center"/>
          </w:tcPr>
          <w:p w14:paraId="2A718B8A" w14:textId="77777777" w:rsidR="00C972CB" w:rsidRDefault="002457F6">
            <w:pPr>
              <w:pStyle w:val="P68B1DB1-Normal11"/>
              <w:spacing w:line="276" w:lineRule="auto"/>
              <w:jc w:val="center"/>
              <w:rPr>
                <w:noProof/>
              </w:rPr>
            </w:pPr>
            <w:r>
              <w:rPr>
                <w:noProof/>
              </w:rPr>
              <w:t>M2C1–18</w:t>
            </w:r>
          </w:p>
        </w:tc>
        <w:tc>
          <w:tcPr>
            <w:tcW w:w="1598" w:type="dxa"/>
            <w:shd w:val="clear" w:color="auto" w:fill="C6EFCE"/>
            <w:noWrap/>
            <w:vAlign w:val="center"/>
          </w:tcPr>
          <w:p w14:paraId="6102FE0E" w14:textId="77777777" w:rsidR="00C972CB" w:rsidRDefault="002457F6">
            <w:pPr>
              <w:pStyle w:val="P68B1DB1-Normal11"/>
              <w:spacing w:line="276" w:lineRule="auto"/>
              <w:jc w:val="center"/>
              <w:rPr>
                <w:noProof/>
              </w:rPr>
            </w:pPr>
            <w:r>
              <w:rPr>
                <w:noProof/>
              </w:rPr>
              <w:t>Ieguldījums 3.1.: Zaļās salas</w:t>
            </w:r>
          </w:p>
        </w:tc>
        <w:tc>
          <w:tcPr>
            <w:tcW w:w="1185" w:type="dxa"/>
            <w:shd w:val="clear" w:color="auto" w:fill="C6EFCE"/>
            <w:noWrap/>
            <w:vAlign w:val="center"/>
          </w:tcPr>
          <w:p w14:paraId="4AD94B05" w14:textId="77777777" w:rsidR="00C972CB" w:rsidRDefault="002457F6">
            <w:pPr>
              <w:pStyle w:val="P68B1DB1-Normal11"/>
              <w:spacing w:line="276" w:lineRule="auto"/>
              <w:jc w:val="center"/>
              <w:rPr>
                <w:noProof/>
              </w:rPr>
            </w:pPr>
            <w:r>
              <w:rPr>
                <w:noProof/>
              </w:rPr>
              <w:t>Starpposma mērķis</w:t>
            </w:r>
          </w:p>
        </w:tc>
        <w:tc>
          <w:tcPr>
            <w:tcW w:w="1732" w:type="dxa"/>
            <w:shd w:val="clear" w:color="auto" w:fill="C6EFCE"/>
            <w:noWrap/>
            <w:vAlign w:val="center"/>
          </w:tcPr>
          <w:p w14:paraId="0D1FDE94" w14:textId="77777777" w:rsidR="00C972CB" w:rsidRDefault="002457F6">
            <w:pPr>
              <w:pStyle w:val="P68B1DB1-Normal11"/>
              <w:spacing w:line="276" w:lineRule="auto"/>
              <w:jc w:val="center"/>
              <w:rPr>
                <w:noProof/>
              </w:rPr>
            </w:pPr>
            <w:r>
              <w:rPr>
                <w:noProof/>
              </w:rPr>
              <w:t>Direktora dekrēta stāšanās spēkā</w:t>
            </w:r>
          </w:p>
        </w:tc>
        <w:tc>
          <w:tcPr>
            <w:tcW w:w="1603" w:type="dxa"/>
            <w:shd w:val="clear" w:color="auto" w:fill="C6EFCE"/>
            <w:noWrap/>
            <w:vAlign w:val="center"/>
          </w:tcPr>
          <w:p w14:paraId="1AAA8C7D" w14:textId="77777777" w:rsidR="00C972CB" w:rsidRDefault="002457F6">
            <w:pPr>
              <w:pStyle w:val="P68B1DB1-Normal11"/>
              <w:spacing w:line="276" w:lineRule="auto"/>
              <w:jc w:val="center"/>
              <w:rPr>
                <w:noProof/>
              </w:rPr>
            </w:pPr>
            <w:r>
              <w:rPr>
                <w:noProof/>
              </w:rPr>
              <w:t>Dekrēta noteikums par likuma stāšanos spēkā</w:t>
            </w:r>
          </w:p>
        </w:tc>
        <w:tc>
          <w:tcPr>
            <w:tcW w:w="1275" w:type="dxa"/>
            <w:shd w:val="clear" w:color="auto" w:fill="C6EFCE"/>
            <w:noWrap/>
            <w:vAlign w:val="center"/>
          </w:tcPr>
          <w:p w14:paraId="1BDC5E25"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701476E6"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5C223E01" w14:textId="77777777" w:rsidR="00C972CB" w:rsidRDefault="002457F6">
            <w:pPr>
              <w:pStyle w:val="P68B1DB1-Normal11"/>
              <w:spacing w:line="276" w:lineRule="auto"/>
              <w:jc w:val="center"/>
              <w:rPr>
                <w:noProof/>
              </w:rPr>
            </w:pPr>
            <w:r>
              <w:rPr>
                <w:noProof/>
              </w:rPr>
              <w:t>NEPIEMĒRO</w:t>
            </w:r>
          </w:p>
        </w:tc>
        <w:tc>
          <w:tcPr>
            <w:tcW w:w="963" w:type="dxa"/>
            <w:shd w:val="clear" w:color="auto" w:fill="C6EFCE"/>
            <w:noWrap/>
            <w:vAlign w:val="center"/>
          </w:tcPr>
          <w:p w14:paraId="28B18E4C" w14:textId="77777777" w:rsidR="00C972CB" w:rsidRDefault="002457F6">
            <w:pPr>
              <w:pStyle w:val="P68B1DB1-Normal11"/>
              <w:spacing w:line="276" w:lineRule="auto"/>
              <w:jc w:val="center"/>
              <w:rPr>
                <w:noProof/>
              </w:rPr>
            </w:pPr>
            <w:r>
              <w:rPr>
                <w:noProof/>
              </w:rPr>
              <w:t>3. CET.</w:t>
            </w:r>
          </w:p>
        </w:tc>
        <w:tc>
          <w:tcPr>
            <w:tcW w:w="710" w:type="dxa"/>
            <w:shd w:val="clear" w:color="auto" w:fill="C6EFCE"/>
            <w:noWrap/>
            <w:vAlign w:val="center"/>
          </w:tcPr>
          <w:p w14:paraId="3EACBC98" w14:textId="77777777" w:rsidR="00C972CB" w:rsidRDefault="002457F6">
            <w:pPr>
              <w:pStyle w:val="P68B1DB1-Normal11"/>
              <w:spacing w:line="276" w:lineRule="auto"/>
              <w:rPr>
                <w:noProof/>
              </w:rPr>
            </w:pPr>
            <w:r>
              <w:rPr>
                <w:noProof/>
              </w:rPr>
              <w:t>2022</w:t>
            </w:r>
          </w:p>
        </w:tc>
        <w:tc>
          <w:tcPr>
            <w:tcW w:w="3174" w:type="dxa"/>
            <w:shd w:val="clear" w:color="auto" w:fill="C6EFCE"/>
            <w:noWrap/>
            <w:vAlign w:val="center"/>
          </w:tcPr>
          <w:p w14:paraId="438B5084" w14:textId="0ED741F9" w:rsidR="00C972CB" w:rsidRDefault="002457F6">
            <w:pPr>
              <w:pStyle w:val="P68B1DB1-Normal11"/>
              <w:spacing w:before="120" w:after="120" w:line="276" w:lineRule="auto"/>
              <w:rPr>
                <w:noProof/>
              </w:rPr>
            </w:pPr>
            <w:r>
              <w:rPr>
                <w:noProof/>
              </w:rPr>
              <w:t xml:space="preserve">Ar direktora dekrētu apstiprina ar publiskā </w:t>
            </w:r>
            <w:r>
              <w:rPr>
                <w:noProof/>
              </w:rPr>
              <w:t>paziņojuma rezultātiem saistīto projektu sarindojumu. Atlases procedūra ietver:</w:t>
            </w:r>
          </w:p>
          <w:p w14:paraId="529CA700" w14:textId="0DA48411" w:rsidR="00C972CB" w:rsidRDefault="002457F6">
            <w:pPr>
              <w:pStyle w:val="P68B1DB1-Normal11"/>
              <w:spacing w:before="120" w:after="120" w:line="276" w:lineRule="auto"/>
              <w:rPr>
                <w:noProof/>
              </w:rPr>
            </w:pPr>
            <w:r>
              <w:rPr>
                <w:noProof/>
              </w:rPr>
              <w:t>atbilstības kritēriji, kas nodrošina, ka atlasītie projekti atbilst Tehniskajiem norādījumiem “nenodari būtisku kaitējumu” (2021/C58/01), izmantojot izslēgšanas sarakstu un pra</w:t>
            </w:r>
            <w:r>
              <w:rPr>
                <w:noProof/>
              </w:rPr>
              <w:t>sību par atbilstību attiecīgajiem ES un valsts tiesību aktiem vides jomā.</w:t>
            </w:r>
          </w:p>
          <w:p w14:paraId="77F87401" w14:textId="340651FE" w:rsidR="00C972CB" w:rsidRDefault="002457F6">
            <w:pPr>
              <w:pStyle w:val="P68B1DB1-Normal11"/>
              <w:spacing w:line="276" w:lineRule="auto"/>
              <w:rPr>
                <w:noProof/>
              </w:rPr>
            </w:pPr>
            <w:r>
              <w:rPr>
                <w:noProof/>
              </w:rPr>
              <w:t>b) apņemšanās, ka investīciju ieguldījums klimata jomā saskaņā ar Regulas (ES) 2021/241 VI pielikumā izklāstīto metodiku veido vismaz 37 % no ANM atbalstīto investīciju kopējām izmak</w:t>
            </w:r>
            <w:r>
              <w:rPr>
                <w:noProof/>
              </w:rPr>
              <w:t>sām.</w:t>
            </w:r>
          </w:p>
          <w:p w14:paraId="11872F5F" w14:textId="77777777" w:rsidR="00C972CB" w:rsidRDefault="002457F6">
            <w:pPr>
              <w:pStyle w:val="P68B1DB1-Normal11"/>
              <w:spacing w:before="120" w:after="120" w:line="276" w:lineRule="auto"/>
              <w:rPr>
                <w:noProof/>
              </w:rPr>
            </w:pPr>
            <w:r>
              <w:rPr>
                <w:noProof/>
              </w:rPr>
              <w:t>C) apņemšanās ziņot par pasākuma īstenošanu visā shēmas darbības laikā un shēmas darbības beigās.</w:t>
            </w:r>
          </w:p>
          <w:p w14:paraId="0A30FD4C" w14:textId="77777777" w:rsidR="00C972CB" w:rsidRDefault="002457F6">
            <w:pPr>
              <w:pStyle w:val="P68B1DB1-Normal11"/>
              <w:spacing w:before="120" w:after="120" w:line="276" w:lineRule="auto"/>
              <w:rPr>
                <w:noProof/>
              </w:rPr>
            </w:pPr>
            <w:r>
              <w:rPr>
                <w:noProof/>
              </w:rPr>
              <w:t>Iespējamās intervences jomas ir šādas:</w:t>
            </w:r>
          </w:p>
          <w:p w14:paraId="1471FF6A" w14:textId="77777777" w:rsidR="00C972CB" w:rsidRDefault="002457F6">
            <w:pPr>
              <w:pStyle w:val="P68B1DB1-Normal11"/>
              <w:numPr>
                <w:ilvl w:val="0"/>
                <w:numId w:val="60"/>
              </w:numPr>
              <w:spacing w:before="120" w:line="276" w:lineRule="auto"/>
              <w:ind w:left="341"/>
              <w:contextualSpacing/>
              <w:rPr>
                <w:noProof/>
              </w:rPr>
            </w:pPr>
            <w:r>
              <w:rPr>
                <w:noProof/>
              </w:rPr>
              <w:t>agromežsaimniecības mantojuma integrēta un sertificēta pārvaldība (arī apmainoties ar kredītiem, kas iegūti, uztve</w:t>
            </w:r>
            <w:r>
              <w:rPr>
                <w:noProof/>
              </w:rPr>
              <w:t>rot oglekļa dioksīdu, pārvaldot bioloģisko daudzveidību un sertificējot koksnes piegādes ķēdi);</w:t>
            </w:r>
          </w:p>
          <w:p w14:paraId="74603ED3" w14:textId="77777777" w:rsidR="00C972CB" w:rsidRDefault="002457F6">
            <w:pPr>
              <w:pStyle w:val="P68B1DB1-Normal11"/>
              <w:numPr>
                <w:ilvl w:val="0"/>
                <w:numId w:val="60"/>
              </w:numPr>
              <w:spacing w:before="120" w:line="276" w:lineRule="auto"/>
              <w:ind w:left="341"/>
              <w:contextualSpacing/>
              <w:rPr>
                <w:noProof/>
              </w:rPr>
            </w:pPr>
            <w:r>
              <w:rPr>
                <w:noProof/>
              </w:rPr>
              <w:t>integrēta un sertificēta ūdens resursu apsaimniekošana;</w:t>
            </w:r>
          </w:p>
          <w:p w14:paraId="2B572322" w14:textId="77777777" w:rsidR="00C972CB" w:rsidRDefault="002457F6">
            <w:pPr>
              <w:pStyle w:val="P68B1DB1-Normal11"/>
              <w:numPr>
                <w:ilvl w:val="0"/>
                <w:numId w:val="60"/>
              </w:numPr>
              <w:spacing w:before="120" w:line="276" w:lineRule="auto"/>
              <w:ind w:left="341"/>
              <w:contextualSpacing/>
              <w:rPr>
                <w:noProof/>
              </w:rPr>
            </w:pPr>
            <w:r>
              <w:rPr>
                <w:noProof/>
              </w:rPr>
              <w:t>enerģijas ražošana no vietējiem atjaunojamiem energoresursiem, piemēram, mikro hidroelektrostacijām, bio</w:t>
            </w:r>
            <w:r>
              <w:rPr>
                <w:noProof/>
              </w:rPr>
              <w:t>masas, biogāzes, vēja, koģenerācijas un biometāna;</w:t>
            </w:r>
          </w:p>
          <w:p w14:paraId="48EB9A34" w14:textId="77777777" w:rsidR="00C972CB" w:rsidRDefault="002457F6">
            <w:pPr>
              <w:pStyle w:val="P68B1DB1-Normal11"/>
              <w:numPr>
                <w:ilvl w:val="0"/>
                <w:numId w:val="60"/>
              </w:numPr>
              <w:spacing w:before="120" w:line="276" w:lineRule="auto"/>
              <w:ind w:left="341"/>
              <w:contextualSpacing/>
              <w:rPr>
                <w:noProof/>
              </w:rPr>
            </w:pPr>
            <w:r>
              <w:rPr>
                <w:noProof/>
              </w:rPr>
              <w:t>ilgtspējīga tūrisma attīstība (“var uzlabot vietējos produktus”);</w:t>
            </w:r>
          </w:p>
          <w:p w14:paraId="1187A857" w14:textId="77777777" w:rsidR="00C972CB" w:rsidRDefault="002457F6">
            <w:pPr>
              <w:pStyle w:val="P68B1DB1-Normal11"/>
              <w:numPr>
                <w:ilvl w:val="0"/>
                <w:numId w:val="60"/>
              </w:numPr>
              <w:spacing w:before="120" w:line="276" w:lineRule="auto"/>
              <w:ind w:left="341"/>
              <w:contextualSpacing/>
              <w:rPr>
                <w:noProof/>
              </w:rPr>
            </w:pPr>
            <w:r>
              <w:rPr>
                <w:noProof/>
              </w:rPr>
              <w:t>moderna kalnu ēku fonda un infrastruktūras būvniecība un ilgtspējīga apsaimniekošana;</w:t>
            </w:r>
          </w:p>
          <w:p w14:paraId="1C51D737" w14:textId="77777777" w:rsidR="00C972CB" w:rsidRDefault="002457F6">
            <w:pPr>
              <w:pStyle w:val="P68B1DB1-Normal11"/>
              <w:numPr>
                <w:ilvl w:val="0"/>
                <w:numId w:val="60"/>
              </w:numPr>
              <w:spacing w:before="120" w:line="276" w:lineRule="auto"/>
              <w:ind w:left="341"/>
              <w:contextualSpacing/>
              <w:rPr>
                <w:noProof/>
              </w:rPr>
            </w:pPr>
            <w:r>
              <w:rPr>
                <w:noProof/>
              </w:rPr>
              <w:t>energoefektivitāte un intelektiska iekārtu un tīklu i</w:t>
            </w:r>
            <w:r>
              <w:rPr>
                <w:noProof/>
              </w:rPr>
              <w:t>ntegrācija;</w:t>
            </w:r>
          </w:p>
          <w:p w14:paraId="0ABA2902" w14:textId="77777777" w:rsidR="00C972CB" w:rsidRDefault="002457F6">
            <w:pPr>
              <w:pStyle w:val="P68B1DB1-Normal11"/>
              <w:numPr>
                <w:ilvl w:val="0"/>
                <w:numId w:val="60"/>
              </w:numPr>
              <w:spacing w:before="120" w:line="276" w:lineRule="auto"/>
              <w:ind w:left="341"/>
              <w:contextualSpacing/>
              <w:rPr>
                <w:noProof/>
              </w:rPr>
            </w:pPr>
            <w:r>
              <w:rPr>
                <w:noProof/>
              </w:rPr>
              <w:t>ražošanas darbību ilgtspējīga attīstība (bez atkritumu radīšanas);</w:t>
            </w:r>
          </w:p>
          <w:p w14:paraId="22C3E4E8" w14:textId="77777777" w:rsidR="00C972CB" w:rsidRDefault="002457F6">
            <w:pPr>
              <w:pStyle w:val="P68B1DB1-Normal11"/>
              <w:numPr>
                <w:ilvl w:val="0"/>
                <w:numId w:val="60"/>
              </w:numPr>
              <w:spacing w:before="120" w:line="276" w:lineRule="auto"/>
              <w:ind w:left="341"/>
              <w:contextualSpacing/>
              <w:rPr>
                <w:noProof/>
              </w:rPr>
            </w:pPr>
            <w:r>
              <w:rPr>
                <w:noProof/>
              </w:rPr>
              <w:t>mobilitātes pakalpojumu integrācija;</w:t>
            </w:r>
          </w:p>
          <w:p w14:paraId="50314E14" w14:textId="77777777" w:rsidR="00C972CB" w:rsidRDefault="002457F6">
            <w:pPr>
              <w:pStyle w:val="P68B1DB1-Normal11"/>
              <w:numPr>
                <w:ilvl w:val="0"/>
                <w:numId w:val="60"/>
              </w:numPr>
              <w:spacing w:before="120" w:line="276" w:lineRule="auto"/>
              <w:ind w:left="341"/>
              <w:contextualSpacing/>
              <w:rPr>
                <w:noProof/>
              </w:rPr>
            </w:pPr>
            <w:r>
              <w:rPr>
                <w:noProof/>
              </w:rPr>
              <w:t>— ilgtspējīga lauku saimniecības modeļa (“kas ir arī neatkarīgs no enerģijas ražošanas un izmantošanas no atjaunojamiem energoresursiem elek</w:t>
            </w:r>
            <w:r>
              <w:rPr>
                <w:noProof/>
              </w:rPr>
              <w:t>troenerģijas ražošanas un izmantošanas elektroenerģijas, siltumenerģijas un transporta nozarē”) izstrāde.</w:t>
            </w:r>
          </w:p>
          <w:p w14:paraId="0E8D3F25" w14:textId="77777777" w:rsidR="00C972CB" w:rsidRDefault="002457F6">
            <w:pPr>
              <w:pStyle w:val="P68B1DB1-Normal11"/>
              <w:spacing w:before="120" w:after="120" w:line="276" w:lineRule="auto"/>
              <w:rPr>
                <w:noProof/>
              </w:rPr>
            </w:pPr>
            <w:r>
              <w:rPr>
                <w:noProof/>
              </w:rPr>
              <w:t>Biometāns atbilst ilgtspējas un siltumnīcefekta gāzu emisiju aiztaupījuma kritērijiem, kas noteikti Atjaunojamo energoresursu direktīvas (ES) 2018/200</w:t>
            </w:r>
            <w:r>
              <w:rPr>
                <w:noProof/>
              </w:rPr>
              <w:t>1 (RED II) 29.–31. pantā, un noteikumiem par biodegvielām, kas ražotas no pārtikas un dzīvnieku barības, kuri izklāstīti Atjaunojamo energoresursu direktīvas (ES) 2018/2001 (RED II) 26. pantā, un saistītajos īstenošanas un deleģētajos aktos, lai pasākums a</w:t>
            </w:r>
            <w:r>
              <w:rPr>
                <w:noProof/>
              </w:rPr>
              <w:t>tbilstu principam “nenodarīt būtisku kaitējumu” un attiecīgajām Regulas (ES) 2021/241 VI pielikuma 8. zemsvītras piezīmes prasībām.</w:t>
            </w:r>
          </w:p>
        </w:tc>
      </w:tr>
      <w:tr w:rsidR="00C972CB" w14:paraId="789B513A" w14:textId="77777777">
        <w:trPr>
          <w:trHeight w:val="313"/>
          <w:jc w:val="center"/>
        </w:trPr>
        <w:tc>
          <w:tcPr>
            <w:tcW w:w="1220" w:type="dxa"/>
            <w:shd w:val="clear" w:color="auto" w:fill="C6EFCE"/>
            <w:noWrap/>
            <w:vAlign w:val="center"/>
          </w:tcPr>
          <w:p w14:paraId="5976FCAC" w14:textId="77777777" w:rsidR="00C972CB" w:rsidRDefault="002457F6">
            <w:pPr>
              <w:pStyle w:val="P68B1DB1-Normal11"/>
              <w:spacing w:line="276" w:lineRule="auto"/>
              <w:jc w:val="center"/>
              <w:rPr>
                <w:noProof/>
              </w:rPr>
            </w:pPr>
            <w:r>
              <w:rPr>
                <w:noProof/>
              </w:rPr>
              <w:t>M2C1–19</w:t>
            </w:r>
          </w:p>
        </w:tc>
        <w:tc>
          <w:tcPr>
            <w:tcW w:w="1598" w:type="dxa"/>
            <w:shd w:val="clear" w:color="auto" w:fill="C6EFCE"/>
            <w:noWrap/>
            <w:vAlign w:val="center"/>
          </w:tcPr>
          <w:p w14:paraId="44C84A85" w14:textId="77777777" w:rsidR="00C972CB" w:rsidRDefault="002457F6">
            <w:pPr>
              <w:pStyle w:val="P68B1DB1-Normal11"/>
              <w:spacing w:line="276" w:lineRule="auto"/>
              <w:jc w:val="center"/>
              <w:rPr>
                <w:noProof/>
              </w:rPr>
            </w:pPr>
            <w:r>
              <w:rPr>
                <w:noProof/>
              </w:rPr>
              <w:t>Ieguldījums 3.1.: Zaļās salas</w:t>
            </w:r>
          </w:p>
        </w:tc>
        <w:tc>
          <w:tcPr>
            <w:tcW w:w="1185" w:type="dxa"/>
            <w:shd w:val="clear" w:color="auto" w:fill="C6EFCE"/>
            <w:noWrap/>
            <w:vAlign w:val="center"/>
          </w:tcPr>
          <w:p w14:paraId="52DFA9B4"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697E52FA" w14:textId="77777777" w:rsidR="00C972CB" w:rsidRDefault="002457F6">
            <w:pPr>
              <w:pStyle w:val="P68B1DB1-Normal11"/>
              <w:spacing w:line="276" w:lineRule="auto"/>
              <w:jc w:val="center"/>
              <w:rPr>
                <w:noProof/>
              </w:rPr>
            </w:pPr>
            <w:r>
              <w:rPr>
                <w:noProof/>
              </w:rPr>
              <w:t>Integrētu projektu īstenošana mazās salās</w:t>
            </w:r>
          </w:p>
        </w:tc>
        <w:tc>
          <w:tcPr>
            <w:tcW w:w="1603" w:type="dxa"/>
            <w:shd w:val="clear" w:color="auto" w:fill="C6EFCE"/>
            <w:noWrap/>
            <w:vAlign w:val="center"/>
          </w:tcPr>
          <w:p w14:paraId="2E4232F0"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3CA8ED2A" w14:textId="77777777" w:rsidR="00C972CB" w:rsidRDefault="002457F6">
            <w:pPr>
              <w:pStyle w:val="P68B1DB1-Normal11"/>
              <w:spacing w:line="276" w:lineRule="auto"/>
              <w:jc w:val="center"/>
              <w:rPr>
                <w:noProof/>
              </w:rPr>
            </w:pPr>
            <w:r>
              <w:rPr>
                <w:noProof/>
              </w:rPr>
              <w:t>Mazo salu skaits</w:t>
            </w:r>
          </w:p>
        </w:tc>
        <w:tc>
          <w:tcPr>
            <w:tcW w:w="993" w:type="dxa"/>
            <w:shd w:val="clear" w:color="auto" w:fill="C6EFCE"/>
            <w:noWrap/>
            <w:vAlign w:val="center"/>
          </w:tcPr>
          <w:p w14:paraId="379F4524" w14:textId="77777777" w:rsidR="00C972CB" w:rsidRDefault="002457F6">
            <w:pPr>
              <w:pStyle w:val="P68B1DB1-Normal11"/>
              <w:spacing w:line="276" w:lineRule="auto"/>
              <w:jc w:val="center"/>
              <w:rPr>
                <w:noProof/>
              </w:rPr>
            </w:pPr>
            <w:r>
              <w:rPr>
                <w:noProof/>
              </w:rPr>
              <w:t>0</w:t>
            </w:r>
          </w:p>
        </w:tc>
        <w:tc>
          <w:tcPr>
            <w:tcW w:w="1162" w:type="dxa"/>
            <w:shd w:val="clear" w:color="auto" w:fill="C6EFCE"/>
            <w:noWrap/>
            <w:vAlign w:val="center"/>
          </w:tcPr>
          <w:p w14:paraId="742C4A98" w14:textId="77777777" w:rsidR="00C972CB" w:rsidRDefault="002457F6">
            <w:pPr>
              <w:pStyle w:val="P68B1DB1-Normal11"/>
              <w:spacing w:line="276" w:lineRule="auto"/>
              <w:jc w:val="center"/>
              <w:rPr>
                <w:noProof/>
              </w:rPr>
            </w:pPr>
            <w:r>
              <w:rPr>
                <w:noProof/>
              </w:rPr>
              <w:t>19</w:t>
            </w:r>
          </w:p>
        </w:tc>
        <w:tc>
          <w:tcPr>
            <w:tcW w:w="963" w:type="dxa"/>
            <w:shd w:val="clear" w:color="auto" w:fill="C6EFCE"/>
            <w:noWrap/>
            <w:vAlign w:val="center"/>
          </w:tcPr>
          <w:p w14:paraId="6236A539" w14:textId="77777777" w:rsidR="00C972CB" w:rsidRDefault="002457F6">
            <w:pPr>
              <w:pStyle w:val="P68B1DB1-Normal11"/>
              <w:spacing w:line="276" w:lineRule="auto"/>
              <w:jc w:val="center"/>
              <w:rPr>
                <w:noProof/>
              </w:rPr>
            </w:pPr>
            <w:r>
              <w:rPr>
                <w:noProof/>
              </w:rPr>
              <w:t xml:space="preserve">2. </w:t>
            </w:r>
            <w:r>
              <w:rPr>
                <w:noProof/>
              </w:rPr>
              <w:t>CET.</w:t>
            </w:r>
          </w:p>
        </w:tc>
        <w:tc>
          <w:tcPr>
            <w:tcW w:w="710" w:type="dxa"/>
            <w:shd w:val="clear" w:color="auto" w:fill="C6EFCE"/>
            <w:noWrap/>
            <w:vAlign w:val="center"/>
          </w:tcPr>
          <w:p w14:paraId="656D6D39" w14:textId="77777777" w:rsidR="00C972CB" w:rsidRDefault="002457F6">
            <w:pPr>
              <w:pStyle w:val="P68B1DB1-Normal11"/>
              <w:spacing w:line="276" w:lineRule="auto"/>
              <w:rPr>
                <w:noProof/>
              </w:rPr>
            </w:pPr>
            <w:r>
              <w:rPr>
                <w:noProof/>
              </w:rPr>
              <w:t>2026</w:t>
            </w:r>
          </w:p>
        </w:tc>
        <w:tc>
          <w:tcPr>
            <w:tcW w:w="3174" w:type="dxa"/>
            <w:shd w:val="clear" w:color="auto" w:fill="C6EFCE"/>
            <w:noWrap/>
            <w:vAlign w:val="center"/>
          </w:tcPr>
          <w:p w14:paraId="320404AA" w14:textId="77777777" w:rsidR="00C972CB" w:rsidRDefault="002457F6">
            <w:pPr>
              <w:pStyle w:val="P68B1DB1-Normal11"/>
              <w:spacing w:before="120" w:after="120" w:line="276" w:lineRule="auto"/>
              <w:rPr>
                <w:noProof/>
              </w:rPr>
            </w:pPr>
            <w:r>
              <w:rPr>
                <w:noProof/>
              </w:rPr>
              <w:t>Vismaz 19 mazas salas, kas īsteno pabeigtus integrētos projektus, kuros iesaistīti vismaz trīs dažādi intervences veidi.</w:t>
            </w:r>
          </w:p>
          <w:p w14:paraId="5F33C93E" w14:textId="77777777" w:rsidR="00C972CB" w:rsidRDefault="002457F6">
            <w:pPr>
              <w:pStyle w:val="P68B1DB1-Normal11"/>
              <w:spacing w:before="120" w:after="120" w:line="276" w:lineRule="auto"/>
              <w:rPr>
                <w:noProof/>
              </w:rPr>
            </w:pPr>
            <w:r>
              <w:rPr>
                <w:noProof/>
              </w:rPr>
              <w:t>Kopumā investīciju ieguldījums klimata jomā saskaņā ar Regulas (ES) 2021/241 VI pielikumā izklāstīto metodiku veido vismaz 37</w:t>
            </w:r>
            <w:r>
              <w:rPr>
                <w:noProof/>
              </w:rPr>
              <w:t> % no ANM atbalstīto investīciju kopējām izmaksām.</w:t>
            </w:r>
          </w:p>
          <w:p w14:paraId="60BC4768" w14:textId="77777777" w:rsidR="00C972CB" w:rsidRDefault="002457F6">
            <w:pPr>
              <w:pStyle w:val="P68B1DB1-Normal11"/>
              <w:spacing w:before="120" w:after="120" w:line="276" w:lineRule="auto"/>
              <w:rPr>
                <w:noProof/>
              </w:rPr>
            </w:pPr>
            <w:r>
              <w:rPr>
                <w:noProof/>
              </w:rPr>
              <w:t>Atbalsttiesīgās intervences, lai saņemtu finansējumu, ir šādas:</w:t>
            </w:r>
          </w:p>
          <w:p w14:paraId="320C5299" w14:textId="77777777" w:rsidR="00C972CB" w:rsidRDefault="002457F6">
            <w:pPr>
              <w:pStyle w:val="P68B1DB1-Normal11"/>
              <w:numPr>
                <w:ilvl w:val="0"/>
                <w:numId w:val="61"/>
              </w:numPr>
              <w:spacing w:before="120" w:line="276" w:lineRule="auto"/>
              <w:ind w:left="29" w:hanging="142"/>
              <w:contextualSpacing/>
              <w:rPr>
                <w:noProof/>
              </w:rPr>
            </w:pPr>
            <w:r>
              <w:rPr>
                <w:noProof/>
              </w:rPr>
              <w:t>energoefektivitātes intervences;</w:t>
            </w:r>
          </w:p>
          <w:p w14:paraId="1DC98E0D" w14:textId="77777777" w:rsidR="00C972CB" w:rsidRDefault="002457F6">
            <w:pPr>
              <w:pStyle w:val="P68B1DB1-Normal11"/>
              <w:numPr>
                <w:ilvl w:val="0"/>
                <w:numId w:val="61"/>
              </w:numPr>
              <w:spacing w:before="120" w:line="276" w:lineRule="auto"/>
              <w:ind w:left="29" w:hanging="142"/>
              <w:contextualSpacing/>
              <w:rPr>
                <w:noProof/>
              </w:rPr>
            </w:pPr>
            <w:r>
              <w:rPr>
                <w:noProof/>
              </w:rPr>
              <w:t>kolektīvās mobilitātes pakalpojumu un infrastruktūru izstrāde un/vai modernizācija; autobusi un laivas, ko d</w:t>
            </w:r>
            <w:r>
              <w:rPr>
                <w:noProof/>
              </w:rPr>
              <w:t>arbina ar elektroenerģiju; sabiedriskā transporta pakalpojumu patversmes; automobiļu koplietošana, velosipēdu koplietošana, motorolleru koplietošana;</w:t>
            </w:r>
          </w:p>
          <w:p w14:paraId="585B53BA" w14:textId="77777777" w:rsidR="00C972CB" w:rsidRDefault="002457F6">
            <w:pPr>
              <w:pStyle w:val="P68B1DB1-Normal11"/>
              <w:numPr>
                <w:ilvl w:val="0"/>
                <w:numId w:val="61"/>
              </w:numPr>
              <w:spacing w:before="120" w:line="276" w:lineRule="auto"/>
              <w:ind w:left="29" w:hanging="142"/>
              <w:contextualSpacing/>
              <w:rPr>
                <w:noProof/>
              </w:rPr>
            </w:pPr>
            <w:r>
              <w:rPr>
                <w:noProof/>
              </w:rPr>
              <w:t>veloceliņu būvniecība un/vai pielāgošana, patvēruma vietu būvniecība;</w:t>
            </w:r>
          </w:p>
          <w:p w14:paraId="42A7D997" w14:textId="77777777" w:rsidR="00C972CB" w:rsidRDefault="002457F6">
            <w:pPr>
              <w:pStyle w:val="P68B1DB1-Normal11"/>
              <w:numPr>
                <w:ilvl w:val="0"/>
                <w:numId w:val="61"/>
              </w:numPr>
              <w:spacing w:before="120" w:line="276" w:lineRule="auto"/>
              <w:ind w:left="29" w:hanging="142"/>
              <w:contextualSpacing/>
              <w:rPr>
                <w:noProof/>
              </w:rPr>
            </w:pPr>
            <w:r>
              <w:rPr>
                <w:noProof/>
              </w:rPr>
              <w:t>efektīva dalīta savākšana, stiprinot</w:t>
            </w:r>
            <w:r>
              <w:rPr>
                <w:noProof/>
              </w:rPr>
              <w:t xml:space="preserve"> savākšanas sistēmas;</w:t>
            </w:r>
          </w:p>
          <w:p w14:paraId="3C535996" w14:textId="77777777" w:rsidR="00C972CB" w:rsidRDefault="002457F6">
            <w:pPr>
              <w:pStyle w:val="P68B1DB1-Normal11"/>
              <w:numPr>
                <w:ilvl w:val="0"/>
                <w:numId w:val="61"/>
              </w:numPr>
              <w:spacing w:before="120" w:line="276" w:lineRule="auto"/>
              <w:ind w:left="29" w:hanging="142"/>
              <w:contextualSpacing/>
              <w:rPr>
                <w:noProof/>
              </w:rPr>
            </w:pPr>
            <w:r>
              <w:rPr>
                <w:noProof/>
              </w:rPr>
              <w:t>ekoloģisko salu būvniecība/modernizācija ar saistīto atkārtotas izmantošanas centru;</w:t>
            </w:r>
          </w:p>
          <w:p w14:paraId="64A0A043" w14:textId="77777777" w:rsidR="00C972CB" w:rsidRDefault="002457F6">
            <w:pPr>
              <w:pStyle w:val="P68B1DB1-Normal11"/>
              <w:numPr>
                <w:ilvl w:val="0"/>
                <w:numId w:val="61"/>
              </w:numPr>
              <w:spacing w:before="120" w:line="276" w:lineRule="auto"/>
              <w:ind w:left="29" w:hanging="142"/>
              <w:contextualSpacing/>
              <w:rPr>
                <w:noProof/>
              </w:rPr>
            </w:pPr>
            <w:r>
              <w:rPr>
                <w:noProof/>
              </w:rPr>
              <w:t>atsāļošanas sistēmas;</w:t>
            </w:r>
          </w:p>
          <w:p w14:paraId="01312334" w14:textId="77777777" w:rsidR="00C972CB" w:rsidRDefault="002457F6">
            <w:pPr>
              <w:pStyle w:val="P68B1DB1-Normal11"/>
              <w:numPr>
                <w:ilvl w:val="0"/>
                <w:numId w:val="61"/>
              </w:numPr>
              <w:spacing w:before="120" w:line="276" w:lineRule="auto"/>
              <w:ind w:left="29" w:hanging="142"/>
              <w:contextualSpacing/>
              <w:rPr>
                <w:noProof/>
              </w:rPr>
            </w:pPr>
            <w:r>
              <w:rPr>
                <w:noProof/>
              </w:rPr>
              <w:t>atjaunīgās enerģijas stacijas elektroenerģijai, tostarp fotoelementu, vēja un jūras atjaunojamā enerģija, piemēram, viļņu vai p</w:t>
            </w:r>
            <w:r>
              <w:rPr>
                <w:noProof/>
              </w:rPr>
              <w:t>lūdmaiņu enerģija;</w:t>
            </w:r>
          </w:p>
          <w:p w14:paraId="552034D7" w14:textId="77777777" w:rsidR="00C972CB" w:rsidRDefault="002457F6">
            <w:pPr>
              <w:pStyle w:val="P68B1DB1-Normal11"/>
              <w:numPr>
                <w:ilvl w:val="0"/>
                <w:numId w:val="61"/>
              </w:numPr>
              <w:spacing w:before="120" w:line="276" w:lineRule="auto"/>
              <w:ind w:left="29" w:hanging="142"/>
              <w:contextualSpacing/>
              <w:rPr>
                <w:noProof/>
              </w:rPr>
            </w:pPr>
            <w:r>
              <w:rPr>
                <w:noProof/>
              </w:rPr>
              <w:t>energoefektivitātes pasākumi, kuru mērķis ir samazināt elektroenerģijas pieprasījumu;</w:t>
            </w:r>
          </w:p>
          <w:p w14:paraId="4F9809BA" w14:textId="77777777" w:rsidR="00C972CB" w:rsidRDefault="002457F6">
            <w:pPr>
              <w:pStyle w:val="P68B1DB1-Normal11"/>
              <w:numPr>
                <w:ilvl w:val="0"/>
                <w:numId w:val="61"/>
              </w:numPr>
              <w:spacing w:before="120" w:line="276" w:lineRule="auto"/>
              <w:ind w:left="29" w:hanging="142"/>
              <w:contextualSpacing/>
              <w:rPr>
                <w:noProof/>
              </w:rPr>
            </w:pPr>
            <w:r>
              <w:rPr>
                <w:noProof/>
              </w:rPr>
              <w:t>intervences elektrotīkla un ar to saistītās infrastruktūras jomā: uzglabāšanas ierīces, elektroenerģijas sistēmas integrācija salas ūdensapgādes sistēm</w:t>
            </w:r>
            <w:r>
              <w:rPr>
                <w:noProof/>
              </w:rPr>
              <w:t>ā, viedtīkli, inovatīvas energovadības un uzraudzības sistēmas.</w:t>
            </w:r>
          </w:p>
          <w:p w14:paraId="16B9FFE9" w14:textId="77777777" w:rsidR="00C972CB" w:rsidRDefault="00C972CB">
            <w:pPr>
              <w:spacing w:line="276" w:lineRule="auto"/>
              <w:rPr>
                <w:rFonts w:ascii="Arial Narrow" w:hAnsi="Arial Narrow"/>
                <w:noProof/>
                <w:color w:val="006100"/>
                <w:sz w:val="20"/>
              </w:rPr>
            </w:pPr>
          </w:p>
        </w:tc>
      </w:tr>
      <w:tr w:rsidR="00C972CB" w14:paraId="2772E720" w14:textId="77777777">
        <w:trPr>
          <w:trHeight w:val="313"/>
          <w:jc w:val="center"/>
        </w:trPr>
        <w:tc>
          <w:tcPr>
            <w:tcW w:w="1220" w:type="dxa"/>
            <w:shd w:val="clear" w:color="auto" w:fill="C6EFCE"/>
            <w:noWrap/>
            <w:vAlign w:val="center"/>
          </w:tcPr>
          <w:p w14:paraId="79881820" w14:textId="77777777" w:rsidR="00C972CB" w:rsidRDefault="002457F6">
            <w:pPr>
              <w:pStyle w:val="P68B1DB1-Normal11"/>
              <w:spacing w:line="276" w:lineRule="auto"/>
              <w:jc w:val="center"/>
              <w:rPr>
                <w:noProof/>
              </w:rPr>
            </w:pPr>
            <w:r>
              <w:rPr>
                <w:noProof/>
              </w:rPr>
              <w:t>M2C1–20</w:t>
            </w:r>
          </w:p>
        </w:tc>
        <w:tc>
          <w:tcPr>
            <w:tcW w:w="1598" w:type="dxa"/>
            <w:shd w:val="clear" w:color="auto" w:fill="C6EFCE"/>
            <w:noWrap/>
            <w:vAlign w:val="center"/>
          </w:tcPr>
          <w:p w14:paraId="75127FC7" w14:textId="77777777" w:rsidR="00C972CB" w:rsidRDefault="002457F6">
            <w:pPr>
              <w:pStyle w:val="P68B1DB1-Normal11"/>
              <w:spacing w:line="276" w:lineRule="auto"/>
              <w:jc w:val="center"/>
              <w:rPr>
                <w:noProof/>
              </w:rPr>
            </w:pPr>
            <w:r>
              <w:rPr>
                <w:noProof/>
              </w:rPr>
              <w:t>Ieguldījums 3.2.: Zaļās kopienas</w:t>
            </w:r>
          </w:p>
        </w:tc>
        <w:tc>
          <w:tcPr>
            <w:tcW w:w="1185" w:type="dxa"/>
            <w:shd w:val="clear" w:color="auto" w:fill="C6EFCE"/>
            <w:noWrap/>
            <w:vAlign w:val="center"/>
          </w:tcPr>
          <w:p w14:paraId="61BCF4BF" w14:textId="77777777" w:rsidR="00C972CB" w:rsidRDefault="002457F6">
            <w:pPr>
              <w:pStyle w:val="P68B1DB1-Normal11"/>
              <w:spacing w:line="276" w:lineRule="auto"/>
              <w:jc w:val="center"/>
              <w:rPr>
                <w:noProof/>
              </w:rPr>
            </w:pPr>
            <w:r>
              <w:rPr>
                <w:noProof/>
              </w:rPr>
              <w:t>Starpposma mērķis</w:t>
            </w:r>
          </w:p>
        </w:tc>
        <w:tc>
          <w:tcPr>
            <w:tcW w:w="1732" w:type="dxa"/>
            <w:shd w:val="clear" w:color="auto" w:fill="C6EFCE"/>
            <w:noWrap/>
            <w:vAlign w:val="center"/>
          </w:tcPr>
          <w:p w14:paraId="29061C2E" w14:textId="77777777" w:rsidR="00C972CB" w:rsidRDefault="002457F6">
            <w:pPr>
              <w:pStyle w:val="P68B1DB1-Normal11"/>
              <w:spacing w:line="276" w:lineRule="auto"/>
              <w:jc w:val="center"/>
              <w:rPr>
                <w:noProof/>
              </w:rPr>
            </w:pPr>
            <w:r>
              <w:rPr>
                <w:noProof/>
              </w:rPr>
              <w:t>(Visu) publiskā iepirkuma līgumu slēgšanas tiesību piešķiršana zaļo kopienu atlasei</w:t>
            </w:r>
          </w:p>
        </w:tc>
        <w:tc>
          <w:tcPr>
            <w:tcW w:w="1603" w:type="dxa"/>
            <w:shd w:val="clear" w:color="auto" w:fill="C6EFCE"/>
            <w:noWrap/>
            <w:vAlign w:val="center"/>
          </w:tcPr>
          <w:p w14:paraId="6A73CD8D" w14:textId="77777777" w:rsidR="00C972CB" w:rsidRDefault="002457F6">
            <w:pPr>
              <w:pStyle w:val="P68B1DB1-Normal11"/>
              <w:spacing w:line="276" w:lineRule="auto"/>
              <w:jc w:val="center"/>
              <w:rPr>
                <w:noProof/>
              </w:rPr>
            </w:pPr>
            <w:r>
              <w:rPr>
                <w:noProof/>
              </w:rPr>
              <w:t xml:space="preserve">Paziņojums par (visu) publisko līgumu </w:t>
            </w:r>
            <w:r>
              <w:rPr>
                <w:noProof/>
              </w:rPr>
              <w:t>piešķiršanu zaļo kopienu atlasei</w:t>
            </w:r>
          </w:p>
        </w:tc>
        <w:tc>
          <w:tcPr>
            <w:tcW w:w="1275" w:type="dxa"/>
            <w:shd w:val="clear" w:color="auto" w:fill="C6EFCE"/>
            <w:noWrap/>
            <w:vAlign w:val="center"/>
          </w:tcPr>
          <w:p w14:paraId="77A186F1"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0AC2BAE6" w14:textId="77777777" w:rsidR="00C972CB" w:rsidRDefault="002457F6">
            <w:pPr>
              <w:pStyle w:val="P68B1DB1-Normal11"/>
              <w:spacing w:line="276" w:lineRule="auto"/>
              <w:jc w:val="center"/>
              <w:rPr>
                <w:noProof/>
              </w:rPr>
            </w:pPr>
            <w:r>
              <w:rPr>
                <w:noProof/>
              </w:rPr>
              <w:t>NEPIEMĒRO</w:t>
            </w:r>
          </w:p>
        </w:tc>
        <w:tc>
          <w:tcPr>
            <w:tcW w:w="1162" w:type="dxa"/>
            <w:shd w:val="clear" w:color="auto" w:fill="C6EFCE"/>
            <w:noWrap/>
            <w:vAlign w:val="center"/>
          </w:tcPr>
          <w:p w14:paraId="6B88BA08" w14:textId="77777777" w:rsidR="00C972CB" w:rsidRDefault="002457F6">
            <w:pPr>
              <w:pStyle w:val="P68B1DB1-Normal11"/>
              <w:spacing w:line="276" w:lineRule="auto"/>
              <w:jc w:val="center"/>
              <w:rPr>
                <w:noProof/>
              </w:rPr>
            </w:pPr>
            <w:r>
              <w:rPr>
                <w:noProof/>
              </w:rPr>
              <w:t>NEPIEMĒRO</w:t>
            </w:r>
          </w:p>
        </w:tc>
        <w:tc>
          <w:tcPr>
            <w:tcW w:w="963" w:type="dxa"/>
            <w:shd w:val="clear" w:color="auto" w:fill="C6EFCE"/>
            <w:noWrap/>
            <w:vAlign w:val="center"/>
          </w:tcPr>
          <w:p w14:paraId="7755B2C0" w14:textId="77777777" w:rsidR="00C972CB" w:rsidRDefault="002457F6">
            <w:pPr>
              <w:pStyle w:val="P68B1DB1-Normal11"/>
              <w:spacing w:line="276" w:lineRule="auto"/>
              <w:jc w:val="center"/>
              <w:rPr>
                <w:noProof/>
              </w:rPr>
            </w:pPr>
            <w:r>
              <w:rPr>
                <w:noProof/>
              </w:rPr>
              <w:t>3. CET.</w:t>
            </w:r>
          </w:p>
        </w:tc>
        <w:tc>
          <w:tcPr>
            <w:tcW w:w="710" w:type="dxa"/>
            <w:shd w:val="clear" w:color="auto" w:fill="C6EFCE"/>
            <w:noWrap/>
            <w:vAlign w:val="center"/>
          </w:tcPr>
          <w:p w14:paraId="2DB754AE" w14:textId="77777777" w:rsidR="00C972CB" w:rsidRDefault="002457F6">
            <w:pPr>
              <w:pStyle w:val="P68B1DB1-Normal11"/>
              <w:spacing w:line="276" w:lineRule="auto"/>
              <w:rPr>
                <w:noProof/>
              </w:rPr>
            </w:pPr>
            <w:r>
              <w:rPr>
                <w:noProof/>
              </w:rPr>
              <w:t>2022</w:t>
            </w:r>
          </w:p>
        </w:tc>
        <w:tc>
          <w:tcPr>
            <w:tcW w:w="3174" w:type="dxa"/>
            <w:shd w:val="clear" w:color="auto" w:fill="C6EFCE"/>
            <w:noWrap/>
            <w:vAlign w:val="center"/>
          </w:tcPr>
          <w:p w14:paraId="6D386476" w14:textId="77777777" w:rsidR="00C972CB" w:rsidRDefault="002457F6">
            <w:pPr>
              <w:pStyle w:val="P68B1DB1-Normal11"/>
              <w:spacing w:line="276" w:lineRule="auto"/>
              <w:rPr>
                <w:noProof/>
              </w:rPr>
            </w:pPr>
            <w:r>
              <w:rPr>
                <w:noProof/>
              </w:rPr>
              <w:t xml:space="preserve">Paziņojums par dotāciju piešķiršanas procedūru, kurā būtu jāiekļauj atbilstības kritēriji, kas nodrošina, ka atlasītie projekti atbilst Tehniskajiem norādījumiem “nenodari būtisku </w:t>
            </w:r>
            <w:r>
              <w:rPr>
                <w:noProof/>
              </w:rPr>
              <w:t>kaitējumu” (2021/C58/01), izmantojot izslēgšanas sarakstu un prasību par atbilstību attiecīgajiem ES un valsts tiesību aktiem vides jomā.</w:t>
            </w:r>
          </w:p>
        </w:tc>
      </w:tr>
      <w:tr w:rsidR="00C972CB" w14:paraId="30806A68" w14:textId="77777777">
        <w:trPr>
          <w:trHeight w:val="313"/>
          <w:jc w:val="center"/>
        </w:trPr>
        <w:tc>
          <w:tcPr>
            <w:tcW w:w="1220" w:type="dxa"/>
            <w:shd w:val="clear" w:color="auto" w:fill="C6EFCE"/>
            <w:noWrap/>
            <w:vAlign w:val="center"/>
          </w:tcPr>
          <w:p w14:paraId="7E196B99" w14:textId="77777777" w:rsidR="00C972CB" w:rsidRDefault="002457F6">
            <w:pPr>
              <w:pStyle w:val="P68B1DB1-Normal11"/>
              <w:spacing w:line="276" w:lineRule="auto"/>
              <w:jc w:val="center"/>
              <w:rPr>
                <w:noProof/>
              </w:rPr>
            </w:pPr>
            <w:r>
              <w:rPr>
                <w:noProof/>
              </w:rPr>
              <w:t>M2C1–21</w:t>
            </w:r>
          </w:p>
        </w:tc>
        <w:tc>
          <w:tcPr>
            <w:tcW w:w="1598" w:type="dxa"/>
            <w:shd w:val="clear" w:color="auto" w:fill="C6EFCE"/>
            <w:noWrap/>
            <w:vAlign w:val="center"/>
          </w:tcPr>
          <w:p w14:paraId="3041B688" w14:textId="77777777" w:rsidR="00C972CB" w:rsidRDefault="002457F6">
            <w:pPr>
              <w:pStyle w:val="P68B1DB1-Normal11"/>
              <w:spacing w:line="276" w:lineRule="auto"/>
              <w:jc w:val="center"/>
              <w:rPr>
                <w:noProof/>
              </w:rPr>
            </w:pPr>
            <w:r>
              <w:rPr>
                <w:noProof/>
              </w:rPr>
              <w:t>Ieguldījums 3.2.: Zaļās kopienas</w:t>
            </w:r>
          </w:p>
        </w:tc>
        <w:tc>
          <w:tcPr>
            <w:tcW w:w="1185" w:type="dxa"/>
            <w:shd w:val="clear" w:color="auto" w:fill="C6EFCE"/>
            <w:noWrap/>
            <w:vAlign w:val="center"/>
          </w:tcPr>
          <w:p w14:paraId="64045340" w14:textId="77777777"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14FAA1E8" w14:textId="77777777" w:rsidR="00C972CB" w:rsidRDefault="002457F6">
            <w:pPr>
              <w:pStyle w:val="P68B1DB1-Normal11"/>
              <w:spacing w:line="276" w:lineRule="auto"/>
              <w:jc w:val="center"/>
              <w:rPr>
                <w:noProof/>
              </w:rPr>
            </w:pPr>
            <w:r>
              <w:rPr>
                <w:noProof/>
              </w:rPr>
              <w:t>Zaļo kopienu plānos izklāstīto intervences pasākumu īstenošana</w:t>
            </w:r>
          </w:p>
        </w:tc>
        <w:tc>
          <w:tcPr>
            <w:tcW w:w="1603" w:type="dxa"/>
            <w:shd w:val="clear" w:color="auto" w:fill="C6EFCE"/>
            <w:noWrap/>
            <w:vAlign w:val="center"/>
          </w:tcPr>
          <w:p w14:paraId="6E220B15" w14:textId="77777777" w:rsidR="00C972CB" w:rsidRDefault="002457F6">
            <w:pPr>
              <w:pStyle w:val="P68B1DB1-Normal11"/>
              <w:spacing w:line="276" w:lineRule="auto"/>
              <w:jc w:val="center"/>
              <w:rPr>
                <w:noProof/>
              </w:rPr>
            </w:pPr>
            <w:r>
              <w:rPr>
                <w:noProof/>
              </w:rPr>
              <w:t>NEPIEMĒRO</w:t>
            </w:r>
          </w:p>
        </w:tc>
        <w:tc>
          <w:tcPr>
            <w:tcW w:w="1275" w:type="dxa"/>
            <w:shd w:val="clear" w:color="auto" w:fill="C6EFCE"/>
            <w:noWrap/>
            <w:vAlign w:val="center"/>
          </w:tcPr>
          <w:p w14:paraId="2B10219C" w14:textId="77777777" w:rsidR="00C972CB" w:rsidRDefault="002457F6">
            <w:pPr>
              <w:pStyle w:val="P68B1DB1-Normal11"/>
              <w:spacing w:line="276" w:lineRule="auto"/>
              <w:jc w:val="center"/>
              <w:rPr>
                <w:noProof/>
              </w:rPr>
            </w:pPr>
            <w:r>
              <w:rPr>
                <w:noProof/>
              </w:rPr>
              <w:t>Zaļo kopienu iesniegto intervenču procentuālā daļa</w:t>
            </w:r>
          </w:p>
        </w:tc>
        <w:tc>
          <w:tcPr>
            <w:tcW w:w="993" w:type="dxa"/>
            <w:shd w:val="clear" w:color="auto" w:fill="C6EFCE"/>
            <w:noWrap/>
            <w:vAlign w:val="center"/>
          </w:tcPr>
          <w:p w14:paraId="24E6369D" w14:textId="77777777" w:rsidR="00C972CB" w:rsidRDefault="002457F6">
            <w:pPr>
              <w:pStyle w:val="P68B1DB1-Normal11"/>
              <w:spacing w:line="276" w:lineRule="auto"/>
              <w:jc w:val="center"/>
              <w:rPr>
                <w:noProof/>
              </w:rPr>
            </w:pPr>
            <w:r>
              <w:rPr>
                <w:noProof/>
              </w:rPr>
              <w:t>0</w:t>
            </w:r>
          </w:p>
        </w:tc>
        <w:tc>
          <w:tcPr>
            <w:tcW w:w="1162" w:type="dxa"/>
            <w:shd w:val="clear" w:color="auto" w:fill="C6EFCE"/>
            <w:noWrap/>
            <w:vAlign w:val="center"/>
          </w:tcPr>
          <w:p w14:paraId="2EC9EFD1" w14:textId="77777777" w:rsidR="00C972CB" w:rsidRDefault="002457F6">
            <w:pPr>
              <w:pStyle w:val="P68B1DB1-Normal11"/>
              <w:spacing w:line="276" w:lineRule="auto"/>
              <w:jc w:val="center"/>
              <w:rPr>
                <w:noProof/>
              </w:rPr>
            </w:pPr>
            <w:r>
              <w:rPr>
                <w:noProof/>
              </w:rPr>
              <w:t>90</w:t>
            </w:r>
          </w:p>
        </w:tc>
        <w:tc>
          <w:tcPr>
            <w:tcW w:w="963" w:type="dxa"/>
            <w:shd w:val="clear" w:color="auto" w:fill="C6EFCE"/>
            <w:noWrap/>
            <w:vAlign w:val="center"/>
          </w:tcPr>
          <w:p w14:paraId="1401E30B" w14:textId="77777777" w:rsidR="00C972CB" w:rsidRDefault="002457F6">
            <w:pPr>
              <w:pStyle w:val="P68B1DB1-Normal11"/>
              <w:spacing w:line="276" w:lineRule="auto"/>
              <w:jc w:val="center"/>
              <w:rPr>
                <w:noProof/>
              </w:rPr>
            </w:pPr>
            <w:r>
              <w:rPr>
                <w:noProof/>
              </w:rPr>
              <w:t>2. CET.</w:t>
            </w:r>
          </w:p>
        </w:tc>
        <w:tc>
          <w:tcPr>
            <w:tcW w:w="710" w:type="dxa"/>
            <w:shd w:val="clear" w:color="auto" w:fill="C6EFCE"/>
            <w:noWrap/>
            <w:vAlign w:val="center"/>
          </w:tcPr>
          <w:p w14:paraId="276FE6BA" w14:textId="77777777" w:rsidR="00C972CB" w:rsidRDefault="002457F6">
            <w:pPr>
              <w:pStyle w:val="P68B1DB1-Normal11"/>
              <w:spacing w:line="276" w:lineRule="auto"/>
              <w:rPr>
                <w:noProof/>
              </w:rPr>
            </w:pPr>
            <w:r>
              <w:rPr>
                <w:noProof/>
              </w:rPr>
              <w:t>2026</w:t>
            </w:r>
          </w:p>
        </w:tc>
        <w:tc>
          <w:tcPr>
            <w:tcW w:w="3174" w:type="dxa"/>
            <w:shd w:val="clear" w:color="auto" w:fill="C6EFCE"/>
            <w:noWrap/>
            <w:vAlign w:val="center"/>
          </w:tcPr>
          <w:p w14:paraId="0AF33D39" w14:textId="77777777" w:rsidR="00C972CB" w:rsidRDefault="002457F6">
            <w:pPr>
              <w:pStyle w:val="P68B1DB1-Normal11"/>
              <w:spacing w:line="276" w:lineRule="auto"/>
              <w:rPr>
                <w:noProof/>
              </w:rPr>
            </w:pPr>
            <w:r>
              <w:rPr>
                <w:noProof/>
              </w:rPr>
              <w:t>Pabeigt vismaz 90 % intervences pasākumu īstenošanu, kas paredzēti zaļo kopienu iesniegtajos plānos (kā noteikts Likuma Nr. 221/2015 72. pantā)</w:t>
            </w:r>
          </w:p>
        </w:tc>
      </w:tr>
      <w:tr w:rsidR="00C972CB" w14:paraId="1F195820" w14:textId="77777777">
        <w:trPr>
          <w:trHeight w:val="313"/>
          <w:jc w:val="center"/>
        </w:trPr>
        <w:tc>
          <w:tcPr>
            <w:tcW w:w="1220" w:type="dxa"/>
            <w:shd w:val="clear" w:color="auto" w:fill="C6EFCE"/>
            <w:noWrap/>
            <w:vAlign w:val="center"/>
          </w:tcPr>
          <w:p w14:paraId="497EE22F" w14:textId="77777777" w:rsidR="00C972CB" w:rsidRDefault="002457F6">
            <w:pPr>
              <w:pStyle w:val="P68B1DB1-Normal11"/>
              <w:spacing w:line="276" w:lineRule="auto"/>
              <w:jc w:val="center"/>
              <w:rPr>
                <w:noProof/>
              </w:rPr>
            </w:pPr>
            <w:r>
              <w:rPr>
                <w:noProof/>
              </w:rPr>
              <w:t>M2C1–22</w:t>
            </w:r>
          </w:p>
        </w:tc>
        <w:tc>
          <w:tcPr>
            <w:tcW w:w="1598" w:type="dxa"/>
            <w:shd w:val="clear" w:color="auto" w:fill="C6EFCE"/>
            <w:noWrap/>
            <w:vAlign w:val="center"/>
          </w:tcPr>
          <w:p w14:paraId="23B80D14" w14:textId="77777777" w:rsidR="00C972CB" w:rsidRDefault="002457F6">
            <w:pPr>
              <w:pStyle w:val="P68B1DB1-Normal11"/>
              <w:spacing w:line="276" w:lineRule="auto"/>
              <w:jc w:val="center"/>
              <w:rPr>
                <w:noProof/>
              </w:rPr>
            </w:pPr>
            <w:r>
              <w:rPr>
                <w:noProof/>
              </w:rPr>
              <w:t xml:space="preserve">Ieguldījums 3.4. Fondo </w:t>
            </w:r>
            <w:r>
              <w:rPr>
                <w:noProof/>
              </w:rPr>
              <w:t>Contratti di Filiera (FCF), lai atbalstītu piegādes ķēžu līgumus lauksaimniecības pārtikas, zvejniecības un akvakultūras, mežsaimniecības, puķkopības un stādaudzētavu nozarē</w:t>
            </w:r>
          </w:p>
        </w:tc>
        <w:tc>
          <w:tcPr>
            <w:tcW w:w="1185" w:type="dxa"/>
            <w:shd w:val="clear" w:color="auto" w:fill="C6EFCE"/>
            <w:noWrap/>
            <w:vAlign w:val="center"/>
          </w:tcPr>
          <w:p w14:paraId="66DA703C" w14:textId="028A8054" w:rsidR="00C972CB" w:rsidRDefault="002457F6">
            <w:pPr>
              <w:pStyle w:val="P68B1DB1-Normal11"/>
              <w:spacing w:line="276" w:lineRule="auto"/>
              <w:jc w:val="center"/>
              <w:rPr>
                <w:noProof/>
                <w:color w:val="000000" w:themeColor="text1"/>
              </w:rPr>
            </w:pPr>
            <w:r>
              <w:rPr>
                <w:noProof/>
              </w:rPr>
              <w:t>Starpposma mērķis</w:t>
            </w:r>
          </w:p>
        </w:tc>
        <w:tc>
          <w:tcPr>
            <w:tcW w:w="1732" w:type="dxa"/>
            <w:shd w:val="clear" w:color="auto" w:fill="C6EFCE"/>
            <w:noWrap/>
            <w:vAlign w:val="center"/>
          </w:tcPr>
          <w:p w14:paraId="6510A1EF" w14:textId="77777777" w:rsidR="00C972CB" w:rsidRDefault="002457F6">
            <w:pPr>
              <w:pStyle w:val="P68B1DB1-Normal11"/>
              <w:spacing w:line="276" w:lineRule="auto"/>
              <w:jc w:val="center"/>
              <w:rPr>
                <w:noProof/>
                <w:color w:val="000000" w:themeColor="text1"/>
              </w:rPr>
            </w:pPr>
            <w:r>
              <w:rPr>
                <w:noProof/>
              </w:rPr>
              <w:t>Īstenošanas nolīgums</w:t>
            </w:r>
          </w:p>
        </w:tc>
        <w:tc>
          <w:tcPr>
            <w:tcW w:w="1603" w:type="dxa"/>
            <w:shd w:val="clear" w:color="auto" w:fill="C6EFCE"/>
            <w:noWrap/>
            <w:vAlign w:val="center"/>
          </w:tcPr>
          <w:p w14:paraId="4A213C7E" w14:textId="77777777" w:rsidR="00C972CB" w:rsidRDefault="002457F6">
            <w:pPr>
              <w:pStyle w:val="P68B1DB1-Normal11"/>
              <w:spacing w:line="276" w:lineRule="auto"/>
              <w:jc w:val="center"/>
              <w:rPr>
                <w:noProof/>
                <w:color w:val="000000" w:themeColor="text1"/>
              </w:rPr>
            </w:pPr>
            <w:r>
              <w:rPr>
                <w:noProof/>
              </w:rPr>
              <w:t>Īstenošanas nolīguma stāšanās spēkā</w:t>
            </w:r>
          </w:p>
        </w:tc>
        <w:tc>
          <w:tcPr>
            <w:tcW w:w="1275" w:type="dxa"/>
            <w:shd w:val="clear" w:color="auto" w:fill="C6EFCE"/>
            <w:noWrap/>
            <w:vAlign w:val="center"/>
          </w:tcPr>
          <w:p w14:paraId="781A9279" w14:textId="77777777" w:rsidR="00C972CB" w:rsidRDefault="002457F6">
            <w:pPr>
              <w:pStyle w:val="P68B1DB1-Normal11"/>
              <w:spacing w:line="276" w:lineRule="auto"/>
              <w:jc w:val="center"/>
              <w:rPr>
                <w:noProof/>
              </w:rPr>
            </w:pPr>
            <w:r>
              <w:rPr>
                <w:noProof/>
              </w:rPr>
              <w:t xml:space="preserve"> </w:t>
            </w:r>
          </w:p>
        </w:tc>
        <w:tc>
          <w:tcPr>
            <w:tcW w:w="993" w:type="dxa"/>
            <w:shd w:val="clear" w:color="auto" w:fill="C6EFCE"/>
            <w:noWrap/>
            <w:vAlign w:val="center"/>
          </w:tcPr>
          <w:p w14:paraId="2E7230F5" w14:textId="77777777" w:rsidR="00C972CB" w:rsidRDefault="002457F6">
            <w:pPr>
              <w:pStyle w:val="P68B1DB1-Normal11"/>
              <w:spacing w:line="276" w:lineRule="auto"/>
              <w:jc w:val="center"/>
              <w:rPr>
                <w:noProof/>
                <w:color w:val="000000" w:themeColor="text1"/>
              </w:rPr>
            </w:pPr>
            <w:r>
              <w:rPr>
                <w:noProof/>
              </w:rPr>
              <w:t xml:space="preserve"> </w:t>
            </w:r>
          </w:p>
        </w:tc>
        <w:tc>
          <w:tcPr>
            <w:tcW w:w="1162" w:type="dxa"/>
            <w:shd w:val="clear" w:color="auto" w:fill="C6EFCE"/>
            <w:noWrap/>
            <w:vAlign w:val="center"/>
          </w:tcPr>
          <w:p w14:paraId="6DCCEA5D" w14:textId="77777777" w:rsidR="00C972CB" w:rsidRDefault="002457F6">
            <w:pPr>
              <w:pStyle w:val="P68B1DB1-Normal11"/>
              <w:spacing w:line="276" w:lineRule="auto"/>
              <w:jc w:val="center"/>
              <w:rPr>
                <w:noProof/>
                <w:color w:val="000000" w:themeColor="text1"/>
              </w:rPr>
            </w:pPr>
            <w:r>
              <w:rPr>
                <w:noProof/>
              </w:rPr>
              <w:t xml:space="preserve"> </w:t>
            </w:r>
          </w:p>
        </w:tc>
        <w:tc>
          <w:tcPr>
            <w:tcW w:w="963" w:type="dxa"/>
            <w:shd w:val="clear" w:color="auto" w:fill="C6EFCE"/>
            <w:noWrap/>
            <w:vAlign w:val="center"/>
          </w:tcPr>
          <w:p w14:paraId="6947D6F0" w14:textId="77777777" w:rsidR="00C972CB" w:rsidRDefault="002457F6">
            <w:pPr>
              <w:pStyle w:val="P68B1DB1-Normal11"/>
              <w:spacing w:line="276" w:lineRule="auto"/>
              <w:jc w:val="center"/>
              <w:rPr>
                <w:noProof/>
                <w:color w:val="000000" w:themeColor="text1"/>
              </w:rPr>
            </w:pPr>
            <w:r>
              <w:rPr>
                <w:noProof/>
              </w:rPr>
              <w:t>2. CET.</w:t>
            </w:r>
          </w:p>
        </w:tc>
        <w:tc>
          <w:tcPr>
            <w:tcW w:w="710" w:type="dxa"/>
            <w:shd w:val="clear" w:color="auto" w:fill="C6EFCE"/>
            <w:noWrap/>
            <w:vAlign w:val="center"/>
          </w:tcPr>
          <w:p w14:paraId="040D976C" w14:textId="77777777" w:rsidR="00C972CB" w:rsidRDefault="002457F6">
            <w:pPr>
              <w:pStyle w:val="P68B1DB1-Normal11"/>
              <w:spacing w:line="276" w:lineRule="auto"/>
              <w:rPr>
                <w:noProof/>
                <w:color w:val="000000" w:themeColor="text1"/>
              </w:rPr>
            </w:pPr>
            <w:r>
              <w:rPr>
                <w:noProof/>
              </w:rPr>
              <w:t>2024</w:t>
            </w:r>
          </w:p>
        </w:tc>
        <w:tc>
          <w:tcPr>
            <w:tcW w:w="3174" w:type="dxa"/>
            <w:shd w:val="clear" w:color="auto" w:fill="C6EFCE"/>
            <w:noWrap/>
            <w:vAlign w:val="center"/>
          </w:tcPr>
          <w:p w14:paraId="1876C2BC" w14:textId="77777777" w:rsidR="00C972CB" w:rsidRDefault="002457F6">
            <w:pPr>
              <w:pStyle w:val="P68B1DB1-Normal11"/>
              <w:spacing w:line="276" w:lineRule="auto"/>
              <w:rPr>
                <w:noProof/>
                <w:color w:val="000000" w:themeColor="text1"/>
              </w:rPr>
            </w:pPr>
            <w:r>
              <w:rPr>
                <w:noProof/>
              </w:rPr>
              <w:t>Īstenošanas nolīguma stāšanās spēkā.</w:t>
            </w:r>
          </w:p>
        </w:tc>
      </w:tr>
      <w:tr w:rsidR="00C972CB" w14:paraId="37FA3D9A" w14:textId="77777777">
        <w:trPr>
          <w:trHeight w:val="313"/>
          <w:jc w:val="center"/>
        </w:trPr>
        <w:tc>
          <w:tcPr>
            <w:tcW w:w="1220" w:type="dxa"/>
            <w:shd w:val="clear" w:color="auto" w:fill="C6EFCE"/>
            <w:noWrap/>
            <w:vAlign w:val="center"/>
          </w:tcPr>
          <w:p w14:paraId="2A569573" w14:textId="77777777" w:rsidR="00C972CB" w:rsidRDefault="002457F6">
            <w:pPr>
              <w:pStyle w:val="P68B1DB1-Normal11"/>
              <w:spacing w:line="276" w:lineRule="auto"/>
              <w:jc w:val="center"/>
              <w:rPr>
                <w:noProof/>
              </w:rPr>
            </w:pPr>
            <w:r>
              <w:rPr>
                <w:noProof/>
              </w:rPr>
              <w:t>M2C1–23</w:t>
            </w:r>
          </w:p>
        </w:tc>
        <w:tc>
          <w:tcPr>
            <w:tcW w:w="1598" w:type="dxa"/>
            <w:shd w:val="clear" w:color="auto" w:fill="C6EFCE"/>
            <w:noWrap/>
            <w:vAlign w:val="center"/>
          </w:tcPr>
          <w:p w14:paraId="56B01DBD" w14:textId="77777777" w:rsidR="00C972CB" w:rsidRDefault="002457F6">
            <w:pPr>
              <w:pStyle w:val="P68B1DB1-Normal11"/>
              <w:spacing w:line="276" w:lineRule="auto"/>
              <w:jc w:val="center"/>
              <w:rPr>
                <w:noProof/>
              </w:rPr>
            </w:pPr>
            <w:r>
              <w:rPr>
                <w:noProof/>
              </w:rPr>
              <w:t>Ieguldījums 3.4. Fondo Contratti di Filiera (FCF), lai atbalstītu piegādes ķēžu līgumus lauksaimniecības pārtikas, zvejniecības un akvakultūras, mežsaimniecības, puķkopības un stādaudzētavu nozarē</w:t>
            </w:r>
          </w:p>
        </w:tc>
        <w:tc>
          <w:tcPr>
            <w:tcW w:w="1185" w:type="dxa"/>
            <w:shd w:val="clear" w:color="auto" w:fill="C6EFCE"/>
            <w:noWrap/>
            <w:vAlign w:val="center"/>
          </w:tcPr>
          <w:p w14:paraId="3D71C802" w14:textId="099F9D65"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5112C13A" w14:textId="77777777" w:rsidR="00C972CB" w:rsidRDefault="002457F6">
            <w:pPr>
              <w:pStyle w:val="P68B1DB1-Normal11"/>
              <w:spacing w:line="276" w:lineRule="auto"/>
              <w:jc w:val="center"/>
              <w:rPr>
                <w:noProof/>
              </w:rPr>
            </w:pPr>
            <w:r>
              <w:rPr>
                <w:noProof/>
              </w:rPr>
              <w:t>Ar galīgajiem saņēmējiem parakstītie juridiskie nolīgumi</w:t>
            </w:r>
          </w:p>
        </w:tc>
        <w:tc>
          <w:tcPr>
            <w:tcW w:w="1603" w:type="dxa"/>
            <w:shd w:val="clear" w:color="auto" w:fill="C6EFCE"/>
            <w:noWrap/>
            <w:vAlign w:val="center"/>
          </w:tcPr>
          <w:p w14:paraId="578BB95E" w14:textId="77777777" w:rsidR="00C972CB" w:rsidRDefault="002457F6">
            <w:pPr>
              <w:pStyle w:val="P68B1DB1-Normal11"/>
              <w:spacing w:line="276" w:lineRule="auto"/>
              <w:jc w:val="center"/>
              <w:rPr>
                <w:noProof/>
              </w:rPr>
            </w:pPr>
            <w:r>
              <w:rPr>
                <w:noProof/>
              </w:rPr>
              <w:t xml:space="preserve">Juridiskas finansēšanas nolīgumu stāšanās spēkā </w:t>
            </w:r>
          </w:p>
        </w:tc>
        <w:tc>
          <w:tcPr>
            <w:tcW w:w="1275" w:type="dxa"/>
            <w:shd w:val="clear" w:color="auto" w:fill="C6EFCE"/>
            <w:noWrap/>
            <w:vAlign w:val="center"/>
          </w:tcPr>
          <w:p w14:paraId="2653292F" w14:textId="77777777" w:rsidR="00C972CB" w:rsidRDefault="002457F6">
            <w:pPr>
              <w:pStyle w:val="P68B1DB1-Normal11"/>
              <w:spacing w:line="276" w:lineRule="auto"/>
              <w:jc w:val="center"/>
              <w:rPr>
                <w:noProof/>
              </w:rPr>
            </w:pPr>
            <w:r>
              <w:rPr>
                <w:noProof/>
              </w:rPr>
              <w:t xml:space="preserve"> </w:t>
            </w:r>
          </w:p>
        </w:tc>
        <w:tc>
          <w:tcPr>
            <w:tcW w:w="993" w:type="dxa"/>
            <w:shd w:val="clear" w:color="auto" w:fill="C6EFCE"/>
            <w:noWrap/>
            <w:vAlign w:val="center"/>
          </w:tcPr>
          <w:p w14:paraId="5F5FC857" w14:textId="77777777" w:rsidR="00C972CB" w:rsidRDefault="002457F6">
            <w:pPr>
              <w:pStyle w:val="P68B1DB1-Normal11"/>
              <w:spacing w:line="276" w:lineRule="auto"/>
              <w:jc w:val="center"/>
              <w:rPr>
                <w:noProof/>
              </w:rPr>
            </w:pPr>
            <w:r>
              <w:rPr>
                <w:noProof/>
              </w:rPr>
              <w:t>0</w:t>
            </w:r>
          </w:p>
        </w:tc>
        <w:tc>
          <w:tcPr>
            <w:tcW w:w="1162" w:type="dxa"/>
            <w:shd w:val="clear" w:color="auto" w:fill="C6EFCE"/>
            <w:noWrap/>
            <w:vAlign w:val="center"/>
          </w:tcPr>
          <w:p w14:paraId="78958A64" w14:textId="77777777" w:rsidR="00C972CB" w:rsidRDefault="002457F6">
            <w:pPr>
              <w:pStyle w:val="P68B1DB1-Normal11"/>
              <w:spacing w:line="276" w:lineRule="auto"/>
              <w:jc w:val="center"/>
              <w:rPr>
                <w:noProof/>
              </w:rPr>
            </w:pPr>
            <w:r>
              <w:rPr>
                <w:noProof/>
              </w:rPr>
              <w:t>50 %</w:t>
            </w:r>
          </w:p>
        </w:tc>
        <w:tc>
          <w:tcPr>
            <w:tcW w:w="963" w:type="dxa"/>
            <w:shd w:val="clear" w:color="auto" w:fill="C6EFCE"/>
            <w:noWrap/>
            <w:vAlign w:val="center"/>
          </w:tcPr>
          <w:p w14:paraId="1BEB27E6" w14:textId="77777777" w:rsidR="00C972CB" w:rsidRDefault="002457F6">
            <w:pPr>
              <w:pStyle w:val="P68B1DB1-Normal11"/>
              <w:spacing w:line="276" w:lineRule="auto"/>
              <w:jc w:val="center"/>
              <w:rPr>
                <w:noProof/>
              </w:rPr>
            </w:pPr>
            <w:r>
              <w:rPr>
                <w:noProof/>
              </w:rPr>
              <w:t>2. CET.</w:t>
            </w:r>
          </w:p>
        </w:tc>
        <w:tc>
          <w:tcPr>
            <w:tcW w:w="710" w:type="dxa"/>
            <w:shd w:val="clear" w:color="auto" w:fill="C6EFCE"/>
            <w:noWrap/>
            <w:vAlign w:val="center"/>
          </w:tcPr>
          <w:p w14:paraId="276668EA" w14:textId="77777777" w:rsidR="00C972CB" w:rsidRDefault="002457F6">
            <w:pPr>
              <w:pStyle w:val="P68B1DB1-Normal11"/>
              <w:spacing w:line="276" w:lineRule="auto"/>
              <w:rPr>
                <w:noProof/>
              </w:rPr>
            </w:pPr>
            <w:r>
              <w:rPr>
                <w:noProof/>
              </w:rPr>
              <w:t>2025</w:t>
            </w:r>
          </w:p>
        </w:tc>
        <w:tc>
          <w:tcPr>
            <w:tcW w:w="3174" w:type="dxa"/>
            <w:shd w:val="clear" w:color="auto" w:fill="C6EFCE"/>
            <w:noWrap/>
            <w:vAlign w:val="center"/>
          </w:tcPr>
          <w:p w14:paraId="1ED3A1FE" w14:textId="322D45F1" w:rsidR="00C972CB" w:rsidRDefault="002457F6">
            <w:pPr>
              <w:pStyle w:val="P68B1DB1-Normal11"/>
              <w:spacing w:line="276" w:lineRule="auto"/>
              <w:rPr>
                <w:noProof/>
              </w:rPr>
            </w:pPr>
            <w:r>
              <w:rPr>
                <w:noProof/>
              </w:rPr>
              <w:t>Mehānisms ir noslēdzis likumīgas finansēšanas nolīgumus ar galasaņēmējiem par summu, kas nepieciešama, lai fondā izmantotu</w:t>
            </w:r>
            <w:r>
              <w:rPr>
                <w:noProof/>
              </w:rPr>
              <w:t xml:space="preserve"> vismaz 50 % no ANM ieguldījumiem (ņemot vērā pārvaldības maksas). Izmantojot VI pielikumā izklāstīto metodiku, ISMEA sagatavo ziņojumu, kurā sīki izklāstīta šā finansējuma procentuālā daļa, kas veicina klimata mērķu sasniegšanu.</w:t>
            </w:r>
          </w:p>
        </w:tc>
      </w:tr>
      <w:tr w:rsidR="00C972CB" w14:paraId="5B867713" w14:textId="77777777">
        <w:trPr>
          <w:trHeight w:val="313"/>
          <w:jc w:val="center"/>
        </w:trPr>
        <w:tc>
          <w:tcPr>
            <w:tcW w:w="1220" w:type="dxa"/>
            <w:shd w:val="clear" w:color="auto" w:fill="C6EFCE"/>
            <w:noWrap/>
            <w:vAlign w:val="center"/>
          </w:tcPr>
          <w:p w14:paraId="161A1CDB" w14:textId="77777777" w:rsidR="00C972CB" w:rsidRDefault="002457F6">
            <w:pPr>
              <w:pStyle w:val="P68B1DB1-Normal11"/>
              <w:spacing w:line="276" w:lineRule="auto"/>
              <w:jc w:val="center"/>
              <w:rPr>
                <w:noProof/>
              </w:rPr>
            </w:pPr>
            <w:r>
              <w:rPr>
                <w:noProof/>
              </w:rPr>
              <w:t>M2C1–24</w:t>
            </w:r>
          </w:p>
        </w:tc>
        <w:tc>
          <w:tcPr>
            <w:tcW w:w="1598" w:type="dxa"/>
            <w:shd w:val="clear" w:color="auto" w:fill="C6EFCE"/>
            <w:noWrap/>
            <w:vAlign w:val="center"/>
          </w:tcPr>
          <w:p w14:paraId="02D1C438" w14:textId="77777777" w:rsidR="00C972CB" w:rsidRDefault="002457F6">
            <w:pPr>
              <w:pStyle w:val="P68B1DB1-Normal11"/>
              <w:spacing w:line="276" w:lineRule="auto"/>
              <w:jc w:val="center"/>
              <w:rPr>
                <w:noProof/>
              </w:rPr>
            </w:pPr>
            <w:r>
              <w:rPr>
                <w:noProof/>
              </w:rPr>
              <w:t xml:space="preserve">Ieguldījums 3.4. </w:t>
            </w:r>
            <w:r>
              <w:rPr>
                <w:noProof/>
              </w:rPr>
              <w:t>Fondo Contratti di Filiera (FCF), lai atbalstītu piegādes ķēžu līgumus lauksaimniecības pārtikas, zvejniecības un akvakultūras, mežsaimniecības, puķkopības un stādaudzētavu nozarē</w:t>
            </w:r>
          </w:p>
        </w:tc>
        <w:tc>
          <w:tcPr>
            <w:tcW w:w="1185" w:type="dxa"/>
            <w:shd w:val="clear" w:color="auto" w:fill="C6EFCE"/>
            <w:noWrap/>
            <w:vAlign w:val="center"/>
          </w:tcPr>
          <w:p w14:paraId="446156D6" w14:textId="2158EA78" w:rsidR="00C972CB" w:rsidRDefault="002457F6">
            <w:pPr>
              <w:pStyle w:val="P68B1DB1-Normal11"/>
              <w:spacing w:line="276" w:lineRule="auto"/>
              <w:jc w:val="center"/>
              <w:rPr>
                <w:noProof/>
              </w:rPr>
            </w:pPr>
            <w:r>
              <w:rPr>
                <w:noProof/>
              </w:rPr>
              <w:t>Mērķa</w:t>
            </w:r>
          </w:p>
        </w:tc>
        <w:tc>
          <w:tcPr>
            <w:tcW w:w="1732" w:type="dxa"/>
            <w:shd w:val="clear" w:color="auto" w:fill="C6EFCE"/>
            <w:noWrap/>
            <w:vAlign w:val="center"/>
          </w:tcPr>
          <w:p w14:paraId="654D15F3" w14:textId="77777777" w:rsidR="00C972CB" w:rsidRDefault="002457F6">
            <w:pPr>
              <w:pStyle w:val="P68B1DB1-Normal11"/>
              <w:spacing w:line="276" w:lineRule="auto"/>
              <w:jc w:val="center"/>
              <w:rPr>
                <w:noProof/>
              </w:rPr>
            </w:pPr>
            <w:r>
              <w:rPr>
                <w:noProof/>
              </w:rPr>
              <w:t>Ar galīgajiem saņēmējiem parakstītie juridiskie nolīgumi</w:t>
            </w:r>
          </w:p>
        </w:tc>
        <w:tc>
          <w:tcPr>
            <w:tcW w:w="1603" w:type="dxa"/>
            <w:shd w:val="clear" w:color="auto" w:fill="C6EFCE"/>
            <w:noWrap/>
            <w:vAlign w:val="center"/>
          </w:tcPr>
          <w:p w14:paraId="595003B0" w14:textId="77777777" w:rsidR="00C972CB" w:rsidRDefault="002457F6">
            <w:pPr>
              <w:pStyle w:val="P68B1DB1-Normal11"/>
              <w:spacing w:line="276" w:lineRule="auto"/>
              <w:jc w:val="center"/>
              <w:rPr>
                <w:noProof/>
              </w:rPr>
            </w:pPr>
            <w:r>
              <w:rPr>
                <w:noProof/>
              </w:rPr>
              <w:t xml:space="preserve">Juridiskas finansēšanas nolīgumu stāšanās spēkā </w:t>
            </w:r>
          </w:p>
        </w:tc>
        <w:tc>
          <w:tcPr>
            <w:tcW w:w="1275" w:type="dxa"/>
            <w:shd w:val="clear" w:color="auto" w:fill="C6EFCE"/>
            <w:noWrap/>
            <w:vAlign w:val="center"/>
          </w:tcPr>
          <w:p w14:paraId="6DAA4CCE" w14:textId="77777777" w:rsidR="00C972CB" w:rsidRDefault="002457F6">
            <w:pPr>
              <w:pStyle w:val="P68B1DB1-Normal11"/>
              <w:spacing w:line="276" w:lineRule="auto"/>
              <w:jc w:val="center"/>
              <w:rPr>
                <w:noProof/>
              </w:rPr>
            </w:pPr>
            <w:r>
              <w:rPr>
                <w:noProof/>
              </w:rPr>
              <w:t xml:space="preserve"> </w:t>
            </w:r>
          </w:p>
        </w:tc>
        <w:tc>
          <w:tcPr>
            <w:tcW w:w="993" w:type="dxa"/>
            <w:shd w:val="clear" w:color="auto" w:fill="C6EFCE"/>
            <w:noWrap/>
            <w:vAlign w:val="center"/>
          </w:tcPr>
          <w:p w14:paraId="39515AD2" w14:textId="77777777" w:rsidR="00C972CB" w:rsidRDefault="002457F6">
            <w:pPr>
              <w:pStyle w:val="P68B1DB1-Normal11"/>
              <w:spacing w:line="276" w:lineRule="auto"/>
              <w:jc w:val="center"/>
              <w:rPr>
                <w:noProof/>
              </w:rPr>
            </w:pPr>
            <w:r>
              <w:rPr>
                <w:noProof/>
              </w:rPr>
              <w:t>50 %</w:t>
            </w:r>
          </w:p>
        </w:tc>
        <w:tc>
          <w:tcPr>
            <w:tcW w:w="1162" w:type="dxa"/>
            <w:shd w:val="clear" w:color="auto" w:fill="C6EFCE"/>
            <w:noWrap/>
            <w:vAlign w:val="center"/>
          </w:tcPr>
          <w:p w14:paraId="0115F7FE" w14:textId="77777777" w:rsidR="00C972CB" w:rsidRDefault="002457F6">
            <w:pPr>
              <w:pStyle w:val="P68B1DB1-Normal11"/>
              <w:spacing w:line="276" w:lineRule="auto"/>
              <w:jc w:val="center"/>
              <w:rPr>
                <w:noProof/>
              </w:rPr>
            </w:pPr>
            <w:r>
              <w:rPr>
                <w:noProof/>
              </w:rPr>
              <w:t>100 %</w:t>
            </w:r>
          </w:p>
        </w:tc>
        <w:tc>
          <w:tcPr>
            <w:tcW w:w="963" w:type="dxa"/>
            <w:shd w:val="clear" w:color="auto" w:fill="C6EFCE"/>
            <w:noWrap/>
            <w:vAlign w:val="center"/>
          </w:tcPr>
          <w:p w14:paraId="42D78C9C" w14:textId="77777777" w:rsidR="00C972CB" w:rsidRDefault="002457F6">
            <w:pPr>
              <w:pStyle w:val="P68B1DB1-Normal11"/>
              <w:spacing w:line="276" w:lineRule="auto"/>
              <w:jc w:val="center"/>
              <w:rPr>
                <w:noProof/>
              </w:rPr>
            </w:pPr>
            <w:r>
              <w:rPr>
                <w:noProof/>
              </w:rPr>
              <w:t>2. CET.</w:t>
            </w:r>
          </w:p>
        </w:tc>
        <w:tc>
          <w:tcPr>
            <w:tcW w:w="710" w:type="dxa"/>
            <w:shd w:val="clear" w:color="auto" w:fill="C6EFCE"/>
            <w:noWrap/>
            <w:vAlign w:val="center"/>
          </w:tcPr>
          <w:p w14:paraId="623A257F" w14:textId="77777777" w:rsidR="00C972CB" w:rsidRDefault="002457F6">
            <w:pPr>
              <w:pStyle w:val="P68B1DB1-Normal11"/>
              <w:spacing w:line="276" w:lineRule="auto"/>
              <w:rPr>
                <w:noProof/>
              </w:rPr>
            </w:pPr>
            <w:r>
              <w:rPr>
                <w:noProof/>
              </w:rPr>
              <w:t>2026</w:t>
            </w:r>
          </w:p>
        </w:tc>
        <w:tc>
          <w:tcPr>
            <w:tcW w:w="3174" w:type="dxa"/>
            <w:shd w:val="clear" w:color="auto" w:fill="C6EFCE"/>
            <w:noWrap/>
            <w:vAlign w:val="center"/>
          </w:tcPr>
          <w:p w14:paraId="6BBD62DC" w14:textId="1D0241B8" w:rsidR="00C972CB" w:rsidRDefault="002457F6">
            <w:pPr>
              <w:pStyle w:val="P68B1DB1-Normal11"/>
              <w:spacing w:line="276" w:lineRule="auto"/>
              <w:rPr>
                <w:noProof/>
              </w:rPr>
            </w:pPr>
            <w:r>
              <w:rPr>
                <w:noProof/>
              </w:rPr>
              <w:t>Mehānisms ir noslēdzis likumīgas finansēšanas nolīgumus ar galasaņēmējiem par summu, kas nepieciešama, lai fondā izmantotu 100 % ANM ieguldījumu (ņemot vērā pārvaldības maksas).</w:t>
            </w:r>
          </w:p>
        </w:tc>
      </w:tr>
      <w:tr w:rsidR="00C972CB" w14:paraId="7BA0BD7F" w14:textId="77777777">
        <w:trPr>
          <w:trHeight w:val="313"/>
          <w:jc w:val="center"/>
        </w:trPr>
        <w:tc>
          <w:tcPr>
            <w:tcW w:w="1220" w:type="dxa"/>
            <w:shd w:val="clear" w:color="auto" w:fill="C6EFCE"/>
            <w:noWrap/>
            <w:vAlign w:val="center"/>
          </w:tcPr>
          <w:p w14:paraId="5092F622" w14:textId="77777777" w:rsidR="00C972CB" w:rsidRDefault="002457F6">
            <w:pPr>
              <w:pStyle w:val="P68B1DB1-Normal11"/>
              <w:spacing w:line="276" w:lineRule="auto"/>
              <w:jc w:val="center"/>
              <w:rPr>
                <w:noProof/>
              </w:rPr>
            </w:pPr>
            <w:r>
              <w:rPr>
                <w:noProof/>
              </w:rPr>
              <w:t>M2C1–25</w:t>
            </w:r>
          </w:p>
        </w:tc>
        <w:tc>
          <w:tcPr>
            <w:tcW w:w="1598" w:type="dxa"/>
            <w:shd w:val="clear" w:color="auto" w:fill="C6EFCE"/>
            <w:noWrap/>
            <w:vAlign w:val="center"/>
          </w:tcPr>
          <w:p w14:paraId="30F95536" w14:textId="77777777" w:rsidR="00C972CB" w:rsidRDefault="002457F6">
            <w:pPr>
              <w:pStyle w:val="P68B1DB1-Normal11"/>
              <w:spacing w:line="276" w:lineRule="auto"/>
              <w:jc w:val="center"/>
              <w:rPr>
                <w:noProof/>
              </w:rPr>
            </w:pPr>
            <w:r>
              <w:rPr>
                <w:noProof/>
              </w:rPr>
              <w:t>Ieguldījums 3.4. Fondo Contratti di Filiera (FCF), lai atbalstītu piegādes ķēžu līgumus lauksaimniecības pārtikas, zvejniecības un akvakultūras, mežsaimniecības, puķkopības un stādaudzētavu nozarē</w:t>
            </w:r>
          </w:p>
        </w:tc>
        <w:tc>
          <w:tcPr>
            <w:tcW w:w="1185" w:type="dxa"/>
            <w:shd w:val="clear" w:color="auto" w:fill="C6EFCE"/>
            <w:noWrap/>
            <w:vAlign w:val="center"/>
          </w:tcPr>
          <w:p w14:paraId="6846D0CE" w14:textId="53F4AA05" w:rsidR="00C972CB" w:rsidRDefault="002457F6">
            <w:pPr>
              <w:pStyle w:val="P68B1DB1-Normal11"/>
              <w:spacing w:line="276" w:lineRule="auto"/>
              <w:jc w:val="center"/>
              <w:rPr>
                <w:noProof/>
              </w:rPr>
            </w:pPr>
            <w:r>
              <w:rPr>
                <w:noProof/>
              </w:rPr>
              <w:t>Starpposma mērķis</w:t>
            </w:r>
          </w:p>
        </w:tc>
        <w:tc>
          <w:tcPr>
            <w:tcW w:w="1732" w:type="dxa"/>
            <w:shd w:val="clear" w:color="auto" w:fill="C6EFCE"/>
            <w:noWrap/>
            <w:vAlign w:val="center"/>
          </w:tcPr>
          <w:p w14:paraId="7FC56704" w14:textId="77777777" w:rsidR="00C972CB" w:rsidRDefault="002457F6">
            <w:pPr>
              <w:pStyle w:val="P68B1DB1-Normal11"/>
              <w:spacing w:line="276" w:lineRule="auto"/>
              <w:jc w:val="center"/>
              <w:rPr>
                <w:noProof/>
              </w:rPr>
            </w:pPr>
            <w:r>
              <w:rPr>
                <w:noProof/>
              </w:rPr>
              <w:t>Ministrija ir pārskaitījusi kopēj</w:t>
            </w:r>
            <w:r>
              <w:rPr>
                <w:noProof/>
              </w:rPr>
              <w:t>o resursu summu</w:t>
            </w:r>
          </w:p>
        </w:tc>
        <w:tc>
          <w:tcPr>
            <w:tcW w:w="1603" w:type="dxa"/>
            <w:shd w:val="clear" w:color="auto" w:fill="C6EFCE"/>
            <w:noWrap/>
            <w:vAlign w:val="center"/>
          </w:tcPr>
          <w:p w14:paraId="530E1224" w14:textId="77777777" w:rsidR="00C972CB" w:rsidRDefault="002457F6">
            <w:pPr>
              <w:pStyle w:val="P68B1DB1-Normal11"/>
              <w:spacing w:line="276" w:lineRule="auto"/>
              <w:jc w:val="center"/>
              <w:rPr>
                <w:noProof/>
              </w:rPr>
            </w:pPr>
            <w:r>
              <w:rPr>
                <w:noProof/>
              </w:rPr>
              <w:t>Nodošanas sertifikāts</w:t>
            </w:r>
          </w:p>
        </w:tc>
        <w:tc>
          <w:tcPr>
            <w:tcW w:w="1275" w:type="dxa"/>
            <w:shd w:val="clear" w:color="auto" w:fill="C6EFCE"/>
            <w:noWrap/>
            <w:vAlign w:val="center"/>
          </w:tcPr>
          <w:p w14:paraId="5DDADB7F" w14:textId="77777777" w:rsidR="00C972CB" w:rsidRDefault="002457F6">
            <w:pPr>
              <w:pStyle w:val="P68B1DB1-Normal11"/>
              <w:spacing w:line="276" w:lineRule="auto"/>
              <w:jc w:val="center"/>
              <w:rPr>
                <w:noProof/>
              </w:rPr>
            </w:pPr>
            <w:r>
              <w:rPr>
                <w:noProof/>
              </w:rPr>
              <w:t xml:space="preserve"> </w:t>
            </w:r>
          </w:p>
        </w:tc>
        <w:tc>
          <w:tcPr>
            <w:tcW w:w="993" w:type="dxa"/>
            <w:shd w:val="clear" w:color="auto" w:fill="C6EFCE"/>
            <w:noWrap/>
            <w:vAlign w:val="center"/>
          </w:tcPr>
          <w:p w14:paraId="302390F9" w14:textId="77777777" w:rsidR="00C972CB" w:rsidRDefault="002457F6">
            <w:pPr>
              <w:pStyle w:val="P68B1DB1-Normal11"/>
              <w:spacing w:line="276" w:lineRule="auto"/>
              <w:jc w:val="center"/>
              <w:rPr>
                <w:noProof/>
              </w:rPr>
            </w:pPr>
            <w:r>
              <w:rPr>
                <w:noProof/>
              </w:rPr>
              <w:t xml:space="preserve"> </w:t>
            </w:r>
          </w:p>
        </w:tc>
        <w:tc>
          <w:tcPr>
            <w:tcW w:w="1162" w:type="dxa"/>
            <w:shd w:val="clear" w:color="auto" w:fill="C6EFCE"/>
            <w:noWrap/>
            <w:vAlign w:val="center"/>
          </w:tcPr>
          <w:p w14:paraId="5F7D6145" w14:textId="77777777" w:rsidR="00C972CB" w:rsidRDefault="002457F6">
            <w:pPr>
              <w:pStyle w:val="P68B1DB1-Normal11"/>
              <w:spacing w:line="276" w:lineRule="auto"/>
              <w:jc w:val="center"/>
              <w:rPr>
                <w:noProof/>
              </w:rPr>
            </w:pPr>
            <w:r>
              <w:rPr>
                <w:noProof/>
              </w:rPr>
              <w:t xml:space="preserve"> </w:t>
            </w:r>
          </w:p>
        </w:tc>
        <w:tc>
          <w:tcPr>
            <w:tcW w:w="963" w:type="dxa"/>
            <w:shd w:val="clear" w:color="auto" w:fill="C6EFCE"/>
            <w:noWrap/>
            <w:vAlign w:val="center"/>
          </w:tcPr>
          <w:p w14:paraId="68097279" w14:textId="77777777" w:rsidR="00C972CB" w:rsidRDefault="002457F6">
            <w:pPr>
              <w:pStyle w:val="P68B1DB1-Normal11"/>
              <w:spacing w:line="276" w:lineRule="auto"/>
              <w:jc w:val="center"/>
              <w:rPr>
                <w:noProof/>
              </w:rPr>
            </w:pPr>
            <w:r>
              <w:rPr>
                <w:noProof/>
              </w:rPr>
              <w:t>4. CET.</w:t>
            </w:r>
          </w:p>
        </w:tc>
        <w:tc>
          <w:tcPr>
            <w:tcW w:w="710" w:type="dxa"/>
            <w:shd w:val="clear" w:color="auto" w:fill="C6EFCE"/>
            <w:noWrap/>
            <w:vAlign w:val="center"/>
          </w:tcPr>
          <w:p w14:paraId="4D798710" w14:textId="77777777" w:rsidR="00C972CB" w:rsidRDefault="002457F6">
            <w:pPr>
              <w:pStyle w:val="P68B1DB1-Normal11"/>
              <w:spacing w:line="276" w:lineRule="auto"/>
              <w:rPr>
                <w:noProof/>
              </w:rPr>
            </w:pPr>
            <w:r>
              <w:rPr>
                <w:noProof/>
              </w:rPr>
              <w:t>2024</w:t>
            </w:r>
          </w:p>
        </w:tc>
        <w:tc>
          <w:tcPr>
            <w:tcW w:w="3174" w:type="dxa"/>
            <w:shd w:val="clear" w:color="auto" w:fill="C6EFCE"/>
            <w:noWrap/>
            <w:vAlign w:val="center"/>
          </w:tcPr>
          <w:p w14:paraId="4A3F5B5C" w14:textId="74905199" w:rsidR="00C972CB" w:rsidRDefault="002457F6">
            <w:pPr>
              <w:pStyle w:val="P68B1DB1-Normal12"/>
              <w:spacing w:line="276" w:lineRule="auto"/>
              <w:rPr>
                <w:rFonts w:ascii="Arial Narrow" w:hAnsi="Arial Narrow"/>
                <w:noProof/>
              </w:rPr>
            </w:pPr>
            <w:r>
              <w:rPr>
                <w:rFonts w:ascii="Arial Narrow" w:hAnsi="Arial Narrow"/>
                <w:noProof/>
              </w:rPr>
              <w:t>Itālija pārskaita ISMEA EUR 1  960 000 000.00 Mehānisma vajadzībām.</w:t>
            </w:r>
          </w:p>
        </w:tc>
      </w:tr>
    </w:tbl>
    <w:p w14:paraId="4B850D53" w14:textId="77777777" w:rsidR="00C972CB" w:rsidRDefault="00C972CB">
      <w:pPr>
        <w:tabs>
          <w:tab w:val="left" w:pos="4252"/>
        </w:tabs>
        <w:rPr>
          <w:i/>
          <w:noProof/>
        </w:rPr>
      </w:pPr>
    </w:p>
    <w:p w14:paraId="4A5CFDE5" w14:textId="77777777" w:rsidR="00C972CB" w:rsidRDefault="00C972CB">
      <w:pPr>
        <w:tabs>
          <w:tab w:val="left" w:pos="4252"/>
        </w:tabs>
        <w:rPr>
          <w:i/>
          <w:noProof/>
        </w:rPr>
      </w:pPr>
    </w:p>
    <w:p w14:paraId="6C8524BD" w14:textId="77777777" w:rsidR="00C972CB" w:rsidRDefault="00C972CB">
      <w:pPr>
        <w:tabs>
          <w:tab w:val="left" w:pos="4252"/>
        </w:tabs>
        <w:rPr>
          <w:i/>
          <w:noProof/>
        </w:rPr>
        <w:sectPr w:rsidR="00C972CB" w:rsidSect="001354D1">
          <w:headerReference w:type="even" r:id="rId110"/>
          <w:headerReference w:type="default" r:id="rId111"/>
          <w:footerReference w:type="even" r:id="rId112"/>
          <w:footerReference w:type="default" r:id="rId113"/>
          <w:headerReference w:type="first" r:id="rId114"/>
          <w:footerReference w:type="first" r:id="rId115"/>
          <w:pgSz w:w="16839" w:h="11907" w:orient="landscape"/>
          <w:pgMar w:top="1134" w:right="1134" w:bottom="1134" w:left="1134" w:header="567" w:footer="567" w:gutter="0"/>
          <w:cols w:space="720"/>
          <w:docGrid w:linePitch="360"/>
        </w:sectPr>
      </w:pPr>
    </w:p>
    <w:p w14:paraId="6E52E8D0" w14:textId="6F24A70E" w:rsidR="00C972CB" w:rsidRDefault="002457F6">
      <w:pPr>
        <w:pStyle w:val="Heading2"/>
        <w:numPr>
          <w:ilvl w:val="1"/>
          <w:numId w:val="0"/>
        </w:numPr>
        <w:ind w:left="850" w:hanging="850"/>
        <w:rPr>
          <w:noProof/>
        </w:rPr>
      </w:pPr>
      <w:r>
        <w:rPr>
          <w:noProof/>
        </w:rPr>
        <w:t xml:space="preserve">E. 2. MISIJAS 2. KOMPONENTS: Enerģētikas pārkārtošana un </w:t>
      </w:r>
      <w:r>
        <w:rPr>
          <w:noProof/>
        </w:rPr>
        <w:t>ilgtspējīga mobilitāte</w:t>
      </w:r>
    </w:p>
    <w:p w14:paraId="7DBA7064" w14:textId="05C86449" w:rsidR="00C972CB" w:rsidRDefault="002457F6">
      <w:pPr>
        <w:spacing w:before="120" w:after="120"/>
        <w:jc w:val="both"/>
        <w:rPr>
          <w:noProof/>
        </w:rPr>
      </w:pPr>
      <w:r>
        <w:rPr>
          <w:noProof/>
        </w:rPr>
        <w:t>Šis Itālijas atveseļošanas un noturības plāna komponents aptver investīcijas un reformas enerģētikas pārkārtošanā. Tas ietver reformas, lai atvieglotu atļauju piešķiršanu atjaunojamo energoresursu projektiem. Komponents ietver invest</w:t>
      </w:r>
      <w:r>
        <w:rPr>
          <w:noProof/>
        </w:rPr>
        <w:t xml:space="preserve">īcijas atjaunojamo energoresursu piegādes ķēdē, ūdeņraža enerģijā, biometāna iekārtās un viedtīklos. Šīs reformas un investīcijas papildina reformas, kuru mērķis ir palielināt konkurenci elektroenerģijas tirgū “uzņēmējdarbības vides” reformas komponentā. </w:t>
      </w:r>
    </w:p>
    <w:p w14:paraId="74769DD7" w14:textId="77777777" w:rsidR="00C972CB" w:rsidRDefault="002457F6">
      <w:pPr>
        <w:spacing w:before="120" w:after="120"/>
        <w:jc w:val="both"/>
        <w:rPr>
          <w:noProof/>
        </w:rPr>
      </w:pPr>
      <w:r>
        <w:rPr>
          <w:noProof/>
        </w:rPr>
        <w:t>Šis komponents aptver arī investīcijas un reformas ilgtspējīgā mobilitātē. Tas ietver reformas, lai atvieglotu atļauju piešķiršanu ilgtspējīgas mobilitātes projektiem. Komponents ietver ieguldījumus veloceliņu un metro/tramvaja/autobusa ātrā tranzīta infra</w:t>
      </w:r>
      <w:r>
        <w:rPr>
          <w:noProof/>
        </w:rPr>
        <w:t>struktūras būvniecībā un bezemisiju autobusu, ritošā sastāva, ugunsdzēsības un lidostas transportlīdzekļu iegādē. Šīs reformas un investīcijas papildina reformas, kuru mērķis ir likvidēt regulētās cenas elektrouzlādei un palielināt konkurenci uzlādes punkt</w:t>
      </w:r>
      <w:r>
        <w:rPr>
          <w:noProof/>
        </w:rPr>
        <w:t xml:space="preserve">u koncesiju, reģionālo dzelzceļu un vietējā sabiedriskā transporta jomā “uzņēmējdarbības vides” reformas komponentā. </w:t>
      </w:r>
    </w:p>
    <w:p w14:paraId="05924881" w14:textId="2416E309" w:rsidR="00C972CB" w:rsidRDefault="002457F6">
      <w:pPr>
        <w:spacing w:before="120" w:after="120"/>
        <w:jc w:val="both"/>
        <w:rPr>
          <w:noProof/>
        </w:rPr>
      </w:pPr>
      <w:r>
        <w:rPr>
          <w:noProof/>
        </w:rPr>
        <w:t>Investīcijas un reformas saskaņā ar šo komponentu palīdz īstenot Itālijai 2020. un 2019. gadā adresētos konkrētai valstij adresētos ieteik</w:t>
      </w:r>
      <w:r>
        <w:rPr>
          <w:noProof/>
        </w:rPr>
        <w:t xml:space="preserve">umus par nepieciešamību “koncentrēt investīcijas uz zaļo un digitālo pārkārtošanos, jo īpaši uz [...] tīru un efektīvu enerģijas ražošanu un izmantošanu [...] ilgtspējīgam sabiedriskajam transportam” (3. KVAI, 2020) un “ar investīcijām saistīto ekonomikas </w:t>
      </w:r>
      <w:r>
        <w:rPr>
          <w:noProof/>
        </w:rPr>
        <w:t>politiku koncentrēt uz [...] un infrastruktūras kvalitāti, ņemot vērā arī reģionālās atšķirības” (konkrētai valstij adresētais ieteikums Nr. 3, 2019).</w:t>
      </w:r>
    </w:p>
    <w:p w14:paraId="57F43908" w14:textId="77777777" w:rsidR="00C972CB" w:rsidRDefault="002457F6">
      <w:pPr>
        <w:spacing w:before="120" w:after="120" w:line="257" w:lineRule="auto"/>
        <w:jc w:val="both"/>
        <w:rPr>
          <w:rFonts w:eastAsiaTheme="minorHAnsi"/>
          <w:noProof/>
        </w:rPr>
      </w:pPr>
      <w:r>
        <w:rPr>
          <w:noProof/>
        </w:rPr>
        <w:t>Komponents atbalsta Itālijai izdotās pamatnostādnes par tās nacionālā enerģētikas un klimata plāna īsteno</w:t>
      </w:r>
      <w:r>
        <w:rPr>
          <w:noProof/>
        </w:rPr>
        <w:t>šanu (SWD(2020) 911 final), kurās Itālija tika aicināta veicināt, pārveidot un atjaunināt esošās atjaunīgās enerģijas iekārtas, jo īpaši esošās vēja elektrostacijas, un izpētīt inovatīvu atkrastes enerģiju visā Vidusjūras reģionā.</w:t>
      </w:r>
    </w:p>
    <w:p w14:paraId="4F3CBC46" w14:textId="77777777" w:rsidR="00C972CB" w:rsidRDefault="002457F6">
      <w:pPr>
        <w:spacing w:before="120" w:after="120"/>
        <w:jc w:val="both"/>
        <w:rPr>
          <w:noProof/>
        </w:rPr>
      </w:pPr>
      <w:r>
        <w:rPr>
          <w:noProof/>
        </w:rPr>
        <w:t>Paredzams, ka neviens pas</w:t>
      </w:r>
      <w:r>
        <w:rPr>
          <w:noProof/>
        </w:rPr>
        <w:t xml:space="preserve">ākums šajā komponentā būtiski nekaitēs vides mērķiem Regulas (ES) 2020/852 17. panta nozīmē, ņemot vērā atveseļošanas un noturības plānā izklāstīto pasākumu aprakstu un mazināšanas pasākumus saskaņā ar DNSH tehniskajiem norādījumiem (2021/C58/01).  </w:t>
      </w:r>
    </w:p>
    <w:p w14:paraId="680FB77F"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E.1. </w:t>
      </w:r>
      <w:r>
        <w:rPr>
          <w:noProof/>
        </w:rPr>
        <w:tab/>
      </w:r>
      <w:r>
        <w:rPr>
          <w:b/>
          <w:i w:val="0"/>
          <w:noProof/>
          <w:u w:val="single"/>
        </w:rPr>
        <w:t>Neatmaksājamam finansiālajam atbalstam pieteikto reformu un investīciju apraksts</w:t>
      </w:r>
    </w:p>
    <w:p w14:paraId="3DFF7CD2" w14:textId="77777777" w:rsidR="00C972CB" w:rsidRDefault="002457F6">
      <w:pPr>
        <w:pStyle w:val="P68B1DB1-Normal2"/>
        <w:spacing w:before="120" w:after="120"/>
        <w:jc w:val="both"/>
        <w:rPr>
          <w:noProof/>
        </w:rPr>
      </w:pPr>
      <w:r>
        <w:rPr>
          <w:noProof/>
        </w:rPr>
        <w:t>Reforma — Atļauju piešķiršanas procedūru vienkāršošana attiecībā uz atjaunīgajām sauszemes un atkrastes iekārtām un jauns tiesiskais regulējums, lai atbalstītu ražošanu no atj</w:t>
      </w:r>
      <w:r>
        <w:rPr>
          <w:noProof/>
        </w:rPr>
        <w:t>aunojamiem energoresursiem, un pašreizējo atbalsta shēmu termiņa un atbilstības pagarināšana</w:t>
      </w:r>
    </w:p>
    <w:p w14:paraId="0D645D88" w14:textId="77777777" w:rsidR="00C972CB" w:rsidRDefault="002457F6">
      <w:pPr>
        <w:spacing w:before="120" w:after="120"/>
        <w:jc w:val="both"/>
        <w:rPr>
          <w:noProof/>
        </w:rPr>
      </w:pPr>
      <w:r>
        <w:rPr>
          <w:noProof/>
        </w:rPr>
        <w:t>Šī reforma ietver:</w:t>
      </w:r>
    </w:p>
    <w:p w14:paraId="5E64EAB1" w14:textId="77777777" w:rsidR="00C972CB" w:rsidRDefault="002457F6">
      <w:pPr>
        <w:numPr>
          <w:ilvl w:val="0"/>
          <w:numId w:val="66"/>
        </w:numPr>
        <w:spacing w:before="120" w:after="120" w:line="259" w:lineRule="auto"/>
        <w:ind w:left="360"/>
        <w:contextualSpacing/>
        <w:jc w:val="both"/>
        <w:rPr>
          <w:noProof/>
        </w:rPr>
      </w:pPr>
      <w:r>
        <w:rPr>
          <w:noProof/>
        </w:rPr>
        <w:t>Tiesiskā regulējuma stāšanās spēkā attiecībā uz atjaunojamo energoresursu iekārtām un esošo staciju energoatjaunināšanu un pārveidošanu;</w:t>
      </w:r>
    </w:p>
    <w:p w14:paraId="608C82A8" w14:textId="77777777" w:rsidR="00C972CB" w:rsidRDefault="002457F6">
      <w:pPr>
        <w:numPr>
          <w:ilvl w:val="0"/>
          <w:numId w:val="66"/>
        </w:numPr>
        <w:spacing w:before="120" w:after="120" w:line="259" w:lineRule="auto"/>
        <w:ind w:left="360"/>
        <w:contextualSpacing/>
        <w:jc w:val="both"/>
        <w:rPr>
          <w:noProof/>
        </w:rPr>
      </w:pPr>
      <w:r>
        <w:rPr>
          <w:noProof/>
        </w:rPr>
        <w:t>Tāda ti</w:t>
      </w:r>
      <w:r>
        <w:rPr>
          <w:noProof/>
        </w:rPr>
        <w:t>esiskā regulējuma stāšanās spēkā, ar ko nosaka kritērijus to teritoriju noteikšanai, kuras ir piemērotas un nav piemērotas atjaunīgās enerģijas staciju uzstādīšanai, kuru kopējā jauda pārsniedz 50 GW, saskaņā ar Itālijas nacionālo enerģētikas un klimata pl</w:t>
      </w:r>
      <w:r>
        <w:rPr>
          <w:noProof/>
        </w:rPr>
        <w:t>ānu un zaļā kursa mērķiem; par tiesisko regulējumu vienojas reģioni un citas attiecīgās valsts pārvaldes.</w:t>
      </w:r>
    </w:p>
    <w:p w14:paraId="097D58A0" w14:textId="77777777" w:rsidR="00C972CB" w:rsidRDefault="002457F6">
      <w:pPr>
        <w:numPr>
          <w:ilvl w:val="0"/>
          <w:numId w:val="66"/>
        </w:numPr>
        <w:spacing w:before="120" w:after="120" w:line="259" w:lineRule="auto"/>
        <w:ind w:left="360"/>
        <w:contextualSpacing/>
        <w:jc w:val="both"/>
        <w:rPr>
          <w:noProof/>
        </w:rPr>
      </w:pPr>
      <w:r>
        <w:rPr>
          <w:noProof/>
        </w:rPr>
        <w:t xml:space="preserve">Atjaunojamo energoresursu atbalsta mehānisma pabeigšana arī attiecībā uz jaunām tehnoloģijām vai tehnoloģijām ar augstām darbības izmaksām un izsoles </w:t>
      </w:r>
      <w:r>
        <w:rPr>
          <w:noProof/>
        </w:rPr>
        <w:t>perioda pagarināšana tā dēvētajam AER1 mehānismam (lai atspoguļotu arī veselības ārkārtas situācijas izraisīto palēnināšanos), vienlaikus saglabājot konkurētspējīgas piekļuves principus;</w:t>
      </w:r>
    </w:p>
    <w:p w14:paraId="28BDB3B0" w14:textId="77777777" w:rsidR="00C972CB" w:rsidRDefault="002457F6">
      <w:pPr>
        <w:numPr>
          <w:ilvl w:val="0"/>
          <w:numId w:val="66"/>
        </w:numPr>
        <w:spacing w:before="120" w:after="120" w:line="259" w:lineRule="auto"/>
        <w:ind w:left="360"/>
        <w:contextualSpacing/>
        <w:jc w:val="both"/>
        <w:rPr>
          <w:noProof/>
        </w:rPr>
      </w:pPr>
      <w:r>
        <w:rPr>
          <w:noProof/>
        </w:rPr>
        <w:t>Noteikumu stāšanās spēkā veicina ieguldījumus uzglabāšanas sistēmās d</w:t>
      </w:r>
      <w:r>
        <w:rPr>
          <w:noProof/>
        </w:rPr>
        <w:t>ekrētā, ar ko transponē Direktīvu (ES) 2019/944 par kopīgiem noteikumiem attiecībā uz elektroenerģijas iekšējo tirgu.</w:t>
      </w:r>
    </w:p>
    <w:p w14:paraId="10A33E4F" w14:textId="77777777" w:rsidR="00C972CB" w:rsidRDefault="002457F6">
      <w:pPr>
        <w:pStyle w:val="P68B1DB1-Normal2"/>
        <w:spacing w:before="120" w:after="120"/>
        <w:jc w:val="both"/>
        <w:rPr>
          <w:noProof/>
        </w:rPr>
      </w:pPr>
      <w:r>
        <w:rPr>
          <w:noProof/>
        </w:rPr>
        <w:t>Reforma — jauni tiesību akti, lai veicinātu atjaunojamās gāzes ražošanu un patēriņu</w:t>
      </w:r>
    </w:p>
    <w:p w14:paraId="619A083B" w14:textId="77777777" w:rsidR="00C972CB" w:rsidRDefault="002457F6">
      <w:pPr>
        <w:spacing w:before="120" w:after="120"/>
        <w:jc w:val="both"/>
        <w:rPr>
          <w:noProof/>
        </w:rPr>
      </w:pPr>
      <w:r>
        <w:rPr>
          <w:noProof/>
        </w:rPr>
        <w:t xml:space="preserve">Šī reforma paredz pastiprināt atbalstu tīram </w:t>
      </w:r>
      <w:r>
        <w:rPr>
          <w:noProof/>
        </w:rPr>
        <w:t>biometānam, pieņemot tiesību aktus, lai paplašinātu to biometāna projektu tvērumu, par kuriem var saņemt atbalstu, un pagarināt dotāciju pieejamības laikposmu. Biometāns atbilst Atjaunojamo energoresursu direktīvā (ES) 2018/2001 (REDII) noteiktajiem kritēr</w:t>
      </w:r>
      <w:r>
        <w:rPr>
          <w:noProof/>
        </w:rPr>
        <w:t>ijiem, lai pasākums atbilstu principam “nenodarīt būtisku kaitējumu” un attiecīgajām Regulas (ES) 2021/241 VI pielikuma 8. zemsvītras piezīmes prasībām.</w:t>
      </w:r>
    </w:p>
    <w:p w14:paraId="6D3AADBA" w14:textId="77777777" w:rsidR="00C972CB" w:rsidRDefault="002457F6">
      <w:pPr>
        <w:pStyle w:val="P68B1DB1-Normal2"/>
        <w:spacing w:before="120" w:after="120"/>
        <w:jc w:val="both"/>
        <w:rPr>
          <w:noProof/>
        </w:rPr>
      </w:pPr>
      <w:r>
        <w:rPr>
          <w:noProof/>
        </w:rPr>
        <w:t>Reforma. Administratīva vienkāršošana un regulatīvo šķēršļu mazināšana ūdeņraža ieviešanai</w:t>
      </w:r>
    </w:p>
    <w:p w14:paraId="7F27A0CB" w14:textId="77777777" w:rsidR="00C972CB" w:rsidRDefault="002457F6">
      <w:pPr>
        <w:spacing w:before="120" w:after="120"/>
        <w:jc w:val="both"/>
        <w:rPr>
          <w:noProof/>
        </w:rPr>
      </w:pPr>
      <w:r>
        <w:rPr>
          <w:noProof/>
        </w:rPr>
        <w:t>Šī reforma i</w:t>
      </w:r>
      <w:r>
        <w:rPr>
          <w:noProof/>
        </w:rPr>
        <w:t>etver tiesiskā regulējuma stāšanos spēkā, lai veicinātu ūdeņraža kā atjaunīga enerģijas avota izmantošanu. Šajā tiesiskajā regulējumā iekļauj:</w:t>
      </w:r>
    </w:p>
    <w:p w14:paraId="2E507F10" w14:textId="77777777" w:rsidR="00C972CB" w:rsidRDefault="002457F6">
      <w:pPr>
        <w:numPr>
          <w:ilvl w:val="0"/>
          <w:numId w:val="66"/>
        </w:numPr>
        <w:spacing w:before="120" w:after="120" w:line="259" w:lineRule="auto"/>
        <w:ind w:left="360"/>
        <w:contextualSpacing/>
        <w:jc w:val="both"/>
        <w:rPr>
          <w:noProof/>
        </w:rPr>
      </w:pPr>
      <w:r>
        <w:rPr>
          <w:noProof/>
        </w:rPr>
        <w:t>Tehniskās drošības noteikumi par ūdeņraža ražošanu, transportēšanu (tehniskie un regulatīvie kritēriji ūdeņraža i</w:t>
      </w:r>
      <w:r>
        <w:rPr>
          <w:noProof/>
        </w:rPr>
        <w:t>eviešanai dabasgāzes tīklā), uzglabāšanu un izmantošanu;</w:t>
      </w:r>
    </w:p>
    <w:p w14:paraId="61275144" w14:textId="03FDACD9" w:rsidR="00C972CB" w:rsidRDefault="002457F6">
      <w:pPr>
        <w:numPr>
          <w:ilvl w:val="0"/>
          <w:numId w:val="66"/>
        </w:numPr>
        <w:spacing w:before="120" w:after="120" w:line="259" w:lineRule="auto"/>
        <w:ind w:left="360"/>
        <w:contextualSpacing/>
        <w:jc w:val="both"/>
        <w:rPr>
          <w:noProof/>
        </w:rPr>
      </w:pPr>
      <w:r>
        <w:rPr>
          <w:noProof/>
        </w:rPr>
        <w:t>Paātrināta atļauju piešķiršanas procedūra ar vienas pieturas aģentūras procedūru, lai saņemtu atļauju būvēt un ekspluatēt nelielu ūdeņraža ražotni (elektrolīzeru iekārtām, kuru jauda ir mazāka par 1–</w:t>
      </w:r>
      <w:r>
        <w:rPr>
          <w:noProof/>
        </w:rPr>
        <w:t xml:space="preserve">5 MW; uzglabāšanas slieksni nosaka iepriekš minētajos ūdeņraža tehniskās drošības noteikumos).  </w:t>
      </w:r>
    </w:p>
    <w:p w14:paraId="3C659058" w14:textId="77777777" w:rsidR="00C972CB" w:rsidRDefault="002457F6">
      <w:pPr>
        <w:numPr>
          <w:ilvl w:val="0"/>
          <w:numId w:val="66"/>
        </w:numPr>
        <w:spacing w:before="120" w:after="120" w:line="259" w:lineRule="auto"/>
        <w:ind w:left="360"/>
        <w:contextualSpacing/>
        <w:jc w:val="both"/>
        <w:rPr>
          <w:noProof/>
        </w:rPr>
      </w:pPr>
      <w:r>
        <w:rPr>
          <w:noProof/>
        </w:rPr>
        <w:t>Noteikumi par ūdeņraža ražotņu dalību tīkla pakalpojumos. Enerģētikas regulatoram (ARERA) tiek uzdots pēc apspriešanās ar ieinteresētajām personām izdot konkrē</w:t>
      </w:r>
      <w:r>
        <w:rPr>
          <w:noProof/>
        </w:rPr>
        <w:t>tu regulatīvu pasākumu.</w:t>
      </w:r>
    </w:p>
    <w:p w14:paraId="1F5F565D" w14:textId="77777777" w:rsidR="00C972CB" w:rsidRDefault="002457F6">
      <w:pPr>
        <w:numPr>
          <w:ilvl w:val="0"/>
          <w:numId w:val="66"/>
        </w:numPr>
        <w:spacing w:before="120" w:after="120" w:line="259" w:lineRule="auto"/>
        <w:ind w:left="360"/>
        <w:contextualSpacing/>
        <w:jc w:val="both"/>
        <w:rPr>
          <w:noProof/>
        </w:rPr>
      </w:pPr>
      <w:r>
        <w:rPr>
          <w:noProof/>
        </w:rPr>
        <w:t>Atjaunīgā ūdeņraža izcelsmes apliecinājumu sistēma, lai patērētājiem dotu cenu signālus.</w:t>
      </w:r>
    </w:p>
    <w:p w14:paraId="2780F1D2" w14:textId="10BDFCD5" w:rsidR="00C972CB" w:rsidRDefault="002457F6">
      <w:pPr>
        <w:numPr>
          <w:ilvl w:val="0"/>
          <w:numId w:val="66"/>
        </w:numPr>
        <w:spacing w:before="120" w:after="120" w:line="259" w:lineRule="auto"/>
        <w:ind w:left="360"/>
        <w:contextualSpacing/>
        <w:jc w:val="both"/>
        <w:rPr>
          <w:noProof/>
        </w:rPr>
      </w:pPr>
      <w:r>
        <w:rPr>
          <w:noProof/>
        </w:rPr>
        <w:t>Procedūras un/vai kritēriji, lai noteiktu izvēlētās uzpildes zonas gar automaģistrālēm nolūkā optimizēt uzpildes staciju atrašanās vietu, lai i</w:t>
      </w:r>
      <w:r>
        <w:rPr>
          <w:noProof/>
        </w:rPr>
        <w:t xml:space="preserve">zveidotu H2 koridorus kravas automobiļiem, sākot no Ziemeļitālijas reģioniem līdz Po ielejai un loģistikas centriem un galvenajiem automaģistrālēm pussalā. </w:t>
      </w:r>
    </w:p>
    <w:p w14:paraId="18C9DC6F" w14:textId="77777777" w:rsidR="00C972CB" w:rsidRDefault="002457F6">
      <w:pPr>
        <w:numPr>
          <w:ilvl w:val="0"/>
          <w:numId w:val="66"/>
        </w:numPr>
        <w:spacing w:before="120" w:after="120" w:line="259" w:lineRule="auto"/>
        <w:ind w:left="360"/>
        <w:contextualSpacing/>
        <w:jc w:val="both"/>
        <w:rPr>
          <w:noProof/>
        </w:rPr>
      </w:pPr>
      <w:r>
        <w:rPr>
          <w:noProof/>
        </w:rPr>
        <w:t>Koordinēt valsts pārvades sistēmas operatora (PSO) 10 gadu attīstības plānu ar citu Eiropas PSO plā</w:t>
      </w:r>
      <w:r>
        <w:rPr>
          <w:noProof/>
        </w:rPr>
        <w:t>niem, kuru mērķis ir izstrādāt kopīgus standartus ūdeņraža transportēšanai, izmantojot esošos gāzes cauruļvadus vai specializētus cauruļvadus.</w:t>
      </w:r>
    </w:p>
    <w:p w14:paraId="131A4B52" w14:textId="77777777" w:rsidR="00C972CB" w:rsidRDefault="002457F6">
      <w:pPr>
        <w:pStyle w:val="P68B1DB1-Normal2"/>
        <w:spacing w:before="120" w:after="120"/>
        <w:jc w:val="both"/>
        <w:rPr>
          <w:noProof/>
        </w:rPr>
      </w:pPr>
      <w:r>
        <w:rPr>
          <w:noProof/>
        </w:rPr>
        <w:t>Reforma. Pasākumi ūdeņraža konkurētspējas veicināšanai</w:t>
      </w:r>
    </w:p>
    <w:p w14:paraId="72C836B8" w14:textId="77777777" w:rsidR="00C972CB" w:rsidRDefault="002457F6">
      <w:pPr>
        <w:spacing w:before="120" w:after="120"/>
        <w:jc w:val="both"/>
        <w:rPr>
          <w:noProof/>
        </w:rPr>
      </w:pPr>
      <w:r>
        <w:rPr>
          <w:noProof/>
        </w:rPr>
        <w:t>Šī reforma ietver nodokļu pasākumu pieņemšanu, lai stimulē</w:t>
      </w:r>
      <w:r>
        <w:rPr>
          <w:noProof/>
        </w:rPr>
        <w:t>tu ūdeņraža ražošanu un/vai izmantošanu saskaņā ar ES noteikumiem par nodokļiem, un transponēt AED II direktīvu. Šis pasākums atbalsta ūdeņraža ražošanu elektrolīzē, izmantojot atjaunojamos energoresursus, kas definēti Direktīvā (ES) 2018/2001 (Atjaunojamo</w:t>
      </w:r>
      <w:r>
        <w:rPr>
          <w:noProof/>
        </w:rPr>
        <w:t xml:space="preserve"> energoresursu direktīva), vai tīkla elektroenerģiju.</w:t>
      </w:r>
    </w:p>
    <w:p w14:paraId="05E817F3" w14:textId="77777777" w:rsidR="00C972CB" w:rsidRDefault="002457F6">
      <w:pPr>
        <w:spacing w:after="200" w:line="276" w:lineRule="auto"/>
        <w:rPr>
          <w:b/>
          <w:noProof/>
        </w:rPr>
      </w:pPr>
      <w:r>
        <w:rPr>
          <w:noProof/>
        </w:rPr>
        <w:br w:type="page"/>
      </w:r>
      <w:r>
        <w:rPr>
          <w:b/>
          <w:noProof/>
        </w:rPr>
        <w:t>Reforma. Viedākas procedūras projektu novērtēšanai vietējā sabiedriskā transporta sistēmu nozarē ar stacionārām iekārtām un ātrā masu transporta nozarē</w:t>
      </w:r>
    </w:p>
    <w:p w14:paraId="33EB765B" w14:textId="77777777" w:rsidR="00C972CB" w:rsidRDefault="002457F6">
      <w:pPr>
        <w:spacing w:before="120" w:after="120"/>
        <w:jc w:val="both"/>
        <w:rPr>
          <w:noProof/>
        </w:rPr>
      </w:pPr>
      <w:r>
        <w:rPr>
          <w:noProof/>
        </w:rPr>
        <w:t xml:space="preserve">Šīs reformas mērķis ir pieņemt tiesību aktus, ar </w:t>
      </w:r>
      <w:r>
        <w:rPr>
          <w:noProof/>
        </w:rPr>
        <w:t xml:space="preserve">kuriem skaidri nosaka atbildību par vietējo sabiedriskā transporta projektu apstiprināšanu un maksājumu procedūras vienkāršošanu. </w:t>
      </w:r>
    </w:p>
    <w:p w14:paraId="559BB5DD" w14:textId="77777777" w:rsidR="00C972CB" w:rsidRDefault="002457F6">
      <w:pPr>
        <w:pStyle w:val="P68B1DB1-Normal2"/>
        <w:spacing w:before="120" w:after="120"/>
        <w:jc w:val="both"/>
        <w:rPr>
          <w:noProof/>
        </w:rPr>
      </w:pPr>
      <w:r>
        <w:rPr>
          <w:noProof/>
        </w:rPr>
        <w:t>Ieguldījums 4.1. Ieguldījumi mīkstajā mobilitātē (Nacionālais cikla ceļa plāns)</w:t>
      </w:r>
    </w:p>
    <w:p w14:paraId="519CBDFE" w14:textId="05EE7EEF" w:rsidR="00C972CB" w:rsidRDefault="002457F6">
      <w:pPr>
        <w:spacing w:before="120" w:after="120"/>
        <w:jc w:val="both"/>
        <w:rPr>
          <w:noProof/>
        </w:rPr>
      </w:pPr>
      <w:r>
        <w:rPr>
          <w:noProof/>
        </w:rPr>
        <w:t xml:space="preserve">Šis ieguldījums ietver veloceliņu būvniecību </w:t>
      </w:r>
      <w:r>
        <w:rPr>
          <w:noProof/>
        </w:rPr>
        <w:t>lielpilsētu teritorijās vismaz 565 km garumā un tūristu veloceliņu būvniecību vismaz 746 km garumā. Lielpilsētu veloceliņus attīsta vismaz 40 lielpilsētu teritorijās vai pilsētās, kurās atrodas universitātes</w:t>
      </w:r>
      <w:r>
        <w:rPr>
          <w:rStyle w:val="FootnoteReference"/>
          <w:noProof/>
        </w:rPr>
        <w:footnoteReference w:id="48"/>
      </w:r>
      <w:r>
        <w:rPr>
          <w:noProof/>
        </w:rPr>
        <w:t>. Veloceliņi atvieglo pirmās jūdzes un pēdējās j</w:t>
      </w:r>
      <w:r>
        <w:rPr>
          <w:noProof/>
        </w:rPr>
        <w:t>ūdzes pārvietošanos, savienojot vietas lielpilsētu teritorijās ar tuvējiem dzelzceļa vai metro mezgliem vai universitātēm ar tuvējiem dzelzceļa vai metro mezgliem. Atbilstīgie tūrisma veloceliņi ir definēti 2015. gada 28. decembra Likumā Nr. 208.</w:t>
      </w:r>
    </w:p>
    <w:p w14:paraId="2DCEDA99" w14:textId="77777777" w:rsidR="00C972CB" w:rsidRDefault="002457F6">
      <w:pPr>
        <w:pStyle w:val="P68B1DB1-Normal2"/>
        <w:spacing w:before="120" w:after="120"/>
        <w:jc w:val="both"/>
        <w:rPr>
          <w:noProof/>
        </w:rPr>
      </w:pPr>
      <w:r>
        <w:rPr>
          <w:noProof/>
        </w:rPr>
        <w:t>Ieguldīju</w:t>
      </w:r>
      <w:r>
        <w:rPr>
          <w:noProof/>
        </w:rPr>
        <w:t>ms 4.3. Uzlādes infrastruktūru uzstādīšana</w:t>
      </w:r>
    </w:p>
    <w:p w14:paraId="73A4FDFD" w14:textId="77777777" w:rsidR="00C972CB" w:rsidRDefault="002457F6">
      <w:pPr>
        <w:spacing w:before="120" w:after="120"/>
        <w:jc w:val="both"/>
        <w:rPr>
          <w:noProof/>
        </w:rPr>
      </w:pPr>
      <w:r>
        <w:rPr>
          <w:noProof/>
        </w:rPr>
        <w:t>Šis ieguldījums ietver atbalstu šādu pasākumu izstrādei:</w:t>
      </w:r>
    </w:p>
    <w:p w14:paraId="1BB0CE05" w14:textId="4D6E5829" w:rsidR="00C972CB" w:rsidRDefault="002457F6">
      <w:pPr>
        <w:numPr>
          <w:ilvl w:val="0"/>
          <w:numId w:val="69"/>
        </w:numPr>
        <w:spacing w:before="120" w:after="120" w:line="259" w:lineRule="auto"/>
        <w:ind w:left="360"/>
        <w:contextualSpacing/>
        <w:jc w:val="both"/>
        <w:rPr>
          <w:noProof/>
        </w:rPr>
      </w:pPr>
      <w:r>
        <w:rPr>
          <w:noProof/>
        </w:rPr>
        <w:t>7500 ātrdarbīgu publisko uzlādes infrastruktūras punktus uz brīvceļiem;</w:t>
      </w:r>
    </w:p>
    <w:p w14:paraId="68DC5A13" w14:textId="2F72240B" w:rsidR="00C972CB" w:rsidRDefault="002457F6">
      <w:pPr>
        <w:numPr>
          <w:ilvl w:val="0"/>
          <w:numId w:val="69"/>
        </w:numPr>
        <w:spacing w:before="120" w:after="120" w:line="259" w:lineRule="auto"/>
        <w:ind w:left="360"/>
        <w:contextualSpacing/>
        <w:jc w:val="both"/>
        <w:rPr>
          <w:noProof/>
        </w:rPr>
      </w:pPr>
      <w:r>
        <w:rPr>
          <w:noProof/>
        </w:rPr>
        <w:t>13755 ātrdarbīgas uzlādes infrastruktūras punktus pilsētu centros;</w:t>
      </w:r>
    </w:p>
    <w:p w14:paraId="687876F2" w14:textId="77777777" w:rsidR="00C972CB" w:rsidRDefault="002457F6">
      <w:pPr>
        <w:numPr>
          <w:ilvl w:val="0"/>
          <w:numId w:val="69"/>
        </w:numPr>
        <w:spacing w:before="120" w:after="120" w:line="259" w:lineRule="auto"/>
        <w:ind w:left="360"/>
        <w:contextualSpacing/>
        <w:jc w:val="both"/>
        <w:rPr>
          <w:noProof/>
        </w:rPr>
      </w:pPr>
      <w:r>
        <w:rPr>
          <w:noProof/>
        </w:rPr>
        <w:t>100 eksperimentāl</w:t>
      </w:r>
      <w:r>
        <w:rPr>
          <w:noProof/>
        </w:rPr>
        <w:t>as uzlādes stacijas, kas pieslēgtas uzkrāšanai.</w:t>
      </w:r>
    </w:p>
    <w:p w14:paraId="70781F44" w14:textId="77777777" w:rsidR="00C972CB" w:rsidRDefault="002457F6">
      <w:pPr>
        <w:spacing w:before="120" w:after="120"/>
        <w:jc w:val="both"/>
        <w:rPr>
          <w:noProof/>
        </w:rPr>
      </w:pPr>
      <w:r>
        <w:rPr>
          <w:noProof/>
        </w:rPr>
        <w:t>Šos ieguldījumus papildina reformas attiecībā uz elektrouzlādes cenām un koncesijām, kas uzskaitītas uzņēmējdarbības vides reformas komponentā.</w:t>
      </w:r>
    </w:p>
    <w:p w14:paraId="7B5A3BD6" w14:textId="09ABCBD3" w:rsidR="00C972CB" w:rsidRDefault="00C972CB">
      <w:pPr>
        <w:rPr>
          <w:noProof/>
        </w:rPr>
      </w:pPr>
    </w:p>
    <w:p w14:paraId="4FB68A76" w14:textId="77777777" w:rsidR="00C972CB" w:rsidRDefault="002457F6">
      <w:pPr>
        <w:pStyle w:val="Heading3"/>
        <w:numPr>
          <w:ilvl w:val="0"/>
          <w:numId w:val="0"/>
        </w:numPr>
        <w:ind w:left="850" w:hanging="850"/>
        <w:rPr>
          <w:b/>
          <w:i w:val="0"/>
          <w:noProof/>
          <w:u w:val="single"/>
        </w:rPr>
      </w:pPr>
      <w:r>
        <w:rPr>
          <w:b/>
          <w:i w:val="0"/>
          <w:noProof/>
          <w:u w:val="single"/>
        </w:rPr>
        <w:t xml:space="preserve">E.2. </w:t>
      </w:r>
      <w:r>
        <w:rPr>
          <w:noProof/>
        </w:rPr>
        <w:tab/>
      </w:r>
      <w:r>
        <w:rPr>
          <w:b/>
          <w:i w:val="0"/>
          <w:noProof/>
          <w:u w:val="single"/>
        </w:rPr>
        <w:t xml:space="preserve">Atskaites punkti, mērķrādītāji, citi rādītāji un </w:t>
      </w:r>
      <w:r>
        <w:rPr>
          <w:b/>
          <w:i w:val="0"/>
          <w:noProof/>
          <w:u w:val="single"/>
        </w:rPr>
        <w:t>neatmaksājamā finansiālā atbalsta uzraudzības un īstenošanas grafiks</w:t>
      </w:r>
    </w:p>
    <w:p w14:paraId="28EAA550" w14:textId="77777777" w:rsidR="00C972CB" w:rsidRDefault="00C972CB">
      <w:pPr>
        <w:spacing w:before="120" w:after="120"/>
        <w:ind w:left="709"/>
        <w:jc w:val="both"/>
        <w:rPr>
          <w:noProof/>
        </w:rPr>
        <w:sectPr w:rsidR="00C972CB">
          <w:headerReference w:type="even" r:id="rId116"/>
          <w:headerReference w:type="default" r:id="rId117"/>
          <w:footerReference w:type="even" r:id="rId118"/>
          <w:footerReference w:type="default" r:id="rId119"/>
          <w:headerReference w:type="first" r:id="rId120"/>
          <w:footerReference w:type="first" r:id="rId121"/>
          <w:pgSz w:w="11907" w:h="16839"/>
          <w:pgMar w:top="1440" w:right="1440" w:bottom="1440" w:left="1440"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716"/>
        <w:gridCol w:w="1131"/>
        <w:gridCol w:w="1418"/>
        <w:gridCol w:w="1277"/>
        <w:gridCol w:w="1415"/>
        <w:gridCol w:w="709"/>
        <w:gridCol w:w="1418"/>
        <w:gridCol w:w="993"/>
        <w:gridCol w:w="709"/>
        <w:gridCol w:w="3854"/>
      </w:tblGrid>
      <w:tr w:rsidR="00C972CB" w14:paraId="130BB1AE" w14:textId="77777777">
        <w:trPr>
          <w:trHeight w:val="309"/>
          <w:tblHeader/>
          <w:jc w:val="center"/>
        </w:trPr>
        <w:tc>
          <w:tcPr>
            <w:tcW w:w="975" w:type="dxa"/>
            <w:vMerge w:val="restart"/>
            <w:shd w:val="clear" w:color="auto" w:fill="C6D9F1" w:themeFill="text2" w:themeFillTint="33"/>
            <w:noWrap/>
            <w:vAlign w:val="center"/>
          </w:tcPr>
          <w:p w14:paraId="14E9BC0D" w14:textId="06CD487D" w:rsidR="00C972CB" w:rsidRDefault="002457F6">
            <w:pPr>
              <w:pStyle w:val="P68B1DB1-Normal9"/>
              <w:spacing w:line="276" w:lineRule="auto"/>
              <w:jc w:val="center"/>
              <w:rPr>
                <w:noProof/>
                <w:color w:val="006100"/>
              </w:rPr>
            </w:pPr>
            <w:r>
              <w:rPr>
                <w:noProof/>
              </w:rPr>
              <w:t>Kārtas numurs</w:t>
            </w:r>
          </w:p>
        </w:tc>
        <w:tc>
          <w:tcPr>
            <w:tcW w:w="1716" w:type="dxa"/>
            <w:vMerge w:val="restart"/>
            <w:shd w:val="clear" w:color="auto" w:fill="C6D9F1" w:themeFill="text2" w:themeFillTint="33"/>
            <w:noWrap/>
            <w:vAlign w:val="center"/>
          </w:tcPr>
          <w:p w14:paraId="65E008C0" w14:textId="5B95454C" w:rsidR="00C972CB" w:rsidRDefault="002457F6">
            <w:pPr>
              <w:pStyle w:val="P68B1DB1-Normal9"/>
              <w:spacing w:line="276" w:lineRule="auto"/>
              <w:jc w:val="center"/>
              <w:rPr>
                <w:noProof/>
                <w:color w:val="006100"/>
              </w:rPr>
            </w:pPr>
            <w:r>
              <w:rPr>
                <w:noProof/>
              </w:rPr>
              <w:t>Pasākums (reforma vai investīcija)</w:t>
            </w:r>
          </w:p>
        </w:tc>
        <w:tc>
          <w:tcPr>
            <w:tcW w:w="1131" w:type="dxa"/>
            <w:vMerge w:val="restart"/>
            <w:shd w:val="clear" w:color="auto" w:fill="C6D9F1" w:themeFill="text2" w:themeFillTint="33"/>
            <w:noWrap/>
            <w:vAlign w:val="center"/>
          </w:tcPr>
          <w:p w14:paraId="5EBC9945" w14:textId="089054F9" w:rsidR="00C972CB" w:rsidRDefault="002457F6">
            <w:pPr>
              <w:pStyle w:val="P68B1DB1-Normal9"/>
              <w:spacing w:line="276" w:lineRule="auto"/>
              <w:jc w:val="center"/>
              <w:rPr>
                <w:noProof/>
                <w:color w:val="006100"/>
              </w:rPr>
            </w:pPr>
            <w:r>
              <w:rPr>
                <w:noProof/>
              </w:rPr>
              <w:t>Atskaites punkts/mērķrādītājs</w:t>
            </w:r>
          </w:p>
        </w:tc>
        <w:tc>
          <w:tcPr>
            <w:tcW w:w="1418" w:type="dxa"/>
            <w:vMerge w:val="restart"/>
            <w:shd w:val="clear" w:color="auto" w:fill="C6D9F1" w:themeFill="text2" w:themeFillTint="33"/>
            <w:noWrap/>
            <w:vAlign w:val="center"/>
          </w:tcPr>
          <w:p w14:paraId="0450DF03" w14:textId="24187833" w:rsidR="00C972CB" w:rsidRDefault="002457F6">
            <w:pPr>
              <w:pStyle w:val="P68B1DB1-Normal9"/>
              <w:spacing w:line="276" w:lineRule="auto"/>
              <w:jc w:val="center"/>
              <w:rPr>
                <w:noProof/>
                <w:color w:val="006100"/>
              </w:rPr>
            </w:pPr>
            <w:r>
              <w:rPr>
                <w:noProof/>
              </w:rPr>
              <w:t>Uzvārds</w:t>
            </w:r>
          </w:p>
        </w:tc>
        <w:tc>
          <w:tcPr>
            <w:tcW w:w="1277" w:type="dxa"/>
            <w:vMerge w:val="restart"/>
            <w:shd w:val="clear" w:color="auto" w:fill="C6D9F1" w:themeFill="text2" w:themeFillTint="33"/>
            <w:noWrap/>
            <w:vAlign w:val="center"/>
          </w:tcPr>
          <w:p w14:paraId="2D881BA1" w14:textId="67BD3E2B" w:rsidR="00C972CB" w:rsidRDefault="002457F6">
            <w:pPr>
              <w:pStyle w:val="P68B1DB1-Normal10"/>
              <w:spacing w:line="276" w:lineRule="auto"/>
              <w:jc w:val="center"/>
              <w:rPr>
                <w:noProof/>
                <w:color w:val="006100"/>
                <w:sz w:val="20"/>
              </w:rPr>
            </w:pPr>
            <w:r>
              <w:rPr>
                <w:b/>
                <w:noProof/>
                <w:sz w:val="20"/>
              </w:rPr>
              <w:t>Kvalitātes rādītāji</w:t>
            </w:r>
            <w:r>
              <w:rPr>
                <w:noProof/>
              </w:rPr>
              <w:t xml:space="preserve"> </w:t>
            </w:r>
            <w:r>
              <w:rPr>
                <w:noProof/>
              </w:rPr>
              <w:br/>
            </w:r>
            <w:r>
              <w:rPr>
                <w:b/>
                <w:noProof/>
                <w:sz w:val="20"/>
              </w:rPr>
              <w:t xml:space="preserve">(attiecībā uz starpposma </w:t>
            </w:r>
            <w:r>
              <w:rPr>
                <w:b/>
                <w:noProof/>
                <w:sz w:val="20"/>
              </w:rPr>
              <w:t>mērķiem)</w:t>
            </w:r>
          </w:p>
        </w:tc>
        <w:tc>
          <w:tcPr>
            <w:tcW w:w="3542" w:type="dxa"/>
            <w:gridSpan w:val="3"/>
            <w:shd w:val="clear" w:color="auto" w:fill="C6D9F1" w:themeFill="text2" w:themeFillTint="33"/>
            <w:noWrap/>
            <w:vAlign w:val="center"/>
          </w:tcPr>
          <w:p w14:paraId="43600DB8" w14:textId="1BE2C025" w:rsidR="00C972CB" w:rsidRDefault="002457F6">
            <w:pPr>
              <w:pStyle w:val="P68B1DB1-Normal10"/>
              <w:spacing w:line="276" w:lineRule="auto"/>
              <w:jc w:val="center"/>
              <w:rPr>
                <w:noProof/>
                <w:color w:val="006100"/>
                <w:sz w:val="20"/>
              </w:rPr>
            </w:pPr>
            <w:r>
              <w:rPr>
                <w:b/>
                <w:noProof/>
                <w:sz w:val="20"/>
              </w:rPr>
              <w:t>Kvantitatīvie rādītāji</w:t>
            </w:r>
            <w:r>
              <w:rPr>
                <w:noProof/>
              </w:rPr>
              <w:t xml:space="preserve"> </w:t>
            </w:r>
            <w:r>
              <w:rPr>
                <w:noProof/>
              </w:rPr>
              <w:br/>
            </w:r>
            <w:r>
              <w:rPr>
                <w:b/>
                <w:noProof/>
                <w:sz w:val="20"/>
              </w:rPr>
              <w:t>(mērķiem)</w:t>
            </w:r>
          </w:p>
        </w:tc>
        <w:tc>
          <w:tcPr>
            <w:tcW w:w="1702" w:type="dxa"/>
            <w:gridSpan w:val="2"/>
            <w:shd w:val="clear" w:color="auto" w:fill="C6D9F1" w:themeFill="text2" w:themeFillTint="33"/>
            <w:noWrap/>
            <w:vAlign w:val="center"/>
          </w:tcPr>
          <w:p w14:paraId="7A324FA4" w14:textId="66F70BD2" w:rsidR="00C972CB" w:rsidRDefault="002457F6">
            <w:pPr>
              <w:pStyle w:val="P68B1DB1-Normal9"/>
              <w:spacing w:line="276" w:lineRule="auto"/>
              <w:jc w:val="center"/>
              <w:rPr>
                <w:noProof/>
                <w:color w:val="006100"/>
              </w:rPr>
            </w:pPr>
            <w:r>
              <w:rPr>
                <w:noProof/>
              </w:rPr>
              <w:t>Orientējošs pabeigšanas termiņš</w:t>
            </w:r>
          </w:p>
        </w:tc>
        <w:tc>
          <w:tcPr>
            <w:tcW w:w="3854" w:type="dxa"/>
            <w:vMerge w:val="restart"/>
            <w:shd w:val="clear" w:color="auto" w:fill="C6D9F1" w:themeFill="text2" w:themeFillTint="33"/>
            <w:noWrap/>
            <w:vAlign w:val="center"/>
          </w:tcPr>
          <w:p w14:paraId="77264AAC" w14:textId="790DE21C" w:rsidR="00C972CB" w:rsidRDefault="002457F6">
            <w:pPr>
              <w:pStyle w:val="P68B1DB1-Normal9"/>
              <w:spacing w:after="120"/>
              <w:rPr>
                <w:noProof/>
                <w:color w:val="006100"/>
              </w:rPr>
            </w:pPr>
            <w:r>
              <w:rPr>
                <w:noProof/>
              </w:rPr>
              <w:t>Apraksts par katru atskaites punktu un mērķrādītāju</w:t>
            </w:r>
          </w:p>
        </w:tc>
      </w:tr>
      <w:tr w:rsidR="00C972CB" w14:paraId="7AE028E8" w14:textId="77777777">
        <w:trPr>
          <w:trHeight w:val="309"/>
          <w:tblHeader/>
          <w:jc w:val="center"/>
        </w:trPr>
        <w:tc>
          <w:tcPr>
            <w:tcW w:w="975" w:type="dxa"/>
            <w:vMerge/>
            <w:noWrap/>
            <w:vAlign w:val="center"/>
          </w:tcPr>
          <w:p w14:paraId="3F322593" w14:textId="77777777" w:rsidR="00C972CB" w:rsidRDefault="00C972CB">
            <w:pPr>
              <w:spacing w:line="276" w:lineRule="auto"/>
              <w:jc w:val="center"/>
              <w:rPr>
                <w:rFonts w:ascii="Arial Narrow" w:hAnsi="Arial Narrow"/>
                <w:noProof/>
                <w:color w:val="006100"/>
                <w:sz w:val="20"/>
              </w:rPr>
            </w:pPr>
          </w:p>
        </w:tc>
        <w:tc>
          <w:tcPr>
            <w:tcW w:w="1716" w:type="dxa"/>
            <w:vMerge/>
            <w:noWrap/>
            <w:vAlign w:val="center"/>
          </w:tcPr>
          <w:p w14:paraId="01D83CE4" w14:textId="77777777" w:rsidR="00C972CB" w:rsidRDefault="00C972CB">
            <w:pPr>
              <w:spacing w:line="276" w:lineRule="auto"/>
              <w:jc w:val="center"/>
              <w:rPr>
                <w:rFonts w:ascii="Arial Narrow" w:hAnsi="Arial Narrow"/>
                <w:noProof/>
                <w:color w:val="006100"/>
                <w:sz w:val="20"/>
              </w:rPr>
            </w:pPr>
          </w:p>
        </w:tc>
        <w:tc>
          <w:tcPr>
            <w:tcW w:w="1131" w:type="dxa"/>
            <w:vMerge/>
            <w:noWrap/>
            <w:vAlign w:val="center"/>
          </w:tcPr>
          <w:p w14:paraId="5FA4AB0D" w14:textId="77777777" w:rsidR="00C972CB" w:rsidRDefault="00C972CB">
            <w:pPr>
              <w:spacing w:line="276" w:lineRule="auto"/>
              <w:jc w:val="center"/>
              <w:rPr>
                <w:rFonts w:ascii="Arial Narrow" w:hAnsi="Arial Narrow"/>
                <w:noProof/>
                <w:color w:val="006100"/>
                <w:sz w:val="20"/>
              </w:rPr>
            </w:pPr>
          </w:p>
        </w:tc>
        <w:tc>
          <w:tcPr>
            <w:tcW w:w="1418" w:type="dxa"/>
            <w:vMerge/>
            <w:noWrap/>
            <w:vAlign w:val="center"/>
          </w:tcPr>
          <w:p w14:paraId="4B4302B7" w14:textId="77777777" w:rsidR="00C972CB" w:rsidRDefault="00C972CB">
            <w:pPr>
              <w:spacing w:line="276" w:lineRule="auto"/>
              <w:jc w:val="center"/>
              <w:rPr>
                <w:rFonts w:ascii="Arial Narrow" w:hAnsi="Arial Narrow"/>
                <w:noProof/>
                <w:color w:val="006100"/>
                <w:sz w:val="20"/>
              </w:rPr>
            </w:pPr>
          </w:p>
        </w:tc>
        <w:tc>
          <w:tcPr>
            <w:tcW w:w="1277" w:type="dxa"/>
            <w:vMerge/>
            <w:noWrap/>
            <w:vAlign w:val="center"/>
          </w:tcPr>
          <w:p w14:paraId="64CC1406" w14:textId="77777777" w:rsidR="00C972CB" w:rsidRDefault="00C972CB">
            <w:pPr>
              <w:spacing w:line="276" w:lineRule="auto"/>
              <w:jc w:val="center"/>
              <w:rPr>
                <w:rFonts w:ascii="Arial Narrow" w:hAnsi="Arial Narrow"/>
                <w:noProof/>
                <w:color w:val="006100"/>
                <w:sz w:val="20"/>
              </w:rPr>
            </w:pPr>
          </w:p>
        </w:tc>
        <w:tc>
          <w:tcPr>
            <w:tcW w:w="1415" w:type="dxa"/>
            <w:shd w:val="clear" w:color="auto" w:fill="C6D9F1" w:themeFill="text2" w:themeFillTint="33"/>
            <w:noWrap/>
            <w:vAlign w:val="center"/>
          </w:tcPr>
          <w:p w14:paraId="04291974" w14:textId="3E99CDA9" w:rsidR="00C972CB" w:rsidRDefault="002457F6">
            <w:pPr>
              <w:pStyle w:val="P68B1DB1-Normal9"/>
              <w:spacing w:line="276" w:lineRule="auto"/>
              <w:jc w:val="center"/>
              <w:rPr>
                <w:noProof/>
                <w:color w:val="006100"/>
              </w:rPr>
            </w:pPr>
            <w:r>
              <w:rPr>
                <w:noProof/>
              </w:rPr>
              <w:t>Mēra vienība</w:t>
            </w:r>
          </w:p>
        </w:tc>
        <w:tc>
          <w:tcPr>
            <w:tcW w:w="709" w:type="dxa"/>
            <w:shd w:val="clear" w:color="auto" w:fill="C6D9F1" w:themeFill="text2" w:themeFillTint="33"/>
            <w:noWrap/>
            <w:vAlign w:val="center"/>
          </w:tcPr>
          <w:p w14:paraId="37C22080" w14:textId="4FF67D39" w:rsidR="00C972CB" w:rsidRDefault="002457F6">
            <w:pPr>
              <w:pStyle w:val="P68B1DB1-Normal9"/>
              <w:spacing w:line="276" w:lineRule="auto"/>
              <w:jc w:val="center"/>
              <w:rPr>
                <w:noProof/>
                <w:color w:val="006100"/>
              </w:rPr>
            </w:pPr>
            <w:r>
              <w:rPr>
                <w:noProof/>
              </w:rPr>
              <w:t>Bāzes līnija</w:t>
            </w:r>
          </w:p>
        </w:tc>
        <w:tc>
          <w:tcPr>
            <w:tcW w:w="1418" w:type="dxa"/>
            <w:shd w:val="clear" w:color="auto" w:fill="C6D9F1" w:themeFill="text2" w:themeFillTint="33"/>
            <w:noWrap/>
            <w:vAlign w:val="center"/>
          </w:tcPr>
          <w:p w14:paraId="2D65B288" w14:textId="45C63F9C" w:rsidR="00C972CB" w:rsidRDefault="002457F6">
            <w:pPr>
              <w:pStyle w:val="P68B1DB1-Normal9"/>
              <w:spacing w:line="276" w:lineRule="auto"/>
              <w:jc w:val="center"/>
              <w:rPr>
                <w:noProof/>
                <w:color w:val="006100"/>
              </w:rPr>
            </w:pPr>
            <w:r>
              <w:rPr>
                <w:noProof/>
              </w:rPr>
              <w:t>Mērķis</w:t>
            </w:r>
          </w:p>
        </w:tc>
        <w:tc>
          <w:tcPr>
            <w:tcW w:w="993" w:type="dxa"/>
            <w:shd w:val="clear" w:color="auto" w:fill="C6D9F1" w:themeFill="text2" w:themeFillTint="33"/>
            <w:noWrap/>
            <w:vAlign w:val="center"/>
          </w:tcPr>
          <w:p w14:paraId="317ED1B1" w14:textId="42976C0A" w:rsidR="00C972CB" w:rsidRDefault="002457F6">
            <w:pPr>
              <w:pStyle w:val="P68B1DB1-Normal9"/>
              <w:spacing w:line="276" w:lineRule="auto"/>
              <w:jc w:val="center"/>
              <w:rPr>
                <w:noProof/>
                <w:color w:val="006100"/>
              </w:rPr>
            </w:pPr>
            <w:r>
              <w:rPr>
                <w:noProof/>
              </w:rPr>
              <w:t>Ceturtdaļa</w:t>
            </w:r>
          </w:p>
        </w:tc>
        <w:tc>
          <w:tcPr>
            <w:tcW w:w="709" w:type="dxa"/>
            <w:shd w:val="clear" w:color="auto" w:fill="C6D9F1" w:themeFill="text2" w:themeFillTint="33"/>
            <w:noWrap/>
            <w:vAlign w:val="center"/>
          </w:tcPr>
          <w:p w14:paraId="693F354F" w14:textId="46188C2E" w:rsidR="00C972CB" w:rsidRDefault="002457F6">
            <w:pPr>
              <w:pStyle w:val="P68B1DB1-Normal9"/>
              <w:spacing w:line="276" w:lineRule="auto"/>
              <w:jc w:val="center"/>
              <w:rPr>
                <w:noProof/>
                <w:color w:val="006100"/>
              </w:rPr>
            </w:pPr>
            <w:r>
              <w:rPr>
                <w:noProof/>
              </w:rPr>
              <w:t>Gadā</w:t>
            </w:r>
          </w:p>
        </w:tc>
        <w:tc>
          <w:tcPr>
            <w:tcW w:w="3854" w:type="dxa"/>
            <w:vMerge/>
            <w:noWrap/>
            <w:vAlign w:val="center"/>
          </w:tcPr>
          <w:p w14:paraId="38ED18E0" w14:textId="77777777" w:rsidR="00C972CB" w:rsidRDefault="00C972CB">
            <w:pPr>
              <w:spacing w:after="120"/>
              <w:rPr>
                <w:rFonts w:ascii="Arial Narrow" w:hAnsi="Arial Narrow"/>
                <w:noProof/>
                <w:color w:val="006100"/>
                <w:sz w:val="20"/>
              </w:rPr>
            </w:pPr>
          </w:p>
        </w:tc>
      </w:tr>
      <w:tr w:rsidR="00C972CB" w14:paraId="115C53BA" w14:textId="77777777">
        <w:trPr>
          <w:trHeight w:val="309"/>
          <w:jc w:val="center"/>
        </w:trPr>
        <w:tc>
          <w:tcPr>
            <w:tcW w:w="975" w:type="dxa"/>
            <w:shd w:val="clear" w:color="auto" w:fill="C6EFCE"/>
            <w:noWrap/>
            <w:vAlign w:val="center"/>
          </w:tcPr>
          <w:p w14:paraId="7745102E" w14:textId="77777777" w:rsidR="00C972CB" w:rsidRDefault="002457F6">
            <w:pPr>
              <w:pStyle w:val="P68B1DB1-Normal11"/>
              <w:spacing w:line="276" w:lineRule="auto"/>
              <w:jc w:val="center"/>
              <w:rPr>
                <w:noProof/>
              </w:rPr>
            </w:pPr>
            <w:r>
              <w:rPr>
                <w:noProof/>
              </w:rPr>
              <w:t>M2C2–6</w:t>
            </w:r>
          </w:p>
        </w:tc>
        <w:tc>
          <w:tcPr>
            <w:tcW w:w="1716" w:type="dxa"/>
            <w:shd w:val="clear" w:color="auto" w:fill="C6EFCE"/>
            <w:noWrap/>
            <w:vAlign w:val="center"/>
          </w:tcPr>
          <w:p w14:paraId="2F8AB896" w14:textId="77777777" w:rsidR="00C972CB" w:rsidRDefault="002457F6">
            <w:pPr>
              <w:pStyle w:val="P68B1DB1-Normal11"/>
              <w:spacing w:line="276" w:lineRule="auto"/>
              <w:jc w:val="center"/>
              <w:rPr>
                <w:noProof/>
              </w:rPr>
            </w:pPr>
            <w:r>
              <w:rPr>
                <w:noProof/>
              </w:rPr>
              <w:t xml:space="preserve">Reforma Nr. 1 Atjaunojamo energoresursu iekārtu atļauju </w:t>
            </w:r>
            <w:r>
              <w:rPr>
                <w:noProof/>
              </w:rPr>
              <w:t>piešķiršanas procedūru vienkāršošana sauszemes un atkrastes iekārtām un jauns tiesiskais regulējums, lai atbalstītu ražošanu no atjaunojamiem energoresursiem, un pašreizējo atbalsta shēmu termiņa un atbilstības pagarināšana</w:t>
            </w:r>
          </w:p>
        </w:tc>
        <w:tc>
          <w:tcPr>
            <w:tcW w:w="1131" w:type="dxa"/>
            <w:shd w:val="clear" w:color="auto" w:fill="C6EFCE"/>
            <w:noWrap/>
            <w:vAlign w:val="center"/>
          </w:tcPr>
          <w:p w14:paraId="77D82057"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395D9F3E" w14:textId="77777777" w:rsidR="00C972CB" w:rsidRDefault="002457F6">
            <w:pPr>
              <w:pStyle w:val="P68B1DB1-Normal11"/>
              <w:spacing w:line="276" w:lineRule="auto"/>
              <w:jc w:val="center"/>
              <w:rPr>
                <w:noProof/>
              </w:rPr>
            </w:pPr>
            <w:r>
              <w:rPr>
                <w:noProof/>
              </w:rPr>
              <w:t xml:space="preserve">Stājas spēkā </w:t>
            </w:r>
            <w:r>
              <w:rPr>
                <w:noProof/>
              </w:rPr>
              <w:t>tiesiskais regulējums, lai vienkāršotu atļauju piešķiršanas procedūras atkrastes un atkrastes atjaunīgās enerģijas būvkonstrukcijām</w:t>
            </w:r>
          </w:p>
        </w:tc>
        <w:tc>
          <w:tcPr>
            <w:tcW w:w="1277" w:type="dxa"/>
            <w:shd w:val="clear" w:color="auto" w:fill="C6EFCE"/>
            <w:noWrap/>
            <w:vAlign w:val="center"/>
          </w:tcPr>
          <w:p w14:paraId="57B2EE41" w14:textId="77777777" w:rsidR="00C972CB" w:rsidRDefault="002457F6">
            <w:pPr>
              <w:pStyle w:val="P68B1DB1-Normal11"/>
              <w:spacing w:line="276" w:lineRule="auto"/>
              <w:jc w:val="center"/>
              <w:rPr>
                <w:noProof/>
              </w:rPr>
            </w:pPr>
            <w:r>
              <w:rPr>
                <w:noProof/>
              </w:rPr>
              <w:t>Likuma norma, kas norāda uz likuma stāšanos spēkā</w:t>
            </w:r>
          </w:p>
        </w:tc>
        <w:tc>
          <w:tcPr>
            <w:tcW w:w="1415" w:type="dxa"/>
            <w:shd w:val="clear" w:color="auto" w:fill="C6EFCE"/>
            <w:noWrap/>
            <w:vAlign w:val="center"/>
          </w:tcPr>
          <w:p w14:paraId="066B2090"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56CCEBD5"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0E803B13"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68670292" w14:textId="77777777" w:rsidR="00C972CB" w:rsidRDefault="002457F6">
            <w:pPr>
              <w:pStyle w:val="P68B1DB1-Normal11"/>
              <w:spacing w:line="276" w:lineRule="auto"/>
              <w:jc w:val="center"/>
              <w:rPr>
                <w:noProof/>
              </w:rPr>
            </w:pPr>
            <w:r>
              <w:rPr>
                <w:noProof/>
              </w:rPr>
              <w:t>1. CET.</w:t>
            </w:r>
          </w:p>
        </w:tc>
        <w:tc>
          <w:tcPr>
            <w:tcW w:w="709" w:type="dxa"/>
            <w:shd w:val="clear" w:color="auto" w:fill="C6EFCE"/>
            <w:noWrap/>
            <w:vAlign w:val="center"/>
          </w:tcPr>
          <w:p w14:paraId="52DA7D7E" w14:textId="77777777" w:rsidR="00C972CB" w:rsidRDefault="002457F6">
            <w:pPr>
              <w:pStyle w:val="P68B1DB1-Normal11"/>
              <w:spacing w:line="276" w:lineRule="auto"/>
              <w:jc w:val="center"/>
              <w:rPr>
                <w:noProof/>
              </w:rPr>
            </w:pPr>
            <w:r>
              <w:rPr>
                <w:noProof/>
              </w:rPr>
              <w:t>2024</w:t>
            </w:r>
          </w:p>
        </w:tc>
        <w:tc>
          <w:tcPr>
            <w:tcW w:w="3854" w:type="dxa"/>
            <w:shd w:val="clear" w:color="auto" w:fill="C6EFCE"/>
            <w:noWrap/>
            <w:vAlign w:val="center"/>
          </w:tcPr>
          <w:p w14:paraId="230D3E8A" w14:textId="77777777" w:rsidR="00C972CB" w:rsidRDefault="002457F6">
            <w:pPr>
              <w:pStyle w:val="P68B1DB1-Normal11"/>
              <w:spacing w:after="120"/>
              <w:rPr>
                <w:noProof/>
              </w:rPr>
            </w:pPr>
            <w:r>
              <w:rPr>
                <w:noProof/>
              </w:rPr>
              <w:t>Tiesiskajā regulējumā iekļauj š</w:t>
            </w:r>
            <w:r>
              <w:rPr>
                <w:noProof/>
              </w:rPr>
              <w:t>ādus mērķus:</w:t>
            </w:r>
          </w:p>
          <w:p w14:paraId="4E24FFF6" w14:textId="77777777" w:rsidR="00C972CB" w:rsidRDefault="002457F6">
            <w:pPr>
              <w:pStyle w:val="P68B1DB1-Normal11"/>
              <w:numPr>
                <w:ilvl w:val="0"/>
                <w:numId w:val="65"/>
              </w:numPr>
              <w:pBdr>
                <w:top w:val="nil"/>
                <w:left w:val="nil"/>
                <w:bottom w:val="nil"/>
                <w:right w:val="nil"/>
                <w:between w:val="nil"/>
              </w:pBdr>
              <w:spacing w:after="120"/>
              <w:rPr>
                <w:noProof/>
              </w:rPr>
            </w:pPr>
            <w:r>
              <w:rPr>
                <w:noProof/>
              </w:rPr>
              <w:t>vienkāršota un pieejama tiesiskā regulējuma izveide atjaunojamo energoresursu iekārtām un esošo staciju energoatjaunināšanai un pārveidošanai saskaņā ar Dekrētlikuma par vienkāršošanu noteikumiem;</w:t>
            </w:r>
          </w:p>
          <w:p w14:paraId="7C7C534F" w14:textId="77777777" w:rsidR="00C972CB" w:rsidRDefault="002457F6">
            <w:pPr>
              <w:pStyle w:val="P68B1DB1-Normal11"/>
              <w:numPr>
                <w:ilvl w:val="0"/>
                <w:numId w:val="65"/>
              </w:numPr>
              <w:pBdr>
                <w:top w:val="nil"/>
                <w:left w:val="nil"/>
                <w:bottom w:val="nil"/>
                <w:right w:val="nil"/>
                <w:between w:val="nil"/>
              </w:pBdr>
              <w:spacing w:after="120"/>
              <w:rPr>
                <w:noProof/>
              </w:rPr>
            </w:pPr>
            <w:r>
              <w:rPr>
                <w:noProof/>
              </w:rPr>
              <w:t xml:space="preserve">tādas disciplīnas ieviešana, kas ir kopīga ar </w:t>
            </w:r>
            <w:r>
              <w:rPr>
                <w:noProof/>
              </w:rPr>
              <w:t>reģioniem un citām attiecīgajām valsts pārvaldes iestādēm un kuras mērķis ir noteikt kritērijus, lai noteiktu teritorijas, kas ir piemērotas un nav piemērotas tādu atjaunojamās enerģijas staciju uzstādīšanai, kuru kopējā jauda ir vismaz vienāda ar PNIEC no</w:t>
            </w:r>
            <w:r>
              <w:rPr>
                <w:noProof/>
              </w:rPr>
              <w:t>teikto, lai sasniegtu atjaunojamo energoresursu attīstības mērķus;</w:t>
            </w:r>
          </w:p>
          <w:p w14:paraId="489500D3" w14:textId="77777777" w:rsidR="00C972CB" w:rsidRDefault="002457F6">
            <w:pPr>
              <w:pStyle w:val="P68B1DB1-Normal11"/>
              <w:numPr>
                <w:ilvl w:val="0"/>
                <w:numId w:val="65"/>
              </w:numPr>
              <w:pBdr>
                <w:top w:val="nil"/>
                <w:left w:val="nil"/>
                <w:bottom w:val="nil"/>
                <w:right w:val="nil"/>
                <w:between w:val="nil"/>
              </w:pBdr>
              <w:spacing w:after="120"/>
              <w:rPr>
                <w:noProof/>
              </w:rPr>
            </w:pPr>
            <w:r>
              <w:rPr>
                <w:noProof/>
              </w:rPr>
              <w:t>AER atbalsta mehānisma pabeigšana arī attiecībā uz papildu tehnoloģijām, kas nav beigušās, vai ar augstām ekspluatācijas izmaksām, un izsoles perioda pagarināšana tā sauktajam AER1 mehānism</w:t>
            </w:r>
            <w:r>
              <w:rPr>
                <w:noProof/>
              </w:rPr>
              <w:t>am;</w:t>
            </w:r>
          </w:p>
          <w:p w14:paraId="174D73B3" w14:textId="77777777" w:rsidR="00C972CB" w:rsidRDefault="002457F6">
            <w:pPr>
              <w:pStyle w:val="P68B1DB1-Normal11"/>
              <w:numPr>
                <w:ilvl w:val="0"/>
                <w:numId w:val="65"/>
              </w:numPr>
              <w:pBdr>
                <w:top w:val="nil"/>
                <w:left w:val="nil"/>
                <w:bottom w:val="nil"/>
                <w:right w:val="nil"/>
                <w:between w:val="nil"/>
              </w:pBdr>
              <w:spacing w:after="120"/>
              <w:rPr>
                <w:noProof/>
              </w:rPr>
            </w:pPr>
            <w:r>
              <w:rPr>
                <w:noProof/>
              </w:rPr>
              <w:t>reforma, kuras mērķis ir veicināt investīcijas uzglabāšanas sistēmās, kas ir atspoguļota likumdošanas dekrētā, ar kuru transponē Direktīvu (ES) 2019/944 par kopīgiem noteikumiem attiecībā uz elektroenerģijas iekšējo tirgu.</w:t>
            </w:r>
          </w:p>
        </w:tc>
      </w:tr>
      <w:tr w:rsidR="00C972CB" w14:paraId="1BFB3C14" w14:textId="77777777">
        <w:trPr>
          <w:trHeight w:val="309"/>
          <w:jc w:val="center"/>
        </w:trPr>
        <w:tc>
          <w:tcPr>
            <w:tcW w:w="975" w:type="dxa"/>
            <w:shd w:val="clear" w:color="auto" w:fill="C6EFCE"/>
            <w:noWrap/>
            <w:vAlign w:val="center"/>
          </w:tcPr>
          <w:p w14:paraId="1E04B4CE" w14:textId="77777777" w:rsidR="00C972CB" w:rsidRDefault="002457F6">
            <w:pPr>
              <w:pStyle w:val="P68B1DB1-Normal11"/>
              <w:spacing w:line="276" w:lineRule="auto"/>
              <w:jc w:val="center"/>
              <w:rPr>
                <w:noProof/>
              </w:rPr>
            </w:pPr>
            <w:r>
              <w:rPr>
                <w:noProof/>
              </w:rPr>
              <w:t>M2C2–7</w:t>
            </w:r>
          </w:p>
        </w:tc>
        <w:tc>
          <w:tcPr>
            <w:tcW w:w="1716" w:type="dxa"/>
            <w:shd w:val="clear" w:color="auto" w:fill="C6EFCE"/>
            <w:noWrap/>
            <w:vAlign w:val="center"/>
          </w:tcPr>
          <w:p w14:paraId="3598F916" w14:textId="77777777" w:rsidR="00C972CB" w:rsidRDefault="002457F6">
            <w:pPr>
              <w:pStyle w:val="P68B1DB1-Normal11"/>
              <w:spacing w:line="276" w:lineRule="auto"/>
              <w:jc w:val="center"/>
              <w:rPr>
                <w:noProof/>
              </w:rPr>
            </w:pPr>
            <w:r>
              <w:rPr>
                <w:noProof/>
              </w:rPr>
              <w:t xml:space="preserve">Reforma Nr. 2 Jauni </w:t>
            </w:r>
            <w:r>
              <w:rPr>
                <w:noProof/>
              </w:rPr>
              <w:t>tiesību akti atjaunojamās gāzes ražošanas un patēriņa veicināšanai</w:t>
            </w:r>
          </w:p>
        </w:tc>
        <w:tc>
          <w:tcPr>
            <w:tcW w:w="1131" w:type="dxa"/>
            <w:shd w:val="clear" w:color="auto" w:fill="C6EFCE"/>
            <w:noWrap/>
            <w:vAlign w:val="center"/>
          </w:tcPr>
          <w:p w14:paraId="489887F3"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1EA44FA5" w14:textId="77777777" w:rsidR="00C972CB" w:rsidRDefault="002457F6">
            <w:pPr>
              <w:pStyle w:val="P68B1DB1-Normal11"/>
              <w:spacing w:line="276" w:lineRule="auto"/>
              <w:jc w:val="center"/>
              <w:rPr>
                <w:noProof/>
              </w:rPr>
            </w:pPr>
            <w:r>
              <w:rPr>
                <w:noProof/>
              </w:rPr>
              <w:t>Stājies spēkā Leģislatīvais dekrēts par atjaunojamo energoresursu gāzes izmantošanas veicināšanu biometāna izmantošanai transporta, rūpniecības un dzīvojamo ēku sektorā, k</w:t>
            </w:r>
            <w:r>
              <w:rPr>
                <w:noProof/>
              </w:rPr>
              <w:t>ā arī īstenošanas dekrēts, kurā izklāstīti nosacījumi un kritēriji attiecībā uz tās izmantošanu un jauno stimulu sistēmu.</w:t>
            </w:r>
          </w:p>
        </w:tc>
        <w:tc>
          <w:tcPr>
            <w:tcW w:w="1277" w:type="dxa"/>
            <w:shd w:val="clear" w:color="auto" w:fill="C6EFCE"/>
            <w:noWrap/>
            <w:vAlign w:val="center"/>
          </w:tcPr>
          <w:p w14:paraId="209022AB" w14:textId="77777777" w:rsidR="00C972CB" w:rsidRDefault="002457F6">
            <w:pPr>
              <w:pStyle w:val="P68B1DB1-Normal11"/>
              <w:spacing w:line="276" w:lineRule="auto"/>
              <w:jc w:val="center"/>
              <w:rPr>
                <w:noProof/>
              </w:rPr>
            </w:pPr>
            <w:r>
              <w:rPr>
                <w:noProof/>
              </w:rPr>
              <w:t xml:space="preserve">Likuma norma, kas norāda uz likuma stāšanos spēkā </w:t>
            </w:r>
          </w:p>
        </w:tc>
        <w:tc>
          <w:tcPr>
            <w:tcW w:w="1415" w:type="dxa"/>
            <w:shd w:val="clear" w:color="auto" w:fill="C6EFCE"/>
            <w:noWrap/>
            <w:vAlign w:val="center"/>
          </w:tcPr>
          <w:p w14:paraId="548EB6AA" w14:textId="77777777" w:rsidR="00C972CB" w:rsidRDefault="002457F6">
            <w:pPr>
              <w:pStyle w:val="P68B1DB1-Normal11"/>
              <w:spacing w:line="276" w:lineRule="auto"/>
              <w:jc w:val="center"/>
              <w:rPr>
                <w:noProof/>
              </w:rPr>
            </w:pPr>
            <w:r>
              <w:rPr>
                <w:noProof/>
              </w:rPr>
              <w:t xml:space="preserve">NEPIEMĒRO </w:t>
            </w:r>
          </w:p>
        </w:tc>
        <w:tc>
          <w:tcPr>
            <w:tcW w:w="709" w:type="dxa"/>
            <w:shd w:val="clear" w:color="auto" w:fill="C6EFCE"/>
            <w:noWrap/>
            <w:vAlign w:val="center"/>
          </w:tcPr>
          <w:p w14:paraId="0202689C"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3173DBC6"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44C31020"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0A4E7A43" w14:textId="77777777" w:rsidR="00C972CB" w:rsidRDefault="002457F6">
            <w:pPr>
              <w:pStyle w:val="P68B1DB1-Normal11"/>
              <w:spacing w:line="276" w:lineRule="auto"/>
              <w:jc w:val="center"/>
              <w:rPr>
                <w:noProof/>
              </w:rPr>
            </w:pPr>
            <w:r>
              <w:rPr>
                <w:noProof/>
              </w:rPr>
              <w:t>2021</w:t>
            </w:r>
          </w:p>
        </w:tc>
        <w:tc>
          <w:tcPr>
            <w:tcW w:w="3854" w:type="dxa"/>
            <w:shd w:val="clear" w:color="auto" w:fill="C6EFCE"/>
            <w:noWrap/>
            <w:vAlign w:val="center"/>
          </w:tcPr>
          <w:p w14:paraId="7FB51F9F" w14:textId="77777777" w:rsidR="00C972CB" w:rsidRDefault="002457F6">
            <w:pPr>
              <w:pStyle w:val="P68B1DB1-Normal11"/>
              <w:spacing w:after="120"/>
              <w:rPr>
                <w:noProof/>
              </w:rPr>
            </w:pPr>
            <w:r>
              <w:rPr>
                <w:noProof/>
              </w:rPr>
              <w:t>Likumdošanas dekrētā jo īpaši iekļauj:</w:t>
            </w:r>
          </w:p>
          <w:p w14:paraId="628B1B4F" w14:textId="77777777" w:rsidR="00C972CB" w:rsidRDefault="002457F6">
            <w:pPr>
              <w:pStyle w:val="P68B1DB1-Normal11"/>
              <w:spacing w:after="120"/>
              <w:rPr>
                <w:noProof/>
              </w:rPr>
            </w:pPr>
            <w:r>
              <w:rPr>
                <w:noProof/>
              </w:rPr>
              <w:t>1-leģislatīvs grozījums attiecībā uz vienkāršotu atļauju piešķiršanas procesu un pašreizējā dotāciju mehānisma grozīšanu, lai i) paplašinātu attiecināmības perimetru un ii) pagarinātu dotāciju pieejamības periodu un iii) paredzētu tarifu mehānismu un izcel</w:t>
            </w:r>
            <w:r>
              <w:rPr>
                <w:noProof/>
              </w:rPr>
              <w:t>smes apliecinājumu atjaunīgajai gāzei</w:t>
            </w:r>
          </w:p>
          <w:p w14:paraId="0DA38BFB" w14:textId="77777777" w:rsidR="00C972CB" w:rsidRDefault="002457F6">
            <w:pPr>
              <w:pStyle w:val="P68B1DB1-Normal11"/>
              <w:spacing w:after="120"/>
              <w:rPr>
                <w:noProof/>
              </w:rPr>
            </w:pPr>
            <w:r>
              <w:rPr>
                <w:noProof/>
              </w:rPr>
              <w:t xml:space="preserve">2.AED II direktīvas transponēšana ar likumdošanas dekrētu </w:t>
            </w:r>
          </w:p>
          <w:p w14:paraId="563DCD56" w14:textId="77777777" w:rsidR="00C972CB" w:rsidRDefault="002457F6">
            <w:pPr>
              <w:pStyle w:val="P68B1DB1-Normal11"/>
              <w:spacing w:after="120"/>
              <w:rPr>
                <w:noProof/>
              </w:rPr>
            </w:pPr>
            <w:r>
              <w:rPr>
                <w:noProof/>
              </w:rPr>
              <w:t>Vispārējo koordināciju veiks Ministero della Transizione Ecologica (MiTE) ar citu administrāciju atbalstu, kurām ir padomdevējas funkcijas: Lauksaimniecības mi</w:t>
            </w:r>
            <w:r>
              <w:rPr>
                <w:noProof/>
              </w:rPr>
              <w:t>nistrija (MIPAAF), Ekonomikas un finanšu ministrija (MEF) un Gestore Servizi Energetici.</w:t>
            </w:r>
          </w:p>
        </w:tc>
      </w:tr>
      <w:tr w:rsidR="00C972CB" w14:paraId="39919253" w14:textId="77777777">
        <w:trPr>
          <w:trHeight w:val="309"/>
          <w:jc w:val="center"/>
        </w:trPr>
        <w:tc>
          <w:tcPr>
            <w:tcW w:w="975" w:type="dxa"/>
            <w:shd w:val="clear" w:color="auto" w:fill="C6EFCE"/>
            <w:noWrap/>
            <w:vAlign w:val="center"/>
          </w:tcPr>
          <w:p w14:paraId="103C8AF5" w14:textId="77777777" w:rsidR="00C972CB" w:rsidRDefault="002457F6">
            <w:pPr>
              <w:pStyle w:val="P68B1DB1-Normal11"/>
              <w:spacing w:line="276" w:lineRule="auto"/>
              <w:jc w:val="center"/>
              <w:rPr>
                <w:noProof/>
              </w:rPr>
            </w:pPr>
            <w:r>
              <w:rPr>
                <w:noProof/>
              </w:rPr>
              <w:t>M2C2–8</w:t>
            </w:r>
          </w:p>
        </w:tc>
        <w:tc>
          <w:tcPr>
            <w:tcW w:w="1716" w:type="dxa"/>
            <w:shd w:val="clear" w:color="auto" w:fill="C6EFCE"/>
            <w:noWrap/>
            <w:vAlign w:val="center"/>
          </w:tcPr>
          <w:p w14:paraId="7DAB9B9D" w14:textId="77777777" w:rsidR="00C972CB" w:rsidRDefault="002457F6">
            <w:pPr>
              <w:pStyle w:val="P68B1DB1-Normal11"/>
              <w:spacing w:line="276" w:lineRule="auto"/>
              <w:jc w:val="center"/>
              <w:rPr>
                <w:noProof/>
              </w:rPr>
            </w:pPr>
            <w:r>
              <w:rPr>
                <w:noProof/>
              </w:rPr>
              <w:t>Ieguldījums 2.1. Viedo tīklu stiprināšana</w:t>
            </w:r>
          </w:p>
        </w:tc>
        <w:tc>
          <w:tcPr>
            <w:tcW w:w="1131" w:type="dxa"/>
            <w:shd w:val="clear" w:color="auto" w:fill="C6EFCE"/>
            <w:noWrap/>
            <w:vAlign w:val="center"/>
          </w:tcPr>
          <w:p w14:paraId="3B7DC23B"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6291365C" w14:textId="77777777" w:rsidR="00C972CB" w:rsidRDefault="002457F6">
            <w:pPr>
              <w:pStyle w:val="P68B1DB1-Normal11"/>
              <w:spacing w:line="276" w:lineRule="auto"/>
              <w:jc w:val="center"/>
              <w:rPr>
                <w:noProof/>
              </w:rPr>
            </w:pPr>
            <w:r>
              <w:rPr>
                <w:noProof/>
              </w:rPr>
              <w:t>(Visu) publiskā iepirkuma līgumu slēgšanas tiesību piešķiršana tīkla jaudas palielināšanai</w:t>
            </w:r>
          </w:p>
        </w:tc>
        <w:tc>
          <w:tcPr>
            <w:tcW w:w="1277" w:type="dxa"/>
            <w:shd w:val="clear" w:color="auto" w:fill="C6EFCE"/>
            <w:noWrap/>
            <w:vAlign w:val="center"/>
          </w:tcPr>
          <w:p w14:paraId="77DF5AF5" w14:textId="77777777" w:rsidR="00C972CB" w:rsidRDefault="002457F6">
            <w:pPr>
              <w:pStyle w:val="P68B1DB1-Normal11"/>
              <w:spacing w:line="276" w:lineRule="auto"/>
              <w:jc w:val="center"/>
              <w:rPr>
                <w:noProof/>
              </w:rPr>
            </w:pPr>
            <w:r>
              <w:rPr>
                <w:noProof/>
              </w:rPr>
              <w:t>Paziņojums par (visu) publiskā iepirkuma līgumu slēgšanas tiesību piešķiršanu</w:t>
            </w:r>
          </w:p>
        </w:tc>
        <w:tc>
          <w:tcPr>
            <w:tcW w:w="1415" w:type="dxa"/>
            <w:shd w:val="clear" w:color="auto" w:fill="C6EFCE"/>
            <w:noWrap/>
            <w:vAlign w:val="center"/>
          </w:tcPr>
          <w:p w14:paraId="4EB16CA7"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07A2220E"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72012F53"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328184DB"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2DD28938" w14:textId="77777777" w:rsidR="00C972CB" w:rsidRDefault="002457F6">
            <w:pPr>
              <w:pStyle w:val="P68B1DB1-Normal11"/>
              <w:spacing w:line="276" w:lineRule="auto"/>
              <w:jc w:val="center"/>
              <w:rPr>
                <w:noProof/>
              </w:rPr>
            </w:pPr>
            <w:r>
              <w:rPr>
                <w:noProof/>
              </w:rPr>
              <w:t>2022</w:t>
            </w:r>
          </w:p>
        </w:tc>
        <w:tc>
          <w:tcPr>
            <w:tcW w:w="3854" w:type="dxa"/>
            <w:shd w:val="clear" w:color="auto" w:fill="C6EFCE"/>
            <w:noWrap/>
            <w:vAlign w:val="center"/>
          </w:tcPr>
          <w:p w14:paraId="00E70403" w14:textId="77777777" w:rsidR="00C972CB" w:rsidRDefault="002457F6">
            <w:pPr>
              <w:pStyle w:val="P68B1DB1-Normal11"/>
              <w:spacing w:after="120"/>
              <w:rPr>
                <w:noProof/>
              </w:rPr>
            </w:pPr>
            <w:r>
              <w:rPr>
                <w:noProof/>
              </w:rPr>
              <w:t>Paziņojums par (visu) publisko līgumu slēgšanas tiesību piešķiršanu, lai palielinātu tīkla jaudu atjaunojamo energoresursu enerģijas sa</w:t>
            </w:r>
            <w:r>
              <w:rPr>
                <w:noProof/>
              </w:rPr>
              <w:t>dalei un enerģijas patēriņa elektrifikācijai</w:t>
            </w:r>
          </w:p>
        </w:tc>
      </w:tr>
      <w:tr w:rsidR="00C972CB" w14:paraId="1945505C" w14:textId="77777777">
        <w:trPr>
          <w:trHeight w:val="309"/>
          <w:jc w:val="center"/>
        </w:trPr>
        <w:tc>
          <w:tcPr>
            <w:tcW w:w="975" w:type="dxa"/>
            <w:shd w:val="clear" w:color="auto" w:fill="C6EFCE"/>
            <w:noWrap/>
            <w:vAlign w:val="center"/>
          </w:tcPr>
          <w:p w14:paraId="315676E8" w14:textId="77777777" w:rsidR="00C972CB" w:rsidRDefault="002457F6">
            <w:pPr>
              <w:pStyle w:val="P68B1DB1-Normal11"/>
              <w:spacing w:line="276" w:lineRule="auto"/>
              <w:jc w:val="center"/>
              <w:rPr>
                <w:noProof/>
              </w:rPr>
            </w:pPr>
            <w:r>
              <w:rPr>
                <w:noProof/>
              </w:rPr>
              <w:t>M2C2–12</w:t>
            </w:r>
          </w:p>
        </w:tc>
        <w:tc>
          <w:tcPr>
            <w:tcW w:w="1716" w:type="dxa"/>
            <w:shd w:val="clear" w:color="auto" w:fill="C6EFCE"/>
            <w:noWrap/>
            <w:vAlign w:val="center"/>
          </w:tcPr>
          <w:p w14:paraId="5D1C693D" w14:textId="77777777" w:rsidR="00C972CB" w:rsidRDefault="002457F6">
            <w:pPr>
              <w:pStyle w:val="P68B1DB1-Normal11"/>
              <w:spacing w:line="276" w:lineRule="auto"/>
              <w:jc w:val="center"/>
              <w:rPr>
                <w:noProof/>
              </w:rPr>
            </w:pPr>
            <w:r>
              <w:rPr>
                <w:noProof/>
              </w:rPr>
              <w:t>Ieguldījums. Intervences elektrotīkla noturības palielināšanai</w:t>
            </w:r>
          </w:p>
        </w:tc>
        <w:tc>
          <w:tcPr>
            <w:tcW w:w="1131" w:type="dxa"/>
            <w:shd w:val="clear" w:color="auto" w:fill="C6EFCE"/>
            <w:noWrap/>
            <w:vAlign w:val="center"/>
          </w:tcPr>
          <w:p w14:paraId="25FE2387"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21A5A7C5" w14:textId="77777777" w:rsidR="00C972CB" w:rsidRDefault="002457F6">
            <w:pPr>
              <w:pStyle w:val="P68B1DB1-Normal11"/>
              <w:spacing w:line="276" w:lineRule="auto"/>
              <w:jc w:val="center"/>
              <w:rPr>
                <w:noProof/>
              </w:rPr>
            </w:pPr>
            <w:r>
              <w:rPr>
                <w:noProof/>
              </w:rPr>
              <w:t>Elektroenerģijas sistēmas tīkla noturības palielināšanas projektu piešķiršana</w:t>
            </w:r>
          </w:p>
        </w:tc>
        <w:tc>
          <w:tcPr>
            <w:tcW w:w="1277" w:type="dxa"/>
            <w:shd w:val="clear" w:color="auto" w:fill="C6EFCE"/>
            <w:noWrap/>
            <w:vAlign w:val="center"/>
          </w:tcPr>
          <w:p w14:paraId="6B21ED1B" w14:textId="77777777" w:rsidR="00C972CB" w:rsidRDefault="002457F6">
            <w:pPr>
              <w:pStyle w:val="P68B1DB1-Normal11"/>
              <w:spacing w:line="276" w:lineRule="auto"/>
              <w:jc w:val="center"/>
              <w:rPr>
                <w:noProof/>
              </w:rPr>
            </w:pPr>
            <w:r>
              <w:rPr>
                <w:noProof/>
              </w:rPr>
              <w:t>Paziņojums par projektu piešķiršanu</w:t>
            </w:r>
          </w:p>
        </w:tc>
        <w:tc>
          <w:tcPr>
            <w:tcW w:w="1415" w:type="dxa"/>
            <w:shd w:val="clear" w:color="auto" w:fill="C6EFCE"/>
            <w:noWrap/>
            <w:vAlign w:val="center"/>
          </w:tcPr>
          <w:p w14:paraId="0F921C06"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7349C55A"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70251038"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58EC1E5E"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7555D6E2" w14:textId="77777777" w:rsidR="00C972CB" w:rsidRDefault="002457F6">
            <w:pPr>
              <w:pStyle w:val="P68B1DB1-Normal11"/>
              <w:spacing w:line="276" w:lineRule="auto"/>
              <w:jc w:val="center"/>
              <w:rPr>
                <w:noProof/>
              </w:rPr>
            </w:pPr>
            <w:r>
              <w:rPr>
                <w:noProof/>
              </w:rPr>
              <w:t>2022</w:t>
            </w:r>
          </w:p>
        </w:tc>
        <w:tc>
          <w:tcPr>
            <w:tcW w:w="3854" w:type="dxa"/>
            <w:shd w:val="clear" w:color="auto" w:fill="C6EFCE"/>
            <w:noWrap/>
            <w:vAlign w:val="center"/>
          </w:tcPr>
          <w:p w14:paraId="79219B07" w14:textId="6616E607" w:rsidR="00C972CB" w:rsidRDefault="002457F6">
            <w:pPr>
              <w:pStyle w:val="P68B1DB1-Normal12"/>
              <w:spacing w:after="120"/>
              <w:rPr>
                <w:rFonts w:ascii="Arial Narrow" w:hAnsi="Arial Narrow"/>
                <w:noProof/>
              </w:rPr>
            </w:pPr>
            <w:r>
              <w:rPr>
                <w:rFonts w:ascii="Arial Narrow" w:hAnsi="Arial Narrow"/>
                <w:noProof/>
              </w:rPr>
              <w:t>Piešķirt atbalstu projektiem, kuru mērķis ir palielināt elektroenerģijas sistēmas tīkla noturību vismaz par 4000km, lai samazinātu ekstremālu laikapstākļu izraisīto enerģijas samazinājumu biežumu un ilgumu.</w:t>
            </w:r>
          </w:p>
        </w:tc>
      </w:tr>
      <w:tr w:rsidR="00C972CB" w14:paraId="6F1B06C6" w14:textId="77777777">
        <w:trPr>
          <w:trHeight w:val="309"/>
          <w:jc w:val="center"/>
        </w:trPr>
        <w:tc>
          <w:tcPr>
            <w:tcW w:w="975" w:type="dxa"/>
            <w:shd w:val="clear" w:color="auto" w:fill="C6EFCE"/>
            <w:noWrap/>
            <w:vAlign w:val="center"/>
          </w:tcPr>
          <w:p w14:paraId="4D6E1128" w14:textId="77777777" w:rsidR="00C972CB" w:rsidRDefault="002457F6">
            <w:pPr>
              <w:pStyle w:val="P68B1DB1-Normal11"/>
              <w:spacing w:line="276" w:lineRule="auto"/>
              <w:jc w:val="center"/>
              <w:rPr>
                <w:noProof/>
              </w:rPr>
            </w:pPr>
            <w:r>
              <w:rPr>
                <w:noProof/>
              </w:rPr>
              <w:t>M2C2–14</w:t>
            </w:r>
          </w:p>
        </w:tc>
        <w:tc>
          <w:tcPr>
            <w:tcW w:w="1716" w:type="dxa"/>
            <w:shd w:val="clear" w:color="auto" w:fill="C6EFCE"/>
            <w:noWrap/>
            <w:vAlign w:val="center"/>
          </w:tcPr>
          <w:p w14:paraId="12950B38" w14:textId="77777777" w:rsidR="00C972CB" w:rsidRDefault="002457F6">
            <w:pPr>
              <w:pStyle w:val="P68B1DB1-Normal11"/>
              <w:spacing w:line="276" w:lineRule="auto"/>
              <w:jc w:val="center"/>
              <w:rPr>
                <w:noProof/>
              </w:rPr>
            </w:pPr>
            <w:r>
              <w:rPr>
                <w:noProof/>
              </w:rPr>
              <w:t>Ieguldījums. Ūdeņraža testēšana autotransportam</w:t>
            </w:r>
          </w:p>
        </w:tc>
        <w:tc>
          <w:tcPr>
            <w:tcW w:w="1131" w:type="dxa"/>
            <w:shd w:val="clear" w:color="auto" w:fill="C6EFCE"/>
            <w:noWrap/>
            <w:vAlign w:val="center"/>
          </w:tcPr>
          <w:p w14:paraId="7ADC1518"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68222AEF" w14:textId="77777777" w:rsidR="00C972CB" w:rsidRDefault="002457F6">
            <w:pPr>
              <w:pStyle w:val="P68B1DB1-Normal11"/>
              <w:spacing w:line="276" w:lineRule="auto"/>
              <w:jc w:val="center"/>
              <w:rPr>
                <w:noProof/>
              </w:rPr>
            </w:pPr>
            <w:r>
              <w:rPr>
                <w:noProof/>
              </w:rPr>
              <w:t>(Visu) publiskā iepirkuma līgumu slēgšanas tiesību piešķiršana par uzlādes staciju, kuru pamatā ir ūdeņradis, attīstību</w:t>
            </w:r>
          </w:p>
        </w:tc>
        <w:tc>
          <w:tcPr>
            <w:tcW w:w="1277" w:type="dxa"/>
            <w:shd w:val="clear" w:color="auto" w:fill="C6EFCE"/>
            <w:noWrap/>
            <w:vAlign w:val="center"/>
          </w:tcPr>
          <w:p w14:paraId="01D5FE5A" w14:textId="77777777" w:rsidR="00C972CB" w:rsidRDefault="002457F6">
            <w:pPr>
              <w:pStyle w:val="P68B1DB1-Normal11"/>
              <w:spacing w:line="276" w:lineRule="auto"/>
              <w:jc w:val="center"/>
              <w:rPr>
                <w:noProof/>
              </w:rPr>
            </w:pPr>
            <w:r>
              <w:rPr>
                <w:noProof/>
              </w:rPr>
              <w:t xml:space="preserve">Paziņojums par (visu) publisko līgumu slēgšanas tiesību </w:t>
            </w:r>
            <w:r>
              <w:rPr>
                <w:noProof/>
              </w:rPr>
              <w:t>piešķiršanu, lai attīstītu vismaz 40 uzlādes stacijas, kuru pamatā ir ūdeņradis [...]</w:t>
            </w:r>
          </w:p>
        </w:tc>
        <w:tc>
          <w:tcPr>
            <w:tcW w:w="1415" w:type="dxa"/>
            <w:shd w:val="clear" w:color="auto" w:fill="C6EFCE"/>
            <w:noWrap/>
            <w:vAlign w:val="center"/>
          </w:tcPr>
          <w:p w14:paraId="098B68EA"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44447E8D"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12B7B1C5"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2C2B92DB" w14:textId="77777777" w:rsidR="00C972CB" w:rsidRDefault="002457F6">
            <w:pPr>
              <w:pStyle w:val="P68B1DB1-Normal11"/>
              <w:spacing w:line="276" w:lineRule="auto"/>
              <w:jc w:val="center"/>
              <w:rPr>
                <w:noProof/>
              </w:rPr>
            </w:pPr>
            <w:r>
              <w:rPr>
                <w:noProof/>
              </w:rPr>
              <w:t>1. CET.</w:t>
            </w:r>
          </w:p>
        </w:tc>
        <w:tc>
          <w:tcPr>
            <w:tcW w:w="709" w:type="dxa"/>
            <w:shd w:val="clear" w:color="auto" w:fill="C6EFCE"/>
            <w:noWrap/>
            <w:vAlign w:val="center"/>
          </w:tcPr>
          <w:p w14:paraId="1EADAF8E" w14:textId="77777777" w:rsidR="00C972CB" w:rsidRDefault="002457F6">
            <w:pPr>
              <w:pStyle w:val="P68B1DB1-Normal11"/>
              <w:spacing w:line="276" w:lineRule="auto"/>
              <w:jc w:val="center"/>
              <w:rPr>
                <w:noProof/>
              </w:rPr>
            </w:pPr>
            <w:r>
              <w:rPr>
                <w:noProof/>
              </w:rPr>
              <w:t>2023</w:t>
            </w:r>
          </w:p>
        </w:tc>
        <w:tc>
          <w:tcPr>
            <w:tcW w:w="3854" w:type="dxa"/>
            <w:shd w:val="clear" w:color="auto" w:fill="C6EFCE"/>
            <w:noWrap/>
            <w:vAlign w:val="center"/>
          </w:tcPr>
          <w:p w14:paraId="66CA047C" w14:textId="23214ECE" w:rsidR="00C972CB" w:rsidRDefault="002457F6">
            <w:pPr>
              <w:pStyle w:val="P68B1DB1-Normal11"/>
              <w:spacing w:after="120"/>
              <w:rPr>
                <w:noProof/>
              </w:rPr>
            </w:pPr>
            <w:r>
              <w:rPr>
                <w:noProof/>
              </w:rPr>
              <w:t>Paziņojums par (visu) publisko līgumu slēgšanas tiesību piešķiršanu vismaz 40 ūdeņraža uzlādes staciju izveidei saskaņā ar Dire</w:t>
            </w:r>
            <w:r>
              <w:rPr>
                <w:noProof/>
              </w:rPr>
              <w:t>ktīvu 2014/94/ES par alternatīvo degvielu infrastruktūru.</w:t>
            </w:r>
          </w:p>
        </w:tc>
      </w:tr>
      <w:tr w:rsidR="00C972CB" w14:paraId="1EB8DE3E" w14:textId="77777777">
        <w:trPr>
          <w:trHeight w:val="309"/>
          <w:jc w:val="center"/>
        </w:trPr>
        <w:tc>
          <w:tcPr>
            <w:tcW w:w="975" w:type="dxa"/>
            <w:shd w:val="clear" w:color="auto" w:fill="C6EFCE"/>
            <w:noWrap/>
            <w:vAlign w:val="center"/>
          </w:tcPr>
          <w:p w14:paraId="44F58440" w14:textId="77777777" w:rsidR="00C972CB" w:rsidRDefault="002457F6">
            <w:pPr>
              <w:pStyle w:val="P68B1DB1-Normal11"/>
              <w:spacing w:line="276" w:lineRule="auto"/>
              <w:jc w:val="center"/>
              <w:rPr>
                <w:noProof/>
              </w:rPr>
            </w:pPr>
            <w:r>
              <w:rPr>
                <w:noProof/>
              </w:rPr>
              <w:t>M2C2–16</w:t>
            </w:r>
          </w:p>
        </w:tc>
        <w:tc>
          <w:tcPr>
            <w:tcW w:w="1716" w:type="dxa"/>
            <w:shd w:val="clear" w:color="auto" w:fill="C6EFCE"/>
            <w:noWrap/>
            <w:vAlign w:val="center"/>
          </w:tcPr>
          <w:p w14:paraId="19DF74E7" w14:textId="77777777" w:rsidR="00C972CB" w:rsidRDefault="002457F6">
            <w:pPr>
              <w:pStyle w:val="P68B1DB1-Normal11"/>
              <w:spacing w:line="276" w:lineRule="auto"/>
              <w:jc w:val="center"/>
              <w:rPr>
                <w:noProof/>
              </w:rPr>
            </w:pPr>
            <w:r>
              <w:rPr>
                <w:noProof/>
              </w:rPr>
              <w:t>Ieguldījums. Ūdeņraža testēšana dzelzceļa mobilitātei</w:t>
            </w:r>
          </w:p>
        </w:tc>
        <w:tc>
          <w:tcPr>
            <w:tcW w:w="1131" w:type="dxa"/>
            <w:shd w:val="clear" w:color="auto" w:fill="C6EFCE"/>
            <w:noWrap/>
            <w:vAlign w:val="center"/>
          </w:tcPr>
          <w:p w14:paraId="2C9479BE"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570F2DDC" w14:textId="77777777" w:rsidR="00C972CB" w:rsidRDefault="002457F6">
            <w:pPr>
              <w:pStyle w:val="P68B1DB1-Normal11"/>
              <w:spacing w:line="276" w:lineRule="auto"/>
              <w:jc w:val="center"/>
              <w:rPr>
                <w:noProof/>
              </w:rPr>
            </w:pPr>
            <w:r>
              <w:rPr>
                <w:noProof/>
              </w:rPr>
              <w:t>Resursu piešķiršana ūdeņraža testēšanai dzelzceļa mobilitātei</w:t>
            </w:r>
          </w:p>
        </w:tc>
        <w:tc>
          <w:tcPr>
            <w:tcW w:w="1277" w:type="dxa"/>
            <w:shd w:val="clear" w:color="auto" w:fill="C6EFCE"/>
            <w:noWrap/>
            <w:vAlign w:val="center"/>
          </w:tcPr>
          <w:p w14:paraId="7C5F47D4" w14:textId="77777777" w:rsidR="00C972CB" w:rsidRDefault="002457F6">
            <w:pPr>
              <w:pStyle w:val="P68B1DB1-Normal11"/>
              <w:spacing w:line="276" w:lineRule="auto"/>
              <w:jc w:val="center"/>
              <w:rPr>
                <w:noProof/>
              </w:rPr>
            </w:pPr>
            <w:r>
              <w:rPr>
                <w:noProof/>
              </w:rPr>
              <w:t>Paziņojums par resursu piešķiršanu</w:t>
            </w:r>
          </w:p>
        </w:tc>
        <w:tc>
          <w:tcPr>
            <w:tcW w:w="1415" w:type="dxa"/>
            <w:shd w:val="clear" w:color="auto" w:fill="C6EFCE"/>
            <w:noWrap/>
            <w:vAlign w:val="center"/>
          </w:tcPr>
          <w:p w14:paraId="6E539A55"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185494B6"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7FD9B7E5"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5E70CBB8" w14:textId="77777777" w:rsidR="00C972CB" w:rsidRDefault="002457F6">
            <w:pPr>
              <w:pStyle w:val="P68B1DB1-Normal11"/>
              <w:spacing w:line="276" w:lineRule="auto"/>
              <w:jc w:val="center"/>
              <w:rPr>
                <w:noProof/>
              </w:rPr>
            </w:pPr>
            <w:r>
              <w:rPr>
                <w:noProof/>
              </w:rPr>
              <w:t>1. CET.</w:t>
            </w:r>
          </w:p>
        </w:tc>
        <w:tc>
          <w:tcPr>
            <w:tcW w:w="709" w:type="dxa"/>
            <w:shd w:val="clear" w:color="auto" w:fill="C6EFCE"/>
            <w:noWrap/>
            <w:vAlign w:val="center"/>
          </w:tcPr>
          <w:p w14:paraId="284431AE" w14:textId="77777777" w:rsidR="00C972CB" w:rsidRDefault="002457F6">
            <w:pPr>
              <w:pStyle w:val="P68B1DB1-Normal11"/>
              <w:spacing w:line="276" w:lineRule="auto"/>
              <w:jc w:val="center"/>
              <w:rPr>
                <w:noProof/>
              </w:rPr>
            </w:pPr>
            <w:r>
              <w:rPr>
                <w:noProof/>
              </w:rPr>
              <w:t>2023</w:t>
            </w:r>
          </w:p>
        </w:tc>
        <w:tc>
          <w:tcPr>
            <w:tcW w:w="3854" w:type="dxa"/>
            <w:shd w:val="clear" w:color="auto" w:fill="C6EFCE"/>
            <w:noWrap/>
            <w:vAlign w:val="center"/>
          </w:tcPr>
          <w:p w14:paraId="402D2388" w14:textId="2F0F8E1F" w:rsidR="00C972CB" w:rsidRDefault="002457F6">
            <w:pPr>
              <w:pStyle w:val="P68B1DB1-Normal11"/>
              <w:spacing w:after="120"/>
              <w:rPr>
                <w:noProof/>
              </w:rPr>
            </w:pPr>
            <w:r>
              <w:rPr>
                <w:noProof/>
              </w:rPr>
              <w:t>Resursu piešķiršana saskaņā ar procedūrām un kritērijiem, kas noteikti, lai sešās dzelzceļa līnijās būvētu desmit dzelzceļa uzpildes stacijas, kuru pamatā ir ūdeņradis.</w:t>
            </w:r>
          </w:p>
        </w:tc>
      </w:tr>
      <w:tr w:rsidR="00C972CB" w14:paraId="697301A6" w14:textId="77777777">
        <w:trPr>
          <w:trHeight w:val="309"/>
          <w:jc w:val="center"/>
        </w:trPr>
        <w:tc>
          <w:tcPr>
            <w:tcW w:w="975" w:type="dxa"/>
            <w:shd w:val="clear" w:color="auto" w:fill="C6EFCE"/>
            <w:noWrap/>
            <w:vAlign w:val="center"/>
          </w:tcPr>
          <w:p w14:paraId="3FF9559B" w14:textId="77777777" w:rsidR="00C972CB" w:rsidRDefault="002457F6">
            <w:pPr>
              <w:pStyle w:val="P68B1DB1-Normal11"/>
              <w:spacing w:line="276" w:lineRule="auto"/>
              <w:jc w:val="center"/>
              <w:rPr>
                <w:noProof/>
              </w:rPr>
            </w:pPr>
            <w:r>
              <w:rPr>
                <w:noProof/>
              </w:rPr>
              <w:t>M2C2–18</w:t>
            </w:r>
          </w:p>
        </w:tc>
        <w:tc>
          <w:tcPr>
            <w:tcW w:w="1716" w:type="dxa"/>
            <w:shd w:val="clear" w:color="auto" w:fill="C6EFCE"/>
            <w:noWrap/>
            <w:vAlign w:val="center"/>
          </w:tcPr>
          <w:p w14:paraId="5B55E111" w14:textId="77777777" w:rsidR="00C972CB" w:rsidRDefault="002457F6">
            <w:pPr>
              <w:pStyle w:val="P68B1DB1-Normal11"/>
              <w:spacing w:line="276" w:lineRule="auto"/>
              <w:jc w:val="center"/>
              <w:rPr>
                <w:noProof/>
              </w:rPr>
            </w:pPr>
            <w:r>
              <w:rPr>
                <w:noProof/>
              </w:rPr>
              <w:t>Ieguldījums. Ūdeņraža pētniecība un izstrāde</w:t>
            </w:r>
          </w:p>
        </w:tc>
        <w:tc>
          <w:tcPr>
            <w:tcW w:w="1131" w:type="dxa"/>
            <w:shd w:val="clear" w:color="auto" w:fill="C6EFCE"/>
            <w:noWrap/>
            <w:vAlign w:val="center"/>
          </w:tcPr>
          <w:p w14:paraId="08A82724" w14:textId="77777777" w:rsidR="00C972CB" w:rsidRDefault="002457F6">
            <w:pPr>
              <w:pStyle w:val="P68B1DB1-Normal11"/>
              <w:spacing w:line="276" w:lineRule="auto"/>
              <w:jc w:val="center"/>
              <w:rPr>
                <w:noProof/>
              </w:rPr>
            </w:pPr>
            <w:r>
              <w:rPr>
                <w:noProof/>
              </w:rPr>
              <w:t>Starpposma</w:t>
            </w:r>
            <w:r>
              <w:rPr>
                <w:noProof/>
              </w:rPr>
              <w:t xml:space="preserve"> mērķis</w:t>
            </w:r>
          </w:p>
        </w:tc>
        <w:tc>
          <w:tcPr>
            <w:tcW w:w="1418" w:type="dxa"/>
            <w:shd w:val="clear" w:color="auto" w:fill="C6EFCE"/>
            <w:noWrap/>
            <w:vAlign w:val="center"/>
          </w:tcPr>
          <w:p w14:paraId="35F23B03" w14:textId="77777777" w:rsidR="00C972CB" w:rsidRDefault="002457F6">
            <w:pPr>
              <w:pStyle w:val="P68B1DB1-Normal11"/>
              <w:spacing w:line="276" w:lineRule="auto"/>
              <w:jc w:val="center"/>
              <w:rPr>
                <w:noProof/>
              </w:rPr>
            </w:pPr>
            <w:r>
              <w:rPr>
                <w:noProof/>
              </w:rPr>
              <w:t>Visu publisko pētniecības un izstrādes līgumu slēgšanas tiesību piešķiršana ūdeņraža pētniecības projektiem</w:t>
            </w:r>
          </w:p>
        </w:tc>
        <w:tc>
          <w:tcPr>
            <w:tcW w:w="1277" w:type="dxa"/>
            <w:shd w:val="clear" w:color="auto" w:fill="C6EFCE"/>
            <w:noWrap/>
            <w:vAlign w:val="center"/>
          </w:tcPr>
          <w:p w14:paraId="28CEBF01" w14:textId="77777777" w:rsidR="00C972CB" w:rsidRDefault="002457F6">
            <w:pPr>
              <w:pStyle w:val="P68B1DB1-Normal11"/>
              <w:spacing w:line="276" w:lineRule="auto"/>
              <w:jc w:val="center"/>
              <w:rPr>
                <w:noProof/>
              </w:rPr>
            </w:pPr>
            <w:r>
              <w:rPr>
                <w:noProof/>
              </w:rPr>
              <w:t>Paziņojums par līgumu slēgšanas tiesību piešķiršanu ūdeņraža pētniecības un izstrādes jomā</w:t>
            </w:r>
          </w:p>
        </w:tc>
        <w:tc>
          <w:tcPr>
            <w:tcW w:w="1415" w:type="dxa"/>
            <w:shd w:val="clear" w:color="auto" w:fill="C6EFCE"/>
            <w:noWrap/>
            <w:vAlign w:val="center"/>
          </w:tcPr>
          <w:p w14:paraId="1E8245D5"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06BDC643"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396BAF90"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733AFC21" w14:textId="77777777" w:rsidR="00C972CB" w:rsidRDefault="002457F6">
            <w:pPr>
              <w:pStyle w:val="P68B1DB1-Normal11"/>
              <w:spacing w:line="276" w:lineRule="auto"/>
              <w:jc w:val="center"/>
              <w:rPr>
                <w:noProof/>
              </w:rPr>
            </w:pPr>
            <w:r>
              <w:rPr>
                <w:noProof/>
              </w:rPr>
              <w:t>2. CET.</w:t>
            </w:r>
          </w:p>
        </w:tc>
        <w:tc>
          <w:tcPr>
            <w:tcW w:w="709" w:type="dxa"/>
            <w:shd w:val="clear" w:color="auto" w:fill="C6EFCE"/>
            <w:noWrap/>
            <w:vAlign w:val="center"/>
          </w:tcPr>
          <w:p w14:paraId="38E76F81" w14:textId="77777777" w:rsidR="00C972CB" w:rsidRDefault="002457F6">
            <w:pPr>
              <w:pStyle w:val="P68B1DB1-Normal11"/>
              <w:spacing w:line="276" w:lineRule="auto"/>
              <w:jc w:val="center"/>
              <w:rPr>
                <w:noProof/>
              </w:rPr>
            </w:pPr>
            <w:r>
              <w:rPr>
                <w:noProof/>
              </w:rPr>
              <w:t>2022</w:t>
            </w:r>
          </w:p>
        </w:tc>
        <w:tc>
          <w:tcPr>
            <w:tcW w:w="3854" w:type="dxa"/>
            <w:shd w:val="clear" w:color="auto" w:fill="C6EFCE"/>
            <w:noWrap/>
            <w:vAlign w:val="center"/>
          </w:tcPr>
          <w:p w14:paraId="21AD88E6" w14:textId="77777777" w:rsidR="00C972CB" w:rsidRDefault="002457F6">
            <w:pPr>
              <w:pStyle w:val="P68B1DB1-Normal11"/>
              <w:spacing w:after="120"/>
              <w:rPr>
                <w:noProof/>
              </w:rPr>
            </w:pPr>
            <w:r>
              <w:rPr>
                <w:noProof/>
              </w:rPr>
              <w:t>Paziņojums par pētniecības un izstrādes līgumu slēgšanas tiesību piešķiršanu, kuru mērķis ir uzlabot zināšanas par ūdeņraža vektora īstenošanu ražošanas, uzglabāšanas un izplatīšanas posmos.  Līgumos izstrādā vismaz četras pētniecības dimensijas:</w:t>
            </w:r>
          </w:p>
          <w:p w14:paraId="19699BA6" w14:textId="77777777" w:rsidR="00C972CB" w:rsidRDefault="002457F6">
            <w:pPr>
              <w:pStyle w:val="P68B1DB1-Normal11"/>
              <w:spacing w:after="120"/>
              <w:rPr>
                <w:noProof/>
              </w:rPr>
            </w:pPr>
            <w:r>
              <w:rPr>
                <w:noProof/>
              </w:rPr>
              <w:t>zaļā un t</w:t>
            </w:r>
            <w:r>
              <w:rPr>
                <w:noProof/>
              </w:rPr>
              <w:t>īrā ūdeņraža ražošana</w:t>
            </w:r>
          </w:p>
          <w:p w14:paraId="0384FCB6" w14:textId="77777777" w:rsidR="00C972CB" w:rsidRDefault="002457F6">
            <w:pPr>
              <w:pStyle w:val="P68B1DB1-Normal11"/>
              <w:spacing w:after="120"/>
              <w:rPr>
                <w:noProof/>
              </w:rPr>
            </w:pPr>
            <w:r>
              <w:rPr>
                <w:noProof/>
              </w:rPr>
              <w:t>inovatīvas tehnoloģijas ūdeņraža uzglabāšanai, transportēšanai un pārveidošanai par atvasinājumiem un e-degvielām</w:t>
            </w:r>
          </w:p>
          <w:p w14:paraId="1FDF7795" w14:textId="77777777" w:rsidR="00C972CB" w:rsidRDefault="002457F6">
            <w:pPr>
              <w:pStyle w:val="P68B1DB1-Normal11"/>
              <w:spacing w:after="120"/>
              <w:rPr>
                <w:noProof/>
              </w:rPr>
            </w:pPr>
            <w:r>
              <w:rPr>
                <w:noProof/>
              </w:rPr>
              <w:t>kurināmā elementi stacionāriem un kustīgiem lietojumiem</w:t>
            </w:r>
          </w:p>
          <w:p w14:paraId="5AFB6213" w14:textId="77777777" w:rsidR="00C972CB" w:rsidRDefault="002457F6">
            <w:pPr>
              <w:pStyle w:val="P68B1DB1-Normal11"/>
              <w:spacing w:after="120"/>
              <w:rPr>
                <w:noProof/>
              </w:rPr>
            </w:pPr>
            <w:r>
              <w:rPr>
                <w:noProof/>
              </w:rPr>
              <w:t>integrētas viedas pārvaldības sistēmas, lai palielinātu inteliģe</w:t>
            </w:r>
            <w:r>
              <w:rPr>
                <w:noProof/>
              </w:rPr>
              <w:t>nto ūdeņraža infrastruktūru noturību un uzticamību</w:t>
            </w:r>
          </w:p>
          <w:p w14:paraId="78EE4FA9" w14:textId="77777777" w:rsidR="00C972CB" w:rsidRDefault="002457F6">
            <w:pPr>
              <w:pStyle w:val="P68B1DB1-Normal11"/>
              <w:spacing w:after="120"/>
              <w:rPr>
                <w:noProof/>
              </w:rPr>
            </w:pPr>
            <w:r>
              <w:rPr>
                <w:noProof/>
              </w:rPr>
              <w:t>Šis pasākums atbalsta ūdeņraža ražošanu, kuras pamatā ir elektrolīze, izmantojot atjaunojamos energoresursus, kas definēti Direktīvā (ES) 2018/2001 (atjaunojamo energoresursu direktīva), vai tīkla elektroe</w:t>
            </w:r>
            <w:r>
              <w:rPr>
                <w:noProof/>
              </w:rPr>
              <w:t xml:space="preserve">nerģiju, vai ūdeņraža darbības, kas atbilst prasībai par ūdeņraža aprites cikla SEG emisiju aiztaupījumu 73,4 % apmērā [kā rezultātā aprites cikla SEG emisijas ir mazākas par 3 t CO2e/tH2] un 70 % uz ūdeņradi balstītām sintētiskām degvielām attiecībā pret </w:t>
            </w:r>
            <w:r>
              <w:rPr>
                <w:noProof/>
              </w:rPr>
              <w:t>fosilā kurināmā komparatoru 94 g CO2e/MJ pēc analoģijas ar pieeju, kas izklāstīta Direktīvas (ES) 2018/2001 25. panta 2. punktā un V pielikumā.</w:t>
            </w:r>
          </w:p>
        </w:tc>
      </w:tr>
      <w:tr w:rsidR="00C972CB" w14:paraId="711887B7" w14:textId="77777777">
        <w:trPr>
          <w:trHeight w:val="309"/>
          <w:jc w:val="center"/>
        </w:trPr>
        <w:tc>
          <w:tcPr>
            <w:tcW w:w="975" w:type="dxa"/>
            <w:shd w:val="clear" w:color="auto" w:fill="C6EFCE"/>
            <w:noWrap/>
            <w:vAlign w:val="center"/>
          </w:tcPr>
          <w:p w14:paraId="1039D2DF" w14:textId="77777777" w:rsidR="00C972CB" w:rsidRDefault="002457F6">
            <w:pPr>
              <w:pStyle w:val="P68B1DB1-Normal11"/>
              <w:spacing w:line="276" w:lineRule="auto"/>
              <w:jc w:val="center"/>
              <w:rPr>
                <w:noProof/>
              </w:rPr>
            </w:pPr>
            <w:r>
              <w:rPr>
                <w:noProof/>
              </w:rPr>
              <w:t>M2C2–20</w:t>
            </w:r>
          </w:p>
        </w:tc>
        <w:tc>
          <w:tcPr>
            <w:tcW w:w="1716" w:type="dxa"/>
            <w:shd w:val="clear" w:color="auto" w:fill="C6EFCE"/>
            <w:noWrap/>
            <w:vAlign w:val="center"/>
          </w:tcPr>
          <w:p w14:paraId="155B65CB" w14:textId="77777777" w:rsidR="00C972CB" w:rsidRDefault="002457F6">
            <w:pPr>
              <w:pStyle w:val="P68B1DB1-Normal11"/>
              <w:spacing w:line="276" w:lineRule="auto"/>
              <w:jc w:val="center"/>
              <w:rPr>
                <w:noProof/>
              </w:rPr>
            </w:pPr>
            <w:r>
              <w:rPr>
                <w:noProof/>
              </w:rPr>
              <w:t>Reforma Nr. 3 Administratīvā vienkāršošana un regulatīvo šķēršļu mazināšana ūdeņraža ieviešanai</w:t>
            </w:r>
          </w:p>
        </w:tc>
        <w:tc>
          <w:tcPr>
            <w:tcW w:w="1131" w:type="dxa"/>
            <w:shd w:val="clear" w:color="auto" w:fill="C6EFCE"/>
            <w:noWrap/>
            <w:vAlign w:val="center"/>
          </w:tcPr>
          <w:p w14:paraId="6E5CD9BC"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7B19FBF4" w14:textId="77777777" w:rsidR="00C972CB" w:rsidRDefault="002457F6">
            <w:pPr>
              <w:pStyle w:val="P68B1DB1-Normal11"/>
              <w:spacing w:line="276" w:lineRule="auto"/>
              <w:jc w:val="center"/>
              <w:rPr>
                <w:noProof/>
              </w:rPr>
            </w:pPr>
            <w:r>
              <w:rPr>
                <w:noProof/>
              </w:rPr>
              <w:t>Vajadzīgo leģislatīvo darbību stāšanās spēkā</w:t>
            </w:r>
          </w:p>
        </w:tc>
        <w:tc>
          <w:tcPr>
            <w:tcW w:w="1277" w:type="dxa"/>
            <w:shd w:val="clear" w:color="auto" w:fill="C6EFCE"/>
            <w:noWrap/>
            <w:vAlign w:val="center"/>
          </w:tcPr>
          <w:p w14:paraId="2EE3A6D1" w14:textId="77777777" w:rsidR="00C972CB" w:rsidRDefault="002457F6">
            <w:pPr>
              <w:pStyle w:val="P68B1DB1-Normal11"/>
              <w:spacing w:line="276" w:lineRule="auto"/>
              <w:jc w:val="center"/>
              <w:rPr>
                <w:noProof/>
              </w:rPr>
            </w:pPr>
            <w:r>
              <w:rPr>
                <w:noProof/>
              </w:rPr>
              <w:t>Likuma norma, kas norāda uz likuma stāšanos spēkā</w:t>
            </w:r>
          </w:p>
        </w:tc>
        <w:tc>
          <w:tcPr>
            <w:tcW w:w="1415" w:type="dxa"/>
            <w:shd w:val="clear" w:color="auto" w:fill="C6EFCE"/>
            <w:noWrap/>
            <w:vAlign w:val="center"/>
          </w:tcPr>
          <w:p w14:paraId="6E837E68"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45955DDB"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0E3E80FD"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0EE72901" w14:textId="77777777" w:rsidR="00C972CB" w:rsidRDefault="002457F6">
            <w:pPr>
              <w:pStyle w:val="P68B1DB1-Normal11"/>
              <w:spacing w:line="276" w:lineRule="auto"/>
              <w:jc w:val="center"/>
              <w:rPr>
                <w:noProof/>
              </w:rPr>
            </w:pPr>
            <w:r>
              <w:rPr>
                <w:noProof/>
              </w:rPr>
              <w:t>1. CET.</w:t>
            </w:r>
          </w:p>
        </w:tc>
        <w:tc>
          <w:tcPr>
            <w:tcW w:w="709" w:type="dxa"/>
            <w:shd w:val="clear" w:color="auto" w:fill="C6EFCE"/>
            <w:noWrap/>
            <w:vAlign w:val="center"/>
          </w:tcPr>
          <w:p w14:paraId="551CBC97" w14:textId="77777777" w:rsidR="00C972CB" w:rsidRDefault="002457F6">
            <w:pPr>
              <w:pStyle w:val="P68B1DB1-Normal11"/>
              <w:spacing w:line="276" w:lineRule="auto"/>
              <w:jc w:val="center"/>
              <w:rPr>
                <w:noProof/>
              </w:rPr>
            </w:pPr>
            <w:r>
              <w:rPr>
                <w:noProof/>
              </w:rPr>
              <w:t>2023</w:t>
            </w:r>
          </w:p>
        </w:tc>
        <w:tc>
          <w:tcPr>
            <w:tcW w:w="3854" w:type="dxa"/>
            <w:shd w:val="clear" w:color="auto" w:fill="C6EFCE"/>
            <w:noWrap/>
            <w:vAlign w:val="center"/>
          </w:tcPr>
          <w:p w14:paraId="4A7BD3A8" w14:textId="77777777" w:rsidR="00C972CB" w:rsidRDefault="002457F6">
            <w:pPr>
              <w:pStyle w:val="P68B1DB1-Normal11"/>
              <w:spacing w:after="120"/>
              <w:rPr>
                <w:noProof/>
              </w:rPr>
            </w:pPr>
            <w:r>
              <w:rPr>
                <w:noProof/>
              </w:rPr>
              <w:t xml:space="preserve">Vajadzīgajās likumdošanas darbībās nosaka i) drošības noteikumus attiecībā uz ūdeņraža ražošanu, </w:t>
            </w:r>
            <w:r>
              <w:rPr>
                <w:noProof/>
              </w:rPr>
              <w:t>transportēšanu un uzglabāšanu, ii) vienkāršo procedūras mazu struktūru izveidei zaļā ūdeņraža ražošanai un iii) pasākumus attiecībā uz nosacījumiem uzlādes staciju būvniecībai, pamatojoties uz ūdeņradi.</w:t>
            </w:r>
          </w:p>
          <w:p w14:paraId="0B73B5F7" w14:textId="77777777" w:rsidR="00C972CB" w:rsidRDefault="002457F6">
            <w:pPr>
              <w:pStyle w:val="P68B1DB1-Normal11"/>
              <w:spacing w:after="120"/>
              <w:rPr>
                <w:noProof/>
              </w:rPr>
            </w:pPr>
            <w:r>
              <w:rPr>
                <w:noProof/>
              </w:rPr>
              <w:t>Šis pasākums atbalsta tikai ūdeņraža darbības, kas at</w:t>
            </w:r>
            <w:r>
              <w:rPr>
                <w:noProof/>
              </w:rPr>
              <w:t>bilst prasībai par aprites cikla SEG emisiju aiztaupījumu 73,4 % apmērā ūdeņradim [kas nodrošina 3 tCO2eq/tH2].</w:t>
            </w:r>
          </w:p>
        </w:tc>
      </w:tr>
      <w:tr w:rsidR="00C972CB" w14:paraId="5C93101B" w14:textId="77777777">
        <w:trPr>
          <w:trHeight w:val="309"/>
          <w:jc w:val="center"/>
        </w:trPr>
        <w:tc>
          <w:tcPr>
            <w:tcW w:w="975" w:type="dxa"/>
            <w:shd w:val="clear" w:color="auto" w:fill="C6EFCE"/>
            <w:noWrap/>
            <w:vAlign w:val="center"/>
          </w:tcPr>
          <w:p w14:paraId="551B6028" w14:textId="77777777" w:rsidR="00C972CB" w:rsidRDefault="002457F6">
            <w:pPr>
              <w:pStyle w:val="P68B1DB1-Normal11"/>
              <w:spacing w:line="276" w:lineRule="auto"/>
              <w:jc w:val="center"/>
              <w:rPr>
                <w:noProof/>
              </w:rPr>
            </w:pPr>
            <w:r>
              <w:rPr>
                <w:noProof/>
              </w:rPr>
              <w:t>M2C2–21</w:t>
            </w:r>
          </w:p>
        </w:tc>
        <w:tc>
          <w:tcPr>
            <w:tcW w:w="1716" w:type="dxa"/>
            <w:shd w:val="clear" w:color="auto" w:fill="C6EFCE"/>
            <w:noWrap/>
            <w:vAlign w:val="center"/>
          </w:tcPr>
          <w:p w14:paraId="1644AEEF" w14:textId="77777777" w:rsidR="00C972CB" w:rsidRDefault="002457F6">
            <w:pPr>
              <w:pStyle w:val="P68B1DB1-Normal11"/>
              <w:spacing w:line="276" w:lineRule="auto"/>
              <w:jc w:val="center"/>
              <w:rPr>
                <w:noProof/>
              </w:rPr>
            </w:pPr>
            <w:r>
              <w:rPr>
                <w:noProof/>
              </w:rPr>
              <w:t>Reforma. Pasākumi ūdeņraža konkurētspējas veicināšanai</w:t>
            </w:r>
          </w:p>
        </w:tc>
        <w:tc>
          <w:tcPr>
            <w:tcW w:w="1131" w:type="dxa"/>
            <w:shd w:val="clear" w:color="auto" w:fill="C6EFCE"/>
            <w:noWrap/>
            <w:vAlign w:val="center"/>
          </w:tcPr>
          <w:p w14:paraId="63F7B67A"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3120543E" w14:textId="77777777" w:rsidR="00C972CB" w:rsidRDefault="002457F6">
            <w:pPr>
              <w:pStyle w:val="P68B1DB1-Normal11"/>
              <w:spacing w:line="276" w:lineRule="auto"/>
              <w:jc w:val="center"/>
              <w:rPr>
                <w:noProof/>
              </w:rPr>
            </w:pPr>
            <w:r>
              <w:rPr>
                <w:noProof/>
              </w:rPr>
              <w:t>Fiskālo stimulu stāšanās spēkā</w:t>
            </w:r>
          </w:p>
        </w:tc>
        <w:tc>
          <w:tcPr>
            <w:tcW w:w="1277" w:type="dxa"/>
            <w:shd w:val="clear" w:color="auto" w:fill="C6EFCE"/>
            <w:noWrap/>
            <w:vAlign w:val="center"/>
          </w:tcPr>
          <w:p w14:paraId="404C93E8" w14:textId="77777777" w:rsidR="00C972CB" w:rsidRDefault="002457F6">
            <w:pPr>
              <w:pStyle w:val="P68B1DB1-Normal11"/>
              <w:spacing w:line="276" w:lineRule="auto"/>
              <w:jc w:val="center"/>
              <w:rPr>
                <w:noProof/>
              </w:rPr>
            </w:pPr>
            <w:r>
              <w:rPr>
                <w:noProof/>
              </w:rPr>
              <w:t xml:space="preserve">Likuma norma, kas norāda uz </w:t>
            </w:r>
            <w:r>
              <w:rPr>
                <w:noProof/>
              </w:rPr>
              <w:t>likuma stāšanos spēkā</w:t>
            </w:r>
          </w:p>
        </w:tc>
        <w:tc>
          <w:tcPr>
            <w:tcW w:w="1415" w:type="dxa"/>
            <w:shd w:val="clear" w:color="auto" w:fill="C6EFCE"/>
            <w:noWrap/>
            <w:vAlign w:val="center"/>
          </w:tcPr>
          <w:p w14:paraId="54D30CC3" w14:textId="77777777" w:rsidR="00C972CB" w:rsidRDefault="002457F6">
            <w:pPr>
              <w:pStyle w:val="P68B1DB1-Normal11"/>
              <w:spacing w:line="276" w:lineRule="auto"/>
              <w:jc w:val="center"/>
              <w:rPr>
                <w:noProof/>
              </w:rPr>
            </w:pPr>
            <w:r>
              <w:rPr>
                <w:noProof/>
              </w:rPr>
              <w:t>N.A.</w:t>
            </w:r>
          </w:p>
        </w:tc>
        <w:tc>
          <w:tcPr>
            <w:tcW w:w="709" w:type="dxa"/>
            <w:shd w:val="clear" w:color="auto" w:fill="C6EFCE"/>
            <w:noWrap/>
            <w:vAlign w:val="center"/>
          </w:tcPr>
          <w:p w14:paraId="3F9D7ABE" w14:textId="4B31707E"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177AA610"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574181E3" w14:textId="77777777" w:rsidR="00C972CB" w:rsidRDefault="002457F6">
            <w:pPr>
              <w:pStyle w:val="P68B1DB1-Normal11"/>
              <w:spacing w:line="276" w:lineRule="auto"/>
              <w:jc w:val="center"/>
              <w:rPr>
                <w:noProof/>
              </w:rPr>
            </w:pPr>
            <w:r>
              <w:rPr>
                <w:noProof/>
              </w:rPr>
              <w:t>2. CET.</w:t>
            </w:r>
          </w:p>
        </w:tc>
        <w:tc>
          <w:tcPr>
            <w:tcW w:w="709" w:type="dxa"/>
            <w:shd w:val="clear" w:color="auto" w:fill="C6EFCE"/>
            <w:noWrap/>
            <w:vAlign w:val="center"/>
          </w:tcPr>
          <w:p w14:paraId="0720C5A6" w14:textId="77777777" w:rsidR="00C972CB" w:rsidRDefault="002457F6">
            <w:pPr>
              <w:pStyle w:val="P68B1DB1-Normal11"/>
              <w:spacing w:line="276" w:lineRule="auto"/>
              <w:jc w:val="center"/>
              <w:rPr>
                <w:noProof/>
              </w:rPr>
            </w:pPr>
            <w:r>
              <w:rPr>
                <w:noProof/>
              </w:rPr>
              <w:t>2022</w:t>
            </w:r>
          </w:p>
        </w:tc>
        <w:tc>
          <w:tcPr>
            <w:tcW w:w="3854" w:type="dxa"/>
            <w:shd w:val="clear" w:color="auto" w:fill="C6EFCE"/>
            <w:noWrap/>
            <w:vAlign w:val="center"/>
          </w:tcPr>
          <w:p w14:paraId="0F4B1F2A" w14:textId="77777777" w:rsidR="00C972CB" w:rsidRDefault="002457F6">
            <w:pPr>
              <w:pStyle w:val="P68B1DB1-Normal11"/>
              <w:spacing w:after="120"/>
              <w:rPr>
                <w:noProof/>
              </w:rPr>
            </w:pPr>
            <w:r>
              <w:rPr>
                <w:noProof/>
              </w:rPr>
              <w:t>Likumā paredz fiskālus stimulus, lai atbalstītu zaļā ūdeņraža ražošanu un veicinātu zaļā ūdeņraža patēriņu transporta nozarē.</w:t>
            </w:r>
          </w:p>
          <w:p w14:paraId="4FF74807" w14:textId="77777777" w:rsidR="00C972CB" w:rsidRDefault="002457F6">
            <w:pPr>
              <w:pStyle w:val="P68B1DB1-Normal11"/>
              <w:spacing w:after="120"/>
              <w:rPr>
                <w:noProof/>
              </w:rPr>
            </w:pPr>
            <w:r>
              <w:rPr>
                <w:noProof/>
              </w:rPr>
              <w:t>Šis pasākums atbalsta tikai ūdeņraža darbības, kas atbilst prasībai pa</w:t>
            </w:r>
            <w:r>
              <w:rPr>
                <w:noProof/>
              </w:rPr>
              <w:t>r aprites cikla SEG emisiju aiztaupījumu 73,4 % apmērā ūdeņradim [kas nodrošina 3 tCO2eq/tH2].</w:t>
            </w:r>
          </w:p>
        </w:tc>
      </w:tr>
      <w:tr w:rsidR="00C972CB" w14:paraId="79176F09" w14:textId="77777777">
        <w:trPr>
          <w:trHeight w:val="309"/>
          <w:jc w:val="center"/>
        </w:trPr>
        <w:tc>
          <w:tcPr>
            <w:tcW w:w="975" w:type="dxa"/>
            <w:shd w:val="clear" w:color="auto" w:fill="C6EFCE"/>
            <w:noWrap/>
            <w:vAlign w:val="center"/>
          </w:tcPr>
          <w:p w14:paraId="10DDB44D" w14:textId="77777777" w:rsidR="00C972CB" w:rsidRDefault="002457F6">
            <w:pPr>
              <w:pStyle w:val="P68B1DB1-Normal11"/>
              <w:spacing w:line="276" w:lineRule="auto"/>
              <w:jc w:val="center"/>
              <w:rPr>
                <w:noProof/>
              </w:rPr>
            </w:pPr>
            <w:r>
              <w:rPr>
                <w:noProof/>
              </w:rPr>
              <w:t>M2C2–22</w:t>
            </w:r>
          </w:p>
        </w:tc>
        <w:tc>
          <w:tcPr>
            <w:tcW w:w="1716" w:type="dxa"/>
            <w:shd w:val="clear" w:color="auto" w:fill="C6EFCE"/>
            <w:noWrap/>
            <w:vAlign w:val="center"/>
          </w:tcPr>
          <w:p w14:paraId="245AB54E" w14:textId="77777777" w:rsidR="00C972CB" w:rsidRDefault="002457F6">
            <w:pPr>
              <w:pStyle w:val="P68B1DB1-Normal11"/>
              <w:spacing w:line="276" w:lineRule="auto"/>
              <w:jc w:val="center"/>
              <w:rPr>
                <w:noProof/>
              </w:rPr>
            </w:pPr>
            <w:r>
              <w:rPr>
                <w:noProof/>
              </w:rPr>
              <w:t>Ieguldījums 4.1. Ieguldījumi vidi saudzējošā mobilitātē (Nacionālais cikla ceļa plāns)</w:t>
            </w:r>
          </w:p>
        </w:tc>
        <w:tc>
          <w:tcPr>
            <w:tcW w:w="1131" w:type="dxa"/>
            <w:shd w:val="clear" w:color="auto" w:fill="C6EFCE"/>
            <w:noWrap/>
            <w:vAlign w:val="center"/>
          </w:tcPr>
          <w:p w14:paraId="46EA482D" w14:textId="77777777" w:rsidR="00C972CB" w:rsidRDefault="002457F6">
            <w:pPr>
              <w:pStyle w:val="P68B1DB1-Normal11"/>
              <w:spacing w:line="276" w:lineRule="auto"/>
              <w:jc w:val="center"/>
              <w:rPr>
                <w:noProof/>
              </w:rPr>
            </w:pPr>
            <w:r>
              <w:rPr>
                <w:noProof/>
              </w:rPr>
              <w:t>Mērķa:</w:t>
            </w:r>
          </w:p>
        </w:tc>
        <w:tc>
          <w:tcPr>
            <w:tcW w:w="1418" w:type="dxa"/>
            <w:shd w:val="clear" w:color="auto" w:fill="C6EFCE"/>
            <w:noWrap/>
            <w:vAlign w:val="center"/>
          </w:tcPr>
          <w:p w14:paraId="24DFD432" w14:textId="77777777" w:rsidR="00C972CB" w:rsidRDefault="002457F6">
            <w:pPr>
              <w:pStyle w:val="P68B1DB1-Normal11"/>
              <w:spacing w:line="276" w:lineRule="auto"/>
              <w:jc w:val="center"/>
              <w:rPr>
                <w:noProof/>
              </w:rPr>
            </w:pPr>
            <w:r>
              <w:rPr>
                <w:noProof/>
              </w:rPr>
              <w:t>Veloceliņi T1</w:t>
            </w:r>
          </w:p>
        </w:tc>
        <w:tc>
          <w:tcPr>
            <w:tcW w:w="1277" w:type="dxa"/>
            <w:shd w:val="clear" w:color="auto" w:fill="C6EFCE"/>
            <w:noWrap/>
            <w:vAlign w:val="center"/>
          </w:tcPr>
          <w:p w14:paraId="39DC4094" w14:textId="77777777" w:rsidR="00C972CB" w:rsidRDefault="002457F6">
            <w:pPr>
              <w:pStyle w:val="P68B1DB1-Normal11"/>
              <w:spacing w:line="276" w:lineRule="auto"/>
              <w:jc w:val="center"/>
              <w:rPr>
                <w:noProof/>
              </w:rPr>
            </w:pPr>
            <w:r>
              <w:rPr>
                <w:noProof/>
              </w:rPr>
              <w:t>NEPIEMĒRO</w:t>
            </w:r>
          </w:p>
        </w:tc>
        <w:tc>
          <w:tcPr>
            <w:tcW w:w="1415" w:type="dxa"/>
            <w:shd w:val="clear" w:color="auto" w:fill="C6EFCE"/>
            <w:noWrap/>
            <w:vAlign w:val="center"/>
          </w:tcPr>
          <w:p w14:paraId="51A6535E" w14:textId="77777777" w:rsidR="00C972CB" w:rsidRDefault="002457F6">
            <w:pPr>
              <w:pStyle w:val="P68B1DB1-Normal11"/>
              <w:spacing w:line="276" w:lineRule="auto"/>
              <w:jc w:val="center"/>
              <w:rPr>
                <w:noProof/>
              </w:rPr>
            </w:pPr>
            <w:r>
              <w:rPr>
                <w:noProof/>
              </w:rPr>
              <w:t>Km</w:t>
            </w:r>
          </w:p>
        </w:tc>
        <w:tc>
          <w:tcPr>
            <w:tcW w:w="709" w:type="dxa"/>
            <w:shd w:val="clear" w:color="auto" w:fill="C6EFCE"/>
            <w:noWrap/>
            <w:vAlign w:val="center"/>
          </w:tcPr>
          <w:p w14:paraId="74D922AC" w14:textId="77777777" w:rsidR="00C972CB" w:rsidRDefault="002457F6">
            <w:pPr>
              <w:pStyle w:val="P68B1DB1-Normal11"/>
              <w:spacing w:line="276" w:lineRule="auto"/>
              <w:jc w:val="center"/>
              <w:rPr>
                <w:noProof/>
              </w:rPr>
            </w:pPr>
            <w:r>
              <w:rPr>
                <w:noProof/>
              </w:rPr>
              <w:t>0</w:t>
            </w:r>
          </w:p>
        </w:tc>
        <w:tc>
          <w:tcPr>
            <w:tcW w:w="1418" w:type="dxa"/>
            <w:shd w:val="clear" w:color="auto" w:fill="C6EFCE"/>
            <w:noWrap/>
            <w:vAlign w:val="center"/>
          </w:tcPr>
          <w:p w14:paraId="49142568" w14:textId="77777777" w:rsidR="00C972CB" w:rsidRDefault="002457F6">
            <w:pPr>
              <w:pStyle w:val="P68B1DB1-Normal11"/>
              <w:spacing w:line="276" w:lineRule="auto"/>
              <w:jc w:val="center"/>
              <w:rPr>
                <w:noProof/>
              </w:rPr>
            </w:pPr>
            <w:r>
              <w:rPr>
                <w:noProof/>
              </w:rPr>
              <w:t>200</w:t>
            </w:r>
          </w:p>
        </w:tc>
        <w:tc>
          <w:tcPr>
            <w:tcW w:w="993" w:type="dxa"/>
            <w:shd w:val="clear" w:color="auto" w:fill="C6EFCE"/>
            <w:noWrap/>
            <w:vAlign w:val="center"/>
          </w:tcPr>
          <w:p w14:paraId="24EBE99D"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096DF5EB" w14:textId="77777777" w:rsidR="00C972CB" w:rsidRDefault="002457F6">
            <w:pPr>
              <w:pStyle w:val="P68B1DB1-Normal11"/>
              <w:spacing w:line="276" w:lineRule="auto"/>
              <w:jc w:val="center"/>
              <w:rPr>
                <w:noProof/>
              </w:rPr>
            </w:pPr>
            <w:r>
              <w:rPr>
                <w:noProof/>
              </w:rPr>
              <w:t>2023</w:t>
            </w:r>
          </w:p>
        </w:tc>
        <w:tc>
          <w:tcPr>
            <w:tcW w:w="3854" w:type="dxa"/>
            <w:shd w:val="clear" w:color="auto" w:fill="C6EFCE"/>
            <w:noWrap/>
            <w:vAlign w:val="center"/>
          </w:tcPr>
          <w:p w14:paraId="5A7FEF98" w14:textId="54D05733" w:rsidR="00C972CB" w:rsidRDefault="002457F6">
            <w:pPr>
              <w:pStyle w:val="P68B1DB1-Normal11"/>
              <w:spacing w:after="120"/>
              <w:rPr>
                <w:noProof/>
              </w:rPr>
            </w:pPr>
            <w:r>
              <w:rPr>
                <w:noProof/>
              </w:rPr>
              <w:t xml:space="preserve">Vismaz </w:t>
            </w:r>
            <w:r>
              <w:rPr>
                <w:noProof/>
              </w:rPr>
              <w:t>200 km garu veloceliņu pabeigšana lielpilsētu teritorijās, kā noteikts pasākuma aprakstā.</w:t>
            </w:r>
          </w:p>
        </w:tc>
      </w:tr>
      <w:tr w:rsidR="00C972CB" w14:paraId="5B488591" w14:textId="77777777">
        <w:trPr>
          <w:trHeight w:val="309"/>
          <w:jc w:val="center"/>
        </w:trPr>
        <w:tc>
          <w:tcPr>
            <w:tcW w:w="975" w:type="dxa"/>
            <w:shd w:val="clear" w:color="auto" w:fill="C6EFCE"/>
            <w:noWrap/>
            <w:vAlign w:val="center"/>
          </w:tcPr>
          <w:p w14:paraId="130B9DCA" w14:textId="77777777" w:rsidR="00C972CB" w:rsidRDefault="002457F6">
            <w:pPr>
              <w:pStyle w:val="P68B1DB1-Normal11"/>
              <w:spacing w:line="276" w:lineRule="auto"/>
              <w:jc w:val="center"/>
              <w:rPr>
                <w:noProof/>
              </w:rPr>
            </w:pPr>
            <w:r>
              <w:rPr>
                <w:noProof/>
              </w:rPr>
              <w:t>M2C2–23</w:t>
            </w:r>
          </w:p>
        </w:tc>
        <w:tc>
          <w:tcPr>
            <w:tcW w:w="1716" w:type="dxa"/>
            <w:shd w:val="clear" w:color="auto" w:fill="C6EFCE"/>
            <w:noWrap/>
            <w:vAlign w:val="center"/>
          </w:tcPr>
          <w:p w14:paraId="3FB1090D" w14:textId="77777777" w:rsidR="00C972CB" w:rsidRDefault="002457F6">
            <w:pPr>
              <w:pStyle w:val="P68B1DB1-Normal11"/>
              <w:spacing w:line="276" w:lineRule="auto"/>
              <w:jc w:val="center"/>
              <w:rPr>
                <w:noProof/>
              </w:rPr>
            </w:pPr>
            <w:r>
              <w:rPr>
                <w:noProof/>
              </w:rPr>
              <w:t>Ieguldījums 4.1. Ieguldījumi vidi saudzējošā mobilitātē (Nacionālais cikla ceļa plāns)</w:t>
            </w:r>
          </w:p>
        </w:tc>
        <w:tc>
          <w:tcPr>
            <w:tcW w:w="1131" w:type="dxa"/>
            <w:shd w:val="clear" w:color="auto" w:fill="C6EFCE"/>
            <w:noWrap/>
            <w:vAlign w:val="center"/>
          </w:tcPr>
          <w:p w14:paraId="05B51A2F" w14:textId="77777777" w:rsidR="00C972CB" w:rsidRDefault="002457F6">
            <w:pPr>
              <w:pStyle w:val="P68B1DB1-Normal11"/>
              <w:spacing w:line="276" w:lineRule="auto"/>
              <w:jc w:val="center"/>
              <w:rPr>
                <w:noProof/>
              </w:rPr>
            </w:pPr>
            <w:r>
              <w:rPr>
                <w:noProof/>
              </w:rPr>
              <w:t>Mērķa</w:t>
            </w:r>
          </w:p>
        </w:tc>
        <w:tc>
          <w:tcPr>
            <w:tcW w:w="1418" w:type="dxa"/>
            <w:shd w:val="clear" w:color="auto" w:fill="C6EFCE"/>
            <w:noWrap/>
            <w:vAlign w:val="center"/>
          </w:tcPr>
          <w:p w14:paraId="0FBA241D" w14:textId="77777777" w:rsidR="00C972CB" w:rsidRDefault="002457F6">
            <w:pPr>
              <w:pStyle w:val="P68B1DB1-Normal11"/>
              <w:spacing w:line="276" w:lineRule="auto"/>
              <w:jc w:val="center"/>
              <w:rPr>
                <w:noProof/>
              </w:rPr>
            </w:pPr>
            <w:r>
              <w:rPr>
                <w:noProof/>
              </w:rPr>
              <w:t>Veloceliņi T2</w:t>
            </w:r>
          </w:p>
        </w:tc>
        <w:tc>
          <w:tcPr>
            <w:tcW w:w="1277" w:type="dxa"/>
            <w:shd w:val="clear" w:color="auto" w:fill="C6EFCE"/>
            <w:noWrap/>
            <w:vAlign w:val="center"/>
          </w:tcPr>
          <w:p w14:paraId="7308385C" w14:textId="77777777" w:rsidR="00C972CB" w:rsidRDefault="002457F6">
            <w:pPr>
              <w:pStyle w:val="P68B1DB1-Normal11"/>
              <w:spacing w:line="276" w:lineRule="auto"/>
              <w:jc w:val="center"/>
              <w:rPr>
                <w:noProof/>
              </w:rPr>
            </w:pPr>
            <w:r>
              <w:rPr>
                <w:noProof/>
              </w:rPr>
              <w:t>NEPIEMĒRO</w:t>
            </w:r>
          </w:p>
        </w:tc>
        <w:tc>
          <w:tcPr>
            <w:tcW w:w="1415" w:type="dxa"/>
            <w:shd w:val="clear" w:color="auto" w:fill="C6EFCE"/>
            <w:noWrap/>
            <w:vAlign w:val="center"/>
          </w:tcPr>
          <w:p w14:paraId="1D671ABC" w14:textId="77777777" w:rsidR="00C972CB" w:rsidRDefault="002457F6">
            <w:pPr>
              <w:pStyle w:val="P68B1DB1-Normal11"/>
              <w:spacing w:line="276" w:lineRule="auto"/>
              <w:jc w:val="center"/>
              <w:rPr>
                <w:noProof/>
              </w:rPr>
            </w:pPr>
            <w:r>
              <w:rPr>
                <w:noProof/>
              </w:rPr>
              <w:t>Km</w:t>
            </w:r>
          </w:p>
        </w:tc>
        <w:tc>
          <w:tcPr>
            <w:tcW w:w="709" w:type="dxa"/>
            <w:shd w:val="clear" w:color="auto" w:fill="C6EFCE"/>
            <w:noWrap/>
            <w:vAlign w:val="center"/>
          </w:tcPr>
          <w:p w14:paraId="177954C6" w14:textId="77777777" w:rsidR="00C972CB" w:rsidRDefault="002457F6">
            <w:pPr>
              <w:pStyle w:val="P68B1DB1-Normal11"/>
              <w:spacing w:line="276" w:lineRule="auto"/>
              <w:jc w:val="center"/>
              <w:rPr>
                <w:noProof/>
              </w:rPr>
            </w:pPr>
            <w:r>
              <w:rPr>
                <w:noProof/>
              </w:rPr>
              <w:t>200</w:t>
            </w:r>
          </w:p>
        </w:tc>
        <w:tc>
          <w:tcPr>
            <w:tcW w:w="1418" w:type="dxa"/>
            <w:shd w:val="clear" w:color="auto" w:fill="C6EFCE"/>
            <w:noWrap/>
            <w:vAlign w:val="center"/>
          </w:tcPr>
          <w:p w14:paraId="24B5E56E" w14:textId="2CDD59B1" w:rsidR="00C972CB" w:rsidRDefault="002457F6">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311</w:t>
            </w:r>
          </w:p>
        </w:tc>
        <w:tc>
          <w:tcPr>
            <w:tcW w:w="993" w:type="dxa"/>
            <w:shd w:val="clear" w:color="auto" w:fill="C6EFCE"/>
            <w:noWrap/>
            <w:vAlign w:val="center"/>
          </w:tcPr>
          <w:p w14:paraId="712F7AF5" w14:textId="77777777" w:rsidR="00C972CB" w:rsidRDefault="002457F6">
            <w:pPr>
              <w:pStyle w:val="P68B1DB1-Normal11"/>
              <w:spacing w:line="276" w:lineRule="auto"/>
              <w:jc w:val="center"/>
              <w:rPr>
                <w:noProof/>
              </w:rPr>
            </w:pPr>
            <w:r>
              <w:rPr>
                <w:noProof/>
              </w:rPr>
              <w:t>2. CET.</w:t>
            </w:r>
          </w:p>
        </w:tc>
        <w:tc>
          <w:tcPr>
            <w:tcW w:w="709" w:type="dxa"/>
            <w:shd w:val="clear" w:color="auto" w:fill="C6EFCE"/>
            <w:noWrap/>
            <w:vAlign w:val="center"/>
          </w:tcPr>
          <w:p w14:paraId="458D0C94" w14:textId="77777777" w:rsidR="00C972CB" w:rsidRDefault="002457F6">
            <w:pPr>
              <w:pStyle w:val="P68B1DB1-Normal11"/>
              <w:spacing w:line="276" w:lineRule="auto"/>
              <w:jc w:val="center"/>
              <w:rPr>
                <w:noProof/>
              </w:rPr>
            </w:pPr>
            <w:r>
              <w:rPr>
                <w:noProof/>
              </w:rPr>
              <w:t>2026</w:t>
            </w:r>
          </w:p>
        </w:tc>
        <w:tc>
          <w:tcPr>
            <w:tcW w:w="3854" w:type="dxa"/>
            <w:shd w:val="clear" w:color="auto" w:fill="C6EFCE"/>
            <w:noWrap/>
            <w:vAlign w:val="center"/>
          </w:tcPr>
          <w:p w14:paraId="4F28621B" w14:textId="5BC22B15" w:rsidR="00C972CB" w:rsidRDefault="002457F6">
            <w:pPr>
              <w:pStyle w:val="P68B1DB1-Normal11"/>
              <w:spacing w:after="120"/>
              <w:rPr>
                <w:noProof/>
              </w:rPr>
            </w:pPr>
            <w:r>
              <w:rPr>
                <w:noProof/>
              </w:rPr>
              <w:t xml:space="preserve">Vismaz 365 km </w:t>
            </w:r>
            <w:r>
              <w:rPr>
                <w:noProof/>
              </w:rPr>
              <w:t>veloceliņu pabeigšana lielpilsētu teritorijās (kā noteikts pasākuma aprakstā) un vismaz 746 km tūristu veloceliņu, kā noteikts 2015. gada 28. decembra Likumā Nr. 208.</w:t>
            </w:r>
          </w:p>
        </w:tc>
      </w:tr>
      <w:tr w:rsidR="00C972CB" w14:paraId="703463F5" w14:textId="77777777">
        <w:trPr>
          <w:trHeight w:val="309"/>
          <w:jc w:val="center"/>
        </w:trPr>
        <w:tc>
          <w:tcPr>
            <w:tcW w:w="975" w:type="dxa"/>
            <w:shd w:val="clear" w:color="auto" w:fill="C6EFCE"/>
            <w:noWrap/>
            <w:vAlign w:val="center"/>
          </w:tcPr>
          <w:p w14:paraId="0838EAC3" w14:textId="77777777" w:rsidR="00C972CB" w:rsidRDefault="002457F6">
            <w:pPr>
              <w:pStyle w:val="P68B1DB1-Normal11"/>
              <w:spacing w:line="276" w:lineRule="auto"/>
              <w:jc w:val="center"/>
              <w:rPr>
                <w:noProof/>
              </w:rPr>
            </w:pPr>
            <w:r>
              <w:rPr>
                <w:noProof/>
              </w:rPr>
              <w:t>M2C2–24</w:t>
            </w:r>
          </w:p>
        </w:tc>
        <w:tc>
          <w:tcPr>
            <w:tcW w:w="1716" w:type="dxa"/>
            <w:shd w:val="clear" w:color="auto" w:fill="C6EFCE"/>
            <w:noWrap/>
            <w:vAlign w:val="center"/>
          </w:tcPr>
          <w:p w14:paraId="0A930193" w14:textId="77777777" w:rsidR="00C972CB" w:rsidRDefault="002457F6">
            <w:pPr>
              <w:pStyle w:val="P68B1DB1-Normal11"/>
              <w:spacing w:line="276" w:lineRule="auto"/>
              <w:jc w:val="center"/>
              <w:rPr>
                <w:noProof/>
              </w:rPr>
            </w:pPr>
            <w:r>
              <w:rPr>
                <w:noProof/>
              </w:rPr>
              <w:t xml:space="preserve">Ieguldījums. Ātrās masas transporta sistēmu (metro, ielu automobiļa, BRT) </w:t>
            </w:r>
            <w:r>
              <w:rPr>
                <w:noProof/>
              </w:rPr>
              <w:t>attīstība</w:t>
            </w:r>
          </w:p>
        </w:tc>
        <w:tc>
          <w:tcPr>
            <w:tcW w:w="1131" w:type="dxa"/>
            <w:shd w:val="clear" w:color="auto" w:fill="C6EFCE"/>
            <w:noWrap/>
            <w:vAlign w:val="center"/>
          </w:tcPr>
          <w:p w14:paraId="44B029DC"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3542C55F" w14:textId="31053442" w:rsidR="00C972CB" w:rsidRDefault="002457F6">
            <w:pPr>
              <w:pStyle w:val="P68B1DB1-Normal19"/>
              <w:spacing w:line="276" w:lineRule="auto"/>
              <w:jc w:val="center"/>
              <w:rPr>
                <w:noProof/>
                <w:color w:val="006100"/>
              </w:rPr>
            </w:pPr>
            <w:r>
              <w:rPr>
                <w:noProof/>
                <w:color w:val="006100"/>
              </w:rPr>
              <w:t>Visu publiskā iepirkuma līgumu slēgšanas tiesību piešķiršanametro, tramvaju, trolejbusu un trošu ceļu lielpilsētu teritoriju būvniecībai</w:t>
            </w:r>
          </w:p>
        </w:tc>
        <w:tc>
          <w:tcPr>
            <w:tcW w:w="1277" w:type="dxa"/>
            <w:shd w:val="clear" w:color="auto" w:fill="C6EFCE"/>
            <w:noWrap/>
            <w:vAlign w:val="center"/>
          </w:tcPr>
          <w:p w14:paraId="5D9AAF4B" w14:textId="77777777" w:rsidR="00C972CB" w:rsidRDefault="002457F6">
            <w:pPr>
              <w:pStyle w:val="P68B1DB1-Normal11"/>
              <w:spacing w:line="276" w:lineRule="auto"/>
              <w:jc w:val="center"/>
              <w:rPr>
                <w:noProof/>
              </w:rPr>
            </w:pPr>
            <w:r>
              <w:rPr>
                <w:noProof/>
              </w:rPr>
              <w:t>Paziņojums par visu publiskā iepirkuma līgumu slēgšanas tiesību piešķiršanu</w:t>
            </w:r>
          </w:p>
        </w:tc>
        <w:tc>
          <w:tcPr>
            <w:tcW w:w="1415" w:type="dxa"/>
            <w:shd w:val="clear" w:color="auto" w:fill="C6EFCE"/>
            <w:noWrap/>
            <w:vAlign w:val="center"/>
          </w:tcPr>
          <w:p w14:paraId="1243ABA9"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491D3CF3"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01B805DB"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0BC5524B"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2BF2AF69" w14:textId="77777777" w:rsidR="00C972CB" w:rsidRDefault="002457F6">
            <w:pPr>
              <w:pStyle w:val="P68B1DB1-Normal11"/>
              <w:spacing w:line="276" w:lineRule="auto"/>
              <w:jc w:val="center"/>
              <w:rPr>
                <w:noProof/>
              </w:rPr>
            </w:pPr>
            <w:r>
              <w:rPr>
                <w:noProof/>
              </w:rPr>
              <w:t>2023</w:t>
            </w:r>
          </w:p>
        </w:tc>
        <w:tc>
          <w:tcPr>
            <w:tcW w:w="3854" w:type="dxa"/>
            <w:shd w:val="clear" w:color="auto" w:fill="C6EFCE"/>
            <w:noWrap/>
            <w:vAlign w:val="center"/>
          </w:tcPr>
          <w:p w14:paraId="18402767" w14:textId="77777777" w:rsidR="00C972CB" w:rsidRDefault="002457F6">
            <w:pPr>
              <w:pStyle w:val="P68B1DB1-Normal11"/>
              <w:spacing w:after="120"/>
              <w:rPr>
                <w:noProof/>
              </w:rPr>
            </w:pPr>
            <w:r>
              <w:rPr>
                <w:noProof/>
              </w:rPr>
              <w:t>Paziņojums par visu publiskā iepirkuma līgumu slēgšanas tiesību piešķiršanu infrastruktūras projektu izbūvei, kā noteikts pasākuma aprakstā.</w:t>
            </w:r>
          </w:p>
        </w:tc>
      </w:tr>
      <w:tr w:rsidR="00C972CB" w14:paraId="7DB92FD0" w14:textId="77777777">
        <w:trPr>
          <w:trHeight w:val="309"/>
          <w:jc w:val="center"/>
        </w:trPr>
        <w:tc>
          <w:tcPr>
            <w:tcW w:w="975" w:type="dxa"/>
            <w:shd w:val="clear" w:color="auto" w:fill="C6EFCE"/>
            <w:noWrap/>
            <w:vAlign w:val="center"/>
          </w:tcPr>
          <w:p w14:paraId="6F81F9A4" w14:textId="77777777" w:rsidR="00C972CB" w:rsidRDefault="002457F6">
            <w:pPr>
              <w:pStyle w:val="P68B1DB1-Normal11"/>
              <w:spacing w:line="276" w:lineRule="auto"/>
              <w:jc w:val="center"/>
              <w:rPr>
                <w:noProof/>
              </w:rPr>
            </w:pPr>
            <w:r>
              <w:rPr>
                <w:noProof/>
              </w:rPr>
              <w:t>M2C2–27</w:t>
            </w:r>
          </w:p>
        </w:tc>
        <w:tc>
          <w:tcPr>
            <w:tcW w:w="1716" w:type="dxa"/>
            <w:shd w:val="clear" w:color="auto" w:fill="C6EFCE"/>
            <w:noWrap/>
            <w:vAlign w:val="center"/>
          </w:tcPr>
          <w:p w14:paraId="6852EA35" w14:textId="77777777" w:rsidR="00C972CB" w:rsidRDefault="002457F6">
            <w:pPr>
              <w:pStyle w:val="P68B1DB1-Normal11"/>
              <w:spacing w:line="276" w:lineRule="auto"/>
              <w:jc w:val="center"/>
              <w:rPr>
                <w:noProof/>
              </w:rPr>
            </w:pPr>
            <w:r>
              <w:rPr>
                <w:noProof/>
              </w:rPr>
              <w:t>Ieguldījums 4.3. Uzlādes infrastruktūru uzstādīšana</w:t>
            </w:r>
          </w:p>
        </w:tc>
        <w:tc>
          <w:tcPr>
            <w:tcW w:w="1131" w:type="dxa"/>
            <w:shd w:val="clear" w:color="auto" w:fill="C6EFCE"/>
            <w:noWrap/>
            <w:vAlign w:val="center"/>
          </w:tcPr>
          <w:p w14:paraId="4FEFE72B"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41843663" w14:textId="77777777" w:rsidR="00C972CB" w:rsidRDefault="002457F6">
            <w:pPr>
              <w:pStyle w:val="P68B1DB1-Normal11"/>
              <w:spacing w:line="276" w:lineRule="auto"/>
              <w:jc w:val="center"/>
              <w:rPr>
                <w:noProof/>
              </w:rPr>
            </w:pPr>
            <w:r>
              <w:rPr>
                <w:noProof/>
              </w:rPr>
              <w:t>Visu publiskā iepirkuma līgumu slēgšanas tiesību piešķiršana uzlādes infrastruktūras uzstādīšanai M1</w:t>
            </w:r>
          </w:p>
        </w:tc>
        <w:tc>
          <w:tcPr>
            <w:tcW w:w="1277" w:type="dxa"/>
            <w:shd w:val="clear" w:color="auto" w:fill="C6EFCE"/>
            <w:noWrap/>
            <w:vAlign w:val="center"/>
          </w:tcPr>
          <w:p w14:paraId="08273EAC" w14:textId="77777777" w:rsidR="00C972CB" w:rsidRDefault="002457F6">
            <w:pPr>
              <w:pStyle w:val="P68B1DB1-Normal11"/>
              <w:spacing w:line="276" w:lineRule="auto"/>
              <w:jc w:val="center"/>
              <w:rPr>
                <w:noProof/>
              </w:rPr>
            </w:pPr>
            <w:r>
              <w:rPr>
                <w:noProof/>
              </w:rPr>
              <w:t>Paziņojums par visu publiskā iepirkuma līgumu slēgšanas tiesību piešķiršanu uzlādes infrastruktūru ierīkošanai</w:t>
            </w:r>
          </w:p>
        </w:tc>
        <w:tc>
          <w:tcPr>
            <w:tcW w:w="1415" w:type="dxa"/>
            <w:shd w:val="clear" w:color="auto" w:fill="C6EFCE"/>
            <w:noWrap/>
            <w:vAlign w:val="center"/>
          </w:tcPr>
          <w:p w14:paraId="649C03A1"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50442BB4"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624D67AA"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4E8EC557" w14:textId="77777777" w:rsidR="00C972CB" w:rsidRDefault="002457F6">
            <w:pPr>
              <w:pStyle w:val="P68B1DB1-Normal11"/>
              <w:spacing w:line="276" w:lineRule="auto"/>
              <w:jc w:val="center"/>
              <w:rPr>
                <w:noProof/>
              </w:rPr>
            </w:pPr>
            <w:r>
              <w:rPr>
                <w:noProof/>
              </w:rPr>
              <w:t>2. CET.</w:t>
            </w:r>
          </w:p>
        </w:tc>
        <w:tc>
          <w:tcPr>
            <w:tcW w:w="709" w:type="dxa"/>
            <w:shd w:val="clear" w:color="auto" w:fill="C6EFCE"/>
            <w:noWrap/>
            <w:vAlign w:val="center"/>
          </w:tcPr>
          <w:p w14:paraId="5635799D" w14:textId="77777777" w:rsidR="00C972CB" w:rsidRDefault="002457F6">
            <w:pPr>
              <w:pStyle w:val="P68B1DB1-Normal11"/>
              <w:spacing w:line="276" w:lineRule="auto"/>
              <w:jc w:val="center"/>
              <w:rPr>
                <w:noProof/>
              </w:rPr>
            </w:pPr>
            <w:r>
              <w:rPr>
                <w:noProof/>
              </w:rPr>
              <w:t>2023</w:t>
            </w:r>
          </w:p>
        </w:tc>
        <w:tc>
          <w:tcPr>
            <w:tcW w:w="3854" w:type="dxa"/>
            <w:shd w:val="clear" w:color="auto" w:fill="C6EFCE"/>
            <w:noWrap/>
            <w:vAlign w:val="center"/>
          </w:tcPr>
          <w:p w14:paraId="5C876229" w14:textId="42E26E56" w:rsidR="00C972CB" w:rsidRDefault="002457F6">
            <w:pPr>
              <w:pStyle w:val="P68B1DB1-Normal12"/>
              <w:spacing w:after="120"/>
              <w:rPr>
                <w:rFonts w:ascii="Arial Narrow" w:hAnsi="Arial Narrow"/>
                <w:noProof/>
              </w:rPr>
            </w:pPr>
            <w:r>
              <w:rPr>
                <w:rFonts w:ascii="Arial Narrow" w:hAnsi="Arial Narrow"/>
                <w:noProof/>
              </w:rPr>
              <w:t>Paziņojums par visu publiskā iepirkuma līgumu slēgšanas tiesību piešķiršanu vismaz 4700 uzlādes staciju būvniecībaipilsētu teritorijās (visās pašvaldībās).</w:t>
            </w:r>
          </w:p>
          <w:p w14:paraId="50CDAED6" w14:textId="77777777" w:rsidR="00C972CB" w:rsidRDefault="002457F6">
            <w:pPr>
              <w:pStyle w:val="P68B1DB1-Normal11"/>
              <w:spacing w:after="120"/>
              <w:rPr>
                <w:noProof/>
              </w:rPr>
            </w:pPr>
            <w:r>
              <w:rPr>
                <w:noProof/>
              </w:rPr>
              <w:t>Projektā var iekļaut arī eksperimentālas uzlādes stacijas, kuru mērķis ir enerģijas uzkrāšana.</w:t>
            </w:r>
          </w:p>
        </w:tc>
      </w:tr>
      <w:tr w:rsidR="00C972CB" w14:paraId="6D209B5B" w14:textId="77777777">
        <w:trPr>
          <w:trHeight w:val="309"/>
          <w:jc w:val="center"/>
        </w:trPr>
        <w:tc>
          <w:tcPr>
            <w:tcW w:w="975" w:type="dxa"/>
            <w:shd w:val="clear" w:color="auto" w:fill="C6EFCE"/>
            <w:noWrap/>
            <w:vAlign w:val="center"/>
          </w:tcPr>
          <w:p w14:paraId="446C4A3B" w14:textId="77777777" w:rsidR="00C972CB" w:rsidRDefault="002457F6">
            <w:pPr>
              <w:pStyle w:val="P68B1DB1-Normal11"/>
              <w:spacing w:line="276" w:lineRule="auto"/>
              <w:jc w:val="center"/>
              <w:rPr>
                <w:noProof/>
              </w:rPr>
            </w:pPr>
            <w:r>
              <w:rPr>
                <w:noProof/>
              </w:rPr>
              <w:t>M2C2–28</w:t>
            </w:r>
          </w:p>
        </w:tc>
        <w:tc>
          <w:tcPr>
            <w:tcW w:w="1716" w:type="dxa"/>
            <w:shd w:val="clear" w:color="auto" w:fill="C6EFCE"/>
            <w:noWrap/>
            <w:vAlign w:val="center"/>
          </w:tcPr>
          <w:p w14:paraId="09688317" w14:textId="77777777" w:rsidR="00C972CB" w:rsidRDefault="002457F6">
            <w:pPr>
              <w:pStyle w:val="P68B1DB1-Normal11"/>
              <w:spacing w:line="276" w:lineRule="auto"/>
              <w:jc w:val="center"/>
              <w:rPr>
                <w:noProof/>
              </w:rPr>
            </w:pPr>
            <w:r>
              <w:rPr>
                <w:noProof/>
              </w:rPr>
              <w:t>Ieguldījums 4.3. Uzlādes infrastruktūru uzstādīšana</w:t>
            </w:r>
          </w:p>
        </w:tc>
        <w:tc>
          <w:tcPr>
            <w:tcW w:w="1131" w:type="dxa"/>
            <w:shd w:val="clear" w:color="auto" w:fill="C6EFCE"/>
            <w:noWrap/>
            <w:vAlign w:val="center"/>
          </w:tcPr>
          <w:p w14:paraId="0979D20A"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217B8474" w14:textId="77777777" w:rsidR="00C972CB" w:rsidRDefault="002457F6">
            <w:pPr>
              <w:pStyle w:val="P68B1DB1-Normal11"/>
              <w:spacing w:line="276" w:lineRule="auto"/>
              <w:jc w:val="center"/>
              <w:rPr>
                <w:noProof/>
              </w:rPr>
            </w:pPr>
            <w:r>
              <w:rPr>
                <w:noProof/>
              </w:rPr>
              <w:t>Visu publiskā iepirkuma līgumu slēgšanas tiesību piešķiršana uzlādes infrastruktūras uzstādīšanai M2</w:t>
            </w:r>
          </w:p>
        </w:tc>
        <w:tc>
          <w:tcPr>
            <w:tcW w:w="1277" w:type="dxa"/>
            <w:shd w:val="clear" w:color="auto" w:fill="C6EFCE"/>
            <w:noWrap/>
            <w:vAlign w:val="center"/>
          </w:tcPr>
          <w:p w14:paraId="1A95202C" w14:textId="77777777" w:rsidR="00C972CB" w:rsidRDefault="002457F6">
            <w:pPr>
              <w:pStyle w:val="P68B1DB1-Normal11"/>
              <w:spacing w:line="276" w:lineRule="auto"/>
              <w:jc w:val="center"/>
              <w:rPr>
                <w:noProof/>
              </w:rPr>
            </w:pPr>
            <w:r>
              <w:rPr>
                <w:noProof/>
              </w:rPr>
              <w:t xml:space="preserve">Paziņojums par visu publiskā iepirkuma līgumu slēgšanas tiesību piešķiršanu </w:t>
            </w:r>
            <w:r>
              <w:rPr>
                <w:noProof/>
              </w:rPr>
              <w:t>uzlādes infrastruktūru ierīkošanai</w:t>
            </w:r>
          </w:p>
        </w:tc>
        <w:tc>
          <w:tcPr>
            <w:tcW w:w="1415" w:type="dxa"/>
            <w:shd w:val="clear" w:color="auto" w:fill="C6EFCE"/>
            <w:noWrap/>
            <w:vAlign w:val="center"/>
          </w:tcPr>
          <w:p w14:paraId="65FFFD24"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289F4105"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008E28B9"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68BCF4C1"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34068F1E" w14:textId="77777777" w:rsidR="00C972CB" w:rsidRDefault="002457F6">
            <w:pPr>
              <w:pStyle w:val="P68B1DB1-Normal11"/>
              <w:spacing w:line="276" w:lineRule="auto"/>
              <w:jc w:val="center"/>
              <w:rPr>
                <w:noProof/>
              </w:rPr>
            </w:pPr>
            <w:r>
              <w:rPr>
                <w:noProof/>
              </w:rPr>
              <w:t>2024</w:t>
            </w:r>
          </w:p>
        </w:tc>
        <w:tc>
          <w:tcPr>
            <w:tcW w:w="3854" w:type="dxa"/>
            <w:shd w:val="clear" w:color="auto" w:fill="C6EFCE"/>
            <w:noWrap/>
            <w:vAlign w:val="center"/>
          </w:tcPr>
          <w:p w14:paraId="7AAD52A1" w14:textId="58427F7C" w:rsidR="00C972CB" w:rsidRDefault="002457F6">
            <w:pPr>
              <w:pStyle w:val="P68B1DB1-Normal12"/>
              <w:spacing w:after="120"/>
              <w:rPr>
                <w:rFonts w:ascii="Arial Narrow" w:hAnsi="Arial Narrow"/>
                <w:noProof/>
              </w:rPr>
            </w:pPr>
            <w:r>
              <w:rPr>
                <w:rFonts w:ascii="Arial Narrow" w:hAnsi="Arial Narrow"/>
                <w:noProof/>
              </w:rPr>
              <w:t>Līgumu slēgšanas tiesību piešķiršana 7500</w:t>
            </w:r>
            <w:r>
              <w:rPr>
                <w:noProof/>
              </w:rPr>
              <w:t xml:space="preserve"> </w:t>
            </w:r>
            <w:r>
              <w:rPr>
                <w:rFonts w:ascii="Arial Narrow" w:hAnsi="Arial Narrow"/>
                <w:noProof/>
              </w:rPr>
              <w:t>ātrdarbīgas uzlādes infrastruktūras punktu būvniecībai brīvceļā un vismaz 9055 staciju būvniecībai</w:t>
            </w:r>
            <w:r>
              <w:rPr>
                <w:noProof/>
              </w:rPr>
              <w:t xml:space="preserve"> </w:t>
            </w:r>
            <w:r>
              <w:rPr>
                <w:rFonts w:ascii="Arial Narrow" w:hAnsi="Arial Narrow"/>
                <w:noProof/>
              </w:rPr>
              <w:t xml:space="preserve">pilsētu teritorijās (visās </w:t>
            </w:r>
            <w:r>
              <w:rPr>
                <w:rFonts w:ascii="Arial Narrow" w:hAnsi="Arial Narrow"/>
                <w:noProof/>
              </w:rPr>
              <w:t>pašvaldībās).</w:t>
            </w:r>
          </w:p>
          <w:p w14:paraId="6647D76F" w14:textId="77777777" w:rsidR="00C972CB" w:rsidRDefault="002457F6">
            <w:pPr>
              <w:pStyle w:val="P68B1DB1-Normal11"/>
              <w:spacing w:after="120"/>
              <w:rPr>
                <w:noProof/>
              </w:rPr>
            </w:pPr>
            <w:r>
              <w:rPr>
                <w:noProof/>
              </w:rPr>
              <w:t>Projektā var iekļaut arī eksperimentālas uzlādes stacijas, kuru mērķis ir enerģijas uzkrāšana.</w:t>
            </w:r>
          </w:p>
        </w:tc>
      </w:tr>
      <w:tr w:rsidR="00C972CB" w14:paraId="048B4642" w14:textId="77777777">
        <w:trPr>
          <w:trHeight w:val="309"/>
          <w:jc w:val="center"/>
        </w:trPr>
        <w:tc>
          <w:tcPr>
            <w:tcW w:w="975" w:type="dxa"/>
            <w:shd w:val="clear" w:color="auto" w:fill="C6EFCE"/>
            <w:noWrap/>
            <w:vAlign w:val="center"/>
          </w:tcPr>
          <w:p w14:paraId="16F4F0B1" w14:textId="77777777" w:rsidR="00C972CB" w:rsidRDefault="002457F6">
            <w:pPr>
              <w:pStyle w:val="P68B1DB1-Normal11"/>
              <w:spacing w:line="276" w:lineRule="auto"/>
              <w:jc w:val="center"/>
              <w:rPr>
                <w:noProof/>
              </w:rPr>
            </w:pPr>
            <w:r>
              <w:rPr>
                <w:noProof/>
              </w:rPr>
              <w:t>M2C2–29</w:t>
            </w:r>
          </w:p>
        </w:tc>
        <w:tc>
          <w:tcPr>
            <w:tcW w:w="1716" w:type="dxa"/>
            <w:shd w:val="clear" w:color="auto" w:fill="C6EFCE"/>
            <w:noWrap/>
            <w:vAlign w:val="center"/>
          </w:tcPr>
          <w:p w14:paraId="4DC268E0" w14:textId="77777777" w:rsidR="00C972CB" w:rsidRDefault="002457F6">
            <w:pPr>
              <w:pStyle w:val="P68B1DB1-Normal11"/>
              <w:spacing w:line="276" w:lineRule="auto"/>
              <w:jc w:val="center"/>
              <w:rPr>
                <w:noProof/>
              </w:rPr>
            </w:pPr>
            <w:r>
              <w:rPr>
                <w:noProof/>
              </w:rPr>
              <w:t>Ieguldījums 4.3. Uzlādes infrastruktūru uzstādīšana</w:t>
            </w:r>
          </w:p>
        </w:tc>
        <w:tc>
          <w:tcPr>
            <w:tcW w:w="1131" w:type="dxa"/>
            <w:shd w:val="clear" w:color="auto" w:fill="C6EFCE"/>
            <w:noWrap/>
            <w:vAlign w:val="center"/>
          </w:tcPr>
          <w:p w14:paraId="363E4A85" w14:textId="77777777" w:rsidR="00C972CB" w:rsidRDefault="002457F6">
            <w:pPr>
              <w:pStyle w:val="P68B1DB1-Normal11"/>
              <w:spacing w:line="276" w:lineRule="auto"/>
              <w:jc w:val="center"/>
              <w:rPr>
                <w:noProof/>
              </w:rPr>
            </w:pPr>
            <w:r>
              <w:rPr>
                <w:noProof/>
              </w:rPr>
              <w:t>Mērķa</w:t>
            </w:r>
          </w:p>
        </w:tc>
        <w:tc>
          <w:tcPr>
            <w:tcW w:w="1418" w:type="dxa"/>
            <w:shd w:val="clear" w:color="auto" w:fill="C6EFCE"/>
            <w:noWrap/>
            <w:vAlign w:val="center"/>
          </w:tcPr>
          <w:p w14:paraId="0EBD8E6F" w14:textId="77777777" w:rsidR="00C972CB" w:rsidRDefault="002457F6">
            <w:pPr>
              <w:pStyle w:val="P68B1DB1-Normal11"/>
              <w:spacing w:line="276" w:lineRule="auto"/>
              <w:jc w:val="center"/>
              <w:rPr>
                <w:noProof/>
              </w:rPr>
            </w:pPr>
            <w:r>
              <w:rPr>
                <w:noProof/>
              </w:rPr>
              <w:t>Ātras uzlādes staciju skaits gar brīvceļiem</w:t>
            </w:r>
          </w:p>
        </w:tc>
        <w:tc>
          <w:tcPr>
            <w:tcW w:w="1277" w:type="dxa"/>
            <w:shd w:val="clear" w:color="auto" w:fill="C6EFCE"/>
            <w:noWrap/>
            <w:vAlign w:val="center"/>
          </w:tcPr>
          <w:p w14:paraId="190E020E" w14:textId="77777777" w:rsidR="00C972CB" w:rsidRDefault="002457F6">
            <w:pPr>
              <w:pStyle w:val="P68B1DB1-Normal11"/>
              <w:spacing w:line="276" w:lineRule="auto"/>
              <w:jc w:val="center"/>
              <w:rPr>
                <w:noProof/>
              </w:rPr>
            </w:pPr>
            <w:r>
              <w:rPr>
                <w:noProof/>
              </w:rPr>
              <w:t>NEPIEMĒRO</w:t>
            </w:r>
          </w:p>
        </w:tc>
        <w:tc>
          <w:tcPr>
            <w:tcW w:w="1415" w:type="dxa"/>
            <w:shd w:val="clear" w:color="auto" w:fill="C6EFCE"/>
            <w:noWrap/>
            <w:vAlign w:val="center"/>
          </w:tcPr>
          <w:p w14:paraId="4971A2BC" w14:textId="77777777" w:rsidR="00C972CB" w:rsidRDefault="002457F6">
            <w:pPr>
              <w:pStyle w:val="P68B1DB1-Normal11"/>
              <w:spacing w:line="276" w:lineRule="auto"/>
              <w:jc w:val="center"/>
              <w:rPr>
                <w:noProof/>
              </w:rPr>
            </w:pPr>
            <w:r>
              <w:rPr>
                <w:noProof/>
              </w:rPr>
              <w:t>Skaits</w:t>
            </w:r>
          </w:p>
        </w:tc>
        <w:tc>
          <w:tcPr>
            <w:tcW w:w="709" w:type="dxa"/>
            <w:shd w:val="clear" w:color="auto" w:fill="C6EFCE"/>
            <w:noWrap/>
            <w:vAlign w:val="center"/>
          </w:tcPr>
          <w:p w14:paraId="277CE35C" w14:textId="77777777" w:rsidR="00C972CB" w:rsidRDefault="002457F6">
            <w:pPr>
              <w:pStyle w:val="P68B1DB1-Normal11"/>
              <w:spacing w:line="276" w:lineRule="auto"/>
              <w:jc w:val="center"/>
              <w:rPr>
                <w:noProof/>
              </w:rPr>
            </w:pPr>
            <w:r>
              <w:rPr>
                <w:noProof/>
              </w:rPr>
              <w:t>0</w:t>
            </w:r>
          </w:p>
        </w:tc>
        <w:tc>
          <w:tcPr>
            <w:tcW w:w="1418" w:type="dxa"/>
            <w:shd w:val="clear" w:color="auto" w:fill="C6EFCE"/>
            <w:noWrap/>
            <w:vAlign w:val="center"/>
          </w:tcPr>
          <w:p w14:paraId="7D2B0AD2" w14:textId="201A5DB8" w:rsidR="00C972CB" w:rsidRDefault="002457F6">
            <w:pPr>
              <w:pStyle w:val="P68B1DB1-Normal11"/>
              <w:spacing w:line="276" w:lineRule="auto"/>
              <w:jc w:val="center"/>
              <w:rPr>
                <w:noProof/>
              </w:rPr>
            </w:pPr>
            <w:r>
              <w:rPr>
                <w:noProof/>
              </w:rPr>
              <w:t>2 500</w:t>
            </w:r>
          </w:p>
        </w:tc>
        <w:tc>
          <w:tcPr>
            <w:tcW w:w="993" w:type="dxa"/>
            <w:shd w:val="clear" w:color="auto" w:fill="C6EFCE"/>
            <w:noWrap/>
            <w:vAlign w:val="center"/>
          </w:tcPr>
          <w:p w14:paraId="774B28A6"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19636D01" w14:textId="77777777" w:rsidR="00C972CB" w:rsidRDefault="002457F6">
            <w:pPr>
              <w:pStyle w:val="P68B1DB1-Normal11"/>
              <w:spacing w:line="276" w:lineRule="auto"/>
              <w:jc w:val="center"/>
              <w:rPr>
                <w:noProof/>
              </w:rPr>
            </w:pPr>
            <w:r>
              <w:rPr>
                <w:noProof/>
              </w:rPr>
              <w:t>2025</w:t>
            </w:r>
          </w:p>
        </w:tc>
        <w:tc>
          <w:tcPr>
            <w:tcW w:w="3854" w:type="dxa"/>
            <w:shd w:val="clear" w:color="auto" w:fill="C6EFCE"/>
            <w:noWrap/>
            <w:vAlign w:val="center"/>
          </w:tcPr>
          <w:p w14:paraId="16598D37" w14:textId="45C3D92E" w:rsidR="00C972CB" w:rsidRDefault="002457F6">
            <w:pPr>
              <w:pStyle w:val="P68B1DB1-Normal12"/>
              <w:spacing w:after="120"/>
              <w:rPr>
                <w:rFonts w:ascii="Arial Narrow" w:hAnsi="Arial Narrow"/>
                <w:noProof/>
              </w:rPr>
            </w:pPr>
            <w:r>
              <w:rPr>
                <w:rFonts w:ascii="Arial Narrow" w:hAnsi="Arial Narrow"/>
                <w:noProof/>
              </w:rPr>
              <w:t>Vismaz 2500 publiskās uzlādes infrastruktūras punktu nodošana ekspluatācijāelektrotransportlīdzekļiem pa brīvceļiem, kuru jauda ir vismaz 175 kW.</w:t>
            </w:r>
          </w:p>
        </w:tc>
      </w:tr>
      <w:tr w:rsidR="00C972CB" w14:paraId="417A1A15" w14:textId="77777777">
        <w:trPr>
          <w:trHeight w:val="309"/>
          <w:jc w:val="center"/>
        </w:trPr>
        <w:tc>
          <w:tcPr>
            <w:tcW w:w="975" w:type="dxa"/>
            <w:shd w:val="clear" w:color="auto" w:fill="C6EFCE"/>
            <w:noWrap/>
            <w:vAlign w:val="center"/>
          </w:tcPr>
          <w:p w14:paraId="6E130C32" w14:textId="77777777" w:rsidR="00C972CB" w:rsidRDefault="002457F6">
            <w:pPr>
              <w:pStyle w:val="P68B1DB1-Normal11"/>
              <w:spacing w:line="276" w:lineRule="auto"/>
              <w:jc w:val="center"/>
              <w:rPr>
                <w:noProof/>
              </w:rPr>
            </w:pPr>
            <w:r>
              <w:rPr>
                <w:noProof/>
              </w:rPr>
              <w:t>M2C2–29.bis</w:t>
            </w:r>
          </w:p>
        </w:tc>
        <w:tc>
          <w:tcPr>
            <w:tcW w:w="1716" w:type="dxa"/>
            <w:shd w:val="clear" w:color="auto" w:fill="C6EFCE"/>
            <w:noWrap/>
            <w:vAlign w:val="center"/>
          </w:tcPr>
          <w:p w14:paraId="6BC7B92C" w14:textId="77777777" w:rsidR="00C972CB" w:rsidRDefault="002457F6">
            <w:pPr>
              <w:pStyle w:val="P68B1DB1-Normal11"/>
              <w:spacing w:line="276" w:lineRule="auto"/>
              <w:jc w:val="center"/>
              <w:rPr>
                <w:noProof/>
              </w:rPr>
            </w:pPr>
            <w:r>
              <w:rPr>
                <w:noProof/>
              </w:rPr>
              <w:t>Ieguldījums 4.3. Uzlādes infrastruktūru uzstādīšana</w:t>
            </w:r>
          </w:p>
        </w:tc>
        <w:tc>
          <w:tcPr>
            <w:tcW w:w="1131" w:type="dxa"/>
            <w:shd w:val="clear" w:color="auto" w:fill="C6EFCE"/>
            <w:noWrap/>
            <w:vAlign w:val="center"/>
          </w:tcPr>
          <w:p w14:paraId="6817B31C" w14:textId="77777777" w:rsidR="00C972CB" w:rsidRDefault="002457F6">
            <w:pPr>
              <w:pStyle w:val="P68B1DB1-Normal11"/>
              <w:spacing w:line="276" w:lineRule="auto"/>
              <w:jc w:val="center"/>
              <w:rPr>
                <w:noProof/>
              </w:rPr>
            </w:pPr>
            <w:r>
              <w:rPr>
                <w:noProof/>
              </w:rPr>
              <w:t>Mērķa</w:t>
            </w:r>
          </w:p>
        </w:tc>
        <w:tc>
          <w:tcPr>
            <w:tcW w:w="1418" w:type="dxa"/>
            <w:shd w:val="clear" w:color="auto" w:fill="C6EFCE"/>
            <w:noWrap/>
            <w:vAlign w:val="center"/>
          </w:tcPr>
          <w:p w14:paraId="703F2930" w14:textId="77777777" w:rsidR="00C972CB" w:rsidRDefault="002457F6">
            <w:pPr>
              <w:pStyle w:val="P68B1DB1-Normal11"/>
              <w:spacing w:line="276" w:lineRule="auto"/>
              <w:jc w:val="center"/>
              <w:rPr>
                <w:noProof/>
              </w:rPr>
            </w:pPr>
            <w:r>
              <w:rPr>
                <w:noProof/>
              </w:rPr>
              <w:t xml:space="preserve">Ātrās uzlādes staciju skaits </w:t>
            </w:r>
            <w:r>
              <w:rPr>
                <w:noProof/>
              </w:rPr>
              <w:t>pilsētu teritorijās</w:t>
            </w:r>
          </w:p>
        </w:tc>
        <w:tc>
          <w:tcPr>
            <w:tcW w:w="1277" w:type="dxa"/>
            <w:shd w:val="clear" w:color="auto" w:fill="C6EFCE"/>
            <w:noWrap/>
            <w:vAlign w:val="center"/>
          </w:tcPr>
          <w:p w14:paraId="421C057B" w14:textId="77777777" w:rsidR="00C972CB" w:rsidRDefault="002457F6">
            <w:pPr>
              <w:pStyle w:val="P68B1DB1-Normal11"/>
              <w:spacing w:line="276" w:lineRule="auto"/>
              <w:jc w:val="center"/>
              <w:rPr>
                <w:noProof/>
              </w:rPr>
            </w:pPr>
            <w:r>
              <w:rPr>
                <w:noProof/>
              </w:rPr>
              <w:t>NEPIEMĒRO</w:t>
            </w:r>
          </w:p>
        </w:tc>
        <w:tc>
          <w:tcPr>
            <w:tcW w:w="1415" w:type="dxa"/>
            <w:shd w:val="clear" w:color="auto" w:fill="C6EFCE"/>
            <w:noWrap/>
            <w:vAlign w:val="center"/>
          </w:tcPr>
          <w:p w14:paraId="480B2104" w14:textId="77777777" w:rsidR="00C972CB" w:rsidRDefault="002457F6">
            <w:pPr>
              <w:pStyle w:val="P68B1DB1-Normal11"/>
              <w:spacing w:line="276" w:lineRule="auto"/>
              <w:jc w:val="center"/>
              <w:rPr>
                <w:noProof/>
              </w:rPr>
            </w:pPr>
            <w:r>
              <w:rPr>
                <w:noProof/>
              </w:rPr>
              <w:t>Skaits</w:t>
            </w:r>
          </w:p>
        </w:tc>
        <w:tc>
          <w:tcPr>
            <w:tcW w:w="709" w:type="dxa"/>
            <w:shd w:val="clear" w:color="auto" w:fill="C6EFCE"/>
            <w:noWrap/>
            <w:vAlign w:val="center"/>
          </w:tcPr>
          <w:p w14:paraId="6DFE6E6B" w14:textId="77777777" w:rsidR="00C972CB" w:rsidRDefault="002457F6">
            <w:pPr>
              <w:pStyle w:val="P68B1DB1-Normal11"/>
              <w:spacing w:line="276" w:lineRule="auto"/>
              <w:jc w:val="center"/>
              <w:rPr>
                <w:noProof/>
              </w:rPr>
            </w:pPr>
            <w:r>
              <w:rPr>
                <w:noProof/>
              </w:rPr>
              <w:t>0</w:t>
            </w:r>
          </w:p>
        </w:tc>
        <w:tc>
          <w:tcPr>
            <w:tcW w:w="1418" w:type="dxa"/>
            <w:shd w:val="clear" w:color="auto" w:fill="C6EFCE"/>
            <w:noWrap/>
            <w:vAlign w:val="center"/>
          </w:tcPr>
          <w:p w14:paraId="54DEE226" w14:textId="4D345AB5" w:rsidR="00C972CB" w:rsidRDefault="002457F6">
            <w:pPr>
              <w:pStyle w:val="P68B1DB1-Normal11"/>
              <w:spacing w:line="276" w:lineRule="auto"/>
              <w:jc w:val="center"/>
              <w:rPr>
                <w:noProof/>
              </w:rPr>
            </w:pPr>
            <w:r>
              <w:rPr>
                <w:noProof/>
              </w:rPr>
              <w:t>4 700</w:t>
            </w:r>
          </w:p>
        </w:tc>
        <w:tc>
          <w:tcPr>
            <w:tcW w:w="993" w:type="dxa"/>
            <w:shd w:val="clear" w:color="auto" w:fill="C6EFCE"/>
            <w:noWrap/>
            <w:vAlign w:val="center"/>
          </w:tcPr>
          <w:p w14:paraId="0596BF93"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03400FDF" w14:textId="77777777" w:rsidR="00C972CB" w:rsidRDefault="002457F6">
            <w:pPr>
              <w:pStyle w:val="P68B1DB1-Normal11"/>
              <w:spacing w:line="276" w:lineRule="auto"/>
              <w:jc w:val="center"/>
              <w:rPr>
                <w:noProof/>
              </w:rPr>
            </w:pPr>
            <w:r>
              <w:rPr>
                <w:noProof/>
              </w:rPr>
              <w:t>2025</w:t>
            </w:r>
          </w:p>
        </w:tc>
        <w:tc>
          <w:tcPr>
            <w:tcW w:w="3854" w:type="dxa"/>
            <w:shd w:val="clear" w:color="auto" w:fill="C6EFCE"/>
            <w:noWrap/>
            <w:vAlign w:val="center"/>
          </w:tcPr>
          <w:p w14:paraId="4BAD8A98" w14:textId="22DB8CA6" w:rsidR="00C972CB" w:rsidRDefault="002457F6">
            <w:pPr>
              <w:pStyle w:val="P68B1DB1-Normal12"/>
              <w:spacing w:after="120"/>
              <w:rPr>
                <w:rFonts w:ascii="Arial Narrow" w:hAnsi="Arial Narrow"/>
                <w:noProof/>
              </w:rPr>
            </w:pPr>
            <w:r>
              <w:rPr>
                <w:rFonts w:ascii="Arial Narrow" w:hAnsi="Arial Narrow"/>
                <w:noProof/>
              </w:rPr>
              <w:t>Sāk ekspluatēt vismaz 4700</w:t>
            </w:r>
            <w:r>
              <w:rPr>
                <w:noProof/>
              </w:rPr>
              <w:t xml:space="preserve"> </w:t>
            </w:r>
            <w:r>
              <w:rPr>
                <w:rFonts w:ascii="Arial Narrow" w:hAnsi="Arial Narrow"/>
                <w:noProof/>
              </w:rPr>
              <w:t>ātrdarbīgas uzlādes infrastruktūras punktus elektrotransportlīdzekļiem ar jaudu vismaz 90 kW pilsētu teritorijās (visās pašvaldībās).</w:t>
            </w:r>
          </w:p>
          <w:p w14:paraId="5BAAC5FB" w14:textId="77777777" w:rsidR="00C972CB" w:rsidRDefault="002457F6">
            <w:pPr>
              <w:pStyle w:val="P68B1DB1-Normal11"/>
              <w:spacing w:after="120"/>
              <w:rPr>
                <w:noProof/>
              </w:rPr>
            </w:pPr>
            <w:r>
              <w:rPr>
                <w:noProof/>
              </w:rPr>
              <w:t xml:space="preserve">Projektā var iekļaut arī </w:t>
            </w:r>
            <w:r>
              <w:rPr>
                <w:noProof/>
              </w:rPr>
              <w:t>eksperimentālas uzlādes stacijas, kuru mērķis ir enerģijas uzkrāšana.</w:t>
            </w:r>
          </w:p>
        </w:tc>
      </w:tr>
      <w:tr w:rsidR="00C972CB" w14:paraId="3683DFC7" w14:textId="77777777">
        <w:trPr>
          <w:trHeight w:val="309"/>
          <w:jc w:val="center"/>
        </w:trPr>
        <w:tc>
          <w:tcPr>
            <w:tcW w:w="975" w:type="dxa"/>
            <w:shd w:val="clear" w:color="auto" w:fill="C6EFCE"/>
            <w:noWrap/>
            <w:vAlign w:val="center"/>
          </w:tcPr>
          <w:p w14:paraId="044760B0" w14:textId="77777777" w:rsidR="00C972CB" w:rsidRDefault="002457F6">
            <w:pPr>
              <w:pStyle w:val="P68B1DB1-Normal11"/>
              <w:spacing w:line="276" w:lineRule="auto"/>
              <w:jc w:val="center"/>
              <w:rPr>
                <w:noProof/>
              </w:rPr>
            </w:pPr>
            <w:r>
              <w:rPr>
                <w:noProof/>
              </w:rPr>
              <w:t>M2C2–30</w:t>
            </w:r>
          </w:p>
        </w:tc>
        <w:tc>
          <w:tcPr>
            <w:tcW w:w="1716" w:type="dxa"/>
            <w:shd w:val="clear" w:color="auto" w:fill="C6EFCE"/>
            <w:noWrap/>
            <w:vAlign w:val="center"/>
          </w:tcPr>
          <w:p w14:paraId="4154F73C" w14:textId="77777777" w:rsidR="00C972CB" w:rsidRDefault="002457F6">
            <w:pPr>
              <w:pStyle w:val="P68B1DB1-Normal11"/>
              <w:spacing w:line="276" w:lineRule="auto"/>
              <w:jc w:val="center"/>
              <w:rPr>
                <w:noProof/>
              </w:rPr>
            </w:pPr>
            <w:r>
              <w:rPr>
                <w:noProof/>
              </w:rPr>
              <w:t>Ieguldījums 4.3. Uzlādes infrastruktūru uzstādīšana</w:t>
            </w:r>
          </w:p>
        </w:tc>
        <w:tc>
          <w:tcPr>
            <w:tcW w:w="1131" w:type="dxa"/>
            <w:shd w:val="clear" w:color="auto" w:fill="C6EFCE"/>
            <w:noWrap/>
            <w:vAlign w:val="center"/>
          </w:tcPr>
          <w:p w14:paraId="739D9495" w14:textId="77777777" w:rsidR="00C972CB" w:rsidRDefault="002457F6">
            <w:pPr>
              <w:pStyle w:val="P68B1DB1-Normal11"/>
              <w:spacing w:line="276" w:lineRule="auto"/>
              <w:jc w:val="center"/>
              <w:rPr>
                <w:noProof/>
              </w:rPr>
            </w:pPr>
            <w:r>
              <w:rPr>
                <w:noProof/>
              </w:rPr>
              <w:t>Mērķa</w:t>
            </w:r>
          </w:p>
        </w:tc>
        <w:tc>
          <w:tcPr>
            <w:tcW w:w="1418" w:type="dxa"/>
            <w:shd w:val="clear" w:color="auto" w:fill="C6EFCE"/>
            <w:noWrap/>
            <w:vAlign w:val="center"/>
          </w:tcPr>
          <w:p w14:paraId="7F5A0585" w14:textId="77777777" w:rsidR="00C972CB" w:rsidRDefault="002457F6">
            <w:pPr>
              <w:pStyle w:val="P68B1DB1-Normal11"/>
              <w:spacing w:line="276" w:lineRule="auto"/>
              <w:jc w:val="center"/>
              <w:rPr>
                <w:noProof/>
              </w:rPr>
            </w:pPr>
            <w:r>
              <w:rPr>
                <w:noProof/>
              </w:rPr>
              <w:t>Ātras uzlādes staciju skaits gar brīvceļiem</w:t>
            </w:r>
          </w:p>
        </w:tc>
        <w:tc>
          <w:tcPr>
            <w:tcW w:w="1277" w:type="dxa"/>
            <w:shd w:val="clear" w:color="auto" w:fill="C6EFCE"/>
            <w:noWrap/>
            <w:vAlign w:val="center"/>
          </w:tcPr>
          <w:p w14:paraId="3B92C703" w14:textId="77777777" w:rsidR="00C972CB" w:rsidRDefault="00C972CB">
            <w:pPr>
              <w:spacing w:line="276" w:lineRule="auto"/>
              <w:jc w:val="center"/>
              <w:rPr>
                <w:rFonts w:ascii="Arial Narrow" w:hAnsi="Arial Narrow"/>
                <w:noProof/>
                <w:color w:val="006100"/>
                <w:sz w:val="20"/>
              </w:rPr>
            </w:pPr>
          </w:p>
        </w:tc>
        <w:tc>
          <w:tcPr>
            <w:tcW w:w="1415" w:type="dxa"/>
            <w:shd w:val="clear" w:color="auto" w:fill="C6EFCE"/>
            <w:noWrap/>
            <w:vAlign w:val="center"/>
          </w:tcPr>
          <w:p w14:paraId="08E99622" w14:textId="77777777" w:rsidR="00C972CB" w:rsidRDefault="002457F6">
            <w:pPr>
              <w:pStyle w:val="P68B1DB1-Normal11"/>
              <w:spacing w:line="276" w:lineRule="auto"/>
              <w:jc w:val="center"/>
              <w:rPr>
                <w:noProof/>
              </w:rPr>
            </w:pPr>
            <w:r>
              <w:rPr>
                <w:noProof/>
              </w:rPr>
              <w:t>Skaits</w:t>
            </w:r>
          </w:p>
        </w:tc>
        <w:tc>
          <w:tcPr>
            <w:tcW w:w="709" w:type="dxa"/>
            <w:shd w:val="clear" w:color="auto" w:fill="C6EFCE"/>
            <w:noWrap/>
            <w:vAlign w:val="center"/>
          </w:tcPr>
          <w:p w14:paraId="04315A3E" w14:textId="77777777" w:rsidR="00C972CB" w:rsidRDefault="002457F6">
            <w:pPr>
              <w:pStyle w:val="P68B1DB1-Normal11"/>
              <w:spacing w:line="276" w:lineRule="auto"/>
              <w:jc w:val="center"/>
              <w:rPr>
                <w:noProof/>
              </w:rPr>
            </w:pPr>
            <w:r>
              <w:rPr>
                <w:noProof/>
              </w:rPr>
              <w:t>2 500</w:t>
            </w:r>
          </w:p>
        </w:tc>
        <w:tc>
          <w:tcPr>
            <w:tcW w:w="1418" w:type="dxa"/>
            <w:shd w:val="clear" w:color="auto" w:fill="C6EFCE"/>
            <w:noWrap/>
            <w:vAlign w:val="center"/>
          </w:tcPr>
          <w:p w14:paraId="745F9F5D" w14:textId="552E153B" w:rsidR="00C972CB" w:rsidRDefault="002457F6">
            <w:pPr>
              <w:pStyle w:val="P68B1DB1-Normal11"/>
              <w:spacing w:line="276" w:lineRule="auto"/>
              <w:jc w:val="center"/>
              <w:rPr>
                <w:noProof/>
              </w:rPr>
            </w:pPr>
            <w:r>
              <w:rPr>
                <w:noProof/>
              </w:rPr>
              <w:t>7 500</w:t>
            </w:r>
          </w:p>
        </w:tc>
        <w:tc>
          <w:tcPr>
            <w:tcW w:w="993" w:type="dxa"/>
            <w:shd w:val="clear" w:color="auto" w:fill="C6EFCE"/>
            <w:noWrap/>
            <w:vAlign w:val="center"/>
          </w:tcPr>
          <w:p w14:paraId="13719E63"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08D5E926" w14:textId="77777777" w:rsidR="00C972CB" w:rsidRDefault="002457F6">
            <w:pPr>
              <w:pStyle w:val="P68B1DB1-Normal11"/>
              <w:spacing w:line="276" w:lineRule="auto"/>
              <w:jc w:val="center"/>
              <w:rPr>
                <w:noProof/>
              </w:rPr>
            </w:pPr>
            <w:r>
              <w:rPr>
                <w:noProof/>
              </w:rPr>
              <w:t>2025</w:t>
            </w:r>
          </w:p>
        </w:tc>
        <w:tc>
          <w:tcPr>
            <w:tcW w:w="3854" w:type="dxa"/>
            <w:shd w:val="clear" w:color="auto" w:fill="C6EFCE"/>
            <w:noWrap/>
            <w:vAlign w:val="center"/>
          </w:tcPr>
          <w:p w14:paraId="115E1E97" w14:textId="779ED7F3" w:rsidR="00C972CB" w:rsidRDefault="002457F6">
            <w:pPr>
              <w:pStyle w:val="P68B1DB1-Normal12"/>
              <w:spacing w:after="120"/>
              <w:rPr>
                <w:rFonts w:ascii="Arial Narrow" w:hAnsi="Arial Narrow"/>
                <w:noProof/>
              </w:rPr>
            </w:pPr>
            <w:r>
              <w:rPr>
                <w:rFonts w:ascii="Arial Narrow" w:hAnsi="Arial Narrow"/>
                <w:noProof/>
              </w:rPr>
              <w:t>Vismaz 7500</w:t>
            </w:r>
            <w:r>
              <w:rPr>
                <w:noProof/>
              </w:rPr>
              <w:t xml:space="preserve"> </w:t>
            </w:r>
            <w:r>
              <w:rPr>
                <w:rFonts w:ascii="Arial Narrow" w:hAnsi="Arial Narrow"/>
                <w:noProof/>
              </w:rPr>
              <w:t xml:space="preserve">ātrdarbīgas publiskās uzlādes </w:t>
            </w:r>
            <w:r>
              <w:rPr>
                <w:rFonts w:ascii="Arial Narrow" w:hAnsi="Arial Narrow"/>
                <w:noProof/>
              </w:rPr>
              <w:t>infrastruktūras punktu ieviešana elektrotransportlīdzekļiem pa brīvceļiem, kuru jauda ir vismaz 175 kW.</w:t>
            </w:r>
          </w:p>
          <w:p w14:paraId="62C83AC7" w14:textId="77777777" w:rsidR="00C972CB" w:rsidRDefault="002457F6">
            <w:pPr>
              <w:pStyle w:val="P68B1DB1-Normal11"/>
              <w:spacing w:after="120"/>
              <w:rPr>
                <w:noProof/>
              </w:rPr>
            </w:pPr>
            <w:r>
              <w:rPr>
                <w:noProof/>
              </w:rPr>
              <w:t>Projektā var iekļaut arī eksperimentālas uzlādes stacijas, kuru mērķis ir enerģijas uzkrāšana.</w:t>
            </w:r>
          </w:p>
        </w:tc>
      </w:tr>
      <w:tr w:rsidR="00C972CB" w14:paraId="0EB5CCED" w14:textId="77777777">
        <w:trPr>
          <w:trHeight w:val="309"/>
          <w:jc w:val="center"/>
        </w:trPr>
        <w:tc>
          <w:tcPr>
            <w:tcW w:w="975" w:type="dxa"/>
            <w:shd w:val="clear" w:color="auto" w:fill="C6EFCE"/>
            <w:noWrap/>
            <w:vAlign w:val="center"/>
          </w:tcPr>
          <w:p w14:paraId="7C2C95F4" w14:textId="77777777" w:rsidR="00C972CB" w:rsidRDefault="002457F6">
            <w:pPr>
              <w:pStyle w:val="P68B1DB1-Normal11"/>
              <w:spacing w:line="276" w:lineRule="auto"/>
              <w:jc w:val="center"/>
              <w:rPr>
                <w:noProof/>
              </w:rPr>
            </w:pPr>
            <w:r>
              <w:rPr>
                <w:noProof/>
              </w:rPr>
              <w:t>M2C2–30bis</w:t>
            </w:r>
          </w:p>
        </w:tc>
        <w:tc>
          <w:tcPr>
            <w:tcW w:w="1716" w:type="dxa"/>
            <w:shd w:val="clear" w:color="auto" w:fill="C6EFCE"/>
            <w:noWrap/>
            <w:vAlign w:val="center"/>
          </w:tcPr>
          <w:p w14:paraId="5581A87A" w14:textId="77777777" w:rsidR="00C972CB" w:rsidRDefault="002457F6">
            <w:pPr>
              <w:pStyle w:val="P68B1DB1-Normal11"/>
              <w:spacing w:line="276" w:lineRule="auto"/>
              <w:jc w:val="center"/>
              <w:rPr>
                <w:noProof/>
              </w:rPr>
            </w:pPr>
            <w:r>
              <w:rPr>
                <w:noProof/>
              </w:rPr>
              <w:t xml:space="preserve">Ieguldījums 4.3. Uzlādes infrastruktūru </w:t>
            </w:r>
            <w:r>
              <w:rPr>
                <w:noProof/>
              </w:rPr>
              <w:t>uzstādīšana</w:t>
            </w:r>
          </w:p>
        </w:tc>
        <w:tc>
          <w:tcPr>
            <w:tcW w:w="1131" w:type="dxa"/>
            <w:shd w:val="clear" w:color="auto" w:fill="C6EFCE"/>
            <w:noWrap/>
            <w:vAlign w:val="center"/>
          </w:tcPr>
          <w:p w14:paraId="6A292D74" w14:textId="77777777" w:rsidR="00C972CB" w:rsidRDefault="002457F6">
            <w:pPr>
              <w:pStyle w:val="P68B1DB1-Normal11"/>
              <w:spacing w:line="276" w:lineRule="auto"/>
              <w:jc w:val="center"/>
              <w:rPr>
                <w:noProof/>
              </w:rPr>
            </w:pPr>
            <w:r>
              <w:rPr>
                <w:noProof/>
              </w:rPr>
              <w:t>Mērķa</w:t>
            </w:r>
          </w:p>
        </w:tc>
        <w:tc>
          <w:tcPr>
            <w:tcW w:w="1418" w:type="dxa"/>
            <w:shd w:val="clear" w:color="auto" w:fill="C6EFCE"/>
            <w:noWrap/>
            <w:vAlign w:val="center"/>
          </w:tcPr>
          <w:p w14:paraId="48C1B2E0" w14:textId="77777777" w:rsidR="00C972CB" w:rsidRDefault="002457F6">
            <w:pPr>
              <w:pStyle w:val="P68B1DB1-Normal11"/>
              <w:spacing w:line="276" w:lineRule="auto"/>
              <w:jc w:val="center"/>
              <w:rPr>
                <w:noProof/>
              </w:rPr>
            </w:pPr>
            <w:r>
              <w:rPr>
                <w:noProof/>
              </w:rPr>
              <w:t>Ātrās uzlādes staciju skaits pilsētu teritorijās</w:t>
            </w:r>
          </w:p>
        </w:tc>
        <w:tc>
          <w:tcPr>
            <w:tcW w:w="1277" w:type="dxa"/>
            <w:shd w:val="clear" w:color="auto" w:fill="C6EFCE"/>
            <w:noWrap/>
            <w:vAlign w:val="center"/>
          </w:tcPr>
          <w:p w14:paraId="49F81F41" w14:textId="77777777" w:rsidR="00C972CB" w:rsidRDefault="00C972CB">
            <w:pPr>
              <w:spacing w:line="276" w:lineRule="auto"/>
              <w:jc w:val="center"/>
              <w:rPr>
                <w:rFonts w:ascii="Arial Narrow" w:hAnsi="Arial Narrow"/>
                <w:noProof/>
                <w:color w:val="006100"/>
                <w:sz w:val="20"/>
              </w:rPr>
            </w:pPr>
          </w:p>
        </w:tc>
        <w:tc>
          <w:tcPr>
            <w:tcW w:w="1415" w:type="dxa"/>
            <w:shd w:val="clear" w:color="auto" w:fill="C6EFCE"/>
            <w:noWrap/>
            <w:vAlign w:val="center"/>
          </w:tcPr>
          <w:p w14:paraId="4ED3DF52" w14:textId="77777777" w:rsidR="00C972CB" w:rsidRDefault="002457F6">
            <w:pPr>
              <w:pStyle w:val="P68B1DB1-Normal11"/>
              <w:spacing w:line="276" w:lineRule="auto"/>
              <w:jc w:val="center"/>
              <w:rPr>
                <w:noProof/>
              </w:rPr>
            </w:pPr>
            <w:r>
              <w:rPr>
                <w:noProof/>
              </w:rPr>
              <w:t>Skaits</w:t>
            </w:r>
          </w:p>
        </w:tc>
        <w:tc>
          <w:tcPr>
            <w:tcW w:w="709" w:type="dxa"/>
            <w:shd w:val="clear" w:color="auto" w:fill="C6EFCE"/>
            <w:noWrap/>
            <w:vAlign w:val="center"/>
          </w:tcPr>
          <w:p w14:paraId="312B3D68" w14:textId="40DD1C0E" w:rsidR="00C972CB" w:rsidRDefault="002457F6">
            <w:pPr>
              <w:pStyle w:val="P68B1DB1-Normal11"/>
              <w:spacing w:line="276" w:lineRule="auto"/>
              <w:jc w:val="center"/>
              <w:rPr>
                <w:noProof/>
              </w:rPr>
            </w:pPr>
            <w:r>
              <w:rPr>
                <w:noProof/>
              </w:rPr>
              <w:t>4 700</w:t>
            </w:r>
          </w:p>
        </w:tc>
        <w:tc>
          <w:tcPr>
            <w:tcW w:w="1418" w:type="dxa"/>
            <w:shd w:val="clear" w:color="auto" w:fill="C6EFCE"/>
            <w:noWrap/>
            <w:vAlign w:val="center"/>
          </w:tcPr>
          <w:p w14:paraId="62DF98D8" w14:textId="3D190BA7" w:rsidR="00C972CB" w:rsidRDefault="002457F6">
            <w:pPr>
              <w:pStyle w:val="P68B1DB1-Normal11"/>
              <w:spacing w:line="276" w:lineRule="auto"/>
              <w:jc w:val="center"/>
              <w:rPr>
                <w:noProof/>
              </w:rPr>
            </w:pPr>
            <w:r>
              <w:rPr>
                <w:noProof/>
              </w:rPr>
              <w:t>13 755</w:t>
            </w:r>
          </w:p>
        </w:tc>
        <w:tc>
          <w:tcPr>
            <w:tcW w:w="993" w:type="dxa"/>
            <w:shd w:val="clear" w:color="auto" w:fill="C6EFCE"/>
            <w:noWrap/>
            <w:vAlign w:val="center"/>
          </w:tcPr>
          <w:p w14:paraId="36F77D0C"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4F850263" w14:textId="77777777" w:rsidR="00C972CB" w:rsidRDefault="002457F6">
            <w:pPr>
              <w:pStyle w:val="P68B1DB1-Normal11"/>
              <w:spacing w:line="276" w:lineRule="auto"/>
              <w:jc w:val="center"/>
              <w:rPr>
                <w:noProof/>
              </w:rPr>
            </w:pPr>
            <w:r>
              <w:rPr>
                <w:noProof/>
              </w:rPr>
              <w:t>2025</w:t>
            </w:r>
          </w:p>
        </w:tc>
        <w:tc>
          <w:tcPr>
            <w:tcW w:w="3854" w:type="dxa"/>
            <w:shd w:val="clear" w:color="auto" w:fill="C6EFCE"/>
            <w:noWrap/>
            <w:vAlign w:val="center"/>
          </w:tcPr>
          <w:p w14:paraId="3CB95F50" w14:textId="6AED3541" w:rsidR="00C972CB" w:rsidRDefault="002457F6">
            <w:pPr>
              <w:pStyle w:val="P68B1DB1-Normal26"/>
              <w:spacing w:after="120"/>
              <w:rPr>
                <w:rFonts w:ascii="Arial Narrow" w:hAnsi="Arial Narrow"/>
                <w:noProof/>
                <w:color w:val="006100"/>
              </w:rPr>
            </w:pPr>
            <w:r>
              <w:rPr>
                <w:rFonts w:ascii="Arial Narrow" w:hAnsi="Arial Narrow"/>
                <w:noProof/>
                <w:color w:val="006100"/>
              </w:rPr>
              <w:t>Sāk ekspluatēt vismaz 13755 elektrotransportlīdzekļu</w:t>
            </w:r>
            <w:r>
              <w:rPr>
                <w:noProof/>
                <w:color w:val="006100"/>
              </w:rPr>
              <w:t xml:space="preserve"> </w:t>
            </w:r>
            <w:r>
              <w:rPr>
                <w:rFonts w:ascii="Arial Narrow" w:hAnsi="Arial Narrow"/>
                <w:noProof/>
              </w:rPr>
              <w:t xml:space="preserve"> </w:t>
            </w:r>
            <w:r>
              <w:rPr>
                <w:rFonts w:ascii="Arial Narrow" w:hAnsi="Arial Narrow"/>
                <w:noProof/>
                <w:color w:val="006100"/>
              </w:rPr>
              <w:t>ātrās</w:t>
            </w:r>
            <w:r>
              <w:rPr>
                <w:rFonts w:ascii="Arial Narrow" w:hAnsi="Arial Narrow"/>
                <w:noProof/>
              </w:rPr>
              <w:t>uzlādes infrastruktūras punktus, kuru jauda ir vismaz 90 kW.</w:t>
            </w:r>
          </w:p>
          <w:p w14:paraId="2E8A679D" w14:textId="2920EA5D" w:rsidR="00C972CB" w:rsidRDefault="002457F6">
            <w:pPr>
              <w:pStyle w:val="P68B1DB1-Normal11"/>
              <w:spacing w:after="120"/>
              <w:rPr>
                <w:noProof/>
              </w:rPr>
            </w:pPr>
            <w:r>
              <w:rPr>
                <w:noProof/>
              </w:rPr>
              <w:t xml:space="preserve">Projektā var iekļaut arī </w:t>
            </w:r>
            <w:r>
              <w:rPr>
                <w:noProof/>
              </w:rPr>
              <w:t>eksperimentālas uzlādes stacijas, kuru mērķis ir enerģijas uzkrāšana.</w:t>
            </w:r>
          </w:p>
        </w:tc>
      </w:tr>
      <w:tr w:rsidR="00C972CB" w14:paraId="4E68330F" w14:textId="77777777">
        <w:trPr>
          <w:trHeight w:val="309"/>
          <w:jc w:val="center"/>
        </w:trPr>
        <w:tc>
          <w:tcPr>
            <w:tcW w:w="975" w:type="dxa"/>
            <w:shd w:val="clear" w:color="auto" w:fill="C6EFCE"/>
            <w:noWrap/>
            <w:vAlign w:val="center"/>
          </w:tcPr>
          <w:p w14:paraId="6F83603C" w14:textId="77777777" w:rsidR="00C972CB" w:rsidRDefault="002457F6">
            <w:pPr>
              <w:pStyle w:val="P68B1DB1-Normal11"/>
              <w:spacing w:line="276" w:lineRule="auto"/>
              <w:jc w:val="center"/>
              <w:rPr>
                <w:noProof/>
              </w:rPr>
            </w:pPr>
            <w:r>
              <w:rPr>
                <w:noProof/>
              </w:rPr>
              <w:t>M2C2–30ter</w:t>
            </w:r>
          </w:p>
        </w:tc>
        <w:tc>
          <w:tcPr>
            <w:tcW w:w="1716" w:type="dxa"/>
            <w:shd w:val="clear" w:color="auto" w:fill="C6EFCE"/>
            <w:noWrap/>
            <w:vAlign w:val="center"/>
          </w:tcPr>
          <w:p w14:paraId="1E0FCA38" w14:textId="77777777" w:rsidR="00C972CB" w:rsidRDefault="002457F6">
            <w:pPr>
              <w:pStyle w:val="P68B1DB1-Normal11"/>
              <w:spacing w:line="276" w:lineRule="auto"/>
              <w:jc w:val="center"/>
              <w:rPr>
                <w:noProof/>
              </w:rPr>
            </w:pPr>
            <w:r>
              <w:rPr>
                <w:noProof/>
              </w:rPr>
              <w:t>Ieguldījums 4.3. Uzlādes infrastruktūru uzstādīšana</w:t>
            </w:r>
          </w:p>
        </w:tc>
        <w:tc>
          <w:tcPr>
            <w:tcW w:w="1131" w:type="dxa"/>
            <w:shd w:val="clear" w:color="auto" w:fill="C6EFCE"/>
            <w:noWrap/>
            <w:vAlign w:val="center"/>
          </w:tcPr>
          <w:p w14:paraId="5ECD99E3" w14:textId="77777777" w:rsidR="00C972CB" w:rsidRDefault="002457F6">
            <w:pPr>
              <w:pStyle w:val="P68B1DB1-Normal11"/>
              <w:spacing w:line="276" w:lineRule="auto"/>
              <w:jc w:val="center"/>
              <w:rPr>
                <w:noProof/>
              </w:rPr>
            </w:pPr>
            <w:r>
              <w:rPr>
                <w:noProof/>
              </w:rPr>
              <w:t>Mērķa</w:t>
            </w:r>
          </w:p>
        </w:tc>
        <w:tc>
          <w:tcPr>
            <w:tcW w:w="1418" w:type="dxa"/>
            <w:shd w:val="clear" w:color="auto" w:fill="C6EFCE"/>
            <w:noWrap/>
            <w:vAlign w:val="center"/>
          </w:tcPr>
          <w:p w14:paraId="1095879D" w14:textId="77777777" w:rsidR="00C972CB" w:rsidRDefault="002457F6">
            <w:pPr>
              <w:pStyle w:val="P68B1DB1-Normal11"/>
              <w:spacing w:line="276" w:lineRule="auto"/>
              <w:jc w:val="center"/>
              <w:rPr>
                <w:noProof/>
              </w:rPr>
            </w:pPr>
            <w:r>
              <w:rPr>
                <w:noProof/>
              </w:rPr>
              <w:t>Ātrās uzlādes staciju skaits</w:t>
            </w:r>
          </w:p>
        </w:tc>
        <w:tc>
          <w:tcPr>
            <w:tcW w:w="1277" w:type="dxa"/>
            <w:shd w:val="clear" w:color="auto" w:fill="C6EFCE"/>
            <w:noWrap/>
            <w:vAlign w:val="center"/>
          </w:tcPr>
          <w:p w14:paraId="538045F6" w14:textId="77777777" w:rsidR="00C972CB" w:rsidRDefault="00C972CB">
            <w:pPr>
              <w:spacing w:line="276" w:lineRule="auto"/>
              <w:jc w:val="center"/>
              <w:rPr>
                <w:rFonts w:ascii="Arial Narrow" w:hAnsi="Arial Narrow"/>
                <w:noProof/>
                <w:color w:val="006100"/>
                <w:sz w:val="20"/>
              </w:rPr>
            </w:pPr>
          </w:p>
        </w:tc>
        <w:tc>
          <w:tcPr>
            <w:tcW w:w="1415" w:type="dxa"/>
            <w:shd w:val="clear" w:color="auto" w:fill="C6EFCE"/>
            <w:noWrap/>
            <w:vAlign w:val="center"/>
          </w:tcPr>
          <w:p w14:paraId="7B08C37C" w14:textId="77777777" w:rsidR="00C972CB" w:rsidRDefault="002457F6">
            <w:pPr>
              <w:pStyle w:val="P68B1DB1-Normal11"/>
              <w:spacing w:line="276" w:lineRule="auto"/>
              <w:jc w:val="center"/>
              <w:rPr>
                <w:noProof/>
              </w:rPr>
            </w:pPr>
            <w:r>
              <w:rPr>
                <w:noProof/>
              </w:rPr>
              <w:t>Skaits</w:t>
            </w:r>
          </w:p>
        </w:tc>
        <w:tc>
          <w:tcPr>
            <w:tcW w:w="709" w:type="dxa"/>
            <w:shd w:val="clear" w:color="auto" w:fill="C6EFCE"/>
            <w:noWrap/>
            <w:vAlign w:val="center"/>
          </w:tcPr>
          <w:p w14:paraId="1A405313" w14:textId="77777777" w:rsidR="00C972CB" w:rsidRDefault="002457F6">
            <w:pPr>
              <w:pStyle w:val="P68B1DB1-Normal11"/>
              <w:spacing w:line="276" w:lineRule="auto"/>
              <w:jc w:val="center"/>
              <w:rPr>
                <w:noProof/>
              </w:rPr>
            </w:pPr>
            <w:r>
              <w:rPr>
                <w:noProof/>
              </w:rPr>
              <w:t>0</w:t>
            </w:r>
          </w:p>
        </w:tc>
        <w:tc>
          <w:tcPr>
            <w:tcW w:w="1418" w:type="dxa"/>
            <w:shd w:val="clear" w:color="auto" w:fill="C6EFCE"/>
            <w:noWrap/>
            <w:vAlign w:val="center"/>
          </w:tcPr>
          <w:p w14:paraId="30BFD074" w14:textId="77777777" w:rsidR="00C972CB" w:rsidRDefault="002457F6">
            <w:pPr>
              <w:pStyle w:val="P68B1DB1-Normal11"/>
              <w:spacing w:line="276" w:lineRule="auto"/>
              <w:jc w:val="center"/>
              <w:rPr>
                <w:noProof/>
              </w:rPr>
            </w:pPr>
            <w:r>
              <w:rPr>
                <w:noProof/>
              </w:rPr>
              <w:t>100</w:t>
            </w:r>
          </w:p>
        </w:tc>
        <w:tc>
          <w:tcPr>
            <w:tcW w:w="993" w:type="dxa"/>
            <w:shd w:val="clear" w:color="auto" w:fill="C6EFCE"/>
            <w:noWrap/>
            <w:vAlign w:val="center"/>
          </w:tcPr>
          <w:p w14:paraId="49ACAFBB"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00DE7E9E" w14:textId="77777777" w:rsidR="00C972CB" w:rsidRDefault="002457F6">
            <w:pPr>
              <w:pStyle w:val="P68B1DB1-Normal11"/>
              <w:spacing w:line="276" w:lineRule="auto"/>
              <w:jc w:val="center"/>
              <w:rPr>
                <w:noProof/>
              </w:rPr>
            </w:pPr>
            <w:r>
              <w:rPr>
                <w:noProof/>
              </w:rPr>
              <w:t>2025</w:t>
            </w:r>
          </w:p>
        </w:tc>
        <w:tc>
          <w:tcPr>
            <w:tcW w:w="3854" w:type="dxa"/>
            <w:shd w:val="clear" w:color="auto" w:fill="C6EFCE"/>
            <w:noWrap/>
            <w:vAlign w:val="center"/>
          </w:tcPr>
          <w:p w14:paraId="72AC132A" w14:textId="77777777" w:rsidR="00C972CB" w:rsidRDefault="002457F6">
            <w:pPr>
              <w:pStyle w:val="P68B1DB1-Normal11"/>
              <w:spacing w:after="120"/>
              <w:rPr>
                <w:noProof/>
              </w:rPr>
            </w:pPr>
            <w:r>
              <w:rPr>
                <w:noProof/>
              </w:rPr>
              <w:t xml:space="preserve">Sāk darboties vismaz 100 eksperimentālas uzlādes stacijas, </w:t>
            </w:r>
            <w:r>
              <w:rPr>
                <w:noProof/>
              </w:rPr>
              <w:t>kas pieslēgtas uzkrāšanai</w:t>
            </w:r>
          </w:p>
        </w:tc>
      </w:tr>
      <w:tr w:rsidR="00C972CB" w14:paraId="5EC00068" w14:textId="77777777">
        <w:trPr>
          <w:trHeight w:val="309"/>
          <w:jc w:val="center"/>
        </w:trPr>
        <w:tc>
          <w:tcPr>
            <w:tcW w:w="975" w:type="dxa"/>
            <w:shd w:val="clear" w:color="auto" w:fill="C6EFCE"/>
            <w:noWrap/>
            <w:vAlign w:val="center"/>
          </w:tcPr>
          <w:p w14:paraId="1A7B98CC" w14:textId="77777777" w:rsidR="00C972CB" w:rsidRDefault="002457F6">
            <w:pPr>
              <w:pStyle w:val="P68B1DB1-Normal11"/>
              <w:spacing w:line="276" w:lineRule="auto"/>
              <w:jc w:val="center"/>
              <w:rPr>
                <w:noProof/>
              </w:rPr>
            </w:pPr>
            <w:r>
              <w:rPr>
                <w:noProof/>
              </w:rPr>
              <w:t>M2C2–33</w:t>
            </w:r>
          </w:p>
        </w:tc>
        <w:tc>
          <w:tcPr>
            <w:tcW w:w="1716" w:type="dxa"/>
            <w:shd w:val="clear" w:color="auto" w:fill="C6EFCE"/>
            <w:noWrap/>
            <w:vAlign w:val="center"/>
          </w:tcPr>
          <w:p w14:paraId="12A18DB3" w14:textId="77777777" w:rsidR="00C972CB" w:rsidRDefault="002457F6">
            <w:pPr>
              <w:pStyle w:val="P68B1DB1-Normal19"/>
              <w:spacing w:line="276" w:lineRule="auto"/>
              <w:jc w:val="center"/>
              <w:rPr>
                <w:noProof/>
                <w:color w:val="006100"/>
              </w:rPr>
            </w:pPr>
            <w:r>
              <w:rPr>
                <w:noProof/>
                <w:color w:val="006100"/>
              </w:rPr>
              <w:t>Ieguldījums 4.4.2.: Reģionālā sabiedriskā transporta dzelzceļa parka stiprināšana ar bezemisiju vilcieniem un universālo pakalpojumu</w:t>
            </w:r>
          </w:p>
        </w:tc>
        <w:tc>
          <w:tcPr>
            <w:tcW w:w="1131" w:type="dxa"/>
            <w:shd w:val="clear" w:color="auto" w:fill="C6EFCE"/>
            <w:noWrap/>
            <w:vAlign w:val="center"/>
          </w:tcPr>
          <w:p w14:paraId="5AC5C4DC"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701E1049" w14:textId="77777777" w:rsidR="00C972CB" w:rsidRDefault="002457F6">
            <w:pPr>
              <w:pStyle w:val="P68B1DB1-Normal11"/>
              <w:spacing w:line="276" w:lineRule="auto"/>
              <w:jc w:val="center"/>
              <w:rPr>
                <w:noProof/>
              </w:rPr>
            </w:pPr>
            <w:r>
              <w:rPr>
                <w:noProof/>
              </w:rPr>
              <w:t>Visu publiskā iepirkuma līgumu slēgšanas tiesību piešķiršana reģionālā</w:t>
            </w:r>
            <w:r>
              <w:rPr>
                <w:noProof/>
              </w:rPr>
              <w:t xml:space="preserve"> sabiedriskā transporta dzelzceļa parka stiprināšanai ar bezemisiju vilcieniem un universālo pakalpojumu</w:t>
            </w:r>
          </w:p>
        </w:tc>
        <w:tc>
          <w:tcPr>
            <w:tcW w:w="1277" w:type="dxa"/>
            <w:shd w:val="clear" w:color="auto" w:fill="C6EFCE"/>
            <w:noWrap/>
            <w:vAlign w:val="center"/>
          </w:tcPr>
          <w:p w14:paraId="4C63B94E" w14:textId="77777777" w:rsidR="00C972CB" w:rsidRDefault="002457F6">
            <w:pPr>
              <w:pStyle w:val="P68B1DB1-Normal11"/>
              <w:spacing w:line="276" w:lineRule="auto"/>
              <w:jc w:val="center"/>
              <w:rPr>
                <w:noProof/>
              </w:rPr>
            </w:pPr>
            <w:r>
              <w:rPr>
                <w:noProof/>
              </w:rPr>
              <w:t>Paziņojums par visu līgumu slēgšanas tiesību piešķiršanu attiecībā uz reģionālā sabiedriskā transporta dzelzceļa floti ar bezemisiju vilcieniem un univ</w:t>
            </w:r>
            <w:r>
              <w:rPr>
                <w:noProof/>
              </w:rPr>
              <w:t>ersālo pakalpojumu</w:t>
            </w:r>
          </w:p>
        </w:tc>
        <w:tc>
          <w:tcPr>
            <w:tcW w:w="1415" w:type="dxa"/>
            <w:shd w:val="clear" w:color="auto" w:fill="C6EFCE"/>
            <w:noWrap/>
            <w:vAlign w:val="center"/>
          </w:tcPr>
          <w:p w14:paraId="28C8B7AF"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373B7FF4"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00A88325"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5BBBCB33" w14:textId="77777777" w:rsidR="00C972CB" w:rsidRDefault="002457F6">
            <w:pPr>
              <w:pStyle w:val="P68B1DB1-Normal11"/>
              <w:spacing w:line="276" w:lineRule="auto"/>
              <w:jc w:val="center"/>
              <w:rPr>
                <w:noProof/>
              </w:rPr>
            </w:pPr>
            <w:r>
              <w:rPr>
                <w:noProof/>
              </w:rPr>
              <w:t>2. CET.</w:t>
            </w:r>
          </w:p>
        </w:tc>
        <w:tc>
          <w:tcPr>
            <w:tcW w:w="709" w:type="dxa"/>
            <w:shd w:val="clear" w:color="auto" w:fill="C6EFCE"/>
            <w:noWrap/>
            <w:vAlign w:val="center"/>
          </w:tcPr>
          <w:p w14:paraId="4E6F5C8A" w14:textId="77777777" w:rsidR="00C972CB" w:rsidRDefault="002457F6">
            <w:pPr>
              <w:pStyle w:val="P68B1DB1-Normal11"/>
              <w:spacing w:line="276" w:lineRule="auto"/>
              <w:jc w:val="center"/>
              <w:rPr>
                <w:noProof/>
              </w:rPr>
            </w:pPr>
            <w:r>
              <w:rPr>
                <w:noProof/>
              </w:rPr>
              <w:t>2023</w:t>
            </w:r>
          </w:p>
        </w:tc>
        <w:tc>
          <w:tcPr>
            <w:tcW w:w="3854" w:type="dxa"/>
            <w:shd w:val="clear" w:color="auto" w:fill="C6EFCE"/>
            <w:noWrap/>
            <w:vAlign w:val="center"/>
          </w:tcPr>
          <w:p w14:paraId="213DE67D" w14:textId="77777777" w:rsidR="00C972CB" w:rsidRDefault="002457F6">
            <w:pPr>
              <w:spacing w:after="120"/>
              <w:rPr>
                <w:rFonts w:ascii="Arial Narrow" w:hAnsi="Arial Narrow"/>
                <w:noProof/>
                <w:color w:val="006100"/>
                <w:sz w:val="20"/>
              </w:rPr>
            </w:pPr>
            <w:r>
              <w:rPr>
                <w:rFonts w:ascii="Arial Narrow" w:hAnsi="Arial Narrow"/>
                <w:noProof/>
                <w:color w:val="006100"/>
                <w:sz w:val="20"/>
              </w:rPr>
              <w:t>Paziņojums par visu publisko līgumu slēgšanas tiesību piešķiršanu bezemisiju vilcienu iegādei</w:t>
            </w:r>
            <w:r>
              <w:rPr>
                <w:rStyle w:val="FootnoteReference"/>
                <w:rFonts w:ascii="Arial Narrow" w:hAnsi="Arial Narrow"/>
                <w:noProof/>
                <w:color w:val="006100"/>
                <w:sz w:val="20"/>
              </w:rPr>
              <w:footnoteReference w:id="49"/>
            </w:r>
            <w:r>
              <w:rPr>
                <w:rFonts w:ascii="Arial Narrow" w:hAnsi="Arial Narrow"/>
                <w:noProof/>
              </w:rPr>
              <w:t>.</w:t>
            </w:r>
          </w:p>
        </w:tc>
      </w:tr>
      <w:tr w:rsidR="00C972CB" w14:paraId="4562EC98" w14:textId="77777777">
        <w:trPr>
          <w:trHeight w:val="309"/>
          <w:jc w:val="center"/>
        </w:trPr>
        <w:tc>
          <w:tcPr>
            <w:tcW w:w="975" w:type="dxa"/>
            <w:shd w:val="clear" w:color="auto" w:fill="C6EFCE"/>
            <w:noWrap/>
            <w:vAlign w:val="center"/>
          </w:tcPr>
          <w:p w14:paraId="243E9F51" w14:textId="77777777" w:rsidR="00C972CB" w:rsidRDefault="002457F6">
            <w:pPr>
              <w:pStyle w:val="P68B1DB1-Normal11"/>
              <w:spacing w:line="276" w:lineRule="auto"/>
              <w:jc w:val="center"/>
              <w:rPr>
                <w:noProof/>
              </w:rPr>
            </w:pPr>
            <w:r>
              <w:rPr>
                <w:noProof/>
              </w:rPr>
              <w:t>M2C2–37</w:t>
            </w:r>
          </w:p>
        </w:tc>
        <w:tc>
          <w:tcPr>
            <w:tcW w:w="1716" w:type="dxa"/>
            <w:shd w:val="clear" w:color="auto" w:fill="C6EFCE"/>
            <w:noWrap/>
            <w:vAlign w:val="center"/>
          </w:tcPr>
          <w:p w14:paraId="1172AFC9" w14:textId="77777777" w:rsidR="00C972CB" w:rsidRDefault="002457F6">
            <w:pPr>
              <w:pStyle w:val="P68B1DB1-Normal11"/>
              <w:spacing w:line="276" w:lineRule="auto"/>
              <w:jc w:val="center"/>
              <w:rPr>
                <w:noProof/>
              </w:rPr>
            </w:pPr>
            <w:r>
              <w:rPr>
                <w:noProof/>
              </w:rPr>
              <w:t>Reforma: Viedākas procedūras projektu novērtēšanai vietējā sabiedriskā transporta sistēmu</w:t>
            </w:r>
            <w:r>
              <w:rPr>
                <w:noProof/>
              </w:rPr>
              <w:t xml:space="preserve"> nozarē ar stacionārām iekārtām un ātrā masu transporta nozarē</w:t>
            </w:r>
          </w:p>
        </w:tc>
        <w:tc>
          <w:tcPr>
            <w:tcW w:w="1131" w:type="dxa"/>
            <w:shd w:val="clear" w:color="auto" w:fill="C6EFCE"/>
            <w:noWrap/>
            <w:vAlign w:val="center"/>
          </w:tcPr>
          <w:p w14:paraId="77CE5ED3"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4318B652" w14:textId="77777777" w:rsidR="00C972CB" w:rsidRDefault="002457F6">
            <w:pPr>
              <w:pStyle w:val="P68B1DB1-Normal11"/>
              <w:spacing w:line="276" w:lineRule="auto"/>
              <w:jc w:val="center"/>
              <w:rPr>
                <w:noProof/>
              </w:rPr>
            </w:pPr>
            <w:r>
              <w:rPr>
                <w:noProof/>
              </w:rPr>
              <w:t>Dekrētlikuma stāšanās spēkā</w:t>
            </w:r>
          </w:p>
        </w:tc>
        <w:tc>
          <w:tcPr>
            <w:tcW w:w="1277" w:type="dxa"/>
            <w:shd w:val="clear" w:color="auto" w:fill="C6EFCE"/>
            <w:noWrap/>
            <w:vAlign w:val="center"/>
          </w:tcPr>
          <w:p w14:paraId="26173066" w14:textId="77777777" w:rsidR="00C972CB" w:rsidRDefault="002457F6">
            <w:pPr>
              <w:pStyle w:val="P68B1DB1-Normal11"/>
              <w:spacing w:line="276" w:lineRule="auto"/>
              <w:jc w:val="center"/>
              <w:rPr>
                <w:noProof/>
              </w:rPr>
            </w:pPr>
            <w:r>
              <w:rPr>
                <w:noProof/>
              </w:rPr>
              <w:t>Likuma norma, kas norāda uz dekrētlikuma stāšanos spēkā</w:t>
            </w:r>
          </w:p>
        </w:tc>
        <w:tc>
          <w:tcPr>
            <w:tcW w:w="1415" w:type="dxa"/>
            <w:shd w:val="clear" w:color="auto" w:fill="C6EFCE"/>
            <w:noWrap/>
            <w:vAlign w:val="center"/>
          </w:tcPr>
          <w:p w14:paraId="62A86CE7"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7266CE6E"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6D0A3D1B"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3CD72B6C"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25A99664" w14:textId="77777777" w:rsidR="00C972CB" w:rsidRDefault="002457F6">
            <w:pPr>
              <w:pStyle w:val="P68B1DB1-Normal11"/>
              <w:spacing w:line="276" w:lineRule="auto"/>
              <w:jc w:val="center"/>
              <w:rPr>
                <w:noProof/>
              </w:rPr>
            </w:pPr>
            <w:r>
              <w:rPr>
                <w:noProof/>
              </w:rPr>
              <w:t>2021</w:t>
            </w:r>
          </w:p>
        </w:tc>
        <w:tc>
          <w:tcPr>
            <w:tcW w:w="3854" w:type="dxa"/>
            <w:shd w:val="clear" w:color="auto" w:fill="C6EFCE"/>
            <w:noWrap/>
            <w:vAlign w:val="center"/>
          </w:tcPr>
          <w:p w14:paraId="75FB5118" w14:textId="77777777" w:rsidR="00C972CB" w:rsidRDefault="002457F6">
            <w:pPr>
              <w:pStyle w:val="P68B1DB1-Normal11"/>
              <w:spacing w:after="120"/>
              <w:rPr>
                <w:noProof/>
              </w:rPr>
            </w:pPr>
            <w:r>
              <w:rPr>
                <w:noProof/>
              </w:rPr>
              <w:t xml:space="preserve">Dekrētlikums vienkāršo ar vietējo sabiedrisko </w:t>
            </w:r>
            <w:r>
              <w:rPr>
                <w:noProof/>
              </w:rPr>
              <w:t>transportu saistīto projektu vērtēšanas kritērijus un paātrina projektēšanas un atļauju piešķiršanas procesu.</w:t>
            </w:r>
          </w:p>
        </w:tc>
      </w:tr>
      <w:tr w:rsidR="00C972CB" w14:paraId="25C91DAF" w14:textId="77777777">
        <w:trPr>
          <w:trHeight w:val="309"/>
          <w:jc w:val="center"/>
        </w:trPr>
        <w:tc>
          <w:tcPr>
            <w:tcW w:w="975" w:type="dxa"/>
            <w:shd w:val="clear" w:color="auto" w:fill="C6EFCE"/>
            <w:noWrap/>
            <w:vAlign w:val="center"/>
          </w:tcPr>
          <w:p w14:paraId="7F1B6C31" w14:textId="77777777" w:rsidR="00C972CB" w:rsidRDefault="002457F6">
            <w:pPr>
              <w:pStyle w:val="P68B1DB1-Normal11"/>
              <w:spacing w:line="276" w:lineRule="auto"/>
              <w:jc w:val="center"/>
              <w:rPr>
                <w:noProof/>
              </w:rPr>
            </w:pPr>
            <w:r>
              <w:rPr>
                <w:noProof/>
              </w:rPr>
              <w:t>M2C2–38</w:t>
            </w:r>
          </w:p>
        </w:tc>
        <w:tc>
          <w:tcPr>
            <w:tcW w:w="1716" w:type="dxa"/>
            <w:shd w:val="clear" w:color="auto" w:fill="C6EFCE"/>
            <w:noWrap/>
            <w:vAlign w:val="center"/>
          </w:tcPr>
          <w:p w14:paraId="5A127FFF" w14:textId="77777777" w:rsidR="00C972CB" w:rsidRDefault="002457F6">
            <w:pPr>
              <w:pStyle w:val="P68B1DB1-Normal11"/>
              <w:spacing w:line="276" w:lineRule="auto"/>
              <w:jc w:val="center"/>
              <w:rPr>
                <w:noProof/>
              </w:rPr>
            </w:pPr>
            <w:r>
              <w:rPr>
                <w:noProof/>
              </w:rPr>
              <w:t>Ieguldījums 5.1.: Atjaunojamie energoresursi un akumulatori</w:t>
            </w:r>
          </w:p>
        </w:tc>
        <w:tc>
          <w:tcPr>
            <w:tcW w:w="1131" w:type="dxa"/>
            <w:shd w:val="clear" w:color="auto" w:fill="C6EFCE"/>
            <w:noWrap/>
            <w:vAlign w:val="center"/>
          </w:tcPr>
          <w:p w14:paraId="12C53E91"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33FE0DDA" w14:textId="77777777" w:rsidR="00C972CB" w:rsidRDefault="002457F6">
            <w:pPr>
              <w:pStyle w:val="P68B1DB1-Normal11"/>
              <w:spacing w:line="276" w:lineRule="auto"/>
              <w:jc w:val="center"/>
              <w:rPr>
                <w:noProof/>
              </w:rPr>
            </w:pPr>
            <w:r>
              <w:rPr>
                <w:noProof/>
              </w:rPr>
              <w:t>Ministrijas dekrēta stāšanās spēkā</w:t>
            </w:r>
          </w:p>
        </w:tc>
        <w:tc>
          <w:tcPr>
            <w:tcW w:w="1277" w:type="dxa"/>
            <w:shd w:val="clear" w:color="auto" w:fill="C6EFCE"/>
            <w:noWrap/>
            <w:vAlign w:val="center"/>
          </w:tcPr>
          <w:p w14:paraId="3466417B" w14:textId="77777777" w:rsidR="00C972CB" w:rsidRDefault="002457F6">
            <w:pPr>
              <w:pStyle w:val="P68B1DB1-Normal11"/>
              <w:spacing w:line="276" w:lineRule="auto"/>
              <w:jc w:val="center"/>
              <w:rPr>
                <w:noProof/>
              </w:rPr>
            </w:pPr>
            <w:r>
              <w:rPr>
                <w:noProof/>
              </w:rPr>
              <w:t>Likuma norma, kas norāda</w:t>
            </w:r>
            <w:r>
              <w:rPr>
                <w:noProof/>
              </w:rPr>
              <w:t xml:space="preserve"> uz Ministrijas dekrēta stāšanos spēkā</w:t>
            </w:r>
          </w:p>
        </w:tc>
        <w:tc>
          <w:tcPr>
            <w:tcW w:w="1415" w:type="dxa"/>
            <w:shd w:val="clear" w:color="auto" w:fill="C6EFCE"/>
            <w:noWrap/>
            <w:vAlign w:val="center"/>
          </w:tcPr>
          <w:p w14:paraId="51EAEAFE"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3C45EDE9"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61C4E31A"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59494605" w14:textId="77777777" w:rsidR="00C972CB" w:rsidRDefault="002457F6">
            <w:pPr>
              <w:pStyle w:val="P68B1DB1-Normal11"/>
              <w:spacing w:line="276" w:lineRule="auto"/>
              <w:jc w:val="center"/>
              <w:rPr>
                <w:noProof/>
              </w:rPr>
            </w:pPr>
            <w:r>
              <w:rPr>
                <w:noProof/>
              </w:rPr>
              <w:t>2. CET.</w:t>
            </w:r>
          </w:p>
        </w:tc>
        <w:tc>
          <w:tcPr>
            <w:tcW w:w="709" w:type="dxa"/>
            <w:shd w:val="clear" w:color="auto" w:fill="C6EFCE"/>
            <w:noWrap/>
            <w:vAlign w:val="center"/>
          </w:tcPr>
          <w:p w14:paraId="6B100508" w14:textId="77777777" w:rsidR="00C972CB" w:rsidRDefault="002457F6">
            <w:pPr>
              <w:pStyle w:val="P68B1DB1-Normal11"/>
              <w:spacing w:line="276" w:lineRule="auto"/>
              <w:jc w:val="center"/>
              <w:rPr>
                <w:noProof/>
              </w:rPr>
            </w:pPr>
            <w:r>
              <w:rPr>
                <w:noProof/>
              </w:rPr>
              <w:t>2022</w:t>
            </w:r>
          </w:p>
        </w:tc>
        <w:tc>
          <w:tcPr>
            <w:tcW w:w="3854" w:type="dxa"/>
            <w:shd w:val="clear" w:color="auto" w:fill="C6EFCE"/>
            <w:noWrap/>
            <w:vAlign w:val="center"/>
          </w:tcPr>
          <w:p w14:paraId="609DEE3A" w14:textId="002BFA86" w:rsidR="00C972CB" w:rsidRDefault="002457F6">
            <w:pPr>
              <w:pStyle w:val="P68B1DB1-Normal11"/>
              <w:spacing w:after="120"/>
              <w:rPr>
                <w:noProof/>
              </w:rPr>
            </w:pPr>
            <w:r>
              <w:rPr>
                <w:noProof/>
              </w:rPr>
              <w:t xml:space="preserve">Ministrijas dekrētā nosaka pieejamo resursu apjomu, saņēmēju piekļuves prasības, programmu un projektu attiecināmības nosacījumus, attiecināmās izmaksas un atbalsta formu un </w:t>
            </w:r>
            <w:r>
              <w:rPr>
                <w:noProof/>
              </w:rPr>
              <w:t>intensitāti augstas efektivitātes FE paneļu izstrādei un akumulatoru izstrādei.</w:t>
            </w:r>
          </w:p>
        </w:tc>
      </w:tr>
      <w:tr w:rsidR="00C972CB" w14:paraId="105F6478" w14:textId="77777777">
        <w:trPr>
          <w:trHeight w:val="309"/>
          <w:jc w:val="center"/>
        </w:trPr>
        <w:tc>
          <w:tcPr>
            <w:tcW w:w="975" w:type="dxa"/>
            <w:shd w:val="clear" w:color="auto" w:fill="C6EFCE"/>
            <w:noWrap/>
            <w:vAlign w:val="center"/>
          </w:tcPr>
          <w:p w14:paraId="5FBD119E" w14:textId="77777777" w:rsidR="00C972CB" w:rsidRDefault="002457F6">
            <w:pPr>
              <w:pStyle w:val="P68B1DB1-Normal11"/>
              <w:spacing w:line="276" w:lineRule="auto"/>
              <w:jc w:val="center"/>
              <w:rPr>
                <w:noProof/>
              </w:rPr>
            </w:pPr>
            <w:r>
              <w:rPr>
                <w:noProof/>
              </w:rPr>
              <w:t>M2C2–41</w:t>
            </w:r>
          </w:p>
        </w:tc>
        <w:tc>
          <w:tcPr>
            <w:tcW w:w="1716" w:type="dxa"/>
            <w:shd w:val="clear" w:color="auto" w:fill="C6EFCE"/>
            <w:noWrap/>
            <w:vAlign w:val="center"/>
          </w:tcPr>
          <w:p w14:paraId="7359CF22" w14:textId="77777777" w:rsidR="00C972CB" w:rsidRDefault="002457F6">
            <w:pPr>
              <w:pStyle w:val="P68B1DB1-Normal11"/>
              <w:spacing w:line="276" w:lineRule="auto"/>
              <w:jc w:val="center"/>
              <w:rPr>
                <w:noProof/>
              </w:rPr>
            </w:pPr>
            <w:r>
              <w:rPr>
                <w:noProof/>
              </w:rPr>
              <w:t>Ieguldījums 5.3.: Elektriskie autobusi</w:t>
            </w:r>
          </w:p>
        </w:tc>
        <w:tc>
          <w:tcPr>
            <w:tcW w:w="1131" w:type="dxa"/>
            <w:shd w:val="clear" w:color="auto" w:fill="C6EFCE"/>
            <w:noWrap/>
            <w:vAlign w:val="center"/>
          </w:tcPr>
          <w:p w14:paraId="576C4B67"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70959897" w14:textId="77777777" w:rsidR="00C972CB" w:rsidRDefault="002457F6">
            <w:pPr>
              <w:pStyle w:val="P68B1DB1-Normal11"/>
              <w:spacing w:line="276" w:lineRule="auto"/>
              <w:jc w:val="center"/>
              <w:rPr>
                <w:noProof/>
              </w:rPr>
            </w:pPr>
            <w:r>
              <w:rPr>
                <w:noProof/>
              </w:rPr>
              <w:t xml:space="preserve">Stājas spēkā ministrijas dekrēts, kurā noteikts intervences mērķa sasniegšanai pieejamo resursu apjoms </w:t>
            </w:r>
            <w:r>
              <w:rPr>
                <w:noProof/>
              </w:rPr>
              <w:t>(autobusu piegādes ķēde)</w:t>
            </w:r>
          </w:p>
        </w:tc>
        <w:tc>
          <w:tcPr>
            <w:tcW w:w="1277" w:type="dxa"/>
            <w:shd w:val="clear" w:color="auto" w:fill="C6EFCE"/>
            <w:noWrap/>
            <w:vAlign w:val="center"/>
          </w:tcPr>
          <w:p w14:paraId="360BC175" w14:textId="77777777" w:rsidR="00C972CB" w:rsidRDefault="002457F6">
            <w:pPr>
              <w:pStyle w:val="P68B1DB1-Normal11"/>
              <w:spacing w:line="276" w:lineRule="auto"/>
              <w:jc w:val="center"/>
              <w:rPr>
                <w:noProof/>
              </w:rPr>
            </w:pPr>
            <w:r>
              <w:rPr>
                <w:noProof/>
              </w:rPr>
              <w:t>Ministrijas dekrēta noteikums par stāšanos spēkā</w:t>
            </w:r>
          </w:p>
        </w:tc>
        <w:tc>
          <w:tcPr>
            <w:tcW w:w="1415" w:type="dxa"/>
            <w:shd w:val="clear" w:color="auto" w:fill="C6EFCE"/>
            <w:noWrap/>
            <w:vAlign w:val="center"/>
          </w:tcPr>
          <w:p w14:paraId="7C096EDB"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10EEC118"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3272812C"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6DD24B73" w14:textId="77777777" w:rsidR="00C972CB" w:rsidRDefault="002457F6">
            <w:pPr>
              <w:pStyle w:val="P68B1DB1-Normal11"/>
              <w:spacing w:line="276" w:lineRule="auto"/>
              <w:jc w:val="center"/>
              <w:rPr>
                <w:noProof/>
              </w:rPr>
            </w:pPr>
            <w:r>
              <w:rPr>
                <w:noProof/>
              </w:rPr>
              <w:t>4. CET.</w:t>
            </w:r>
          </w:p>
        </w:tc>
        <w:tc>
          <w:tcPr>
            <w:tcW w:w="709" w:type="dxa"/>
            <w:shd w:val="clear" w:color="auto" w:fill="C6EFCE"/>
            <w:noWrap/>
            <w:vAlign w:val="center"/>
          </w:tcPr>
          <w:p w14:paraId="37A56C25" w14:textId="77777777" w:rsidR="00C972CB" w:rsidRDefault="002457F6">
            <w:pPr>
              <w:pStyle w:val="P68B1DB1-Normal11"/>
              <w:spacing w:line="276" w:lineRule="auto"/>
              <w:jc w:val="center"/>
              <w:rPr>
                <w:noProof/>
              </w:rPr>
            </w:pPr>
            <w:r>
              <w:rPr>
                <w:noProof/>
              </w:rPr>
              <w:t>2021</w:t>
            </w:r>
          </w:p>
        </w:tc>
        <w:tc>
          <w:tcPr>
            <w:tcW w:w="3854" w:type="dxa"/>
            <w:shd w:val="clear" w:color="auto" w:fill="C6EFCE"/>
            <w:noWrap/>
            <w:vAlign w:val="center"/>
          </w:tcPr>
          <w:p w14:paraId="60329A89" w14:textId="77777777" w:rsidR="00C972CB" w:rsidRDefault="002457F6">
            <w:pPr>
              <w:pStyle w:val="P68B1DB1-Normal11"/>
              <w:spacing w:after="120"/>
              <w:rPr>
                <w:noProof/>
              </w:rPr>
            </w:pPr>
            <w:r>
              <w:rPr>
                <w:noProof/>
              </w:rPr>
              <w:t>Ministrijas dekrētā nosaka pieejamo resursu apjomu aptuveni 45 rūpniecības pārveides projektu īstenošanai, izmantojot “Attīstības līgumus”.</w:t>
            </w:r>
          </w:p>
        </w:tc>
      </w:tr>
      <w:tr w:rsidR="00C972CB" w14:paraId="4FB88B9B" w14:textId="77777777">
        <w:trPr>
          <w:trHeight w:val="7425"/>
          <w:jc w:val="center"/>
        </w:trPr>
        <w:tc>
          <w:tcPr>
            <w:tcW w:w="975" w:type="dxa"/>
            <w:shd w:val="clear" w:color="auto" w:fill="C6EFCE"/>
            <w:noWrap/>
            <w:vAlign w:val="center"/>
          </w:tcPr>
          <w:p w14:paraId="369E1C3F" w14:textId="77777777" w:rsidR="00C972CB" w:rsidRDefault="002457F6">
            <w:pPr>
              <w:pStyle w:val="P68B1DB1-Normal11"/>
              <w:spacing w:line="276" w:lineRule="auto"/>
              <w:jc w:val="center"/>
              <w:rPr>
                <w:noProof/>
              </w:rPr>
            </w:pPr>
            <w:r>
              <w:rPr>
                <w:noProof/>
              </w:rPr>
              <w:t>M2C2–42</w:t>
            </w:r>
          </w:p>
        </w:tc>
        <w:tc>
          <w:tcPr>
            <w:tcW w:w="1716" w:type="dxa"/>
            <w:shd w:val="clear" w:color="auto" w:fill="C6EFCE"/>
            <w:noWrap/>
            <w:vAlign w:val="center"/>
          </w:tcPr>
          <w:p w14:paraId="6AAE6FC1" w14:textId="77777777" w:rsidR="00C972CB" w:rsidRDefault="002457F6">
            <w:pPr>
              <w:pStyle w:val="P68B1DB1-Normal11"/>
              <w:spacing w:line="276" w:lineRule="auto"/>
              <w:jc w:val="center"/>
              <w:rPr>
                <w:noProof/>
              </w:rPr>
            </w:pPr>
            <w:r>
              <w:rPr>
                <w:noProof/>
              </w:rPr>
              <w:t>Ieguldījums 5.4: Atbalsts jaunuzņēmumiem un riska kapitālam, kas aktīvi darbojas ekoloģiskās pārkārtošanās procesā</w:t>
            </w:r>
          </w:p>
        </w:tc>
        <w:tc>
          <w:tcPr>
            <w:tcW w:w="1131" w:type="dxa"/>
            <w:shd w:val="clear" w:color="auto" w:fill="C6EFCE"/>
            <w:noWrap/>
            <w:vAlign w:val="center"/>
          </w:tcPr>
          <w:p w14:paraId="41023B45" w14:textId="77777777" w:rsidR="00C972CB" w:rsidRDefault="002457F6">
            <w:pPr>
              <w:pStyle w:val="P68B1DB1-Normal11"/>
              <w:spacing w:line="276" w:lineRule="auto"/>
              <w:jc w:val="center"/>
              <w:rPr>
                <w:noProof/>
              </w:rPr>
            </w:pPr>
            <w:r>
              <w:rPr>
                <w:noProof/>
              </w:rPr>
              <w:t>Starpposma mērķis</w:t>
            </w:r>
          </w:p>
        </w:tc>
        <w:tc>
          <w:tcPr>
            <w:tcW w:w="1418" w:type="dxa"/>
            <w:shd w:val="clear" w:color="auto" w:fill="C6EFCE"/>
            <w:noWrap/>
            <w:vAlign w:val="center"/>
          </w:tcPr>
          <w:p w14:paraId="0DA89F16" w14:textId="77777777" w:rsidR="00C972CB" w:rsidRDefault="002457F6">
            <w:pPr>
              <w:pStyle w:val="P68B1DB1-Normal11"/>
              <w:spacing w:line="276" w:lineRule="auto"/>
              <w:jc w:val="center"/>
              <w:rPr>
                <w:noProof/>
              </w:rPr>
            </w:pPr>
            <w:r>
              <w:rPr>
                <w:noProof/>
              </w:rPr>
              <w:t>Finanšu nolīguma parakstīšana</w:t>
            </w:r>
          </w:p>
        </w:tc>
        <w:tc>
          <w:tcPr>
            <w:tcW w:w="1277" w:type="dxa"/>
            <w:shd w:val="clear" w:color="auto" w:fill="C6EFCE"/>
            <w:noWrap/>
            <w:vAlign w:val="center"/>
          </w:tcPr>
          <w:p w14:paraId="18EBBA61" w14:textId="77777777" w:rsidR="00C972CB" w:rsidRDefault="002457F6">
            <w:pPr>
              <w:pStyle w:val="P68B1DB1-Normal11"/>
              <w:spacing w:line="276" w:lineRule="auto"/>
              <w:jc w:val="center"/>
              <w:rPr>
                <w:noProof/>
              </w:rPr>
            </w:pPr>
            <w:r>
              <w:rPr>
                <w:noProof/>
              </w:rPr>
              <w:t>Paziņojums par finanšu nolīguma parakstīšanu</w:t>
            </w:r>
          </w:p>
        </w:tc>
        <w:tc>
          <w:tcPr>
            <w:tcW w:w="1415" w:type="dxa"/>
            <w:shd w:val="clear" w:color="auto" w:fill="C6EFCE"/>
            <w:noWrap/>
            <w:vAlign w:val="center"/>
          </w:tcPr>
          <w:p w14:paraId="2659D53C" w14:textId="77777777" w:rsidR="00C972CB" w:rsidRDefault="002457F6">
            <w:pPr>
              <w:pStyle w:val="P68B1DB1-Normal11"/>
              <w:spacing w:line="276" w:lineRule="auto"/>
              <w:jc w:val="center"/>
              <w:rPr>
                <w:noProof/>
              </w:rPr>
            </w:pPr>
            <w:r>
              <w:rPr>
                <w:noProof/>
              </w:rPr>
              <w:t>NEPIEMĒRO</w:t>
            </w:r>
          </w:p>
        </w:tc>
        <w:tc>
          <w:tcPr>
            <w:tcW w:w="709" w:type="dxa"/>
            <w:shd w:val="clear" w:color="auto" w:fill="C6EFCE"/>
            <w:noWrap/>
            <w:vAlign w:val="center"/>
          </w:tcPr>
          <w:p w14:paraId="5F5628E6" w14:textId="77777777" w:rsidR="00C972CB" w:rsidRDefault="002457F6">
            <w:pPr>
              <w:pStyle w:val="P68B1DB1-Normal11"/>
              <w:spacing w:line="276" w:lineRule="auto"/>
              <w:jc w:val="center"/>
              <w:rPr>
                <w:noProof/>
              </w:rPr>
            </w:pPr>
            <w:r>
              <w:rPr>
                <w:noProof/>
              </w:rPr>
              <w:t>NEPIEMĒRO</w:t>
            </w:r>
          </w:p>
        </w:tc>
        <w:tc>
          <w:tcPr>
            <w:tcW w:w="1418" w:type="dxa"/>
            <w:shd w:val="clear" w:color="auto" w:fill="C6EFCE"/>
            <w:noWrap/>
            <w:vAlign w:val="center"/>
          </w:tcPr>
          <w:p w14:paraId="076BF20D" w14:textId="77777777" w:rsidR="00C972CB" w:rsidRDefault="002457F6">
            <w:pPr>
              <w:pStyle w:val="P68B1DB1-Normal11"/>
              <w:spacing w:line="276" w:lineRule="auto"/>
              <w:jc w:val="center"/>
              <w:rPr>
                <w:noProof/>
              </w:rPr>
            </w:pPr>
            <w:r>
              <w:rPr>
                <w:noProof/>
              </w:rPr>
              <w:t>NEPIEMĒRO</w:t>
            </w:r>
          </w:p>
        </w:tc>
        <w:tc>
          <w:tcPr>
            <w:tcW w:w="993" w:type="dxa"/>
            <w:shd w:val="clear" w:color="auto" w:fill="C6EFCE"/>
            <w:noWrap/>
            <w:vAlign w:val="center"/>
          </w:tcPr>
          <w:p w14:paraId="53317ED0" w14:textId="77777777" w:rsidR="00C972CB" w:rsidRDefault="002457F6">
            <w:pPr>
              <w:pStyle w:val="P68B1DB1-Normal11"/>
              <w:spacing w:line="276" w:lineRule="auto"/>
              <w:jc w:val="center"/>
              <w:rPr>
                <w:noProof/>
              </w:rPr>
            </w:pPr>
            <w:r>
              <w:rPr>
                <w:noProof/>
              </w:rPr>
              <w:t>2. CET.</w:t>
            </w:r>
          </w:p>
        </w:tc>
        <w:tc>
          <w:tcPr>
            <w:tcW w:w="709" w:type="dxa"/>
            <w:shd w:val="clear" w:color="auto" w:fill="C6EFCE"/>
            <w:noWrap/>
            <w:vAlign w:val="center"/>
          </w:tcPr>
          <w:p w14:paraId="2CDAE434" w14:textId="77777777" w:rsidR="00C972CB" w:rsidRDefault="002457F6">
            <w:pPr>
              <w:pStyle w:val="P68B1DB1-Normal11"/>
              <w:spacing w:line="276" w:lineRule="auto"/>
              <w:jc w:val="center"/>
              <w:rPr>
                <w:noProof/>
              </w:rPr>
            </w:pPr>
            <w:r>
              <w:rPr>
                <w:noProof/>
              </w:rPr>
              <w:t>2022</w:t>
            </w:r>
          </w:p>
        </w:tc>
        <w:tc>
          <w:tcPr>
            <w:tcW w:w="3854" w:type="dxa"/>
            <w:shd w:val="clear" w:color="auto" w:fill="C6EFCE"/>
            <w:noWrap/>
            <w:vAlign w:val="center"/>
          </w:tcPr>
          <w:p w14:paraId="64717548" w14:textId="77777777" w:rsidR="00C972CB" w:rsidRDefault="002457F6">
            <w:pPr>
              <w:pStyle w:val="P68B1DB1-Normal11"/>
              <w:spacing w:after="120"/>
              <w:rPr>
                <w:noProof/>
              </w:rPr>
            </w:pPr>
            <w:r>
              <w:rPr>
                <w:noProof/>
              </w:rPr>
              <w:t>Finanšu nolīgumā nosaka netiešās investīcijas riska kapitāla fondu pārvaldnieku finansēšanā ar ieguldījumiem un uzņēmumiem/jaunuzņēmumiem saskaņā ar zaļās pārkārtošanās mērķiem, lai paplašinātu pētniekiem un jaunuzņēmumiem pieejamo kapitālu, stiprināt</w:t>
            </w:r>
            <w:r>
              <w:rPr>
                <w:noProof/>
              </w:rPr>
              <w:t>u aktīvu riska kapitāla fondu darbību, attīstītu jaunus un inovatīvus uzņēmumus partnerībā ar uzņēmumiem.</w:t>
            </w:r>
          </w:p>
          <w:p w14:paraId="6FAD358D" w14:textId="77777777" w:rsidR="00C972CB" w:rsidRDefault="00C972CB">
            <w:pPr>
              <w:spacing w:after="120"/>
              <w:rPr>
                <w:rFonts w:ascii="Arial Narrow" w:hAnsi="Arial Narrow"/>
                <w:noProof/>
                <w:color w:val="006100"/>
                <w:sz w:val="20"/>
              </w:rPr>
            </w:pPr>
          </w:p>
          <w:p w14:paraId="62EC5FBA" w14:textId="77777777" w:rsidR="00C972CB" w:rsidRDefault="002457F6">
            <w:pPr>
              <w:pStyle w:val="P68B1DB1-Normal11"/>
              <w:spacing w:after="120"/>
              <w:rPr>
                <w:noProof/>
              </w:rPr>
            </w:pPr>
            <w:r>
              <w:rPr>
                <w:noProof/>
              </w:rPr>
              <w:t>Finanšu nolīgumā iekļauj:</w:t>
            </w:r>
          </w:p>
          <w:p w14:paraId="21214601" w14:textId="77777777" w:rsidR="00C972CB" w:rsidRDefault="002457F6">
            <w:pPr>
              <w:pStyle w:val="P68B1DB1-ListParagraph13"/>
              <w:numPr>
                <w:ilvl w:val="0"/>
                <w:numId w:val="69"/>
              </w:numPr>
              <w:spacing w:before="0"/>
              <w:ind w:left="296"/>
              <w:contextualSpacing w:val="0"/>
              <w:jc w:val="left"/>
              <w:rPr>
                <w:noProof/>
              </w:rPr>
            </w:pPr>
            <w:r>
              <w:rPr>
                <w:noProof/>
              </w:rPr>
              <w:t>ieguldījumu politika,</w:t>
            </w:r>
          </w:p>
          <w:p w14:paraId="14874944" w14:textId="77777777" w:rsidR="00C972CB" w:rsidRDefault="002457F6">
            <w:pPr>
              <w:pStyle w:val="P68B1DB1-ListParagraph13"/>
              <w:numPr>
                <w:ilvl w:val="0"/>
                <w:numId w:val="69"/>
              </w:numPr>
              <w:spacing w:before="0"/>
              <w:ind w:left="296"/>
              <w:contextualSpacing w:val="0"/>
              <w:jc w:val="left"/>
              <w:rPr>
                <w:noProof/>
              </w:rPr>
            </w:pPr>
            <w:r>
              <w:rPr>
                <w:noProof/>
              </w:rPr>
              <w:t>atbilstības kritēriji,</w:t>
            </w:r>
          </w:p>
          <w:p w14:paraId="25127252" w14:textId="77777777" w:rsidR="00C972CB" w:rsidRDefault="002457F6">
            <w:pPr>
              <w:pStyle w:val="P68B1DB1-Normal11"/>
              <w:spacing w:after="120"/>
              <w:rPr>
                <w:noProof/>
              </w:rPr>
            </w:pPr>
            <w:r>
              <w:rPr>
                <w:noProof/>
              </w:rPr>
              <w:t xml:space="preserve">saskaņā ar šo pasākumu atbalstīto darījumu atbilstība Tehniskajiem </w:t>
            </w:r>
            <w:r>
              <w:rPr>
                <w:noProof/>
              </w:rPr>
              <w:t>norādījumiem “nenodari būtisku kaitējumu” (2021/C58/01), izmantojot ilgtspējas pārbaudi, izslēgšanas sarakstu un prasību par atbilstību attiecīgajiem ES un valstu vides tiesību aktiem.</w:t>
            </w:r>
          </w:p>
        </w:tc>
      </w:tr>
    </w:tbl>
    <w:p w14:paraId="2D5F1C5B" w14:textId="77777777" w:rsidR="00C972CB" w:rsidRDefault="00C972CB">
      <w:pPr>
        <w:spacing w:before="120" w:after="120"/>
        <w:ind w:left="709"/>
        <w:jc w:val="both"/>
        <w:rPr>
          <w:noProof/>
        </w:rPr>
      </w:pPr>
    </w:p>
    <w:p w14:paraId="34CF9AF6" w14:textId="77777777" w:rsidR="00C972CB" w:rsidRDefault="00C972CB">
      <w:pPr>
        <w:spacing w:before="120" w:after="120"/>
        <w:ind w:left="709"/>
        <w:jc w:val="both"/>
        <w:rPr>
          <w:noProof/>
        </w:rPr>
        <w:sectPr w:rsidR="00C972CB" w:rsidSect="001354D1">
          <w:headerReference w:type="even" r:id="rId122"/>
          <w:headerReference w:type="default" r:id="rId123"/>
          <w:footerReference w:type="even" r:id="rId124"/>
          <w:footerReference w:type="default" r:id="rId125"/>
          <w:headerReference w:type="first" r:id="rId126"/>
          <w:footerReference w:type="first" r:id="rId127"/>
          <w:pgSz w:w="16839" w:h="11907" w:orient="landscape"/>
          <w:pgMar w:top="1134" w:right="1134" w:bottom="1134" w:left="1134" w:header="567" w:footer="567" w:gutter="0"/>
          <w:cols w:space="720"/>
          <w:docGrid w:linePitch="360"/>
        </w:sectPr>
      </w:pPr>
    </w:p>
    <w:p w14:paraId="1B78A949"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E.3. </w:t>
      </w:r>
      <w:r>
        <w:rPr>
          <w:noProof/>
        </w:rPr>
        <w:tab/>
      </w:r>
      <w:r>
        <w:rPr>
          <w:b/>
          <w:i w:val="0"/>
          <w:noProof/>
          <w:u w:val="single"/>
        </w:rPr>
        <w:t xml:space="preserve">Aizdevumam pieteikto reformu un investīciju apraksts </w:t>
      </w:r>
    </w:p>
    <w:p w14:paraId="7F0307CB" w14:textId="77777777" w:rsidR="00C972CB" w:rsidRDefault="002457F6">
      <w:pPr>
        <w:pStyle w:val="P68B1DB1-Normal2"/>
        <w:spacing w:before="120" w:after="120"/>
        <w:jc w:val="both"/>
        <w:rPr>
          <w:noProof/>
        </w:rPr>
      </w:pPr>
      <w:r>
        <w:rPr>
          <w:noProof/>
        </w:rPr>
        <w:t>Ieguldījums 1.1. — Lauksaimniecības energosistēmu attīstība</w:t>
      </w:r>
    </w:p>
    <w:p w14:paraId="324EF261" w14:textId="77777777" w:rsidR="00C972CB" w:rsidRDefault="002457F6">
      <w:pPr>
        <w:spacing w:before="120" w:after="120"/>
        <w:jc w:val="both"/>
        <w:rPr>
          <w:noProof/>
        </w:rPr>
      </w:pPr>
      <w:r>
        <w:rPr>
          <w:noProof/>
        </w:rPr>
        <w:t xml:space="preserve">Šīs investīcijas ietver dotācijas un aizdevumus, ar ko atbalsta ieguldījumus agroelektrisko sistēmu būvniecībā un mērinstrumentu uzstādīšanu, </w:t>
      </w:r>
      <w:r>
        <w:rPr>
          <w:noProof/>
        </w:rPr>
        <w:t>lai uzraudzītu pamatā esošo lauksaimniecisko darbību, lai novērtētu mikroklimatu, ūdens taupīšanu, augsnes auglības atjaunošanu, noturību pret klimata pārmaiņām un lauksaimniecības ražīgumu dažādiem kultūraugu veidiem.</w:t>
      </w:r>
    </w:p>
    <w:p w14:paraId="19B541FE" w14:textId="77777777" w:rsidR="00C972CB" w:rsidRDefault="002457F6">
      <w:pPr>
        <w:pStyle w:val="P68B1DB1-Normal2"/>
        <w:spacing w:before="120" w:after="120"/>
        <w:jc w:val="both"/>
        <w:rPr>
          <w:noProof/>
        </w:rPr>
      </w:pPr>
      <w:r>
        <w:rPr>
          <w:noProof/>
        </w:rPr>
        <w:t>Ieguldījums 1.2 — AER izmantošanas ve</w:t>
      </w:r>
      <w:r>
        <w:rPr>
          <w:noProof/>
        </w:rPr>
        <w:t>icināšana energokopienām un atjaunojamo energoresursu enerģijas pašpatērētājiem, kas darbojas kopīgi</w:t>
      </w:r>
    </w:p>
    <w:p w14:paraId="59B15D14" w14:textId="7CE05843" w:rsidR="00C972CB" w:rsidRDefault="002457F6">
      <w:pPr>
        <w:spacing w:before="120" w:after="120"/>
        <w:jc w:val="both"/>
        <w:rPr>
          <w:noProof/>
        </w:rPr>
      </w:pPr>
      <w:r>
        <w:rPr>
          <w:noProof/>
        </w:rPr>
        <w:t>Šīs investīcijas ietver atbalstu 1 730 MW jaunas elektroenerģijas ražošanas jaudas uzstādīšanai kolektīvā pašpatēriņa konfigurācijās un atjaunīgās enerģija</w:t>
      </w:r>
      <w:r>
        <w:rPr>
          <w:noProof/>
        </w:rPr>
        <w:t>s kopienās, jo īpaši pašvaldībās, kurās iedzīvotāju skaits ir mazāks par 5000. Atbalsta pamatā ir dotācijas atjaunojamo energoresursu un ražošanas iekārtu būvniecībai, kas saistītas ar enerģijas uzkrāšanas sistēmām.</w:t>
      </w:r>
    </w:p>
    <w:p w14:paraId="30BADB75" w14:textId="77777777" w:rsidR="00C972CB" w:rsidRDefault="002457F6">
      <w:pPr>
        <w:pStyle w:val="P68B1DB1-Normal2"/>
        <w:spacing w:before="120" w:after="120"/>
        <w:jc w:val="both"/>
        <w:rPr>
          <w:noProof/>
        </w:rPr>
      </w:pPr>
      <w:r>
        <w:rPr>
          <w:noProof/>
        </w:rPr>
        <w:t>Ieguldījums 1.4. Biometāna attīstība sas</w:t>
      </w:r>
      <w:r>
        <w:rPr>
          <w:noProof/>
        </w:rPr>
        <w:t>kaņā ar aprites ekonomikas veicināšanas kritērijiem</w:t>
      </w:r>
    </w:p>
    <w:p w14:paraId="0B81E416" w14:textId="77777777" w:rsidR="00C972CB" w:rsidRDefault="002457F6">
      <w:pPr>
        <w:spacing w:before="120" w:after="120"/>
        <w:jc w:val="both"/>
        <w:rPr>
          <w:noProof/>
        </w:rPr>
      </w:pPr>
      <w:r>
        <w:rPr>
          <w:noProof/>
        </w:rPr>
        <w:t>Šo ieguldījumu veido:</w:t>
      </w:r>
    </w:p>
    <w:p w14:paraId="1117C589" w14:textId="77777777" w:rsidR="00C972CB" w:rsidRDefault="002457F6">
      <w:pPr>
        <w:numPr>
          <w:ilvl w:val="0"/>
          <w:numId w:val="67"/>
        </w:numPr>
        <w:spacing w:before="120" w:after="120" w:line="259" w:lineRule="auto"/>
        <w:ind w:left="360"/>
        <w:contextualSpacing/>
        <w:jc w:val="both"/>
        <w:rPr>
          <w:noProof/>
        </w:rPr>
      </w:pPr>
      <w:r>
        <w:rPr>
          <w:noProof/>
        </w:rPr>
        <w:t>Atbalsts jaunu biometāna ražošanas iekārtu būvniecībai</w:t>
      </w:r>
    </w:p>
    <w:p w14:paraId="5801CC52" w14:textId="77777777" w:rsidR="00C972CB" w:rsidRDefault="002457F6">
      <w:pPr>
        <w:numPr>
          <w:ilvl w:val="0"/>
          <w:numId w:val="67"/>
        </w:numPr>
        <w:spacing w:before="120" w:after="120" w:line="259" w:lineRule="auto"/>
        <w:ind w:left="360"/>
        <w:contextualSpacing/>
        <w:jc w:val="both"/>
        <w:rPr>
          <w:noProof/>
        </w:rPr>
      </w:pPr>
      <w:r>
        <w:rPr>
          <w:noProof/>
        </w:rPr>
        <w:t>Esošo lauksaimniecības biogāzes iekārtu (tostarp sadzīves cieto atkritumu organiskās iedarbības — OFUSW) pārveidošana un efekti</w:t>
      </w:r>
      <w:r>
        <w:rPr>
          <w:noProof/>
        </w:rPr>
        <w:t>vitātes uzlabošana uz biometāna ražošanu transporta, rūpniecības un siltumapgādes vajadzībām. Biometāns atbilst Direktīvā 2018/2001 (RED II direktīva) noteiktajiem kritērijiem, lai pasākums atbilstu principam “nenodarīt būtisku kaitējumu” un attiecīgajām R</w:t>
      </w:r>
      <w:r>
        <w:rPr>
          <w:noProof/>
        </w:rPr>
        <w:t>egulas (ES) 2021/241 VI pielikuma 8. zemsvītras piezīmes prasībām.</w:t>
      </w:r>
    </w:p>
    <w:p w14:paraId="58083E6E" w14:textId="77777777" w:rsidR="00C972CB" w:rsidRDefault="002457F6">
      <w:pPr>
        <w:numPr>
          <w:ilvl w:val="0"/>
          <w:numId w:val="67"/>
        </w:numPr>
        <w:spacing w:before="120" w:after="120" w:line="259" w:lineRule="auto"/>
        <w:ind w:left="360"/>
        <w:contextualSpacing/>
        <w:jc w:val="both"/>
        <w:rPr>
          <w:noProof/>
        </w:rPr>
      </w:pPr>
      <w:r>
        <w:rPr>
          <w:noProof/>
        </w:rPr>
        <w:t>Novecojušus un zemas efektivitātes mehāniskos transportlīdzekļus aizstāt ar transportlīdzekļiem, kas darbojas tikai ar biometānu, kurš atbilst Direktīvā 2018/2001 (RED II direktīva) noteikt</w:t>
      </w:r>
      <w:r>
        <w:rPr>
          <w:noProof/>
        </w:rPr>
        <w:t>ajiem kritērijiem. Biodegvielas un biometāna gāzes un biodegvielas ražotājiem ir jāiesniedz sertifikāti (Ilgtspējas apliecinājums), ko izsnieguši neatkarīgi vērtētāji, kā paredzēts Direktīvā 2018/2001. Operators iegādājas izcelsmes apliecinājuma sertifikāt</w:t>
      </w:r>
      <w:r>
        <w:rPr>
          <w:noProof/>
        </w:rPr>
        <w:t>us proporcionāli paredzamajam degvielas izmantojumam.</w:t>
      </w:r>
    </w:p>
    <w:p w14:paraId="45A6F2BB" w14:textId="1BAFC9DD" w:rsidR="00C972CB" w:rsidRDefault="002457F6">
      <w:pPr>
        <w:numPr>
          <w:ilvl w:val="0"/>
          <w:numId w:val="67"/>
        </w:numPr>
        <w:spacing w:before="120" w:after="120" w:line="259" w:lineRule="auto"/>
        <w:ind w:left="360"/>
        <w:contextualSpacing/>
        <w:jc w:val="both"/>
        <w:rPr>
          <w:noProof/>
        </w:rPr>
      </w:pPr>
      <w:r>
        <w:rPr>
          <w:noProof/>
        </w:rPr>
        <w:t>Ekoloģiskās prakses izplatīšana biogāzes ražošanas posmā (augsnes minimālas apstrādes vietas, inovatīvas mazemisijas sistēmas digestāta izplatīšanai).</w:t>
      </w:r>
    </w:p>
    <w:p w14:paraId="03C2BCC9" w14:textId="77777777" w:rsidR="00C972CB" w:rsidRDefault="002457F6">
      <w:pPr>
        <w:pStyle w:val="P68B1DB1-Normal2"/>
        <w:spacing w:before="120" w:after="120"/>
        <w:jc w:val="both"/>
        <w:rPr>
          <w:noProof/>
        </w:rPr>
      </w:pPr>
      <w:r>
        <w:rPr>
          <w:noProof/>
        </w:rPr>
        <w:t>Ieguldījums 2.1. — Viedo tīklu stiprināšana</w:t>
      </w:r>
    </w:p>
    <w:p w14:paraId="60D1125B" w14:textId="77777777" w:rsidR="00C972CB" w:rsidRDefault="002457F6">
      <w:pPr>
        <w:spacing w:before="120" w:after="120"/>
        <w:jc w:val="both"/>
        <w:rPr>
          <w:noProof/>
        </w:rPr>
      </w:pPr>
      <w:r>
        <w:rPr>
          <w:noProof/>
        </w:rPr>
        <w:t>Šīs inv</w:t>
      </w:r>
      <w:r>
        <w:rPr>
          <w:noProof/>
        </w:rPr>
        <w:t>estīcijas ietver sadales tīklu pārveidi un to pārvaldību, iesaistoties gan elektrotīklā, gan tā programmatūras komponentos, lai nodrošinātu jaunus enerģijas scenārijus, kuros var piedalīties arī patērētāji un ražojošie patērētāji.</w:t>
      </w:r>
    </w:p>
    <w:p w14:paraId="4FBA14C2" w14:textId="77777777" w:rsidR="00C972CB" w:rsidRDefault="002457F6">
      <w:pPr>
        <w:pStyle w:val="P68B1DB1-Normal2"/>
        <w:spacing w:before="120" w:after="120"/>
        <w:jc w:val="both"/>
        <w:rPr>
          <w:noProof/>
        </w:rPr>
      </w:pPr>
      <w:r>
        <w:rPr>
          <w:noProof/>
        </w:rPr>
        <w:t xml:space="preserve">Ieguldījums. Intervences </w:t>
      </w:r>
      <w:r>
        <w:rPr>
          <w:noProof/>
        </w:rPr>
        <w:t>elektrotīkla noturības palielināšanai</w:t>
      </w:r>
    </w:p>
    <w:p w14:paraId="30BB3F4D" w14:textId="77777777" w:rsidR="00C972CB" w:rsidRDefault="002457F6">
      <w:pPr>
        <w:spacing w:before="120" w:after="120"/>
        <w:jc w:val="both"/>
        <w:rPr>
          <w:noProof/>
        </w:rPr>
      </w:pPr>
      <w:r>
        <w:rPr>
          <w:noProof/>
        </w:rPr>
        <w:t>Šīs investīcijas ietver intervences pasākumus, kuru mērķis ir uzlabot elektrotīkla noturību pret ekstremāliem laikapstākļiem (vēja/kritoši koki, ledus, karstuma viļņi, plūdi un hidroģeoloģiskais risks), jo īpaši sadale</w:t>
      </w:r>
      <w:r>
        <w:rPr>
          <w:noProof/>
        </w:rPr>
        <w:t>s tīklā, un lai samazinātu ilgstošu elektroapgādes pārtraukumu iespējamību un negatīvās sociālās un ekonomiskās sekas skartajos apgabalos.</w:t>
      </w:r>
    </w:p>
    <w:p w14:paraId="044C9DC3" w14:textId="5495A66C" w:rsidR="00C972CB" w:rsidRDefault="002457F6">
      <w:pPr>
        <w:pStyle w:val="P68B1DB1-Normal2"/>
        <w:spacing w:before="120" w:after="120"/>
        <w:jc w:val="both"/>
        <w:rPr>
          <w:noProof/>
        </w:rPr>
      </w:pPr>
      <w:r>
        <w:rPr>
          <w:noProof/>
        </w:rPr>
        <w:t>Investīcija 3.1. — Ūdeņraža ražošana degradētās teritorijās (Ūdeņraža ielejās)</w:t>
      </w:r>
    </w:p>
    <w:p w14:paraId="0A4CFEFC" w14:textId="77777777" w:rsidR="00C972CB" w:rsidRDefault="002457F6">
      <w:pPr>
        <w:spacing w:before="120" w:after="120"/>
        <w:jc w:val="both"/>
        <w:rPr>
          <w:noProof/>
        </w:rPr>
      </w:pPr>
      <w:r>
        <w:rPr>
          <w:noProof/>
        </w:rPr>
        <w:t>Šīs investīcijas ietver atbalstu videi</w:t>
      </w:r>
      <w:r>
        <w:rPr>
          <w:noProof/>
        </w:rPr>
        <w:t xml:space="preserve"> draudzīga ūdeņraža vietējai ražošanai un izmantošanai rūpniecībā, MVU un vietējā transportā, tādējādi radot jaunas ūdeņraža ielejas, kas galvenokārt atrodas Itālijas dienvidos, ar vietējo ražošanu no atjaunojamiem energoresursiem un vietējo izmantošanu. P</w:t>
      </w:r>
      <w:r>
        <w:rPr>
          <w:noProof/>
        </w:rPr>
        <w:t>rojekta mērķis ir atkārtoti izmantot pamestas rūpnieciskās teritorijas, lai testētu vienības ūdeņraža ražošanai no vietējām AER ražotnēm, kas atrodas tajā pašā rūpnieciskajā telpā un iekārtās vai kaimiņu teritorijās. Šis pasākums atbalsta ūdeņraža ražošanu</w:t>
      </w:r>
      <w:r>
        <w:rPr>
          <w:noProof/>
        </w:rPr>
        <w:t xml:space="preserve"> elektrolīzē, izmantojot atjaunojamos energoresursus, kas definēti Direktīvā (ES) 2018/2001 (Atjaunojamo energoresursu direktīva), vai tīkla elektroenerģiju.</w:t>
      </w:r>
    </w:p>
    <w:p w14:paraId="46DEC56A" w14:textId="77777777" w:rsidR="00C972CB" w:rsidRDefault="002457F6">
      <w:pPr>
        <w:pStyle w:val="P68B1DB1-Normal2"/>
        <w:spacing w:before="120" w:after="120"/>
        <w:jc w:val="both"/>
        <w:rPr>
          <w:noProof/>
        </w:rPr>
      </w:pPr>
      <w:r>
        <w:rPr>
          <w:noProof/>
        </w:rPr>
        <w:t>Ieguldījums. Ūdeņraža izmantošana grūti dekarbonizējamā rūpniecībā</w:t>
      </w:r>
    </w:p>
    <w:p w14:paraId="6B48525D" w14:textId="266BFCF1" w:rsidR="00C972CB" w:rsidRDefault="002457F6">
      <w:pPr>
        <w:spacing w:before="120" w:after="120"/>
        <w:jc w:val="both"/>
        <w:rPr>
          <w:b/>
          <w:noProof/>
        </w:rPr>
      </w:pPr>
      <w:r>
        <w:rPr>
          <w:noProof/>
        </w:rPr>
        <w:t>Šīs investīcijas ietver atbalst</w:t>
      </w:r>
      <w:r>
        <w:rPr>
          <w:noProof/>
        </w:rPr>
        <w:t>u pētniecībai, izstrādei un inovācijai rūpnieciskos procesos, lai izstrādātu iniciatīvas ūdeņraža izmantošanai rūpniecības nozarēs, kurās metānu izmanto kā enerģijas avotu siltumenerģijai (cements, papīra rūpnīcas, keramikas, stikla rūpniecība u. c.). Fosi</w:t>
      </w:r>
      <w:r>
        <w:rPr>
          <w:noProof/>
        </w:rPr>
        <w:t>lā kurināmā nozare, piemēram, naftas pārstrādes rūpnīcas, nav atbalsttiesīgas. Šis pasākums atbalsta ūdeņraža ražošanu elektrolīzē, izmantojot atjaunojamos energoresursus, kas definēti Direktīvā (ES) 2018/2001 (Atjaunojamo energoresursu direktīva), vai tīk</w:t>
      </w:r>
      <w:r>
        <w:rPr>
          <w:noProof/>
        </w:rPr>
        <w:t>la elektroenerģiju.</w:t>
      </w:r>
      <w:r>
        <w:rPr>
          <w:b/>
          <w:noProof/>
        </w:rPr>
        <w:t xml:space="preserve"> </w:t>
      </w:r>
    </w:p>
    <w:p w14:paraId="1901E301" w14:textId="1A784B3C" w:rsidR="00C972CB" w:rsidRDefault="002457F6">
      <w:pPr>
        <w:spacing w:before="120" w:after="120"/>
        <w:jc w:val="both"/>
        <w:rPr>
          <w:noProof/>
        </w:rPr>
      </w:pPr>
      <w:r>
        <w:rPr>
          <w:noProof/>
        </w:rPr>
        <w:t>Lai nodrošinātu, ka pasākums atbilst principam “nenodari būtisku kaitējumu” Atveseļošanas un noturības mehānisma ietvaros, kā noteikts NBK tehniskajās norādēs (2021/C58/01), atbilstības kritērijos turpmākajos uzaicinājumos neiekļauj da</w:t>
      </w:r>
      <w:r>
        <w:rPr>
          <w:noProof/>
        </w:rPr>
        <w:t>rbības saskaņā ar ES emisijas kvotu tirdzniecības sistēmu (ETS), ar kurām tiek panāktas prognozētās siltumnīcefekta gāzu emisijas, kas nav zemākas par attiecīgajām līmeņatzīmēm. Ja ar darbību tiek sasniegtas prognozētās siltumnīcefekta gāzu emisijas, kas n</w:t>
      </w:r>
      <w:r>
        <w:rPr>
          <w:noProof/>
        </w:rPr>
        <w:t xml:space="preserve">av ievērojami zemākas, bet joprojām zemākas par attiecīgajām līmeņatzīmēm, sniedz paskaidrojumu par iemesliem, kāpēc tas nav iespējams. Līmeņatzīmes, kas noteiktas bezmaksas kvotu piešķiršanai darbībām, kuras ietilpst emisijas kvotu tirdzniecības sistēmas </w:t>
      </w:r>
      <w:r>
        <w:rPr>
          <w:noProof/>
        </w:rPr>
        <w:t>darbības jomā, kā noteikts Komisijas Īstenošanas regulā (ES) 2021/447.</w:t>
      </w:r>
    </w:p>
    <w:p w14:paraId="1B9A3C33" w14:textId="77777777" w:rsidR="00C972CB" w:rsidRDefault="002457F6">
      <w:pPr>
        <w:pStyle w:val="P68B1DB1-Normal2"/>
        <w:spacing w:before="120" w:after="120"/>
        <w:jc w:val="both"/>
        <w:rPr>
          <w:noProof/>
        </w:rPr>
      </w:pPr>
      <w:r>
        <w:rPr>
          <w:noProof/>
        </w:rPr>
        <w:t>Ieguldījums 3.3. Ūdeņraža testēšana autotransporta nozarē</w:t>
      </w:r>
    </w:p>
    <w:p w14:paraId="07042940" w14:textId="77777777" w:rsidR="00C972CB" w:rsidRDefault="002457F6">
      <w:pPr>
        <w:spacing w:before="120" w:after="120"/>
        <w:jc w:val="both"/>
        <w:rPr>
          <w:noProof/>
        </w:rPr>
      </w:pPr>
      <w:r>
        <w:rPr>
          <w:noProof/>
        </w:rPr>
        <w:t xml:space="preserve">Šīs investīcijas ietver vismaz 40 ūdeņraža uzpildes staciju izveidi automaģistrāļu pakalpojumu zonās, loģistikas noliktavās un </w:t>
      </w:r>
      <w:r>
        <w:rPr>
          <w:noProof/>
        </w:rPr>
        <w:t xml:space="preserve">ostās saskaņā ar prasībām, kas noteiktas Direktīvā 2014/94 par alternatīvo degvielu infrastruktūru. </w:t>
      </w:r>
    </w:p>
    <w:p w14:paraId="45AF42FB" w14:textId="77777777" w:rsidR="00C972CB" w:rsidRDefault="002457F6">
      <w:pPr>
        <w:pStyle w:val="P68B1DB1-Normal2"/>
        <w:spacing w:before="120" w:after="120"/>
        <w:jc w:val="both"/>
        <w:rPr>
          <w:noProof/>
        </w:rPr>
      </w:pPr>
      <w:r>
        <w:rPr>
          <w:noProof/>
        </w:rPr>
        <w:t>Ieguldījums. Ūdeņraža testēšana dzelzceļa mobilitātei</w:t>
      </w:r>
    </w:p>
    <w:p w14:paraId="6FA98301" w14:textId="77777777" w:rsidR="00C972CB" w:rsidRDefault="002457F6">
      <w:pPr>
        <w:spacing w:before="120" w:after="120"/>
        <w:jc w:val="both"/>
        <w:rPr>
          <w:noProof/>
        </w:rPr>
      </w:pPr>
      <w:r>
        <w:rPr>
          <w:noProof/>
        </w:rPr>
        <w:t xml:space="preserve">Šīs investīcijas ietver vismaz desmit dzelzceļa uzpildes staciju būvniecību uz ūdeņraža bāzes vismaz </w:t>
      </w:r>
      <w:r>
        <w:rPr>
          <w:noProof/>
        </w:rPr>
        <w:t xml:space="preserve">sešās dzelzceļa līnijās. Ūdeņraža vilcienu uzpildes stacijas vēlams ierīkot vietējo atjaunīgā ūdeņraža ražotņu un/vai ūdeņraža uzpildes staciju tuvumā.  </w:t>
      </w:r>
    </w:p>
    <w:p w14:paraId="5513A5D0" w14:textId="77777777" w:rsidR="00C972CB" w:rsidRDefault="002457F6">
      <w:pPr>
        <w:pStyle w:val="P68B1DB1-Normal2"/>
        <w:spacing w:before="120" w:after="120"/>
        <w:jc w:val="both"/>
        <w:rPr>
          <w:noProof/>
        </w:rPr>
      </w:pPr>
      <w:r>
        <w:rPr>
          <w:noProof/>
        </w:rPr>
        <w:t>Investīcija 3.5. Ūdeņraža pētniecība un izstrāde</w:t>
      </w:r>
    </w:p>
    <w:p w14:paraId="6DCCFE7E" w14:textId="77777777" w:rsidR="00C972CB" w:rsidRDefault="002457F6">
      <w:pPr>
        <w:spacing w:before="120" w:after="120" w:line="246" w:lineRule="auto"/>
        <w:jc w:val="both"/>
        <w:rPr>
          <w:noProof/>
        </w:rPr>
      </w:pPr>
      <w:r>
        <w:rPr>
          <w:noProof/>
        </w:rPr>
        <w:t>Šīs investīcijas ietver atbalstu ūdeņraža pētniecības</w:t>
      </w:r>
      <w:r>
        <w:rPr>
          <w:noProof/>
        </w:rPr>
        <w:t xml:space="preserve"> un izstrādes darbībām:</w:t>
      </w:r>
    </w:p>
    <w:p w14:paraId="6C4C111F" w14:textId="77777777" w:rsidR="00C972CB" w:rsidRDefault="002457F6">
      <w:pPr>
        <w:numPr>
          <w:ilvl w:val="0"/>
          <w:numId w:val="68"/>
        </w:numPr>
        <w:spacing w:before="120" w:after="120" w:line="246" w:lineRule="auto"/>
        <w:ind w:left="360"/>
        <w:contextualSpacing/>
        <w:jc w:val="both"/>
        <w:rPr>
          <w:noProof/>
        </w:rPr>
      </w:pPr>
      <w:r>
        <w:rPr>
          <w:noProof/>
        </w:rPr>
        <w:t>Zaļā un tīrā ūdeņraža ražošana</w:t>
      </w:r>
    </w:p>
    <w:p w14:paraId="3D39BB16" w14:textId="77777777" w:rsidR="00C972CB" w:rsidRDefault="002457F6">
      <w:pPr>
        <w:numPr>
          <w:ilvl w:val="0"/>
          <w:numId w:val="68"/>
        </w:numPr>
        <w:spacing w:before="120" w:after="120" w:line="246" w:lineRule="auto"/>
        <w:ind w:left="360"/>
        <w:contextualSpacing/>
        <w:jc w:val="both"/>
        <w:rPr>
          <w:noProof/>
        </w:rPr>
      </w:pPr>
      <w:r>
        <w:rPr>
          <w:noProof/>
        </w:rPr>
        <w:t>Inovatīvas tehnoloģijas ūdeņraža uzglabāšanai, transportēšanai un pārveidošanai par atvasinājumiem un e-degvielām</w:t>
      </w:r>
    </w:p>
    <w:p w14:paraId="6ACB1953" w14:textId="77777777" w:rsidR="00C972CB" w:rsidRDefault="002457F6">
      <w:pPr>
        <w:numPr>
          <w:ilvl w:val="0"/>
          <w:numId w:val="68"/>
        </w:numPr>
        <w:spacing w:before="120" w:after="120" w:line="246" w:lineRule="auto"/>
        <w:ind w:left="360"/>
        <w:contextualSpacing/>
        <w:jc w:val="both"/>
        <w:rPr>
          <w:noProof/>
        </w:rPr>
      </w:pPr>
      <w:r>
        <w:rPr>
          <w:noProof/>
        </w:rPr>
        <w:t>Degvielas elementi stacionāriem un mobilitātes lietojumiem</w:t>
      </w:r>
    </w:p>
    <w:p w14:paraId="0C97794B" w14:textId="77777777" w:rsidR="00C972CB" w:rsidRDefault="002457F6">
      <w:pPr>
        <w:numPr>
          <w:ilvl w:val="0"/>
          <w:numId w:val="68"/>
        </w:numPr>
        <w:spacing w:before="120" w:after="120" w:line="246" w:lineRule="auto"/>
        <w:ind w:left="360"/>
        <w:contextualSpacing/>
        <w:jc w:val="both"/>
        <w:rPr>
          <w:noProof/>
        </w:rPr>
      </w:pPr>
      <w:r>
        <w:rPr>
          <w:noProof/>
        </w:rPr>
        <w:t>Integrētas viedas pārvaldība</w:t>
      </w:r>
      <w:r>
        <w:rPr>
          <w:noProof/>
        </w:rPr>
        <w:t xml:space="preserve">s sistēmas, lai palielinātu inteliģento ūdeņraža infrastruktūru noturību un uzticamību </w:t>
      </w:r>
    </w:p>
    <w:p w14:paraId="13EB039B" w14:textId="2A14FAB4" w:rsidR="00C972CB" w:rsidRDefault="002457F6">
      <w:pPr>
        <w:spacing w:before="120" w:after="120"/>
        <w:jc w:val="both"/>
        <w:rPr>
          <w:noProof/>
        </w:rPr>
      </w:pPr>
      <w:r>
        <w:rPr>
          <w:noProof/>
        </w:rPr>
        <w:t>Šis pasākums atbalsta ūdeņraža ražošanu, kuras pamatā ir elektrolīze, izmantojot atjaunojamos energoresursus, kas definēti Direktīvā (ES) 2018/2001 (atjaunojamo energor</w:t>
      </w:r>
      <w:r>
        <w:rPr>
          <w:noProof/>
        </w:rPr>
        <w:t xml:space="preserve">esursu direktīva), vai tīkla elektroenerģiju, vai ūdeņraža darbības, kas atbilst prasībai par ūdeņraža aprites cikla SEG emisiju aiztaupījumu 73,4 % apmērā [kā rezultātā aprites cikla SEG emisijas ir mazākas par 3 t CO2e/tH2] un 70 % uz ūdeņradi balstītām </w:t>
      </w:r>
      <w:r>
        <w:rPr>
          <w:noProof/>
        </w:rPr>
        <w:t>sintētiskām degvielām attiecībā pret fosilā kurināmā komparatoru 94 g CO2e/MJ pēc analoģijas ar pieeju, kas izklāstīta Direktīvas (ES) 2018/2001 25. panta 2. punktā un V pielikumā.</w:t>
      </w:r>
    </w:p>
    <w:p w14:paraId="48BAE65B" w14:textId="77777777" w:rsidR="00C972CB" w:rsidRDefault="002457F6">
      <w:pPr>
        <w:pStyle w:val="P68B1DB1-Normal2"/>
        <w:spacing w:after="120"/>
        <w:jc w:val="both"/>
        <w:rPr>
          <w:noProof/>
        </w:rPr>
      </w:pPr>
      <w:r>
        <w:rPr>
          <w:noProof/>
        </w:rPr>
        <w:t xml:space="preserve">Ieguldījums 4.2. — Ātrās masas transporta sistēmu (metro, ielu automobiļa, </w:t>
      </w:r>
      <w:r>
        <w:rPr>
          <w:noProof/>
        </w:rPr>
        <w:t>BRT) attīstība</w:t>
      </w:r>
    </w:p>
    <w:p w14:paraId="45241A2F" w14:textId="77777777" w:rsidR="00C972CB" w:rsidRDefault="002457F6">
      <w:pPr>
        <w:spacing w:after="120"/>
        <w:jc w:val="both"/>
        <w:rPr>
          <w:noProof/>
        </w:rPr>
      </w:pPr>
      <w:r>
        <w:rPr>
          <w:noProof/>
        </w:rPr>
        <w:t xml:space="preserve">Pasākuma mērķis ir palielināt ātru masveida transporta sistēmas vadīšanu, veicinot modālo pāreju no autopārvadājumiem uz sabiedrisko transportu. </w:t>
      </w:r>
    </w:p>
    <w:p w14:paraId="150D50D9" w14:textId="77777777" w:rsidR="00C972CB" w:rsidRDefault="002457F6">
      <w:pPr>
        <w:spacing w:after="120"/>
        <w:jc w:val="both"/>
        <w:rPr>
          <w:noProof/>
        </w:rPr>
      </w:pPr>
      <w:r>
        <w:rPr>
          <w:noProof/>
        </w:rPr>
        <w:t>Šo ieguldījumu veido:</w:t>
      </w:r>
    </w:p>
    <w:p w14:paraId="3AE34B28" w14:textId="77777777" w:rsidR="00C972CB" w:rsidRDefault="002457F6">
      <w:pPr>
        <w:numPr>
          <w:ilvl w:val="0"/>
          <w:numId w:val="98"/>
        </w:numPr>
        <w:spacing w:after="120"/>
        <w:ind w:right="4"/>
        <w:jc w:val="both"/>
        <w:rPr>
          <w:noProof/>
        </w:rPr>
      </w:pPr>
      <w:r>
        <w:rPr>
          <w:noProof/>
        </w:rPr>
        <w:t xml:space="preserve">Jaunu līniju izbūve un esošo ātrgaitas masu transporta sistēmu līniju </w:t>
      </w:r>
      <w:r>
        <w:rPr>
          <w:noProof/>
        </w:rPr>
        <w:t>paplašināšana vismaz par 231 km. Projektu sarakstā iekļauj vismaz 96 km metro joslu vai tramvaju un vismaz 135 km trolejbusu vai trošu ceļu.</w:t>
      </w:r>
    </w:p>
    <w:p w14:paraId="3CC70B75" w14:textId="77777777" w:rsidR="00C972CB" w:rsidRDefault="002457F6">
      <w:pPr>
        <w:numPr>
          <w:ilvl w:val="0"/>
          <w:numId w:val="98"/>
        </w:numPr>
        <w:spacing w:after="120"/>
        <w:ind w:right="4"/>
        <w:jc w:val="both"/>
        <w:rPr>
          <w:noProof/>
        </w:rPr>
      </w:pPr>
      <w:r>
        <w:rPr>
          <w:noProof/>
        </w:rPr>
        <w:t xml:space="preserve">Ātro masu transporta sistēmu infrastruktūras uzlabošana, tostarp to digitalizācija. Šie pasākumi ietver metro </w:t>
      </w:r>
      <w:r>
        <w:rPr>
          <w:noProof/>
        </w:rPr>
        <w:t>staciju un metro sliežu ceļu infrastruktūras modernizāciju, signalizācijas sistēmas dzelzceļam vai tramvaju ceļiem, sabiedriskā tranzīta noliktavas.</w:t>
      </w:r>
    </w:p>
    <w:p w14:paraId="3B0F5DBF" w14:textId="77777777" w:rsidR="00C972CB" w:rsidRDefault="002457F6">
      <w:pPr>
        <w:numPr>
          <w:ilvl w:val="0"/>
          <w:numId w:val="98"/>
        </w:numPr>
        <w:spacing w:after="120"/>
        <w:ind w:right="4"/>
        <w:jc w:val="both"/>
        <w:rPr>
          <w:noProof/>
        </w:rPr>
      </w:pPr>
      <w:r>
        <w:rPr>
          <w:noProof/>
        </w:rPr>
        <w:t>Bezemisiju ritošā sastāva iegāde ātras masas transporta sistēmām.</w:t>
      </w:r>
    </w:p>
    <w:p w14:paraId="578C44D9" w14:textId="77777777" w:rsidR="00C972CB" w:rsidRDefault="002457F6">
      <w:pPr>
        <w:spacing w:after="120"/>
        <w:jc w:val="both"/>
        <w:rPr>
          <w:noProof/>
        </w:rPr>
      </w:pPr>
      <w:r>
        <w:rPr>
          <w:noProof/>
        </w:rPr>
        <w:t>Šajā pasākumā iekļautās intervences izrie</w:t>
      </w:r>
      <w:r>
        <w:rPr>
          <w:noProof/>
        </w:rPr>
        <w:t xml:space="preserve">t no diviem atšķirīgiem uzaicinājumiem izteikt ieinteresētību (makrogrupas): </w:t>
      </w:r>
    </w:p>
    <w:p w14:paraId="3B3A1837" w14:textId="77777777" w:rsidR="00C972CB" w:rsidRDefault="002457F6">
      <w:pPr>
        <w:pStyle w:val="ListParagraph"/>
        <w:numPr>
          <w:ilvl w:val="0"/>
          <w:numId w:val="99"/>
        </w:numPr>
        <w:spacing w:before="0"/>
        <w:rPr>
          <w:noProof/>
        </w:rPr>
      </w:pPr>
      <w:r>
        <w:rPr>
          <w:noProof/>
        </w:rPr>
        <w:t>uzaicinājums “Avviso 1” (pēdējais termiņš 2020. gadā) — īstenot vismaz 7 intervences pasākumus lielpilsētu teritorijās,</w:t>
      </w:r>
      <w:r>
        <w:rPr>
          <w:rStyle w:val="FootnoteReference"/>
          <w:noProof/>
        </w:rPr>
        <w:footnoteReference w:id="50"/>
      </w:r>
      <w:r>
        <w:rPr>
          <w:noProof/>
        </w:rPr>
        <w:t xml:space="preserve"> tostarp Romā, Dženovā, Florencē, Palermo, Boloņā, Rimini;</w:t>
      </w:r>
      <w:r>
        <w:rPr>
          <w:noProof/>
        </w:rPr>
        <w:t xml:space="preserve"> </w:t>
      </w:r>
    </w:p>
    <w:p w14:paraId="3EBFD896" w14:textId="77777777" w:rsidR="00C972CB" w:rsidRDefault="002457F6">
      <w:pPr>
        <w:pStyle w:val="ListParagraph"/>
        <w:numPr>
          <w:ilvl w:val="0"/>
          <w:numId w:val="99"/>
        </w:numPr>
        <w:spacing w:before="0"/>
        <w:contextualSpacing w:val="0"/>
        <w:rPr>
          <w:noProof/>
        </w:rPr>
      </w:pPr>
      <w:r>
        <w:rPr>
          <w:noProof/>
        </w:rPr>
        <w:t>uzaicinājums “Avviso 2” (pēdējais termiņš 2021. gada janvārī) — vismaz 21 intervences pasākuma īstenošana lielpilsētu teritorijās, tostarp Romā, Florencē, Neapolē, Milānā, Palermo, Bari, Boloņa, Katānija, Padovā, Perudžā, Taranto.</w:t>
      </w:r>
    </w:p>
    <w:p w14:paraId="60E4CDD4" w14:textId="77777777" w:rsidR="00C972CB" w:rsidRDefault="002457F6">
      <w:pPr>
        <w:spacing w:after="120"/>
        <w:ind w:right="4"/>
        <w:jc w:val="both"/>
        <w:rPr>
          <w:noProof/>
        </w:rPr>
      </w:pPr>
      <w:r>
        <w:rPr>
          <w:noProof/>
        </w:rPr>
        <w:t xml:space="preserve">Infrastruktūra, ko var </w:t>
      </w:r>
      <w:r>
        <w:rPr>
          <w:noProof/>
        </w:rPr>
        <w:t>būvēt un modernizēt, ir paredzēta bezemisiju ritošajam sastāvam (proti, metro joslām, tramvaju līnijām, trolejbusu joslām un/vai trošu ceļiem). Ieguldījums neietver ceļu būvniecību vai modernizāciju.</w:t>
      </w:r>
    </w:p>
    <w:p w14:paraId="7606820C" w14:textId="77777777" w:rsidR="00C972CB" w:rsidRDefault="002457F6">
      <w:pPr>
        <w:pStyle w:val="P68B1DB1-Normal2"/>
        <w:spacing w:after="120"/>
        <w:jc w:val="both"/>
        <w:rPr>
          <w:noProof/>
        </w:rPr>
      </w:pPr>
      <w:bookmarkStart w:id="3" w:name="_Hlk151064119"/>
      <w:r>
        <w:rPr>
          <w:noProof/>
        </w:rPr>
        <w:t>Ieguldījums — reģionālā sabiedriskā transporta bezemisij</w:t>
      </w:r>
      <w:r>
        <w:rPr>
          <w:noProof/>
        </w:rPr>
        <w:t>u autobusu parka stiprināšana</w:t>
      </w:r>
    </w:p>
    <w:p w14:paraId="72B80D61" w14:textId="71525EC1" w:rsidR="00C972CB" w:rsidRDefault="002457F6">
      <w:pPr>
        <w:spacing w:after="120"/>
        <w:jc w:val="both"/>
        <w:rPr>
          <w:noProof/>
        </w:rPr>
      </w:pPr>
      <w:r>
        <w:rPr>
          <w:noProof/>
        </w:rPr>
        <w:t>Šīs investīcijas ietver vismaz</w:t>
      </w:r>
      <w:r>
        <w:rPr>
          <w:noProof/>
          <w:color w:val="006100"/>
          <w:sz w:val="20"/>
        </w:rPr>
        <w:t xml:space="preserve"> </w:t>
      </w:r>
      <w:r>
        <w:rPr>
          <w:noProof/>
        </w:rPr>
        <w:t>3000 bezemisiju mazemisiju autobusu un vismaz</w:t>
      </w:r>
      <w:r>
        <w:rPr>
          <w:noProof/>
          <w:color w:val="006100"/>
          <w:sz w:val="20"/>
        </w:rPr>
        <w:t xml:space="preserve"> </w:t>
      </w:r>
      <w:r>
        <w:rPr>
          <w:noProof/>
        </w:rPr>
        <w:t>1000 bezemisiju un mazemisiju mazemisiju autobusu uzlādes staciju iepirkumu. Autobusiem jābūt aprīkotiem ar digitālām funkcijām. Atbilstīgie autobusi</w:t>
      </w:r>
      <w:r>
        <w:rPr>
          <w:noProof/>
        </w:rPr>
        <w:t xml:space="preserve"> ir zemas grīdas (t. i., tie pieder pie M2 un M3 kategorijas transportlīdzekļiem saskaņā ar ANO/EEK standartiem) un ir vai nu elektrisks, vai ūdeņraža degvielas elements. </w:t>
      </w:r>
    </w:p>
    <w:bookmarkEnd w:id="3"/>
    <w:p w14:paraId="19E6285E" w14:textId="77777777" w:rsidR="00C972CB" w:rsidRDefault="002457F6">
      <w:pPr>
        <w:pStyle w:val="P68B1DB1-Normal2"/>
        <w:spacing w:before="120" w:after="120"/>
        <w:jc w:val="both"/>
        <w:rPr>
          <w:noProof/>
        </w:rPr>
      </w:pPr>
      <w:r>
        <w:rPr>
          <w:noProof/>
        </w:rPr>
        <w:t>Ieguldījums 4.4.2. — Reģionālā sabiedriskā transporta dzelzceļa parka stiprināšana a</w:t>
      </w:r>
      <w:r>
        <w:rPr>
          <w:noProof/>
        </w:rPr>
        <w:t>r bezemisiju vilcieniem un universālo pakalpojumu</w:t>
      </w:r>
    </w:p>
    <w:p w14:paraId="2DA767CE" w14:textId="77777777" w:rsidR="00C972CB" w:rsidRDefault="002457F6">
      <w:pPr>
        <w:spacing w:before="120" w:after="120"/>
        <w:jc w:val="both"/>
        <w:rPr>
          <w:noProof/>
        </w:rPr>
      </w:pPr>
      <w:r>
        <w:rPr>
          <w:noProof/>
        </w:rPr>
        <w:t>Šīs investīcijas ietver vismaz 66 bezemisiju pasažieru vilcienu iepirkumu un nodošanu ekspluatācijā</w:t>
      </w:r>
      <w:r>
        <w:rPr>
          <w:rStyle w:val="FootnoteReference"/>
          <w:noProof/>
        </w:rPr>
        <w:footnoteReference w:id="51"/>
      </w:r>
      <w:r>
        <w:rPr>
          <w:noProof/>
        </w:rPr>
        <w:t xml:space="preserve"> (kur vilcienu veido vismaz viena lokomotīve un ietver pasažieru vagonus) un papildu 100 pasažieru pārvadā</w:t>
      </w:r>
      <w:r>
        <w:rPr>
          <w:noProof/>
        </w:rPr>
        <w:t>jumus universālajam pakalpojumam. Kopumā ieguldījums nodrošina vismaz 523 vienības, no kurām vismaz 66 vienības ir lokomotīves.</w:t>
      </w:r>
    </w:p>
    <w:p w14:paraId="0A461285" w14:textId="77777777" w:rsidR="00C972CB" w:rsidRDefault="002457F6">
      <w:pPr>
        <w:pStyle w:val="P68B1DB1-Normal2"/>
        <w:spacing w:before="120" w:after="120"/>
        <w:jc w:val="both"/>
        <w:rPr>
          <w:noProof/>
        </w:rPr>
      </w:pPr>
      <w:r>
        <w:rPr>
          <w:noProof/>
        </w:rPr>
        <w:t xml:space="preserve">Ieguldījums 4.4.3. — Valsts ugunsdzēsības brigādes komandas flotes atjaunošana </w:t>
      </w:r>
    </w:p>
    <w:p w14:paraId="3D413323" w14:textId="0009F480" w:rsidR="00C972CB" w:rsidRDefault="002457F6">
      <w:pPr>
        <w:spacing w:before="120" w:after="120"/>
        <w:jc w:val="both"/>
        <w:rPr>
          <w:noProof/>
        </w:rPr>
      </w:pPr>
      <w:r>
        <w:rPr>
          <w:noProof/>
        </w:rPr>
        <w:t>Šis ieguldījums ietver 200 lidostu transportlīdz</w:t>
      </w:r>
      <w:r>
        <w:rPr>
          <w:noProof/>
        </w:rPr>
        <w:t>ekļu un 3600</w:t>
      </w:r>
      <w:r>
        <w:rPr>
          <w:noProof/>
          <w:color w:val="006100"/>
          <w:sz w:val="20"/>
        </w:rPr>
        <w:t xml:space="preserve"> </w:t>
      </w:r>
      <w:r>
        <w:rPr>
          <w:noProof/>
        </w:rPr>
        <w:t>ugunsdzēsības transportlīdzekļu iepirkumu, lai aizstātu visu Valsts ugunsdzēsības brigādes transportlīdzekļu parku un 875 uzlādes staciju izveidi. Transportlīdzekļi ir bezemisiju transportlīdzekļi vai tos darbina tikai ar biometānu, kas atbils</w:t>
      </w:r>
      <w:r>
        <w:rPr>
          <w:noProof/>
        </w:rPr>
        <w:t>t ilgtspējas un siltumnīcefekta gāzu emisiju aiztaupījuma kritērijiem, kuri noteikti Atjaunojamo energoresursu direktīvas (ES) 2018/2001 (RED II) 29.–31. pantā, un noteikumiem par biodegvielām, kas ražotas no pārtikas un dzīvnieku barības, un kas izklāstīt</w:t>
      </w:r>
      <w:r>
        <w:rPr>
          <w:noProof/>
        </w:rPr>
        <w:t>i Atjaunojamo energoresursu direktīvas (ES) 2018/2001 (RED II) 26. pantā un saistītajos īstenošanas un deleģētajos aktos. Uzņēmēji iegādājas izcelsmes apliecinājuma sertifikātu proporcionāli paredzamajam degvielas izmantojumam.</w:t>
      </w:r>
    </w:p>
    <w:p w14:paraId="09538FBF" w14:textId="77777777" w:rsidR="00C972CB" w:rsidRDefault="002457F6">
      <w:pPr>
        <w:pStyle w:val="P68B1DB1-Normal2"/>
        <w:spacing w:after="120"/>
        <w:jc w:val="both"/>
        <w:rPr>
          <w:noProof/>
        </w:rPr>
      </w:pPr>
      <w:r>
        <w:rPr>
          <w:noProof/>
        </w:rPr>
        <w:t>Ieguldījums 5.1. — Starptaut</w:t>
      </w:r>
      <w:r>
        <w:rPr>
          <w:noProof/>
        </w:rPr>
        <w:t>iskās, rūpnieciskās un pētniecības un izstrādes vadošās lomas attīstīšana atjaunojamo energoresursu un akumulatoru jomā</w:t>
      </w:r>
    </w:p>
    <w:p w14:paraId="65BE578B" w14:textId="376BA638" w:rsidR="00C972CB" w:rsidRDefault="002457F6">
      <w:pPr>
        <w:spacing w:after="120"/>
        <w:jc w:val="both"/>
        <w:rPr>
          <w:noProof/>
        </w:rPr>
      </w:pPr>
      <w:r>
        <w:rPr>
          <w:noProof/>
        </w:rPr>
        <w:t>Šis pasākums sastāv no publiskām investīcijām Mehānismā — “Atjaunojamo energoresursu un akumulatoru iekārtā”, lai stimulētu privātās inv</w:t>
      </w:r>
      <w:r>
        <w:rPr>
          <w:noProof/>
        </w:rPr>
        <w:t>estīcijas un uzlabotu piekļuvi finansējumam nolūkā atbalstīt vērtības ķēdes attīstību atjaunīgo energoresursu un akumulatoru jomā. Mehānisms darbojas, piešķirot neatmaksājamas dotācijas, subsidētus aizdevumus un procentu subsīdijas tieši privātajam sektora</w:t>
      </w:r>
      <w:r>
        <w:rPr>
          <w:noProof/>
        </w:rPr>
        <w:t>m. Pamatojoties uz ANM investīcijām, mehānisma mērķis sākotnēji ir nodrošināt finansējumu</w:t>
      </w:r>
      <w:r>
        <w:rPr>
          <w:noProof/>
          <w:color w:val="006100"/>
          <w:sz w:val="20"/>
        </w:rPr>
        <w:t xml:space="preserve"> </w:t>
      </w:r>
      <w:r>
        <w:rPr>
          <w:noProof/>
        </w:rPr>
        <w:t>vismaz</w:t>
      </w:r>
      <w:r>
        <w:rPr>
          <w:noProof/>
          <w:color w:val="006100"/>
          <w:sz w:val="20"/>
        </w:rPr>
        <w:t xml:space="preserve"> </w:t>
      </w:r>
      <w:r>
        <w:rPr>
          <w:noProof/>
        </w:rPr>
        <w:t>1400000</w:t>
      </w:r>
      <w:r>
        <w:rPr>
          <w:noProof/>
          <w:color w:val="006100"/>
          <w:sz w:val="20"/>
        </w:rPr>
        <w:t xml:space="preserve"> </w:t>
      </w:r>
      <w:r>
        <w:rPr>
          <w:noProof/>
        </w:rPr>
        <w:t>EUR apmērā.</w:t>
      </w:r>
    </w:p>
    <w:p w14:paraId="5231626F" w14:textId="77777777" w:rsidR="00C972CB" w:rsidRDefault="002457F6">
      <w:pPr>
        <w:spacing w:after="120"/>
        <w:jc w:val="both"/>
        <w:rPr>
          <w:noProof/>
        </w:rPr>
      </w:pPr>
      <w:r>
        <w:rPr>
          <w:noProof/>
        </w:rPr>
        <w:t>Mehānismu pārvalda Invitalia S.p.A. kā īstenošanas partneris. Mehānisms ietver šādas produktu līnijas:</w:t>
      </w:r>
    </w:p>
    <w:p w14:paraId="4B9A2E97" w14:textId="77777777" w:rsidR="00C972CB" w:rsidRDefault="002457F6">
      <w:pPr>
        <w:pStyle w:val="ListParagraph"/>
        <w:numPr>
          <w:ilvl w:val="0"/>
          <w:numId w:val="101"/>
        </w:numPr>
        <w:spacing w:before="0"/>
        <w:rPr>
          <w:noProof/>
        </w:rPr>
      </w:pPr>
      <w:r>
        <w:rPr>
          <w:noProof/>
        </w:rPr>
        <w:t>Pirmais ir vērsts uz akumulatoru raž</w:t>
      </w:r>
      <w:r>
        <w:rPr>
          <w:noProof/>
        </w:rPr>
        <w:t xml:space="preserve">ošanu un palielina fotoelementu vai vēja enerģijas ražošanas jaudu vismaz par 2,4 GW gadā.  </w:t>
      </w:r>
    </w:p>
    <w:p w14:paraId="74FA30C4" w14:textId="77777777" w:rsidR="00C972CB" w:rsidRDefault="002457F6">
      <w:pPr>
        <w:pStyle w:val="ListParagraph"/>
        <w:numPr>
          <w:ilvl w:val="0"/>
          <w:numId w:val="101"/>
        </w:numPr>
        <w:spacing w:before="0"/>
        <w:rPr>
          <w:noProof/>
        </w:rPr>
      </w:pPr>
      <w:r>
        <w:rPr>
          <w:noProof/>
        </w:rPr>
        <w:t>Otrais attiecas uz fotoelementu vai vēja enerģijas tehnoloģiju ražošanu un palielina bateriju ražošanas jaudu vismaz par 13 GW gadā.</w:t>
      </w:r>
    </w:p>
    <w:p w14:paraId="3D2DCE35" w14:textId="77777777" w:rsidR="00C972CB" w:rsidRDefault="002457F6">
      <w:pPr>
        <w:spacing w:after="120"/>
        <w:jc w:val="both"/>
        <w:rPr>
          <w:noProof/>
        </w:rPr>
      </w:pPr>
      <w:r>
        <w:rPr>
          <w:noProof/>
        </w:rPr>
        <w:t>Lai īstenotu ieguldījumu mehān</w:t>
      </w:r>
      <w:r>
        <w:rPr>
          <w:noProof/>
        </w:rPr>
        <w:t>ismā, Itālija un Invitalia paraksta īstenošanas nolīgumu, kurā iekļauj šādu saturu:</w:t>
      </w:r>
    </w:p>
    <w:p w14:paraId="214C9C99" w14:textId="77777777" w:rsidR="00C972CB" w:rsidRDefault="002457F6">
      <w:pPr>
        <w:pStyle w:val="ListParagraph"/>
        <w:numPr>
          <w:ilvl w:val="0"/>
          <w:numId w:val="144"/>
        </w:numPr>
        <w:spacing w:before="0"/>
        <w:contextualSpacing w:val="0"/>
        <w:rPr>
          <w:noProof/>
        </w:rPr>
      </w:pPr>
      <w:r>
        <w:rPr>
          <w:noProof/>
        </w:rPr>
        <w:t xml:space="preserve">Mehānisma lēmumu pieņemšanas procesa apraksts: Galīgo lēmumu par Mehānisma ieguldījumiem pieņem ieguldījumu komiteja vai cita attiecīga līdzvērtīga pārvaldes struktūra, un </w:t>
      </w:r>
      <w:r>
        <w:rPr>
          <w:noProof/>
        </w:rPr>
        <w:t>to apstiprina ar no valdības neatkarīgu locekļu balsu vairākumu.</w:t>
      </w:r>
    </w:p>
    <w:p w14:paraId="13206F27" w14:textId="77777777" w:rsidR="00C972CB" w:rsidRDefault="002457F6">
      <w:pPr>
        <w:pStyle w:val="ListParagraph"/>
        <w:numPr>
          <w:ilvl w:val="0"/>
          <w:numId w:val="144"/>
        </w:numPr>
        <w:spacing w:before="0"/>
        <w:contextualSpacing w:val="0"/>
        <w:rPr>
          <w:noProof/>
        </w:rPr>
      </w:pPr>
      <w:r>
        <w:rPr>
          <w:noProof/>
        </w:rPr>
        <w:t>Saistītās ieguldījumu politikas galvenās prasības, kas ietver:</w:t>
      </w:r>
    </w:p>
    <w:p w14:paraId="5E54EF47" w14:textId="77777777" w:rsidR="00C972CB" w:rsidRDefault="002457F6">
      <w:pPr>
        <w:pStyle w:val="ListParagraph"/>
        <w:numPr>
          <w:ilvl w:val="4"/>
          <w:numId w:val="27"/>
        </w:numPr>
        <w:spacing w:before="0"/>
        <w:ind w:left="1276"/>
        <w:contextualSpacing w:val="0"/>
        <w:rPr>
          <w:noProof/>
        </w:rPr>
      </w:pPr>
      <w:r>
        <w:rPr>
          <w:noProof/>
        </w:rPr>
        <w:t xml:space="preserve">Finanšu produktu un atbalsttiesīgo galasaņēmēju apraksts. </w:t>
      </w:r>
    </w:p>
    <w:p w14:paraId="7B6C54E6" w14:textId="77777777" w:rsidR="00C972CB" w:rsidRDefault="002457F6">
      <w:pPr>
        <w:pStyle w:val="ListParagraph"/>
        <w:numPr>
          <w:ilvl w:val="4"/>
          <w:numId w:val="27"/>
        </w:numPr>
        <w:spacing w:before="0"/>
        <w:ind w:left="1276"/>
        <w:contextualSpacing w:val="0"/>
        <w:rPr>
          <w:noProof/>
        </w:rPr>
      </w:pPr>
      <w:r>
        <w:rPr>
          <w:noProof/>
        </w:rPr>
        <w:t xml:space="preserve">Prasība, lai visi atbalstītie ieguldījumi būtu ekonomiski dzīvotspējīgi. </w:t>
      </w:r>
    </w:p>
    <w:p w14:paraId="06020128" w14:textId="580C8E69" w:rsidR="00C972CB" w:rsidRDefault="002457F6">
      <w:pPr>
        <w:pStyle w:val="ListParagraph"/>
        <w:numPr>
          <w:ilvl w:val="4"/>
          <w:numId w:val="27"/>
        </w:numPr>
        <w:spacing w:before="0"/>
        <w:ind w:left="1276"/>
        <w:contextualSpacing w:val="0"/>
        <w:rPr>
          <w:noProof/>
        </w:rPr>
      </w:pPr>
      <w:r>
        <w:rPr>
          <w:noProof/>
        </w:rPr>
        <w:t xml:space="preserve">Prasība ievērot principu “nenodari būtisku kaitējumu” (DNSH), kā noteikts NBK tehniskajās norādēs (2021/C58/01). Ieguldījumu politika jo īpaši izslēdz no atbilstības šādu darbību un </w:t>
      </w:r>
      <w:r>
        <w:rPr>
          <w:noProof/>
        </w:rPr>
        <w:t>aktīvu sarakstu: darbības un aktīvi no atbilstības: darbības un aktīvi, kas saistīti ar fosilajiem kurināmajiem un fosilajiem kurināmajiem, tostarp lejupējo izmantošanu</w:t>
      </w:r>
      <w:r>
        <w:rPr>
          <w:rStyle w:val="FootnoteReference"/>
          <w:noProof/>
        </w:rPr>
        <w:footnoteReference w:id="52"/>
      </w:r>
      <w:r>
        <w:rPr>
          <w:noProof/>
        </w:rPr>
        <w:t>, ii) darbības un aktīvi saskaņā ar ES emisijas kvotu tirdzniecības sistēmu (ETS), sasn</w:t>
      </w:r>
      <w:r>
        <w:rPr>
          <w:noProof/>
        </w:rPr>
        <w:t>iedzot prognozētās siltumnīcefekta gāzu emisijas, kas nav zemākas par attiecīgajām līmeņatzīmēm</w:t>
      </w:r>
      <w:r>
        <w:rPr>
          <w:rStyle w:val="FootnoteReference"/>
          <w:noProof/>
        </w:rPr>
        <w:footnoteReference w:id="53"/>
      </w:r>
      <w:r>
        <w:rPr>
          <w:noProof/>
        </w:rPr>
        <w:t>, iii) darbības un aktīvi, kas saistīti ar atkritumu poligoniem, sadedzināšanas iekārtām</w:t>
      </w:r>
      <w:r>
        <w:rPr>
          <w:rStyle w:val="FootnoteReference"/>
          <w:noProof/>
        </w:rPr>
        <w:footnoteReference w:id="54"/>
      </w:r>
      <w:r>
        <w:rPr>
          <w:noProof/>
        </w:rPr>
        <w:t xml:space="preserve"> un mehāniski bioloģiskās apstrādes iekārtām</w:t>
      </w:r>
      <w:r>
        <w:rPr>
          <w:rStyle w:val="FootnoteReference"/>
          <w:noProof/>
        </w:rPr>
        <w:footnoteReference w:id="55"/>
      </w:r>
      <w:r>
        <w:rPr>
          <w:noProof/>
        </w:rPr>
        <w:t xml:space="preserve">. </w:t>
      </w:r>
    </w:p>
    <w:p w14:paraId="15F309EA" w14:textId="77777777" w:rsidR="00C972CB" w:rsidRDefault="002457F6">
      <w:pPr>
        <w:pStyle w:val="ListParagraph"/>
        <w:numPr>
          <w:ilvl w:val="4"/>
          <w:numId w:val="27"/>
        </w:numPr>
        <w:spacing w:before="0"/>
        <w:ind w:left="1276"/>
        <w:contextualSpacing w:val="0"/>
        <w:rPr>
          <w:noProof/>
        </w:rPr>
      </w:pPr>
      <w:r>
        <w:rPr>
          <w:noProof/>
        </w:rPr>
        <w:t>Prasība, ka Mehānisma g</w:t>
      </w:r>
      <w:r>
        <w:rPr>
          <w:noProof/>
        </w:rPr>
        <w:t>alasaņēmēji nesaņem atbalstu no citiem Savienības instrumentiem, lai segtu tās pašas izmaksas.</w:t>
      </w:r>
    </w:p>
    <w:p w14:paraId="27D01A32" w14:textId="77777777" w:rsidR="00C972CB" w:rsidRDefault="002457F6">
      <w:pPr>
        <w:pStyle w:val="ListParagraph"/>
        <w:numPr>
          <w:ilvl w:val="0"/>
          <w:numId w:val="144"/>
        </w:numPr>
        <w:spacing w:before="0"/>
        <w:contextualSpacing w:val="0"/>
        <w:rPr>
          <w:noProof/>
        </w:rPr>
      </w:pPr>
      <w:r>
        <w:rPr>
          <w:noProof/>
        </w:rPr>
        <w:t>Summa, uz kuru attiecas īstenošanas nolīgums, īstenošanas partnera maksu struktūra un prasība atkārtoti ieguldīt visas atmaksājamās summas saskaņā ar Mehānisma i</w:t>
      </w:r>
      <w:r>
        <w:rPr>
          <w:noProof/>
        </w:rPr>
        <w:t>eguldījumu politiku.</w:t>
      </w:r>
    </w:p>
    <w:p w14:paraId="7589AEE0" w14:textId="77777777" w:rsidR="00C972CB" w:rsidRDefault="002457F6">
      <w:pPr>
        <w:pStyle w:val="ListParagraph"/>
        <w:numPr>
          <w:ilvl w:val="0"/>
          <w:numId w:val="144"/>
        </w:numPr>
        <w:spacing w:before="0"/>
        <w:contextualSpacing w:val="0"/>
        <w:rPr>
          <w:noProof/>
        </w:rPr>
      </w:pPr>
      <w:r>
        <w:rPr>
          <w:noProof/>
        </w:rPr>
        <w:t>Uzraudzības, revīzijas un kontroles prasības, tostarp:</w:t>
      </w:r>
    </w:p>
    <w:p w14:paraId="3E06C8DA" w14:textId="77777777" w:rsidR="00C972CB" w:rsidRDefault="002457F6">
      <w:pPr>
        <w:pStyle w:val="ListParagraph"/>
        <w:numPr>
          <w:ilvl w:val="4"/>
          <w:numId w:val="27"/>
        </w:numPr>
        <w:spacing w:before="0"/>
        <w:ind w:left="1276"/>
        <w:contextualSpacing w:val="0"/>
        <w:rPr>
          <w:noProof/>
        </w:rPr>
      </w:pPr>
      <w:r>
        <w:rPr>
          <w:noProof/>
        </w:rPr>
        <w:t>Īstenošanas partnera uzraudzības sistēmas apraksts ziņošanai par mobilizētajām investīcijām.</w:t>
      </w:r>
    </w:p>
    <w:p w14:paraId="2554283E" w14:textId="77777777" w:rsidR="00C972CB" w:rsidRDefault="002457F6">
      <w:pPr>
        <w:pStyle w:val="ListParagraph"/>
        <w:numPr>
          <w:ilvl w:val="4"/>
          <w:numId w:val="27"/>
        </w:numPr>
        <w:spacing w:before="0"/>
        <w:ind w:left="1276"/>
        <w:contextualSpacing w:val="0"/>
        <w:rPr>
          <w:noProof/>
        </w:rPr>
      </w:pPr>
      <w:r>
        <w:rPr>
          <w:noProof/>
        </w:rPr>
        <w:t>Īstenošanas partnera procedūru aprakstu, kas nodrošina krāpšanas, korupcijas un intereš</w:t>
      </w:r>
      <w:r>
        <w:rPr>
          <w:noProof/>
        </w:rPr>
        <w:t xml:space="preserve">u konfliktu novēršanu, atklāšanu un labošanu. </w:t>
      </w:r>
    </w:p>
    <w:p w14:paraId="28988C38" w14:textId="77777777" w:rsidR="00C972CB" w:rsidRDefault="002457F6">
      <w:pPr>
        <w:pStyle w:val="ListParagraph"/>
        <w:numPr>
          <w:ilvl w:val="4"/>
          <w:numId w:val="27"/>
        </w:numPr>
        <w:spacing w:before="0"/>
        <w:ind w:left="1276"/>
        <w:contextualSpacing w:val="0"/>
        <w:rPr>
          <w:noProof/>
        </w:rPr>
      </w:pPr>
      <w:r>
        <w:rPr>
          <w:noProof/>
        </w:rPr>
        <w:t>Pienākums pārbaudīt katras darbības attiecināmību saskaņā ar Īstenošanas nolīgumā noteiktajām prasībām pirms apņemšanās finansēt kādu darbību.</w:t>
      </w:r>
    </w:p>
    <w:p w14:paraId="7F4814EF" w14:textId="77777777" w:rsidR="00C972CB" w:rsidRDefault="002457F6">
      <w:pPr>
        <w:pStyle w:val="ListParagraph"/>
        <w:numPr>
          <w:ilvl w:val="4"/>
          <w:numId w:val="27"/>
        </w:numPr>
        <w:spacing w:before="0"/>
        <w:ind w:left="1276"/>
        <w:contextualSpacing w:val="0"/>
        <w:rPr>
          <w:noProof/>
        </w:rPr>
      </w:pPr>
      <w:r>
        <w:rPr>
          <w:noProof/>
        </w:rPr>
        <w:t>Pienākums veikt uz risku balstītas ex post revīzijas saskaņā ar In</w:t>
      </w:r>
      <w:r>
        <w:rPr>
          <w:noProof/>
        </w:rPr>
        <w:t>vitalia SPA revīzijas plānu. Šajās revīzijās pārbauda:</w:t>
      </w:r>
    </w:p>
    <w:p w14:paraId="0B5817CD" w14:textId="77777777" w:rsidR="00C972CB" w:rsidRDefault="002457F6">
      <w:pPr>
        <w:pStyle w:val="ListParagraph"/>
        <w:numPr>
          <w:ilvl w:val="5"/>
          <w:numId w:val="27"/>
        </w:numPr>
        <w:spacing w:before="0"/>
        <w:ind w:left="1985"/>
        <w:contextualSpacing w:val="0"/>
        <w:rPr>
          <w:noProof/>
        </w:rPr>
      </w:pPr>
      <w:r>
        <w:rPr>
          <w:noProof/>
        </w:rPr>
        <w:t>kontroles sistēmas ir efektīvas, tostarp krāpšanas, korupcijas un interešu konflikta atklāšana;</w:t>
      </w:r>
    </w:p>
    <w:p w14:paraId="4D95DA6E" w14:textId="77777777" w:rsidR="00C972CB" w:rsidRDefault="002457F6">
      <w:pPr>
        <w:pStyle w:val="ListParagraph"/>
        <w:numPr>
          <w:ilvl w:val="5"/>
          <w:numId w:val="27"/>
        </w:numPr>
        <w:spacing w:before="0"/>
        <w:ind w:left="1985"/>
        <w:contextualSpacing w:val="0"/>
        <w:rPr>
          <w:noProof/>
        </w:rPr>
      </w:pPr>
      <w:r>
        <w:rPr>
          <w:noProof/>
        </w:rPr>
        <w:t xml:space="preserve">atbilstība NBK principam, valsts atbalsta noteikumiem, klimata mērķrādītāju prasībām;  </w:t>
      </w:r>
    </w:p>
    <w:p w14:paraId="08E98854" w14:textId="77777777" w:rsidR="00C972CB" w:rsidRDefault="002457F6">
      <w:pPr>
        <w:pStyle w:val="ListParagraph"/>
        <w:numPr>
          <w:ilvl w:val="5"/>
          <w:numId w:val="27"/>
        </w:numPr>
        <w:spacing w:before="0"/>
        <w:ind w:left="1985"/>
        <w:contextualSpacing w:val="0"/>
        <w:rPr>
          <w:noProof/>
        </w:rPr>
      </w:pPr>
      <w:r>
        <w:rPr>
          <w:noProof/>
        </w:rPr>
        <w:t>ka ir ievērota pr</w:t>
      </w:r>
      <w:r>
        <w:rPr>
          <w:noProof/>
        </w:rPr>
        <w:t xml:space="preserve">asība, ka mehānisma galasaņēmēji nav saņēmuši atbalstu no citiem Savienības instrumentiem, lai segtu tās pašas izmaksas. Revīzijās pārbauda arī darījumu likumību un to, vai tiek ievēroti piemērojamā īstenošanas nolīguma nosacījumi. </w:t>
      </w:r>
    </w:p>
    <w:p w14:paraId="021FB43E" w14:textId="3F5D4322" w:rsidR="00C972CB" w:rsidRDefault="002457F6">
      <w:pPr>
        <w:pStyle w:val="ListParagraph"/>
        <w:numPr>
          <w:ilvl w:val="0"/>
          <w:numId w:val="144"/>
        </w:numPr>
        <w:spacing w:before="0"/>
        <w:contextualSpacing w:val="0"/>
        <w:rPr>
          <w:noProof/>
        </w:rPr>
      </w:pPr>
      <w:r>
        <w:rPr>
          <w:noProof/>
        </w:rPr>
        <w:t xml:space="preserve">Prasības attiecībā uz </w:t>
      </w:r>
      <w:r>
        <w:rPr>
          <w:noProof/>
        </w:rPr>
        <w:t>īstenošanas partnera veiktajām investīcijām klimata jomā: vismaz 1000000000</w:t>
      </w:r>
      <w:r>
        <w:rPr>
          <w:noProof/>
          <w:color w:val="006100"/>
          <w:sz w:val="20"/>
        </w:rPr>
        <w:t xml:space="preserve"> </w:t>
      </w:r>
      <w:r>
        <w:rPr>
          <w:noProof/>
        </w:rPr>
        <w:t>EUR</w:t>
      </w:r>
      <w:r>
        <w:rPr>
          <w:noProof/>
          <w:color w:val="006100"/>
          <w:sz w:val="20"/>
        </w:rPr>
        <w:t xml:space="preserve">  </w:t>
      </w:r>
      <w:r>
        <w:rPr>
          <w:noProof/>
        </w:rPr>
        <w:t>no ANM investīcijām mehānismā veicina klimata pārmaiņu mērķu sasniegšanu saskaņā ar ANM regulas VI pielikumu</w:t>
      </w:r>
      <w:r>
        <w:rPr>
          <w:rStyle w:val="FootnoteReference"/>
          <w:noProof/>
        </w:rPr>
        <w:footnoteReference w:id="56"/>
      </w:r>
      <w:r>
        <w:rPr>
          <w:noProof/>
        </w:rPr>
        <w:t>.</w:t>
      </w:r>
    </w:p>
    <w:p w14:paraId="15526B12" w14:textId="77777777" w:rsidR="00C972CB" w:rsidRDefault="002457F6">
      <w:pPr>
        <w:spacing w:after="120"/>
        <w:jc w:val="both"/>
        <w:rPr>
          <w:noProof/>
        </w:rPr>
      </w:pPr>
      <w:r>
        <w:rPr>
          <w:noProof/>
        </w:rPr>
        <w:t>Pasākuma īstenošanu pabeidz līdz 2026. gada 31. augustam.</w:t>
      </w:r>
    </w:p>
    <w:p w14:paraId="508CB857" w14:textId="3464066F" w:rsidR="00C972CB" w:rsidRDefault="002457F6">
      <w:pPr>
        <w:pStyle w:val="P68B1DB1-Normal2"/>
        <w:spacing w:before="120" w:after="120"/>
        <w:jc w:val="both"/>
        <w:rPr>
          <w:noProof/>
        </w:rPr>
      </w:pPr>
      <w:r>
        <w:rPr>
          <w:noProof/>
        </w:rPr>
        <w:t>Invest</w:t>
      </w:r>
      <w:r>
        <w:rPr>
          <w:noProof/>
        </w:rPr>
        <w:t>īcija 5.2. — Starptautiskās, rūpnieciskās un pētniecības un izstrādes vadošās lomas attīstīšana ūdeņraža jomā</w:t>
      </w:r>
    </w:p>
    <w:p w14:paraId="0CA1C396" w14:textId="77777777" w:rsidR="00C972CB" w:rsidRDefault="002457F6">
      <w:pPr>
        <w:spacing w:before="120" w:after="120"/>
        <w:jc w:val="both"/>
        <w:rPr>
          <w:noProof/>
        </w:rPr>
      </w:pPr>
      <w:r>
        <w:rPr>
          <w:noProof/>
        </w:rPr>
        <w:t>Šīs investīcijas ietver atbalstu projektiem ūdeņraža vērtības ķēdes attīstībai Itālijā, kas ir piemēroti arī dalībai potenciāli svarīgos projektos</w:t>
      </w:r>
      <w:r>
        <w:rPr>
          <w:noProof/>
        </w:rPr>
        <w:t xml:space="preserve"> visas Eiropas interesēs attiecībā uz ūdeņradi.</w:t>
      </w:r>
    </w:p>
    <w:p w14:paraId="1EB721FD" w14:textId="77777777" w:rsidR="00C972CB" w:rsidRDefault="002457F6">
      <w:pPr>
        <w:pStyle w:val="P68B1DB1-Normal2"/>
        <w:spacing w:before="120" w:after="120"/>
        <w:jc w:val="both"/>
        <w:rPr>
          <w:noProof/>
        </w:rPr>
      </w:pPr>
      <w:r>
        <w:rPr>
          <w:noProof/>
        </w:rPr>
        <w:t>Ieguldījums 5.3. — Starptautiskās, rūpnieciskās un pētniecības un izstrādes vadošās lomas attīstīšana elektrisko autobusu jomā</w:t>
      </w:r>
    </w:p>
    <w:p w14:paraId="729FB38F" w14:textId="77777777" w:rsidR="00C972CB" w:rsidRDefault="002457F6">
      <w:pPr>
        <w:spacing w:before="120" w:after="120"/>
        <w:jc w:val="both"/>
        <w:rPr>
          <w:noProof/>
        </w:rPr>
      </w:pPr>
      <w:r>
        <w:rPr>
          <w:noProof/>
        </w:rPr>
        <w:t>Šīs investīcijas ietver atbalstu aptuveni 45 projektiem, kas var veicināt autobus</w:t>
      </w:r>
      <w:r>
        <w:rPr>
          <w:noProof/>
        </w:rPr>
        <w:t>u nozares digitālo un zaļo pārveidi, lai ražotu elektriskos autobusus un savienotos autobusus.  Paredzams, ka šīs investīcijas atbalstīs arī investīcijas elektroautobusu parka atjaunošanā (neietverot hibrīdautobusus).</w:t>
      </w:r>
    </w:p>
    <w:p w14:paraId="73B86E2E" w14:textId="77777777" w:rsidR="00C972CB" w:rsidRDefault="002457F6">
      <w:pPr>
        <w:pStyle w:val="P68B1DB1-Normal2"/>
        <w:spacing w:before="120" w:after="120"/>
        <w:jc w:val="both"/>
        <w:rPr>
          <w:noProof/>
        </w:rPr>
      </w:pPr>
      <w:r>
        <w:rPr>
          <w:noProof/>
        </w:rPr>
        <w:t>Ieguldījums 5.4 — Atbalsts jaunuzņēmum</w:t>
      </w:r>
      <w:r>
        <w:rPr>
          <w:noProof/>
        </w:rPr>
        <w:t>iem un riska kapitālam, kas aktīvi darbojas ekoloģiskās pārkārtošanās procesā</w:t>
      </w:r>
    </w:p>
    <w:p w14:paraId="0567D705" w14:textId="77777777" w:rsidR="00C972CB" w:rsidRDefault="002457F6">
      <w:pPr>
        <w:jc w:val="both"/>
        <w:rPr>
          <w:noProof/>
        </w:rPr>
      </w:pPr>
      <w:r>
        <w:rPr>
          <w:noProof/>
        </w:rPr>
        <w:t xml:space="preserve">Šis pasākums sastāv no publiskām investīcijām mehānismā — Zaļās pārkārtošanās fondā, lai stimulētu privātās investīcijas, uzlabotu finansējuma pieejamību Itālijā jaunuzņēmumiem, </w:t>
      </w:r>
      <w:r>
        <w:rPr>
          <w:noProof/>
        </w:rPr>
        <w:t xml:space="preserve">kas iesaistīti zaļās pārkārtošanās procesā, un attīstītu riska kapitāla tirgu šajā nozarē. Mehānisms darbojas, tieši vai </w:t>
      </w:r>
      <w:r>
        <w:rPr>
          <w:noProof/>
          <w:color w:val="000000" w:themeColor="text1"/>
        </w:rPr>
        <w:t>netieši sniedzot pašu kapitāla vai</w:t>
      </w:r>
      <w:r>
        <w:rPr>
          <w:noProof/>
        </w:rPr>
        <w:t xml:space="preserve"> kvazikapitāla atbalstu. Jo īpaši tiešo ieguldījumu gadījumā GTF darbojas, sniedzot pašu kapitāla vai</w:t>
      </w:r>
      <w:r>
        <w:rPr>
          <w:noProof/>
        </w:rPr>
        <w:t xml:space="preserve"> kvazikapitāla (piemēram, konvertējamu parādzīmju) atbalstu jaunuzņēmumiem; netiešo ieguldījumu gadījumā SGR darbojas, finansējot trešo personu fondus (–AIF — Alternatīvo ieguldījumu fonds), kas darbojas, nodrošinot pašu kapitāla vai kvazikapitāla, parāda </w:t>
      </w:r>
      <w:r>
        <w:rPr>
          <w:noProof/>
        </w:rPr>
        <w:t xml:space="preserve">vai kvaziparāda instrumentus. GTF investē šādās intervences jomās: atjaunojamie energoresursi, aprites ekonomika, mobilitāte, energoefektivitāte, atkritumu apsaimniekošana un enerģijas uzkrāšana. </w:t>
      </w:r>
    </w:p>
    <w:p w14:paraId="7BB09B7A" w14:textId="77777777" w:rsidR="00C972CB" w:rsidRDefault="00C972CB">
      <w:pPr>
        <w:jc w:val="both"/>
        <w:rPr>
          <w:noProof/>
        </w:rPr>
      </w:pPr>
    </w:p>
    <w:p w14:paraId="41498E28" w14:textId="50B83844" w:rsidR="00C972CB" w:rsidRDefault="002457F6">
      <w:pPr>
        <w:jc w:val="both"/>
        <w:rPr>
          <w:noProof/>
        </w:rPr>
      </w:pPr>
      <w:r>
        <w:rPr>
          <w:noProof/>
        </w:rPr>
        <w:t xml:space="preserve">Pamatojoties uz ANM investīcijām, mehānisma mērķis </w:t>
      </w:r>
      <w:r>
        <w:rPr>
          <w:noProof/>
        </w:rPr>
        <w:t>sākotnēji ir nodrošināt finansējumu vismaz</w:t>
      </w:r>
      <w:r>
        <w:rPr>
          <w:noProof/>
          <w:color w:val="006100"/>
          <w:sz w:val="20"/>
        </w:rPr>
        <w:t xml:space="preserve"> </w:t>
      </w:r>
      <w:r>
        <w:rPr>
          <w:noProof/>
        </w:rPr>
        <w:t>250000000 EUR</w:t>
      </w:r>
      <w:r>
        <w:rPr>
          <w:noProof/>
          <w:color w:val="006100"/>
          <w:sz w:val="20"/>
        </w:rPr>
        <w:t xml:space="preserve"> </w:t>
      </w:r>
      <w:r>
        <w:rPr>
          <w:noProof/>
        </w:rPr>
        <w:t>apmērā.</w:t>
      </w:r>
    </w:p>
    <w:p w14:paraId="3DDF71AB" w14:textId="77777777" w:rsidR="00C972CB" w:rsidRDefault="00C972CB">
      <w:pPr>
        <w:jc w:val="both"/>
        <w:rPr>
          <w:noProof/>
        </w:rPr>
      </w:pPr>
    </w:p>
    <w:p w14:paraId="40187E7E" w14:textId="77777777" w:rsidR="00C972CB" w:rsidRDefault="002457F6">
      <w:pPr>
        <w:jc w:val="both"/>
        <w:rPr>
          <w:noProof/>
        </w:rPr>
      </w:pPr>
      <w:r>
        <w:rPr>
          <w:noProof/>
        </w:rPr>
        <w:t>Mehānismu pārvalda CDP riska kapitāla SGR kā īstenošanas partneris. GTF ilgums ir 15 gadi, lai tas atbilstu ieguldīto trešo personu fondu ilgumam, un tas iegulda šādās produktu jomās:</w:t>
      </w:r>
    </w:p>
    <w:p w14:paraId="06B98BA8" w14:textId="77777777" w:rsidR="00C972CB" w:rsidRDefault="002457F6">
      <w:pPr>
        <w:pStyle w:val="ListParagraph"/>
        <w:numPr>
          <w:ilvl w:val="0"/>
          <w:numId w:val="52"/>
        </w:numPr>
        <w:spacing w:before="0" w:after="160"/>
        <w:rPr>
          <w:noProof/>
        </w:rPr>
      </w:pPr>
      <w:r>
        <w:rPr>
          <w:noProof/>
        </w:rPr>
        <w:t>Pašu k</w:t>
      </w:r>
      <w:r>
        <w:rPr>
          <w:noProof/>
        </w:rPr>
        <w:t>apitāla vai kvazikapitāla atbalsts zaļiem jaunuzņēmumiem (tiešs veids);</w:t>
      </w:r>
    </w:p>
    <w:p w14:paraId="172F6461" w14:textId="77777777" w:rsidR="00C972CB" w:rsidRDefault="002457F6">
      <w:pPr>
        <w:pStyle w:val="ListParagraph"/>
        <w:numPr>
          <w:ilvl w:val="0"/>
          <w:numId w:val="52"/>
        </w:numPr>
        <w:spacing w:before="0" w:after="160"/>
        <w:rPr>
          <w:noProof/>
        </w:rPr>
      </w:pPr>
      <w:r>
        <w:rPr>
          <w:noProof/>
        </w:rPr>
        <w:t>Pašu kapitāls, kvazikapitāla atbalsts riska kapitāla/parāda fondiem (netieši);</w:t>
      </w:r>
    </w:p>
    <w:p w14:paraId="102AA77F" w14:textId="77777777" w:rsidR="00C972CB" w:rsidRDefault="002457F6">
      <w:pPr>
        <w:pStyle w:val="ListParagraph"/>
        <w:numPr>
          <w:ilvl w:val="0"/>
          <w:numId w:val="52"/>
        </w:numPr>
        <w:spacing w:before="0" w:after="160"/>
        <w:rPr>
          <w:noProof/>
        </w:rPr>
      </w:pPr>
      <w:r>
        <w:rPr>
          <w:noProof/>
        </w:rPr>
        <w:t>Atbalsts pašu kapitāla vai kvazikapitāla finansējuma veidā inkubācijas/paātrināšanas programmām.</w:t>
      </w:r>
    </w:p>
    <w:p w14:paraId="4F6866D6" w14:textId="77777777" w:rsidR="00C972CB" w:rsidRDefault="00C972CB">
      <w:pPr>
        <w:pStyle w:val="ListParagraph"/>
        <w:rPr>
          <w:noProof/>
        </w:rPr>
      </w:pPr>
    </w:p>
    <w:p w14:paraId="733E0651" w14:textId="77777777" w:rsidR="00C972CB" w:rsidRDefault="002457F6">
      <w:pPr>
        <w:jc w:val="both"/>
        <w:rPr>
          <w:noProof/>
        </w:rPr>
      </w:pPr>
      <w:r>
        <w:rPr>
          <w:noProof/>
        </w:rPr>
        <w:t>MIMIT u</w:t>
      </w:r>
      <w:r>
        <w:rPr>
          <w:noProof/>
        </w:rPr>
        <w:t>n SGR groza pašreizējo īstenošanas nolīgumu (“</w:t>
      </w:r>
      <w:r>
        <w:rPr>
          <w:i/>
          <w:noProof/>
        </w:rPr>
        <w:t>Accordo Finanziario</w:t>
      </w:r>
      <w:r>
        <w:rPr>
          <w:noProof/>
        </w:rPr>
        <w:t>”) un GTF noteikumus, lai iekļautu šādus noteikumus:</w:t>
      </w:r>
    </w:p>
    <w:p w14:paraId="2D8544D1" w14:textId="77777777" w:rsidR="00C972CB" w:rsidRDefault="002457F6">
      <w:pPr>
        <w:pStyle w:val="LegalNumPar"/>
        <w:jc w:val="both"/>
        <w:rPr>
          <w:rFonts w:ascii="Times New Roman" w:eastAsia="Times New Roman" w:hAnsi="Times New Roman" w:cs="Times New Roman"/>
          <w:noProof/>
          <w:sz w:val="24"/>
        </w:rPr>
      </w:pPr>
      <w:r>
        <w:rPr>
          <w:rFonts w:ascii="Times New Roman" w:hAnsi="Times New Roman"/>
          <w:noProof/>
          <w:sz w:val="24"/>
        </w:rPr>
        <w:t>Mehānisma lēmumu pieņemšanas procesa apraksts: galīgo lēmumu par Mehānisma ieguldījumiem pieņem direktoru padome vai cita līdzvērtīga pārv</w:t>
      </w:r>
      <w:r>
        <w:rPr>
          <w:rFonts w:ascii="Times New Roman" w:hAnsi="Times New Roman"/>
          <w:noProof/>
          <w:sz w:val="24"/>
        </w:rPr>
        <w:t>aldes struktūra, un to apstiprina ar no valdības neatkarīgu locekļu balsu vairākumu</w:t>
      </w:r>
      <w:r>
        <w:rPr>
          <w:rStyle w:val="FootnoteReference"/>
          <w:rFonts w:eastAsia="Times New Roman"/>
          <w:noProof/>
        </w:rPr>
        <w:footnoteReference w:id="57"/>
      </w:r>
      <w:r>
        <w:rPr>
          <w:rFonts w:ascii="Times New Roman" w:hAnsi="Times New Roman"/>
          <w:noProof/>
          <w:sz w:val="24"/>
        </w:rPr>
        <w:t>.</w:t>
      </w:r>
    </w:p>
    <w:p w14:paraId="6CADD546" w14:textId="77777777" w:rsidR="00C972CB" w:rsidRDefault="002457F6">
      <w:pPr>
        <w:pStyle w:val="P68B1DB1-LegalNumPar27"/>
        <w:jc w:val="both"/>
        <w:rPr>
          <w:rFonts w:eastAsia="Times New Roman" w:cs="Times New Roman"/>
          <w:noProof/>
        </w:rPr>
      </w:pPr>
      <w:r>
        <w:rPr>
          <w:noProof/>
        </w:rPr>
        <w:t>Saistītās ieguldījumu politikas galvenās prasības,</w:t>
      </w:r>
      <w:r>
        <w:rPr>
          <w:b/>
          <w:noProof/>
        </w:rPr>
        <w:t xml:space="preserve"> </w:t>
      </w:r>
      <w:r>
        <w:rPr>
          <w:noProof/>
        </w:rPr>
        <w:t>kas ietver:</w:t>
      </w:r>
    </w:p>
    <w:p w14:paraId="63DBC5FB" w14:textId="77777777" w:rsidR="00C972CB" w:rsidRDefault="002457F6">
      <w:pPr>
        <w:pStyle w:val="P68B1DB1-LegalNumPar228"/>
        <w:jc w:val="both"/>
        <w:rPr>
          <w:rFonts w:eastAsia="Times New Roman" w:cs="Times New Roman"/>
          <w:noProof/>
        </w:rPr>
      </w:pPr>
      <w:r>
        <w:rPr>
          <w:noProof/>
        </w:rPr>
        <w:t xml:space="preserve">Finanšu produktu un atbalsttiesīgo galasaņēmēju apraksts. </w:t>
      </w:r>
    </w:p>
    <w:p w14:paraId="0147093A" w14:textId="77777777" w:rsidR="00C972CB" w:rsidRDefault="002457F6">
      <w:pPr>
        <w:pStyle w:val="P68B1DB1-LegalNumPar228"/>
        <w:jc w:val="both"/>
        <w:rPr>
          <w:rFonts w:eastAsia="Times New Roman" w:cs="Times New Roman"/>
          <w:noProof/>
        </w:rPr>
      </w:pPr>
      <w:r>
        <w:rPr>
          <w:noProof/>
        </w:rPr>
        <w:t>Prasība, lai visi atbalstītie ieguldījumi būtu e</w:t>
      </w:r>
      <w:r>
        <w:rPr>
          <w:noProof/>
        </w:rPr>
        <w:t>konomiski dzīvotspējīgi</w:t>
      </w:r>
      <w:r>
        <w:rPr>
          <w:b/>
          <w:noProof/>
        </w:rPr>
        <w:t>.</w:t>
      </w:r>
    </w:p>
    <w:p w14:paraId="1D399DC9" w14:textId="77777777" w:rsidR="00C972CB" w:rsidRDefault="002457F6">
      <w:pPr>
        <w:pStyle w:val="P68B1DB1-LegalNumPar228"/>
        <w:jc w:val="both"/>
        <w:rPr>
          <w:rFonts w:eastAsia="Times New Roman" w:cs="Times New Roman"/>
          <w:noProof/>
        </w:rPr>
      </w:pPr>
      <w:r>
        <w:rPr>
          <w:noProof/>
        </w:rPr>
        <w:t xml:space="preserve">Prasība ievērot principu “nenodari būtisku kaitējumu” (DNSH), kā noteikts NBK tehniskajās norādēs (2021/C58/01). Jo īpaši, ja tiek sniegts vispārējs atbalsts jaunuzņēmumiem, ieguldījumu politika neattiecas uz uzņēmumiem, kas lielā </w:t>
      </w:r>
      <w:r>
        <w:rPr>
          <w:noProof/>
        </w:rPr>
        <w:t>mērā koncentrējas</w:t>
      </w:r>
      <w:r>
        <w:rPr>
          <w:noProof/>
        </w:rPr>
        <w:footnoteReference w:id="58"/>
      </w:r>
      <w:r>
        <w:rPr>
          <w:noProof/>
        </w:rPr>
        <w:t xml:space="preserve"> uz šādām nozarēm: enerģijas ražošana, kuras pamatā ir fosilais kurināmais, un ar to saistītās darbības</w:t>
      </w:r>
      <w:r>
        <w:rPr>
          <w:noProof/>
        </w:rPr>
        <w:footnoteReference w:id="59"/>
      </w:r>
      <w:r>
        <w:rPr>
          <w:noProof/>
        </w:rPr>
        <w:t>; energoietilpīgas un/vai augstas CO2 emisijas nozares</w:t>
      </w:r>
      <w:r>
        <w:rPr>
          <w:noProof/>
        </w:rPr>
        <w:footnoteReference w:id="60"/>
      </w:r>
      <w:r>
        <w:rPr>
          <w:noProof/>
        </w:rPr>
        <w:t>; piesārņojošu transportlīdzekļu ražošana, noma vai pārdošana</w:t>
      </w:r>
      <w:r>
        <w:rPr>
          <w:noProof/>
        </w:rPr>
        <w:footnoteReference w:id="61"/>
      </w:r>
      <w:r>
        <w:rPr>
          <w:noProof/>
        </w:rPr>
        <w:t>; IV) atkritumu s</w:t>
      </w:r>
      <w:r>
        <w:rPr>
          <w:noProof/>
        </w:rPr>
        <w:t>avākšana, atkritumu apstrāde un apglabāšana</w:t>
      </w:r>
      <w:r>
        <w:rPr>
          <w:noProof/>
        </w:rPr>
        <w:footnoteReference w:id="62"/>
      </w:r>
      <w:r>
        <w:rPr>
          <w:noProof/>
        </w:rPr>
        <w:t>, v) kodoldegvielas pārstrāde, kodolenerģijas ražošana. Turklāt ieguldījumu politikai ir nepieciešama Mehānisma galīgo saņēmēju</w:t>
      </w:r>
      <w:r>
        <w:rPr>
          <w:b/>
          <w:noProof/>
        </w:rPr>
        <w:t xml:space="preserve"> </w:t>
      </w:r>
      <w:r>
        <w:rPr>
          <w:noProof/>
        </w:rPr>
        <w:t>atbilstība attiecīgajiem ES un valsts tiesību aktiem vides jomā.</w:t>
      </w:r>
    </w:p>
    <w:p w14:paraId="4666E5D6" w14:textId="77777777" w:rsidR="00C972CB" w:rsidRDefault="002457F6">
      <w:pPr>
        <w:pStyle w:val="P68B1DB1-LegalNumPar228"/>
        <w:jc w:val="both"/>
        <w:rPr>
          <w:rFonts w:eastAsia="Times New Roman" w:cs="Times New Roman"/>
          <w:noProof/>
        </w:rPr>
      </w:pPr>
      <w:r>
        <w:rPr>
          <w:noProof/>
        </w:rPr>
        <w:t>Prasība, ka Mehānis</w:t>
      </w:r>
      <w:r>
        <w:rPr>
          <w:noProof/>
        </w:rPr>
        <w:t>ma galasaņēmēji nesaņem atbalstu no citiem Savienības instrumentiem, lai segtu tās pašas izmaksas.</w:t>
      </w:r>
    </w:p>
    <w:p w14:paraId="748C2276" w14:textId="77777777" w:rsidR="00C972CB" w:rsidRDefault="002457F6">
      <w:pPr>
        <w:pStyle w:val="P68B1DB1-LegalNumPar27"/>
        <w:jc w:val="both"/>
        <w:rPr>
          <w:rFonts w:eastAsia="Times New Roman" w:cs="Times New Roman"/>
          <w:noProof/>
        </w:rPr>
      </w:pPr>
      <w:r>
        <w:rPr>
          <w:noProof/>
        </w:rPr>
        <w:t>Summa, uz kuru attiecas īstenošanas nolīgums, īstenošanas partnera maksu struktūra un prasība atkārtoti ieguldīt visas atmaksājamās summas saskaņā ar Mehānis</w:t>
      </w:r>
      <w:r>
        <w:rPr>
          <w:noProof/>
        </w:rPr>
        <w:t>ma ieguldījumu politiku.</w:t>
      </w:r>
    </w:p>
    <w:p w14:paraId="3F12F79D" w14:textId="77777777" w:rsidR="00C972CB" w:rsidRDefault="002457F6">
      <w:pPr>
        <w:pStyle w:val="P68B1DB1-LegalNumPar27"/>
        <w:jc w:val="both"/>
        <w:rPr>
          <w:rFonts w:eastAsia="Times New Roman" w:cs="Times New Roman"/>
          <w:noProof/>
        </w:rPr>
      </w:pPr>
      <w:r>
        <w:rPr>
          <w:noProof/>
        </w:rPr>
        <w:t>Uzraudzības, revīzijas un kontroles prasības, tostarp:</w:t>
      </w:r>
    </w:p>
    <w:p w14:paraId="55B2077E" w14:textId="77777777" w:rsidR="00C972CB" w:rsidRDefault="002457F6">
      <w:pPr>
        <w:numPr>
          <w:ilvl w:val="1"/>
          <w:numId w:val="100"/>
        </w:numPr>
        <w:spacing w:after="160"/>
        <w:jc w:val="both"/>
        <w:rPr>
          <w:noProof/>
        </w:rPr>
      </w:pPr>
      <w:r>
        <w:rPr>
          <w:noProof/>
        </w:rPr>
        <w:t>Īstenošanas partnera uzraudzības sistēmas apraksts ziņošanai par mobilizētajām investīcijām.</w:t>
      </w:r>
    </w:p>
    <w:p w14:paraId="29D6553A" w14:textId="77777777" w:rsidR="00C972CB" w:rsidRDefault="002457F6">
      <w:pPr>
        <w:numPr>
          <w:ilvl w:val="1"/>
          <w:numId w:val="100"/>
        </w:numPr>
        <w:spacing w:after="160" w:line="259" w:lineRule="auto"/>
        <w:jc w:val="both"/>
        <w:rPr>
          <w:noProof/>
        </w:rPr>
      </w:pPr>
      <w:r>
        <w:rPr>
          <w:noProof/>
        </w:rPr>
        <w:t xml:space="preserve">Īstenošanas partnera procedūru aprakstu, kas nodrošina krāpšanas, korupcijas un interešu konfliktu novēršanu, atklāšanu un labošanu. </w:t>
      </w:r>
    </w:p>
    <w:p w14:paraId="1E904D7E" w14:textId="77777777" w:rsidR="00C972CB" w:rsidRDefault="002457F6">
      <w:pPr>
        <w:numPr>
          <w:ilvl w:val="1"/>
          <w:numId w:val="100"/>
        </w:numPr>
        <w:spacing w:after="160" w:line="259" w:lineRule="auto"/>
        <w:jc w:val="both"/>
        <w:rPr>
          <w:noProof/>
        </w:rPr>
      </w:pPr>
      <w:r>
        <w:rPr>
          <w:noProof/>
        </w:rPr>
        <w:t>Pienākums pārbaudīt katras darbības attiecināmību saskaņā ar Īstenošanas nolīgumā noteiktajām prasībām pirms apņemšanās fi</w:t>
      </w:r>
      <w:r>
        <w:rPr>
          <w:noProof/>
        </w:rPr>
        <w:t>nansēt kādu darbību.</w:t>
      </w:r>
    </w:p>
    <w:p w14:paraId="20F98FD3" w14:textId="77777777" w:rsidR="00C972CB" w:rsidRDefault="002457F6">
      <w:pPr>
        <w:numPr>
          <w:ilvl w:val="1"/>
          <w:numId w:val="100"/>
        </w:numPr>
        <w:spacing w:after="160"/>
        <w:jc w:val="both"/>
        <w:rPr>
          <w:noProof/>
        </w:rPr>
      </w:pPr>
      <w:r>
        <w:rPr>
          <w:noProof/>
        </w:rPr>
        <w:t>Pienākums veikt uz risku balstītas ex post revīzijas saskaņā ar SGR revīzijas plānu. Šajās revīzijās pārbauda i) kontroles sistēmu efektivitāti, tostarp krāpšanas, korupcijas un interešu konflikta atklāšanu; atbilstība NBK principam, v</w:t>
      </w:r>
      <w:r>
        <w:rPr>
          <w:noProof/>
        </w:rPr>
        <w:t>alsts atbalsta noteikumiem; un iii) tiek ievērota prasība, ka mehānisma galasaņēmēji nav saņēmuši atbalstu no citiem Savienības instrumentiem, lai segtu tās pašas izmaksas. Revīzijās pārbauda arī darījumu likumību un to, vai tiek ievēroti piemērojamā īsten</w:t>
      </w:r>
      <w:r>
        <w:rPr>
          <w:noProof/>
        </w:rPr>
        <w:t xml:space="preserve">ošanas nolīguma un finansēšanas nolīgumu nosacījumi. </w:t>
      </w:r>
    </w:p>
    <w:p w14:paraId="210F5C35" w14:textId="77777777" w:rsidR="00C972CB" w:rsidRDefault="002457F6">
      <w:pPr>
        <w:numPr>
          <w:ilvl w:val="0"/>
          <w:numId w:val="25"/>
        </w:numPr>
        <w:spacing w:after="160"/>
        <w:ind w:left="720" w:hanging="360"/>
        <w:jc w:val="both"/>
        <w:rPr>
          <w:noProof/>
        </w:rPr>
      </w:pPr>
      <w:r>
        <w:rPr>
          <w:b/>
          <w:noProof/>
        </w:rPr>
        <w:t>Prasības riska kapitāla vērtspapīru/parāda fondu atlasei</w:t>
      </w:r>
      <w:r>
        <w:rPr>
          <w:noProof/>
        </w:rPr>
        <w:t>: Zaļās pārkārtošanās fonds finanšu starpniekus izraugās atklātā, pārredzamā un nediskriminējošā veidā saskaņā ar pašreizējo praksi, cita starpā publicējot visas prasības un pieteikuma veidlapas gan SGR, gan MIMIT tīmekļa vietnē. Kontrole attiecībā uz fina</w:t>
      </w:r>
      <w:r>
        <w:rPr>
          <w:noProof/>
        </w:rPr>
        <w:t xml:space="preserve">nšu starpnieku interešu konflikta neesamību notiek un tiek veikta </w:t>
      </w:r>
      <w:r>
        <w:rPr>
          <w:i/>
          <w:noProof/>
        </w:rPr>
        <w:t>ex ante</w:t>
      </w:r>
      <w:r>
        <w:rPr>
          <w:noProof/>
        </w:rPr>
        <w:t xml:space="preserve"> attiecībā uz visiem iesaistītajiem finanšu dalībniekiem. Interešu konflikta neesamība vienmēr attiecas uz Mehānisma “galīgo saņēmēju”.</w:t>
      </w:r>
    </w:p>
    <w:p w14:paraId="65512CD3" w14:textId="77777777" w:rsidR="00C972CB" w:rsidRDefault="002457F6">
      <w:pPr>
        <w:numPr>
          <w:ilvl w:val="0"/>
          <w:numId w:val="25"/>
        </w:numPr>
        <w:spacing w:after="160"/>
        <w:ind w:left="720" w:hanging="360"/>
        <w:jc w:val="both"/>
        <w:rPr>
          <w:noProof/>
        </w:rPr>
      </w:pPr>
      <w:r>
        <w:rPr>
          <w:b/>
          <w:noProof/>
        </w:rPr>
        <w:t>Prasība parakstīt finansēšanas nolīgumus</w:t>
      </w:r>
      <w:r>
        <w:rPr>
          <w:noProof/>
        </w:rPr>
        <w:t>: GTF p</w:t>
      </w:r>
      <w:r>
        <w:rPr>
          <w:noProof/>
        </w:rPr>
        <w:t xml:space="preserve">araksta finansēšanas nolīgumus ar finanšu starpniekiem saskaņā ar galvenajām prasībām, kas ietver visas prasības, saskaņā ar kurām GTF darbojas, tostarp: </w:t>
      </w:r>
    </w:p>
    <w:p w14:paraId="7631971B" w14:textId="77777777" w:rsidR="00C972CB" w:rsidRDefault="002457F6">
      <w:pPr>
        <w:numPr>
          <w:ilvl w:val="0"/>
          <w:numId w:val="51"/>
        </w:numPr>
        <w:spacing w:after="160"/>
        <w:jc w:val="both"/>
        <w:rPr>
          <w:noProof/>
        </w:rPr>
      </w:pPr>
      <w:r>
        <w:rPr>
          <w:noProof/>
        </w:rPr>
        <w:t xml:space="preserve">Finanšu starpnieka pienākums pieņemt lēmumus </w:t>
      </w:r>
      <w:r>
        <w:rPr>
          <w:i/>
          <w:noProof/>
        </w:rPr>
        <w:t>mutatis mutandis</w:t>
      </w:r>
      <w:r>
        <w:rPr>
          <w:noProof/>
        </w:rPr>
        <w:t xml:space="preserve"> saskaņā ar iepriekš minētajām lēmumu pi</w:t>
      </w:r>
      <w:r>
        <w:rPr>
          <w:noProof/>
        </w:rPr>
        <w:t>eņemšanas un ieguldījumu politikas prasībām, tostarp saistībā ar principa “nenodarīt būtisku kaitējumu” ievērošanu.</w:t>
      </w:r>
    </w:p>
    <w:p w14:paraId="677EDBB2" w14:textId="77777777" w:rsidR="00C972CB" w:rsidRDefault="002457F6">
      <w:pPr>
        <w:numPr>
          <w:ilvl w:val="0"/>
          <w:numId w:val="51"/>
        </w:numPr>
        <w:spacing w:after="160"/>
        <w:jc w:val="both"/>
        <w:rPr>
          <w:noProof/>
        </w:rPr>
      </w:pPr>
      <w:r>
        <w:rPr>
          <w:noProof/>
        </w:rPr>
        <w:t xml:space="preserve">Finanšu starpnieka ieviestās uzraudzības, revīzijas un kontroles sistēmas apraksts, uz kuru </w:t>
      </w:r>
      <w:r>
        <w:rPr>
          <w:i/>
          <w:noProof/>
        </w:rPr>
        <w:t>mutatis mutandis</w:t>
      </w:r>
      <w:r>
        <w:rPr>
          <w:noProof/>
        </w:rPr>
        <w:t xml:space="preserve"> attiecas visas iepriekš minētās</w:t>
      </w:r>
      <w:r>
        <w:rPr>
          <w:noProof/>
        </w:rPr>
        <w:t xml:space="preserve"> uzraudzības, revīzijas un kontroles prasības. </w:t>
      </w:r>
    </w:p>
    <w:p w14:paraId="4188B381" w14:textId="08BF234B" w:rsidR="00C972CB" w:rsidRDefault="002457F6">
      <w:pPr>
        <w:spacing w:before="120" w:after="120"/>
        <w:jc w:val="both"/>
        <w:rPr>
          <w:noProof/>
        </w:rPr>
      </w:pPr>
      <w:r>
        <w:rPr>
          <w:noProof/>
        </w:rPr>
        <w:t xml:space="preserve">Pasākuma īstenošanu pabeidz līdz 2026. gada 31. augustam. </w:t>
      </w:r>
    </w:p>
    <w:p w14:paraId="345B23CC" w14:textId="77777777" w:rsidR="00C972CB" w:rsidRDefault="002457F6">
      <w:pPr>
        <w:pStyle w:val="Heading3"/>
        <w:numPr>
          <w:ilvl w:val="0"/>
          <w:numId w:val="0"/>
        </w:numPr>
        <w:ind w:left="850" w:hanging="850"/>
        <w:rPr>
          <w:b/>
          <w:i w:val="0"/>
          <w:noProof/>
          <w:u w:val="single"/>
        </w:rPr>
      </w:pPr>
      <w:r>
        <w:rPr>
          <w:b/>
          <w:i w:val="0"/>
          <w:noProof/>
          <w:u w:val="single"/>
        </w:rPr>
        <w:t xml:space="preserve">E.4. </w:t>
      </w:r>
      <w:r>
        <w:rPr>
          <w:noProof/>
        </w:rPr>
        <w:tab/>
      </w:r>
      <w:r>
        <w:rPr>
          <w:b/>
          <w:i w:val="0"/>
          <w:noProof/>
          <w:u w:val="single"/>
        </w:rPr>
        <w:t xml:space="preserve">Atskaites punkti, mērķrādītāji, citi rādītāji un aizdevuma uzraudzības un īstenošanas grafiks </w:t>
      </w:r>
    </w:p>
    <w:p w14:paraId="27790AF9" w14:textId="77777777" w:rsidR="00C972CB" w:rsidRDefault="00C972CB">
      <w:pPr>
        <w:spacing w:before="120" w:after="120"/>
        <w:ind w:left="709"/>
        <w:contextualSpacing/>
        <w:jc w:val="both"/>
        <w:rPr>
          <w:noProof/>
        </w:rPr>
        <w:sectPr w:rsidR="00C972CB" w:rsidSect="001354D1">
          <w:headerReference w:type="even" r:id="rId128"/>
          <w:headerReference w:type="default" r:id="rId129"/>
          <w:footerReference w:type="even" r:id="rId130"/>
          <w:footerReference w:type="default" r:id="rId131"/>
          <w:headerReference w:type="first" r:id="rId132"/>
          <w:footerReference w:type="first" r:id="rId133"/>
          <w:pgSz w:w="11907" w:h="16839"/>
          <w:pgMar w:top="1134" w:right="1134" w:bottom="1134" w:left="1134" w:header="567" w:footer="567" w:gutter="0"/>
          <w:cols w:space="720"/>
          <w:docGrid w:linePitch="360"/>
        </w:sectPr>
      </w:pPr>
    </w:p>
    <w:p w14:paraId="69A6BF55" w14:textId="77777777" w:rsidR="00C972CB" w:rsidRDefault="00C972CB">
      <w:pPr>
        <w:spacing w:before="120" w:after="120"/>
        <w:ind w:left="709"/>
        <w:contextualSpacing/>
        <w:jc w:val="both"/>
        <w:rPr>
          <w:noProof/>
        </w:rPr>
      </w:pPr>
    </w:p>
    <w:tbl>
      <w:tblPr>
        <w:tblW w:w="1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643"/>
        <w:gridCol w:w="1775"/>
        <w:gridCol w:w="1559"/>
        <w:gridCol w:w="1843"/>
        <w:gridCol w:w="1417"/>
        <w:gridCol w:w="1420"/>
        <w:gridCol w:w="1201"/>
        <w:gridCol w:w="1027"/>
        <w:gridCol w:w="756"/>
        <w:gridCol w:w="3444"/>
      </w:tblGrid>
      <w:tr w:rsidR="00C972CB" w14:paraId="0BD9B648" w14:textId="77777777">
        <w:trPr>
          <w:trHeight w:val="927"/>
          <w:tblHeader/>
          <w:jc w:val="center"/>
        </w:trPr>
        <w:tc>
          <w:tcPr>
            <w:tcW w:w="1613" w:type="dxa"/>
            <w:vMerge w:val="restart"/>
            <w:shd w:val="clear" w:color="auto" w:fill="BDD7EE"/>
            <w:vAlign w:val="center"/>
            <w:hideMark/>
          </w:tcPr>
          <w:p w14:paraId="3D0707A8" w14:textId="77777777" w:rsidR="00C972CB" w:rsidRDefault="002457F6">
            <w:pPr>
              <w:pStyle w:val="P68B1DB1-Normal19"/>
              <w:jc w:val="center"/>
              <w:rPr>
                <w:b/>
                <w:noProof/>
              </w:rPr>
            </w:pPr>
            <w:r>
              <w:rPr>
                <w:noProof/>
              </w:rPr>
              <w:t>S</w:t>
            </w:r>
            <w:r>
              <w:rPr>
                <w:b/>
                <w:noProof/>
              </w:rPr>
              <w:t>ekvivalentais skaitlis</w:t>
            </w:r>
          </w:p>
        </w:tc>
        <w:tc>
          <w:tcPr>
            <w:tcW w:w="1643" w:type="dxa"/>
            <w:vMerge w:val="restart"/>
            <w:shd w:val="clear" w:color="auto" w:fill="BDD7EE"/>
            <w:vAlign w:val="center"/>
            <w:hideMark/>
          </w:tcPr>
          <w:p w14:paraId="51BD8176" w14:textId="77777777" w:rsidR="00C972CB" w:rsidRDefault="002457F6">
            <w:pPr>
              <w:pStyle w:val="P68B1DB1-Normal9"/>
              <w:jc w:val="center"/>
              <w:rPr>
                <w:noProof/>
              </w:rPr>
            </w:pPr>
            <w:r>
              <w:rPr>
                <w:noProof/>
              </w:rPr>
              <w:t>Pasākums (reforma vai investīcija)</w:t>
            </w:r>
          </w:p>
        </w:tc>
        <w:tc>
          <w:tcPr>
            <w:tcW w:w="1559" w:type="dxa"/>
            <w:vMerge w:val="restart"/>
            <w:shd w:val="clear" w:color="auto" w:fill="BDD7EE"/>
            <w:vAlign w:val="center"/>
            <w:hideMark/>
          </w:tcPr>
          <w:p w14:paraId="6E1C6601" w14:textId="77777777" w:rsidR="00C972CB" w:rsidRDefault="002457F6">
            <w:pPr>
              <w:pStyle w:val="P68B1DB1-Normal9"/>
              <w:jc w:val="center"/>
              <w:rPr>
                <w:noProof/>
              </w:rPr>
            </w:pPr>
            <w:r>
              <w:rPr>
                <w:noProof/>
              </w:rPr>
              <w:t>Atskaites punkts/mērķrādītājs</w:t>
            </w:r>
          </w:p>
        </w:tc>
        <w:tc>
          <w:tcPr>
            <w:tcW w:w="1559" w:type="dxa"/>
            <w:vMerge w:val="restart"/>
            <w:shd w:val="clear" w:color="auto" w:fill="BDD7EE"/>
            <w:vAlign w:val="center"/>
            <w:hideMark/>
          </w:tcPr>
          <w:p w14:paraId="528221E8" w14:textId="77777777" w:rsidR="00C972CB" w:rsidRDefault="002457F6">
            <w:pPr>
              <w:pStyle w:val="P68B1DB1-Normal9"/>
              <w:jc w:val="center"/>
              <w:rPr>
                <w:noProof/>
              </w:rPr>
            </w:pPr>
            <w:r>
              <w:rPr>
                <w:noProof/>
              </w:rPr>
              <w:t>Uzvārds</w:t>
            </w:r>
          </w:p>
        </w:tc>
        <w:tc>
          <w:tcPr>
            <w:tcW w:w="1843" w:type="dxa"/>
            <w:vMerge w:val="restart"/>
            <w:shd w:val="clear" w:color="auto" w:fill="BDD7EE"/>
            <w:vAlign w:val="center"/>
            <w:hideMark/>
          </w:tcPr>
          <w:p w14:paraId="655BB0B3" w14:textId="07B06850"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497" w:type="dxa"/>
            <w:gridSpan w:val="3"/>
            <w:shd w:val="clear" w:color="auto" w:fill="BDD7EE"/>
            <w:vAlign w:val="center"/>
            <w:hideMark/>
          </w:tcPr>
          <w:p w14:paraId="0996A0B1"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748" w:type="dxa"/>
            <w:gridSpan w:val="2"/>
            <w:shd w:val="clear" w:color="auto" w:fill="BDD7EE"/>
            <w:vAlign w:val="center"/>
            <w:hideMark/>
          </w:tcPr>
          <w:p w14:paraId="729F5BB9" w14:textId="77777777" w:rsidR="00C972CB" w:rsidRDefault="002457F6">
            <w:pPr>
              <w:pStyle w:val="P68B1DB1-Normal9"/>
              <w:jc w:val="center"/>
              <w:rPr>
                <w:noProof/>
              </w:rPr>
            </w:pPr>
            <w:r>
              <w:rPr>
                <w:noProof/>
              </w:rPr>
              <w:t>Orientējošs pabeigšanas termiņš</w:t>
            </w:r>
          </w:p>
        </w:tc>
        <w:tc>
          <w:tcPr>
            <w:tcW w:w="2793" w:type="dxa"/>
            <w:vMerge w:val="restart"/>
            <w:shd w:val="clear" w:color="auto" w:fill="BDD7EE"/>
            <w:vAlign w:val="center"/>
            <w:hideMark/>
          </w:tcPr>
          <w:p w14:paraId="668EB59A" w14:textId="77777777" w:rsidR="00C972CB" w:rsidRDefault="002457F6">
            <w:pPr>
              <w:pStyle w:val="P68B1DB1-Normal9"/>
              <w:rPr>
                <w:noProof/>
              </w:rPr>
            </w:pPr>
            <w:r>
              <w:rPr>
                <w:noProof/>
              </w:rPr>
              <w:t xml:space="preserve">Apraksts par </w:t>
            </w:r>
            <w:r>
              <w:rPr>
                <w:noProof/>
              </w:rPr>
              <w:t>katru atskaites punktu un mērķrādītāju</w:t>
            </w:r>
          </w:p>
        </w:tc>
      </w:tr>
      <w:tr w:rsidR="00C972CB" w14:paraId="319F06D6" w14:textId="77777777">
        <w:trPr>
          <w:trHeight w:val="771"/>
          <w:tblHeader/>
          <w:jc w:val="center"/>
        </w:trPr>
        <w:tc>
          <w:tcPr>
            <w:tcW w:w="1613" w:type="dxa"/>
            <w:vMerge/>
            <w:vAlign w:val="center"/>
            <w:hideMark/>
          </w:tcPr>
          <w:p w14:paraId="3A3299C2" w14:textId="77777777" w:rsidR="00C972CB" w:rsidRDefault="00C972CB">
            <w:pPr>
              <w:jc w:val="center"/>
              <w:rPr>
                <w:rFonts w:ascii="Arial Narrow" w:hAnsi="Arial Narrow"/>
                <w:b/>
                <w:noProof/>
                <w:sz w:val="20"/>
              </w:rPr>
            </w:pPr>
          </w:p>
        </w:tc>
        <w:tc>
          <w:tcPr>
            <w:tcW w:w="1643" w:type="dxa"/>
            <w:vMerge/>
            <w:vAlign w:val="center"/>
            <w:hideMark/>
          </w:tcPr>
          <w:p w14:paraId="42418AC2" w14:textId="77777777" w:rsidR="00C972CB" w:rsidRDefault="00C972CB">
            <w:pPr>
              <w:jc w:val="center"/>
              <w:rPr>
                <w:rFonts w:ascii="Arial Narrow" w:hAnsi="Arial Narrow"/>
                <w:b/>
                <w:noProof/>
                <w:sz w:val="20"/>
              </w:rPr>
            </w:pPr>
          </w:p>
        </w:tc>
        <w:tc>
          <w:tcPr>
            <w:tcW w:w="1559" w:type="dxa"/>
            <w:vMerge/>
            <w:vAlign w:val="center"/>
            <w:hideMark/>
          </w:tcPr>
          <w:p w14:paraId="677501CD" w14:textId="77777777" w:rsidR="00C972CB" w:rsidRDefault="00C972CB">
            <w:pPr>
              <w:jc w:val="center"/>
              <w:rPr>
                <w:rFonts w:ascii="Arial Narrow" w:hAnsi="Arial Narrow"/>
                <w:b/>
                <w:noProof/>
                <w:sz w:val="20"/>
              </w:rPr>
            </w:pPr>
          </w:p>
        </w:tc>
        <w:tc>
          <w:tcPr>
            <w:tcW w:w="1559" w:type="dxa"/>
            <w:vMerge/>
            <w:vAlign w:val="center"/>
            <w:hideMark/>
          </w:tcPr>
          <w:p w14:paraId="0ED300B3" w14:textId="77777777" w:rsidR="00C972CB" w:rsidRDefault="00C972CB">
            <w:pPr>
              <w:jc w:val="center"/>
              <w:rPr>
                <w:rFonts w:ascii="Arial Narrow" w:hAnsi="Arial Narrow"/>
                <w:b/>
                <w:noProof/>
                <w:sz w:val="20"/>
              </w:rPr>
            </w:pPr>
          </w:p>
        </w:tc>
        <w:tc>
          <w:tcPr>
            <w:tcW w:w="1843" w:type="dxa"/>
            <w:vMerge/>
            <w:vAlign w:val="center"/>
            <w:hideMark/>
          </w:tcPr>
          <w:p w14:paraId="4FCE83BB" w14:textId="77777777" w:rsidR="00C972CB" w:rsidRDefault="00C972CB">
            <w:pPr>
              <w:jc w:val="center"/>
              <w:rPr>
                <w:rFonts w:ascii="Arial Narrow" w:hAnsi="Arial Narrow"/>
                <w:b/>
                <w:noProof/>
                <w:sz w:val="20"/>
              </w:rPr>
            </w:pPr>
          </w:p>
        </w:tc>
        <w:tc>
          <w:tcPr>
            <w:tcW w:w="1417" w:type="dxa"/>
            <w:shd w:val="clear" w:color="auto" w:fill="BDD7EE"/>
            <w:vAlign w:val="center"/>
            <w:hideMark/>
          </w:tcPr>
          <w:p w14:paraId="40A07952" w14:textId="77777777" w:rsidR="00C972CB" w:rsidRDefault="002457F6">
            <w:pPr>
              <w:pStyle w:val="P68B1DB1-Normal9"/>
              <w:jc w:val="center"/>
              <w:rPr>
                <w:noProof/>
              </w:rPr>
            </w:pPr>
            <w:r>
              <w:rPr>
                <w:noProof/>
              </w:rPr>
              <w:t>Mēra vienība</w:t>
            </w:r>
          </w:p>
        </w:tc>
        <w:tc>
          <w:tcPr>
            <w:tcW w:w="1134" w:type="dxa"/>
            <w:shd w:val="clear" w:color="auto" w:fill="BDD7EE"/>
            <w:vAlign w:val="center"/>
            <w:hideMark/>
          </w:tcPr>
          <w:p w14:paraId="675B1734" w14:textId="77777777" w:rsidR="00C972CB" w:rsidRDefault="002457F6">
            <w:pPr>
              <w:pStyle w:val="P68B1DB1-Normal9"/>
              <w:jc w:val="center"/>
              <w:rPr>
                <w:noProof/>
              </w:rPr>
            </w:pPr>
            <w:r>
              <w:rPr>
                <w:noProof/>
              </w:rPr>
              <w:t>Pamatscenārijs</w:t>
            </w:r>
          </w:p>
        </w:tc>
        <w:tc>
          <w:tcPr>
            <w:tcW w:w="946" w:type="dxa"/>
            <w:shd w:val="clear" w:color="auto" w:fill="BDD7EE"/>
            <w:vAlign w:val="center"/>
            <w:hideMark/>
          </w:tcPr>
          <w:p w14:paraId="2C960C9E" w14:textId="77777777" w:rsidR="00C972CB" w:rsidRDefault="002457F6">
            <w:pPr>
              <w:pStyle w:val="P68B1DB1-Normal9"/>
              <w:jc w:val="center"/>
              <w:rPr>
                <w:noProof/>
              </w:rPr>
            </w:pPr>
            <w:r>
              <w:rPr>
                <w:noProof/>
              </w:rPr>
              <w:t>Mērķis</w:t>
            </w:r>
          </w:p>
        </w:tc>
        <w:tc>
          <w:tcPr>
            <w:tcW w:w="992" w:type="dxa"/>
            <w:shd w:val="clear" w:color="auto" w:fill="BDD7EE"/>
            <w:vAlign w:val="center"/>
            <w:hideMark/>
          </w:tcPr>
          <w:p w14:paraId="136EE45D" w14:textId="77777777" w:rsidR="00C972CB" w:rsidRDefault="002457F6">
            <w:pPr>
              <w:pStyle w:val="P68B1DB1-Normal9"/>
              <w:jc w:val="center"/>
              <w:rPr>
                <w:noProof/>
              </w:rPr>
            </w:pPr>
            <w:r>
              <w:rPr>
                <w:noProof/>
              </w:rPr>
              <w:t>Ceturtdaļa</w:t>
            </w:r>
          </w:p>
        </w:tc>
        <w:tc>
          <w:tcPr>
            <w:tcW w:w="756" w:type="dxa"/>
            <w:shd w:val="clear" w:color="auto" w:fill="BDD7EE"/>
            <w:vAlign w:val="center"/>
            <w:hideMark/>
          </w:tcPr>
          <w:p w14:paraId="203B8AE5" w14:textId="77777777" w:rsidR="00C972CB" w:rsidRDefault="002457F6">
            <w:pPr>
              <w:pStyle w:val="P68B1DB1-Normal9"/>
              <w:jc w:val="center"/>
              <w:rPr>
                <w:noProof/>
              </w:rPr>
            </w:pPr>
            <w:r>
              <w:rPr>
                <w:noProof/>
              </w:rPr>
              <w:t>Gadā</w:t>
            </w:r>
          </w:p>
        </w:tc>
        <w:tc>
          <w:tcPr>
            <w:tcW w:w="2793" w:type="dxa"/>
            <w:vMerge/>
            <w:vAlign w:val="center"/>
            <w:hideMark/>
          </w:tcPr>
          <w:p w14:paraId="274C3521" w14:textId="77777777" w:rsidR="00C972CB" w:rsidRDefault="00C972CB">
            <w:pPr>
              <w:rPr>
                <w:rFonts w:ascii="Arial Narrow" w:hAnsi="Arial Narrow"/>
                <w:b/>
                <w:noProof/>
                <w:sz w:val="20"/>
              </w:rPr>
            </w:pPr>
          </w:p>
        </w:tc>
      </w:tr>
      <w:tr w:rsidR="00C972CB" w14:paraId="6DBBD66F" w14:textId="77777777">
        <w:trPr>
          <w:trHeight w:val="309"/>
          <w:jc w:val="center"/>
        </w:trPr>
        <w:tc>
          <w:tcPr>
            <w:tcW w:w="1613" w:type="dxa"/>
            <w:shd w:val="clear" w:color="auto" w:fill="C6EFCE"/>
            <w:noWrap/>
            <w:vAlign w:val="center"/>
          </w:tcPr>
          <w:p w14:paraId="65F44D38" w14:textId="0743C038" w:rsidR="00C972CB" w:rsidRDefault="002457F6">
            <w:pPr>
              <w:pStyle w:val="P68B1DB1-Normal11"/>
              <w:jc w:val="center"/>
              <w:rPr>
                <w:noProof/>
              </w:rPr>
            </w:pPr>
            <w:r>
              <w:rPr>
                <w:noProof/>
              </w:rPr>
              <w:t>M2C2–3</w:t>
            </w:r>
          </w:p>
        </w:tc>
        <w:tc>
          <w:tcPr>
            <w:tcW w:w="1643" w:type="dxa"/>
            <w:shd w:val="clear" w:color="auto" w:fill="C6EFCE"/>
            <w:noWrap/>
            <w:vAlign w:val="center"/>
          </w:tcPr>
          <w:p w14:paraId="68434B69" w14:textId="4D31E8C1" w:rsidR="00C972CB" w:rsidRDefault="002457F6">
            <w:pPr>
              <w:pStyle w:val="P68B1DB1-Normal11"/>
              <w:jc w:val="center"/>
              <w:rPr>
                <w:noProof/>
              </w:rPr>
            </w:pPr>
            <w:r>
              <w:rPr>
                <w:noProof/>
              </w:rPr>
              <w:t>Ieguldījums 1.4. Biometāna attīstība saskaņā ar aprites ekonomikas veicināšanas kritērijiem</w:t>
            </w:r>
          </w:p>
        </w:tc>
        <w:tc>
          <w:tcPr>
            <w:tcW w:w="1559" w:type="dxa"/>
            <w:shd w:val="clear" w:color="auto" w:fill="C6EFCE"/>
            <w:noWrap/>
            <w:vAlign w:val="center"/>
          </w:tcPr>
          <w:p w14:paraId="78B0F4D3" w14:textId="0EBB07BD" w:rsidR="00C972CB" w:rsidRDefault="002457F6">
            <w:pPr>
              <w:pStyle w:val="P68B1DB1-Normal11"/>
              <w:jc w:val="center"/>
              <w:rPr>
                <w:noProof/>
              </w:rPr>
            </w:pPr>
            <w:r>
              <w:rPr>
                <w:noProof/>
              </w:rPr>
              <w:t>Mērķa</w:t>
            </w:r>
          </w:p>
        </w:tc>
        <w:tc>
          <w:tcPr>
            <w:tcW w:w="1559" w:type="dxa"/>
            <w:shd w:val="clear" w:color="auto" w:fill="C6EFCE"/>
            <w:noWrap/>
            <w:vAlign w:val="center"/>
          </w:tcPr>
          <w:p w14:paraId="37AD4242" w14:textId="3824860C" w:rsidR="00C972CB" w:rsidRDefault="002457F6">
            <w:pPr>
              <w:pStyle w:val="P68B1DB1-Normal11"/>
              <w:jc w:val="center"/>
              <w:rPr>
                <w:noProof/>
              </w:rPr>
            </w:pPr>
            <w:r>
              <w:rPr>
                <w:noProof/>
              </w:rPr>
              <w:t>Lauksaimniecības traktoru nomaiņa</w:t>
            </w:r>
          </w:p>
        </w:tc>
        <w:tc>
          <w:tcPr>
            <w:tcW w:w="1843" w:type="dxa"/>
            <w:shd w:val="clear" w:color="auto" w:fill="C6EFCE"/>
            <w:noWrap/>
            <w:vAlign w:val="center"/>
          </w:tcPr>
          <w:p w14:paraId="0CD39E58" w14:textId="6C375086" w:rsidR="00C972CB" w:rsidRDefault="002457F6">
            <w:pPr>
              <w:pStyle w:val="P68B1DB1-Normal11"/>
              <w:jc w:val="center"/>
              <w:rPr>
                <w:noProof/>
              </w:rPr>
            </w:pPr>
            <w:r>
              <w:rPr>
                <w:noProof/>
              </w:rPr>
              <w:t>NEPIEMĒRO</w:t>
            </w:r>
          </w:p>
        </w:tc>
        <w:tc>
          <w:tcPr>
            <w:tcW w:w="1417" w:type="dxa"/>
            <w:shd w:val="clear" w:color="auto" w:fill="C6EFCE"/>
            <w:noWrap/>
            <w:vAlign w:val="center"/>
          </w:tcPr>
          <w:p w14:paraId="2D6E4A92" w14:textId="2119208A" w:rsidR="00C972CB" w:rsidRDefault="002457F6">
            <w:pPr>
              <w:pStyle w:val="P68B1DB1-Normal11"/>
              <w:jc w:val="center"/>
              <w:rPr>
                <w:noProof/>
              </w:rPr>
            </w:pPr>
            <w:r>
              <w:rPr>
                <w:noProof/>
              </w:rPr>
              <w:t>Skaits</w:t>
            </w:r>
          </w:p>
        </w:tc>
        <w:tc>
          <w:tcPr>
            <w:tcW w:w="1134" w:type="dxa"/>
            <w:shd w:val="clear" w:color="auto" w:fill="C6EFCE"/>
            <w:noWrap/>
            <w:vAlign w:val="center"/>
          </w:tcPr>
          <w:p w14:paraId="7B2F8A25" w14:textId="5C020B59" w:rsidR="00C972CB" w:rsidRDefault="002457F6">
            <w:pPr>
              <w:pStyle w:val="P68B1DB1-Normal11"/>
              <w:jc w:val="center"/>
              <w:rPr>
                <w:noProof/>
              </w:rPr>
            </w:pPr>
            <w:r>
              <w:rPr>
                <w:noProof/>
              </w:rPr>
              <w:t>0</w:t>
            </w:r>
          </w:p>
        </w:tc>
        <w:tc>
          <w:tcPr>
            <w:tcW w:w="946" w:type="dxa"/>
            <w:shd w:val="clear" w:color="auto" w:fill="C6EFCE"/>
            <w:noWrap/>
            <w:vAlign w:val="center"/>
          </w:tcPr>
          <w:p w14:paraId="69D395BD" w14:textId="557A3E88" w:rsidR="00C972CB" w:rsidRDefault="002457F6">
            <w:pPr>
              <w:pStyle w:val="P68B1DB1-Normal11"/>
              <w:jc w:val="center"/>
              <w:rPr>
                <w:noProof/>
              </w:rPr>
            </w:pPr>
            <w:r>
              <w:rPr>
                <w:noProof/>
              </w:rPr>
              <w:t>300</w:t>
            </w:r>
          </w:p>
        </w:tc>
        <w:tc>
          <w:tcPr>
            <w:tcW w:w="992" w:type="dxa"/>
            <w:shd w:val="clear" w:color="auto" w:fill="C6EFCE"/>
            <w:noWrap/>
            <w:vAlign w:val="center"/>
          </w:tcPr>
          <w:p w14:paraId="75246DDE" w14:textId="4DBDC225" w:rsidR="00C972CB" w:rsidRDefault="002457F6">
            <w:pPr>
              <w:pStyle w:val="P68B1DB1-Normal11"/>
              <w:jc w:val="center"/>
              <w:rPr>
                <w:noProof/>
              </w:rPr>
            </w:pPr>
            <w:r>
              <w:rPr>
                <w:noProof/>
              </w:rPr>
              <w:t>2. CET.</w:t>
            </w:r>
          </w:p>
        </w:tc>
        <w:tc>
          <w:tcPr>
            <w:tcW w:w="756" w:type="dxa"/>
            <w:shd w:val="clear" w:color="auto" w:fill="C6EFCE"/>
            <w:noWrap/>
            <w:vAlign w:val="center"/>
          </w:tcPr>
          <w:p w14:paraId="1197C14E" w14:textId="03CDDE03" w:rsidR="00C972CB" w:rsidRDefault="002457F6">
            <w:pPr>
              <w:pStyle w:val="P68B1DB1-Normal11"/>
              <w:jc w:val="center"/>
              <w:rPr>
                <w:noProof/>
              </w:rPr>
            </w:pPr>
            <w:r>
              <w:rPr>
                <w:noProof/>
              </w:rPr>
              <w:t>2026</w:t>
            </w:r>
          </w:p>
        </w:tc>
        <w:tc>
          <w:tcPr>
            <w:tcW w:w="2793" w:type="dxa"/>
            <w:shd w:val="clear" w:color="auto" w:fill="C6EFCE"/>
            <w:noWrap/>
            <w:vAlign w:val="center"/>
          </w:tcPr>
          <w:p w14:paraId="0BCAC108" w14:textId="77777777" w:rsidR="00C972CB" w:rsidRDefault="002457F6">
            <w:pPr>
              <w:pStyle w:val="P68B1DB1-Normal11"/>
              <w:spacing w:after="120"/>
              <w:rPr>
                <w:noProof/>
              </w:rPr>
            </w:pPr>
            <w:r>
              <w:rPr>
                <w:noProof/>
              </w:rPr>
              <w:t>Vismaz 300 lauksaimniecības traktoru parka aizstāšana ar mehāniskiem traktoriem, kurus darbina tikai ar biometānu un kuri aprīkoti arī ar precīzās lauksaimniecības instrumentiem.</w:t>
            </w:r>
          </w:p>
          <w:p w14:paraId="05DF974B" w14:textId="7C5BFC43" w:rsidR="00C972CB" w:rsidRDefault="002457F6">
            <w:pPr>
              <w:pStyle w:val="P68B1DB1-Normal11"/>
              <w:rPr>
                <w:noProof/>
              </w:rPr>
            </w:pPr>
            <w:r>
              <w:rPr>
                <w:noProof/>
              </w:rPr>
              <w:t>Biometāns atbilst Direktīvā 2018/2001 (RED II direktīva) not</w:t>
            </w:r>
            <w:r>
              <w:rPr>
                <w:noProof/>
              </w:rPr>
              <w:t>eiktajiem kritērijiem, lai ievērotu principu “nenodarīt būtisku kaitējumu”. Biodegvielas un biometāna gāzes un biodegvielas ražotājiem ir jāiesniedz sertifikāti (Ilgtspējas apliecinājums), ko izsnieguši neatkarīgi vērtētāji, kā paredzēts Direktīvā 2018/200</w:t>
            </w:r>
            <w:r>
              <w:rPr>
                <w:noProof/>
              </w:rPr>
              <w:t xml:space="preserve">1. Operators iegādājas izcelsmes apliecinājuma sertifikātus proporcionāli paredzamajam degvielas izmantojumam.  </w:t>
            </w:r>
          </w:p>
        </w:tc>
      </w:tr>
      <w:tr w:rsidR="00C972CB" w14:paraId="2570E0C7" w14:textId="77777777">
        <w:trPr>
          <w:trHeight w:val="309"/>
          <w:jc w:val="center"/>
        </w:trPr>
        <w:tc>
          <w:tcPr>
            <w:tcW w:w="1613" w:type="dxa"/>
            <w:shd w:val="clear" w:color="auto" w:fill="C6EFCE"/>
            <w:noWrap/>
            <w:vAlign w:val="center"/>
          </w:tcPr>
          <w:p w14:paraId="7676FE9B" w14:textId="6FE9848F" w:rsidR="00C972CB" w:rsidRDefault="002457F6">
            <w:pPr>
              <w:pStyle w:val="P68B1DB1-Normal11"/>
              <w:jc w:val="center"/>
              <w:rPr>
                <w:noProof/>
              </w:rPr>
            </w:pPr>
            <w:r>
              <w:rPr>
                <w:noProof/>
              </w:rPr>
              <w:t>M2C2–4</w:t>
            </w:r>
          </w:p>
        </w:tc>
        <w:tc>
          <w:tcPr>
            <w:tcW w:w="1643" w:type="dxa"/>
            <w:shd w:val="clear" w:color="auto" w:fill="C6EFCE"/>
            <w:noWrap/>
            <w:vAlign w:val="center"/>
          </w:tcPr>
          <w:p w14:paraId="4E127772" w14:textId="6C8F4347" w:rsidR="00C972CB" w:rsidRDefault="002457F6">
            <w:pPr>
              <w:pStyle w:val="P68B1DB1-Normal11"/>
              <w:jc w:val="center"/>
              <w:rPr>
                <w:noProof/>
              </w:rPr>
            </w:pPr>
            <w:r>
              <w:rPr>
                <w:noProof/>
              </w:rPr>
              <w:t>Ieguldījums 1.4. Biometāna attīstība saskaņā ar aprites ekonomikas veicināšanas kritērijiem</w:t>
            </w:r>
          </w:p>
        </w:tc>
        <w:tc>
          <w:tcPr>
            <w:tcW w:w="1559" w:type="dxa"/>
            <w:shd w:val="clear" w:color="auto" w:fill="C6EFCE"/>
            <w:noWrap/>
            <w:vAlign w:val="center"/>
          </w:tcPr>
          <w:p w14:paraId="357D2310" w14:textId="4F14F932" w:rsidR="00C972CB" w:rsidRDefault="002457F6">
            <w:pPr>
              <w:pStyle w:val="P68B1DB1-Normal11"/>
              <w:jc w:val="center"/>
              <w:rPr>
                <w:noProof/>
              </w:rPr>
            </w:pPr>
            <w:r>
              <w:rPr>
                <w:noProof/>
              </w:rPr>
              <w:t>Mērķa</w:t>
            </w:r>
          </w:p>
        </w:tc>
        <w:tc>
          <w:tcPr>
            <w:tcW w:w="1559" w:type="dxa"/>
            <w:shd w:val="clear" w:color="auto" w:fill="C6EFCE"/>
            <w:noWrap/>
            <w:vAlign w:val="center"/>
          </w:tcPr>
          <w:p w14:paraId="1CB6DDB4" w14:textId="72A8DD7C" w:rsidR="00C972CB" w:rsidRDefault="002457F6">
            <w:pPr>
              <w:pStyle w:val="P68B1DB1-Normal11"/>
              <w:jc w:val="center"/>
              <w:rPr>
                <w:noProof/>
              </w:rPr>
            </w:pPr>
            <w:r>
              <w:rPr>
                <w:noProof/>
              </w:rPr>
              <w:t>Papildu biometāna ražošanas jauda</w:t>
            </w:r>
          </w:p>
        </w:tc>
        <w:tc>
          <w:tcPr>
            <w:tcW w:w="1843" w:type="dxa"/>
            <w:shd w:val="clear" w:color="auto" w:fill="C6EFCE"/>
            <w:noWrap/>
            <w:vAlign w:val="center"/>
          </w:tcPr>
          <w:p w14:paraId="2E640168" w14:textId="5345D495" w:rsidR="00C972CB" w:rsidRDefault="002457F6">
            <w:pPr>
              <w:pStyle w:val="P68B1DB1-Normal11"/>
              <w:jc w:val="center"/>
              <w:rPr>
                <w:noProof/>
              </w:rPr>
            </w:pPr>
            <w:r>
              <w:rPr>
                <w:noProof/>
              </w:rPr>
              <w:t>NEPIEMĒRO</w:t>
            </w:r>
          </w:p>
        </w:tc>
        <w:tc>
          <w:tcPr>
            <w:tcW w:w="1417" w:type="dxa"/>
            <w:shd w:val="clear" w:color="auto" w:fill="C6EFCE"/>
            <w:noWrap/>
            <w:vAlign w:val="center"/>
          </w:tcPr>
          <w:p w14:paraId="4D96C367" w14:textId="2F32C2B4" w:rsidR="00C972CB" w:rsidRDefault="002457F6">
            <w:pPr>
              <w:pStyle w:val="P68B1DB1-Normal11"/>
              <w:jc w:val="center"/>
              <w:rPr>
                <w:noProof/>
              </w:rPr>
            </w:pPr>
            <w:r>
              <w:rPr>
                <w:noProof/>
              </w:rPr>
              <w:t>1 000 000 000</w:t>
            </w:r>
          </w:p>
        </w:tc>
        <w:tc>
          <w:tcPr>
            <w:tcW w:w="1134" w:type="dxa"/>
            <w:shd w:val="clear" w:color="auto" w:fill="C6EFCE"/>
            <w:noWrap/>
            <w:vAlign w:val="center"/>
          </w:tcPr>
          <w:p w14:paraId="2BD33158" w14:textId="4D0FB0F8" w:rsidR="00C972CB" w:rsidRDefault="002457F6">
            <w:pPr>
              <w:pStyle w:val="P68B1DB1-Normal11"/>
              <w:jc w:val="center"/>
              <w:rPr>
                <w:noProof/>
              </w:rPr>
            </w:pPr>
            <w:r>
              <w:rPr>
                <w:noProof/>
              </w:rPr>
              <w:t>0</w:t>
            </w:r>
          </w:p>
        </w:tc>
        <w:tc>
          <w:tcPr>
            <w:tcW w:w="946" w:type="dxa"/>
            <w:shd w:val="clear" w:color="auto" w:fill="C6EFCE"/>
            <w:noWrap/>
            <w:vAlign w:val="center"/>
          </w:tcPr>
          <w:p w14:paraId="6018B829" w14:textId="6E04FC79" w:rsidR="00C972CB" w:rsidRDefault="002457F6">
            <w:pPr>
              <w:pStyle w:val="P68B1DB1-Normal11"/>
              <w:jc w:val="center"/>
              <w:rPr>
                <w:noProof/>
              </w:rPr>
            </w:pPr>
            <w:r>
              <w:rPr>
                <w:noProof/>
              </w:rPr>
              <w:t>0.6</w:t>
            </w:r>
          </w:p>
        </w:tc>
        <w:tc>
          <w:tcPr>
            <w:tcW w:w="992" w:type="dxa"/>
            <w:shd w:val="clear" w:color="auto" w:fill="C6EFCE"/>
            <w:noWrap/>
            <w:vAlign w:val="center"/>
          </w:tcPr>
          <w:p w14:paraId="2F5DE9C4" w14:textId="50569AC1" w:rsidR="00C972CB" w:rsidRDefault="002457F6">
            <w:pPr>
              <w:pStyle w:val="P68B1DB1-Normal11"/>
              <w:jc w:val="center"/>
              <w:rPr>
                <w:noProof/>
              </w:rPr>
            </w:pPr>
            <w:r>
              <w:rPr>
                <w:noProof/>
              </w:rPr>
              <w:t>2. CET.</w:t>
            </w:r>
          </w:p>
        </w:tc>
        <w:tc>
          <w:tcPr>
            <w:tcW w:w="756" w:type="dxa"/>
            <w:shd w:val="clear" w:color="auto" w:fill="C6EFCE"/>
            <w:noWrap/>
            <w:vAlign w:val="center"/>
          </w:tcPr>
          <w:p w14:paraId="40DDDB1F" w14:textId="257BAE10" w:rsidR="00C972CB" w:rsidRDefault="002457F6">
            <w:pPr>
              <w:pStyle w:val="P68B1DB1-Normal11"/>
              <w:jc w:val="center"/>
              <w:rPr>
                <w:noProof/>
              </w:rPr>
            </w:pPr>
            <w:r>
              <w:rPr>
                <w:noProof/>
              </w:rPr>
              <w:t>2025</w:t>
            </w:r>
          </w:p>
        </w:tc>
        <w:tc>
          <w:tcPr>
            <w:tcW w:w="2793" w:type="dxa"/>
            <w:shd w:val="clear" w:color="auto" w:fill="C6EFCE"/>
            <w:noWrap/>
            <w:vAlign w:val="center"/>
          </w:tcPr>
          <w:p w14:paraId="14D16E63" w14:textId="77777777" w:rsidR="00C972CB" w:rsidRDefault="002457F6">
            <w:pPr>
              <w:pStyle w:val="P68B1DB1-Normal11"/>
              <w:spacing w:after="120"/>
              <w:rPr>
                <w:noProof/>
              </w:rPr>
            </w:pPr>
            <w:r>
              <w:rPr>
                <w:noProof/>
              </w:rPr>
              <w:t>Attīstīt biometāna ražošanas jaudu, kas iegūta, pārveidojot esošās iekārtas (tostarp komunālo cieto atkritumu organisko iedarbību — OFUSW) un no jaunām iekārtām 2023. gada beigās uz vismaz 0,6 miljardiem m³.</w:t>
            </w:r>
          </w:p>
          <w:p w14:paraId="418485E2" w14:textId="68B5A143" w:rsidR="00C972CB" w:rsidRDefault="002457F6">
            <w:pPr>
              <w:pStyle w:val="P68B1DB1-Normal11"/>
              <w:spacing w:after="120"/>
              <w:rPr>
                <w:noProof/>
              </w:rPr>
            </w:pPr>
            <w:r>
              <w:rPr>
                <w:noProof/>
              </w:rPr>
              <w:t>Biome</w:t>
            </w:r>
            <w:r>
              <w:rPr>
                <w:noProof/>
              </w:rPr>
              <w:t>tāns atbilst Direktīvā 2018/2001 (RED II direktīva) noteiktajiem kritērijiem, lai pasākums atbilstu principam “nenodarīt būtisku kaitējumu” un attiecīgajām Regulas (ES) 2021/241 VI pielikuma 8. zemsvītras piezīmes prasībām.</w:t>
            </w:r>
          </w:p>
          <w:p w14:paraId="1A2C02B7" w14:textId="1411189B" w:rsidR="00C972CB" w:rsidRDefault="002457F6">
            <w:pPr>
              <w:pStyle w:val="P68B1DB1-Normal11"/>
              <w:rPr>
                <w:noProof/>
              </w:rPr>
            </w:pPr>
            <w:r>
              <w:rPr>
                <w:noProof/>
              </w:rPr>
              <w:t xml:space="preserve">Biodegvielas un biometāna gāzes </w:t>
            </w:r>
            <w:r>
              <w:rPr>
                <w:noProof/>
              </w:rPr>
              <w:t xml:space="preserve">un biodegvielas ražotājiem ir jāiesniedz sertifikāti (Ilgtspējas apliecinājums), ko izsnieguši neatkarīgi vērtētāji, kā paredzēts Direktīvā 2018/2001. </w:t>
            </w:r>
          </w:p>
        </w:tc>
      </w:tr>
      <w:tr w:rsidR="00C972CB" w14:paraId="3340CED1" w14:textId="77777777">
        <w:trPr>
          <w:trHeight w:val="309"/>
          <w:jc w:val="center"/>
        </w:trPr>
        <w:tc>
          <w:tcPr>
            <w:tcW w:w="1613" w:type="dxa"/>
            <w:shd w:val="clear" w:color="auto" w:fill="C6EFCE"/>
            <w:noWrap/>
            <w:vAlign w:val="center"/>
          </w:tcPr>
          <w:p w14:paraId="655F3771" w14:textId="6EE99C31" w:rsidR="00C972CB" w:rsidRDefault="002457F6">
            <w:pPr>
              <w:pStyle w:val="P68B1DB1-Normal11"/>
              <w:jc w:val="center"/>
              <w:rPr>
                <w:noProof/>
              </w:rPr>
            </w:pPr>
            <w:r>
              <w:rPr>
                <w:noProof/>
              </w:rPr>
              <w:t>M2C2–5</w:t>
            </w:r>
          </w:p>
        </w:tc>
        <w:tc>
          <w:tcPr>
            <w:tcW w:w="1643" w:type="dxa"/>
            <w:shd w:val="clear" w:color="auto" w:fill="C6EFCE"/>
            <w:noWrap/>
            <w:vAlign w:val="center"/>
          </w:tcPr>
          <w:p w14:paraId="10DECADD" w14:textId="1319F240" w:rsidR="00C972CB" w:rsidRDefault="002457F6">
            <w:pPr>
              <w:pStyle w:val="P68B1DB1-Normal11"/>
              <w:jc w:val="center"/>
              <w:rPr>
                <w:noProof/>
              </w:rPr>
            </w:pPr>
            <w:r>
              <w:rPr>
                <w:noProof/>
              </w:rPr>
              <w:t>Ieguldījums 1.4. Biometāna attīstība saskaņā ar aprites ekonomikas veicināšanas kritērijiem</w:t>
            </w:r>
          </w:p>
        </w:tc>
        <w:tc>
          <w:tcPr>
            <w:tcW w:w="1559" w:type="dxa"/>
            <w:shd w:val="clear" w:color="auto" w:fill="C6EFCE"/>
            <w:noWrap/>
            <w:vAlign w:val="center"/>
          </w:tcPr>
          <w:p w14:paraId="4E192779" w14:textId="656F2AD5" w:rsidR="00C972CB" w:rsidRDefault="002457F6">
            <w:pPr>
              <w:pStyle w:val="P68B1DB1-Normal11"/>
              <w:jc w:val="center"/>
              <w:rPr>
                <w:noProof/>
              </w:rPr>
            </w:pPr>
            <w:r>
              <w:rPr>
                <w:noProof/>
              </w:rPr>
              <w:t>Mērķa</w:t>
            </w:r>
          </w:p>
        </w:tc>
        <w:tc>
          <w:tcPr>
            <w:tcW w:w="1559" w:type="dxa"/>
            <w:shd w:val="clear" w:color="auto" w:fill="C6EFCE"/>
            <w:noWrap/>
            <w:vAlign w:val="center"/>
          </w:tcPr>
          <w:p w14:paraId="360C26B9" w14:textId="74CB264F" w:rsidR="00C972CB" w:rsidRDefault="002457F6">
            <w:pPr>
              <w:pStyle w:val="P68B1DB1-Normal11"/>
              <w:jc w:val="center"/>
              <w:rPr>
                <w:noProof/>
              </w:rPr>
            </w:pPr>
            <w:r>
              <w:rPr>
                <w:noProof/>
              </w:rPr>
              <w:t>Biometāna papildu ražošana</w:t>
            </w:r>
          </w:p>
        </w:tc>
        <w:tc>
          <w:tcPr>
            <w:tcW w:w="1843" w:type="dxa"/>
            <w:shd w:val="clear" w:color="auto" w:fill="C6EFCE"/>
            <w:noWrap/>
            <w:vAlign w:val="center"/>
          </w:tcPr>
          <w:p w14:paraId="0B3651EA" w14:textId="3089AB59" w:rsidR="00C972CB" w:rsidRDefault="002457F6">
            <w:pPr>
              <w:pStyle w:val="P68B1DB1-Normal11"/>
              <w:jc w:val="center"/>
              <w:rPr>
                <w:noProof/>
              </w:rPr>
            </w:pPr>
            <w:r>
              <w:rPr>
                <w:noProof/>
              </w:rPr>
              <w:t>NEPIEMĒRO</w:t>
            </w:r>
          </w:p>
        </w:tc>
        <w:tc>
          <w:tcPr>
            <w:tcW w:w="1417" w:type="dxa"/>
            <w:shd w:val="clear" w:color="auto" w:fill="C6EFCE"/>
            <w:noWrap/>
            <w:vAlign w:val="center"/>
          </w:tcPr>
          <w:p w14:paraId="3DF13528" w14:textId="6F64A583" w:rsidR="00C972CB" w:rsidRDefault="002457F6">
            <w:pPr>
              <w:pStyle w:val="P68B1DB1-Normal11"/>
              <w:jc w:val="center"/>
              <w:rPr>
                <w:noProof/>
              </w:rPr>
            </w:pPr>
            <w:r>
              <w:rPr>
                <w:noProof/>
              </w:rPr>
              <w:t xml:space="preserve">1 000 000 000 </w:t>
            </w:r>
          </w:p>
        </w:tc>
        <w:tc>
          <w:tcPr>
            <w:tcW w:w="1134" w:type="dxa"/>
            <w:shd w:val="clear" w:color="auto" w:fill="C6EFCE"/>
            <w:noWrap/>
            <w:vAlign w:val="center"/>
          </w:tcPr>
          <w:p w14:paraId="69910D61" w14:textId="27A903B7" w:rsidR="00C972CB" w:rsidRDefault="002457F6">
            <w:pPr>
              <w:pStyle w:val="P68B1DB1-Normal11"/>
              <w:jc w:val="center"/>
              <w:rPr>
                <w:noProof/>
              </w:rPr>
            </w:pPr>
            <w:r>
              <w:rPr>
                <w:noProof/>
              </w:rPr>
              <w:t>0.6</w:t>
            </w:r>
          </w:p>
        </w:tc>
        <w:tc>
          <w:tcPr>
            <w:tcW w:w="946" w:type="dxa"/>
            <w:shd w:val="clear" w:color="auto" w:fill="C6EFCE"/>
            <w:noWrap/>
            <w:vAlign w:val="center"/>
          </w:tcPr>
          <w:p w14:paraId="7CBB37DF" w14:textId="1A004771" w:rsidR="00C972CB" w:rsidRDefault="002457F6">
            <w:pPr>
              <w:pStyle w:val="P68B1DB1-Normal11"/>
              <w:jc w:val="center"/>
              <w:rPr>
                <w:noProof/>
              </w:rPr>
            </w:pPr>
            <w:r>
              <w:rPr>
                <w:noProof/>
              </w:rPr>
              <w:t>2.3</w:t>
            </w:r>
          </w:p>
        </w:tc>
        <w:tc>
          <w:tcPr>
            <w:tcW w:w="992" w:type="dxa"/>
            <w:shd w:val="clear" w:color="auto" w:fill="C6EFCE"/>
            <w:noWrap/>
            <w:vAlign w:val="center"/>
          </w:tcPr>
          <w:p w14:paraId="355B6CF5" w14:textId="17C18A3A" w:rsidR="00C972CB" w:rsidRDefault="002457F6">
            <w:pPr>
              <w:pStyle w:val="P68B1DB1-Normal11"/>
              <w:jc w:val="center"/>
              <w:rPr>
                <w:noProof/>
              </w:rPr>
            </w:pPr>
            <w:r>
              <w:rPr>
                <w:noProof/>
              </w:rPr>
              <w:t>2. CET.</w:t>
            </w:r>
          </w:p>
        </w:tc>
        <w:tc>
          <w:tcPr>
            <w:tcW w:w="756" w:type="dxa"/>
            <w:shd w:val="clear" w:color="auto" w:fill="C6EFCE"/>
            <w:noWrap/>
            <w:vAlign w:val="center"/>
          </w:tcPr>
          <w:p w14:paraId="0F6FD217" w14:textId="76E0942E" w:rsidR="00C972CB" w:rsidRDefault="002457F6">
            <w:pPr>
              <w:pStyle w:val="P68B1DB1-Normal11"/>
              <w:jc w:val="center"/>
              <w:rPr>
                <w:noProof/>
              </w:rPr>
            </w:pPr>
            <w:r>
              <w:rPr>
                <w:noProof/>
              </w:rPr>
              <w:t>2026</w:t>
            </w:r>
          </w:p>
        </w:tc>
        <w:tc>
          <w:tcPr>
            <w:tcW w:w="2793" w:type="dxa"/>
            <w:shd w:val="clear" w:color="auto" w:fill="C6EFCE"/>
            <w:noWrap/>
            <w:vAlign w:val="center"/>
          </w:tcPr>
          <w:p w14:paraId="20A1A2FF" w14:textId="1AF8799C" w:rsidR="00C972CB" w:rsidRDefault="002457F6">
            <w:pPr>
              <w:pStyle w:val="P68B1DB1-Normal11"/>
              <w:spacing w:after="120"/>
              <w:rPr>
                <w:noProof/>
              </w:rPr>
            </w:pPr>
            <w:r>
              <w:rPr>
                <w:noProof/>
              </w:rPr>
              <w:t xml:space="preserve">Attīstīt biometāna ražošanas jaudu, pārveidojot esošās iekārtas (tostarp komunālo cieto atkritumu organisko iedarbināšanu — OFUSW) un no jaunām iekārtām līdz vismaz 2,3 </w:t>
            </w:r>
            <w:r>
              <w:rPr>
                <w:noProof/>
              </w:rPr>
              <w:t>miljardiem m³ 2026. gada jūnija beigās.</w:t>
            </w:r>
          </w:p>
          <w:p w14:paraId="73F6D4E5" w14:textId="495E0939" w:rsidR="00C972CB" w:rsidRDefault="002457F6">
            <w:pPr>
              <w:pStyle w:val="P68B1DB1-Normal11"/>
              <w:spacing w:after="120"/>
              <w:rPr>
                <w:noProof/>
              </w:rPr>
            </w:pPr>
            <w:r>
              <w:rPr>
                <w:noProof/>
              </w:rPr>
              <w:t>Biometāns atbilst Direktīvā 2018/2001 (RED II direktīva) noteiktajiem kritērijiem, lai pasākums atbilstu principam “nenodarīt būtisku kaitējumu” un attiecīgajām Regulas (ES) 2021/241 VI pielikuma 8. zemsvītras piezīm</w:t>
            </w:r>
            <w:r>
              <w:rPr>
                <w:noProof/>
              </w:rPr>
              <w:t>es prasībām.</w:t>
            </w:r>
          </w:p>
          <w:p w14:paraId="4FDB8316" w14:textId="5F52413D" w:rsidR="00C972CB" w:rsidRDefault="002457F6">
            <w:pPr>
              <w:pStyle w:val="P68B1DB1-Normal11"/>
              <w:rPr>
                <w:noProof/>
              </w:rPr>
            </w:pPr>
            <w:r>
              <w:rPr>
                <w:noProof/>
              </w:rPr>
              <w:t xml:space="preserve">Biodegvielas un biometāna gāzes un biodegvielas ražotājiem ir jāiesniedz sertifikāti (Ilgtspējas apliecinājums), ko izsnieguši neatkarīgi vērtētāji, kā paredzēts Direktīvā 2018/2001. </w:t>
            </w:r>
          </w:p>
        </w:tc>
      </w:tr>
      <w:tr w:rsidR="00C972CB" w14:paraId="38A226B3" w14:textId="77777777">
        <w:trPr>
          <w:trHeight w:val="309"/>
          <w:jc w:val="center"/>
        </w:trPr>
        <w:tc>
          <w:tcPr>
            <w:tcW w:w="1613" w:type="dxa"/>
            <w:shd w:val="clear" w:color="auto" w:fill="C6EFCE"/>
            <w:noWrap/>
            <w:vAlign w:val="center"/>
          </w:tcPr>
          <w:p w14:paraId="365AB7B5" w14:textId="2D3B6C3C" w:rsidR="00C972CB" w:rsidRDefault="002457F6">
            <w:pPr>
              <w:pStyle w:val="P68B1DB1-Normal11"/>
              <w:jc w:val="center"/>
              <w:rPr>
                <w:noProof/>
              </w:rPr>
            </w:pPr>
            <w:r>
              <w:rPr>
                <w:noProof/>
              </w:rPr>
              <w:t>M2C2–9</w:t>
            </w:r>
          </w:p>
        </w:tc>
        <w:tc>
          <w:tcPr>
            <w:tcW w:w="1643" w:type="dxa"/>
            <w:shd w:val="clear" w:color="auto" w:fill="C6EFCE"/>
            <w:noWrap/>
            <w:vAlign w:val="center"/>
          </w:tcPr>
          <w:p w14:paraId="5146714C" w14:textId="5BB40B18" w:rsidR="00C972CB" w:rsidRDefault="002457F6">
            <w:pPr>
              <w:pStyle w:val="P68B1DB1-Normal11"/>
              <w:jc w:val="center"/>
              <w:rPr>
                <w:noProof/>
              </w:rPr>
            </w:pPr>
            <w:r>
              <w:rPr>
                <w:noProof/>
              </w:rPr>
              <w:t>Ieguldījums 2.1. Viedo tīklu stiprināšana</w:t>
            </w:r>
          </w:p>
        </w:tc>
        <w:tc>
          <w:tcPr>
            <w:tcW w:w="1559" w:type="dxa"/>
            <w:shd w:val="clear" w:color="auto" w:fill="C6EFCE"/>
            <w:noWrap/>
            <w:vAlign w:val="center"/>
          </w:tcPr>
          <w:p w14:paraId="16754295" w14:textId="251A74A2" w:rsidR="00C972CB" w:rsidRDefault="002457F6">
            <w:pPr>
              <w:pStyle w:val="P68B1DB1-Normal11"/>
              <w:jc w:val="center"/>
              <w:rPr>
                <w:noProof/>
              </w:rPr>
            </w:pPr>
            <w:r>
              <w:rPr>
                <w:noProof/>
              </w:rPr>
              <w:t>Mērķa</w:t>
            </w:r>
          </w:p>
        </w:tc>
        <w:tc>
          <w:tcPr>
            <w:tcW w:w="1559" w:type="dxa"/>
            <w:shd w:val="clear" w:color="auto" w:fill="C6EFCE"/>
            <w:noWrap/>
            <w:vAlign w:val="center"/>
          </w:tcPr>
          <w:p w14:paraId="2B881D08" w14:textId="02F92753" w:rsidR="00C972CB" w:rsidRDefault="002457F6">
            <w:pPr>
              <w:pStyle w:val="P68B1DB1-Normal11"/>
              <w:jc w:val="center"/>
              <w:rPr>
                <w:noProof/>
              </w:rPr>
            </w:pPr>
            <w:r>
              <w:rPr>
                <w:noProof/>
              </w:rPr>
              <w:t>Viedtīkli — tīkla jaudas palielināšana atjaunojamo energoresursu sadalei</w:t>
            </w:r>
          </w:p>
        </w:tc>
        <w:tc>
          <w:tcPr>
            <w:tcW w:w="1843" w:type="dxa"/>
            <w:shd w:val="clear" w:color="auto" w:fill="C6EFCE"/>
            <w:noWrap/>
            <w:vAlign w:val="center"/>
          </w:tcPr>
          <w:p w14:paraId="1FCE79A6" w14:textId="2B663EAC" w:rsidR="00C972CB" w:rsidRDefault="002457F6">
            <w:pPr>
              <w:pStyle w:val="P68B1DB1-Normal11"/>
              <w:jc w:val="center"/>
              <w:rPr>
                <w:noProof/>
              </w:rPr>
            </w:pPr>
            <w:r>
              <w:rPr>
                <w:noProof/>
              </w:rPr>
              <w:t>NEPIEMĒRO</w:t>
            </w:r>
          </w:p>
        </w:tc>
        <w:tc>
          <w:tcPr>
            <w:tcW w:w="1417" w:type="dxa"/>
            <w:shd w:val="clear" w:color="auto" w:fill="C6EFCE"/>
            <w:noWrap/>
            <w:vAlign w:val="center"/>
          </w:tcPr>
          <w:p w14:paraId="4F1DA28E" w14:textId="0C7F03B6" w:rsidR="00C972CB" w:rsidRDefault="002457F6">
            <w:pPr>
              <w:pStyle w:val="P68B1DB1-Normal11"/>
              <w:jc w:val="center"/>
              <w:rPr>
                <w:noProof/>
              </w:rPr>
            </w:pPr>
            <w:r>
              <w:rPr>
                <w:noProof/>
              </w:rPr>
              <w:t>Skaits</w:t>
            </w:r>
          </w:p>
        </w:tc>
        <w:tc>
          <w:tcPr>
            <w:tcW w:w="1134" w:type="dxa"/>
            <w:shd w:val="clear" w:color="auto" w:fill="C6EFCE"/>
            <w:noWrap/>
            <w:vAlign w:val="center"/>
          </w:tcPr>
          <w:p w14:paraId="3EF205D7" w14:textId="7FBE2292" w:rsidR="00C972CB" w:rsidRDefault="002457F6">
            <w:pPr>
              <w:pStyle w:val="P68B1DB1-Normal11"/>
              <w:jc w:val="center"/>
              <w:rPr>
                <w:noProof/>
              </w:rPr>
            </w:pPr>
            <w:r>
              <w:rPr>
                <w:noProof/>
              </w:rPr>
              <w:t>0</w:t>
            </w:r>
          </w:p>
        </w:tc>
        <w:tc>
          <w:tcPr>
            <w:tcW w:w="946" w:type="dxa"/>
            <w:shd w:val="clear" w:color="auto" w:fill="C6EFCE"/>
            <w:noWrap/>
            <w:vAlign w:val="center"/>
          </w:tcPr>
          <w:p w14:paraId="65D6E44B" w14:textId="5D0B3399" w:rsidR="00C972CB" w:rsidRDefault="002457F6">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992" w:type="dxa"/>
            <w:shd w:val="clear" w:color="auto" w:fill="C6EFCE"/>
            <w:noWrap/>
            <w:vAlign w:val="center"/>
          </w:tcPr>
          <w:p w14:paraId="0000ED43" w14:textId="2FBB1221" w:rsidR="00C972CB" w:rsidRDefault="002457F6">
            <w:pPr>
              <w:pStyle w:val="P68B1DB1-Normal11"/>
              <w:jc w:val="center"/>
              <w:rPr>
                <w:noProof/>
              </w:rPr>
            </w:pPr>
            <w:r>
              <w:rPr>
                <w:noProof/>
              </w:rPr>
              <w:t>4. CET.</w:t>
            </w:r>
          </w:p>
        </w:tc>
        <w:tc>
          <w:tcPr>
            <w:tcW w:w="756" w:type="dxa"/>
            <w:shd w:val="clear" w:color="auto" w:fill="C6EFCE"/>
            <w:noWrap/>
            <w:vAlign w:val="center"/>
          </w:tcPr>
          <w:p w14:paraId="3E9AD8EA" w14:textId="36B33EFA" w:rsidR="00C972CB" w:rsidRDefault="002457F6">
            <w:pPr>
              <w:pStyle w:val="P68B1DB1-Normal11"/>
              <w:jc w:val="center"/>
              <w:rPr>
                <w:noProof/>
              </w:rPr>
            </w:pPr>
            <w:r>
              <w:rPr>
                <w:noProof/>
              </w:rPr>
              <w:t>2024</w:t>
            </w:r>
          </w:p>
        </w:tc>
        <w:tc>
          <w:tcPr>
            <w:tcW w:w="2793" w:type="dxa"/>
            <w:shd w:val="clear" w:color="auto" w:fill="C6EFCE"/>
            <w:noWrap/>
            <w:vAlign w:val="center"/>
          </w:tcPr>
          <w:p w14:paraId="55805DFA" w14:textId="2A28E818" w:rsidR="00C972CB" w:rsidRDefault="002457F6">
            <w:pPr>
              <w:pStyle w:val="P68B1DB1-Normal12"/>
              <w:rPr>
                <w:rFonts w:ascii="Arial Narrow" w:hAnsi="Arial Narrow"/>
                <w:noProof/>
              </w:rPr>
            </w:pPr>
            <w:r>
              <w:rPr>
                <w:rFonts w:ascii="Arial Narrow" w:hAnsi="Arial Narrow"/>
                <w:noProof/>
              </w:rPr>
              <w:t>Palielināt tīkla jaudu atjaunojamo energoresursu sadalei par vismaz 1000</w:t>
            </w:r>
            <w:r>
              <w:rPr>
                <w:noProof/>
              </w:rPr>
              <w:t xml:space="preserve"> </w:t>
            </w:r>
            <w:r>
              <w:rPr>
                <w:rFonts w:ascii="Arial Narrow" w:hAnsi="Arial Narrow"/>
                <w:noProof/>
              </w:rPr>
              <w:t>MW</w:t>
            </w:r>
          </w:p>
        </w:tc>
      </w:tr>
      <w:tr w:rsidR="00C972CB" w14:paraId="1EC3680F" w14:textId="77777777">
        <w:trPr>
          <w:trHeight w:val="309"/>
          <w:jc w:val="center"/>
        </w:trPr>
        <w:tc>
          <w:tcPr>
            <w:tcW w:w="1613" w:type="dxa"/>
            <w:shd w:val="clear" w:color="auto" w:fill="C6EFCE"/>
            <w:noWrap/>
            <w:vAlign w:val="center"/>
          </w:tcPr>
          <w:p w14:paraId="5A57F967" w14:textId="7A484BAC" w:rsidR="00C972CB" w:rsidRDefault="002457F6">
            <w:pPr>
              <w:pStyle w:val="P68B1DB1-Normal11"/>
              <w:jc w:val="center"/>
              <w:rPr>
                <w:noProof/>
              </w:rPr>
            </w:pPr>
            <w:r>
              <w:rPr>
                <w:noProof/>
              </w:rPr>
              <w:t>M2C2–10</w:t>
            </w:r>
          </w:p>
        </w:tc>
        <w:tc>
          <w:tcPr>
            <w:tcW w:w="1643" w:type="dxa"/>
            <w:shd w:val="clear" w:color="auto" w:fill="C6EFCE"/>
            <w:noWrap/>
            <w:vAlign w:val="center"/>
          </w:tcPr>
          <w:p w14:paraId="7C07DD6C" w14:textId="428BFAE6" w:rsidR="00C972CB" w:rsidRDefault="002457F6">
            <w:pPr>
              <w:pStyle w:val="P68B1DB1-Normal11"/>
              <w:jc w:val="center"/>
              <w:rPr>
                <w:noProof/>
              </w:rPr>
            </w:pPr>
            <w:r>
              <w:rPr>
                <w:noProof/>
              </w:rPr>
              <w:t>Ieguldījums 2.1. Viedo tīklu stiprināšana</w:t>
            </w:r>
          </w:p>
        </w:tc>
        <w:tc>
          <w:tcPr>
            <w:tcW w:w="1559" w:type="dxa"/>
            <w:shd w:val="clear" w:color="auto" w:fill="C6EFCE"/>
            <w:noWrap/>
            <w:vAlign w:val="center"/>
          </w:tcPr>
          <w:p w14:paraId="54C685D9" w14:textId="0F25154F" w:rsidR="00C972CB" w:rsidRDefault="002457F6">
            <w:pPr>
              <w:pStyle w:val="P68B1DB1-Normal11"/>
              <w:jc w:val="center"/>
              <w:rPr>
                <w:noProof/>
              </w:rPr>
            </w:pPr>
            <w:r>
              <w:rPr>
                <w:noProof/>
              </w:rPr>
              <w:t>Mērķa</w:t>
            </w:r>
          </w:p>
        </w:tc>
        <w:tc>
          <w:tcPr>
            <w:tcW w:w="1559" w:type="dxa"/>
            <w:shd w:val="clear" w:color="auto" w:fill="C6EFCE"/>
            <w:noWrap/>
            <w:vAlign w:val="center"/>
          </w:tcPr>
          <w:p w14:paraId="5F09BB5C" w14:textId="1CAF43AE" w:rsidR="00C972CB" w:rsidRDefault="002457F6">
            <w:pPr>
              <w:pStyle w:val="P68B1DB1-Normal11"/>
              <w:jc w:val="center"/>
              <w:rPr>
                <w:noProof/>
              </w:rPr>
            </w:pPr>
            <w:r>
              <w:rPr>
                <w:noProof/>
              </w:rPr>
              <w:t xml:space="preserve">Viedtīkli — </w:t>
            </w:r>
            <w:r>
              <w:rPr>
                <w:noProof/>
              </w:rPr>
              <w:t>tīkla jaudas palielināšana atjaunojamo energoresursu sadalei</w:t>
            </w:r>
          </w:p>
        </w:tc>
        <w:tc>
          <w:tcPr>
            <w:tcW w:w="1843" w:type="dxa"/>
            <w:shd w:val="clear" w:color="auto" w:fill="C6EFCE"/>
            <w:noWrap/>
            <w:vAlign w:val="center"/>
          </w:tcPr>
          <w:p w14:paraId="136596FC" w14:textId="0AC424BC" w:rsidR="00C972CB" w:rsidRDefault="002457F6">
            <w:pPr>
              <w:pStyle w:val="P68B1DB1-Normal11"/>
              <w:jc w:val="center"/>
              <w:rPr>
                <w:noProof/>
              </w:rPr>
            </w:pPr>
            <w:r>
              <w:rPr>
                <w:noProof/>
              </w:rPr>
              <w:t>NEPIEMĒRO</w:t>
            </w:r>
          </w:p>
        </w:tc>
        <w:tc>
          <w:tcPr>
            <w:tcW w:w="1417" w:type="dxa"/>
            <w:shd w:val="clear" w:color="auto" w:fill="C6EFCE"/>
            <w:noWrap/>
            <w:vAlign w:val="center"/>
          </w:tcPr>
          <w:p w14:paraId="3B5DFDDD" w14:textId="21C1EE74" w:rsidR="00C972CB" w:rsidRDefault="002457F6">
            <w:pPr>
              <w:pStyle w:val="P68B1DB1-Normal11"/>
              <w:jc w:val="center"/>
              <w:rPr>
                <w:noProof/>
              </w:rPr>
            </w:pPr>
            <w:r>
              <w:rPr>
                <w:noProof/>
              </w:rPr>
              <w:t>Skaits</w:t>
            </w:r>
          </w:p>
        </w:tc>
        <w:tc>
          <w:tcPr>
            <w:tcW w:w="1134" w:type="dxa"/>
            <w:shd w:val="clear" w:color="auto" w:fill="C6EFCE"/>
            <w:noWrap/>
            <w:vAlign w:val="center"/>
          </w:tcPr>
          <w:p w14:paraId="1FE0E998" w14:textId="41438D1C" w:rsidR="00C972CB" w:rsidRDefault="002457F6">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946" w:type="dxa"/>
            <w:shd w:val="clear" w:color="auto" w:fill="C6EFCE"/>
            <w:noWrap/>
            <w:vAlign w:val="center"/>
          </w:tcPr>
          <w:p w14:paraId="126E2BB0" w14:textId="4A7F3ADD" w:rsidR="00C972CB" w:rsidRDefault="002457F6">
            <w:pPr>
              <w:pStyle w:val="P68B1DB1-Normal12"/>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000</w:t>
            </w:r>
          </w:p>
        </w:tc>
        <w:tc>
          <w:tcPr>
            <w:tcW w:w="992" w:type="dxa"/>
            <w:shd w:val="clear" w:color="auto" w:fill="C6EFCE"/>
            <w:noWrap/>
            <w:vAlign w:val="center"/>
          </w:tcPr>
          <w:p w14:paraId="278EACA5" w14:textId="4F717012" w:rsidR="00C972CB" w:rsidRDefault="002457F6">
            <w:pPr>
              <w:pStyle w:val="P68B1DB1-Normal11"/>
              <w:jc w:val="center"/>
              <w:rPr>
                <w:noProof/>
              </w:rPr>
            </w:pPr>
            <w:r>
              <w:rPr>
                <w:noProof/>
              </w:rPr>
              <w:t>2. CET.</w:t>
            </w:r>
          </w:p>
        </w:tc>
        <w:tc>
          <w:tcPr>
            <w:tcW w:w="756" w:type="dxa"/>
            <w:shd w:val="clear" w:color="auto" w:fill="C6EFCE"/>
            <w:noWrap/>
            <w:vAlign w:val="center"/>
          </w:tcPr>
          <w:p w14:paraId="27820824" w14:textId="4DE54226" w:rsidR="00C972CB" w:rsidRDefault="002457F6">
            <w:pPr>
              <w:pStyle w:val="P68B1DB1-Normal11"/>
              <w:jc w:val="center"/>
              <w:rPr>
                <w:noProof/>
              </w:rPr>
            </w:pPr>
            <w:r>
              <w:rPr>
                <w:noProof/>
              </w:rPr>
              <w:t>2026</w:t>
            </w:r>
          </w:p>
        </w:tc>
        <w:tc>
          <w:tcPr>
            <w:tcW w:w="2793" w:type="dxa"/>
            <w:shd w:val="clear" w:color="auto" w:fill="C6EFCE"/>
            <w:noWrap/>
            <w:vAlign w:val="center"/>
          </w:tcPr>
          <w:p w14:paraId="427F0A85" w14:textId="7D4016D5" w:rsidR="00C972CB" w:rsidRDefault="002457F6">
            <w:pPr>
              <w:pStyle w:val="P68B1DB1-Normal12"/>
              <w:rPr>
                <w:rFonts w:ascii="Arial Narrow" w:hAnsi="Arial Narrow"/>
                <w:noProof/>
              </w:rPr>
            </w:pPr>
            <w:r>
              <w:rPr>
                <w:rFonts w:ascii="Arial Narrow" w:hAnsi="Arial Narrow"/>
                <w:noProof/>
              </w:rPr>
              <w:t>Palielināt tīkla jaudu atjaunojamo energoresursu sadalei par vismaz 4000</w:t>
            </w:r>
            <w:r>
              <w:rPr>
                <w:noProof/>
              </w:rPr>
              <w:t xml:space="preserve"> </w:t>
            </w:r>
            <w:r>
              <w:rPr>
                <w:rFonts w:ascii="Arial Narrow" w:hAnsi="Arial Narrow"/>
                <w:noProof/>
              </w:rPr>
              <w:t>MW</w:t>
            </w:r>
          </w:p>
        </w:tc>
      </w:tr>
      <w:tr w:rsidR="00C972CB" w14:paraId="6742D9D6" w14:textId="77777777">
        <w:trPr>
          <w:trHeight w:val="309"/>
          <w:jc w:val="center"/>
        </w:trPr>
        <w:tc>
          <w:tcPr>
            <w:tcW w:w="1613" w:type="dxa"/>
            <w:shd w:val="clear" w:color="auto" w:fill="C6EFCE"/>
            <w:noWrap/>
            <w:vAlign w:val="center"/>
          </w:tcPr>
          <w:p w14:paraId="3DB72409" w14:textId="58F16B9D" w:rsidR="00C972CB" w:rsidRDefault="002457F6">
            <w:pPr>
              <w:pStyle w:val="P68B1DB1-Normal11"/>
              <w:jc w:val="center"/>
              <w:rPr>
                <w:noProof/>
              </w:rPr>
            </w:pPr>
            <w:r>
              <w:rPr>
                <w:noProof/>
              </w:rPr>
              <w:t>M2C2–11</w:t>
            </w:r>
          </w:p>
        </w:tc>
        <w:tc>
          <w:tcPr>
            <w:tcW w:w="1643" w:type="dxa"/>
            <w:shd w:val="clear" w:color="auto" w:fill="C6EFCE"/>
            <w:noWrap/>
            <w:vAlign w:val="center"/>
          </w:tcPr>
          <w:p w14:paraId="35EE3EA5" w14:textId="40BA5142" w:rsidR="00C972CB" w:rsidRDefault="002457F6">
            <w:pPr>
              <w:pStyle w:val="P68B1DB1-Normal11"/>
              <w:jc w:val="center"/>
              <w:rPr>
                <w:noProof/>
              </w:rPr>
            </w:pPr>
            <w:r>
              <w:rPr>
                <w:noProof/>
              </w:rPr>
              <w:t>Ieguldījums 2.1. Viedo tīklu stiprināšana</w:t>
            </w:r>
          </w:p>
        </w:tc>
        <w:tc>
          <w:tcPr>
            <w:tcW w:w="1559" w:type="dxa"/>
            <w:shd w:val="clear" w:color="auto" w:fill="C6EFCE"/>
            <w:noWrap/>
            <w:vAlign w:val="center"/>
          </w:tcPr>
          <w:p w14:paraId="0FE5FD76" w14:textId="46CC280B" w:rsidR="00C972CB" w:rsidRDefault="002457F6">
            <w:pPr>
              <w:pStyle w:val="P68B1DB1-Normal11"/>
              <w:jc w:val="center"/>
              <w:rPr>
                <w:noProof/>
              </w:rPr>
            </w:pPr>
            <w:r>
              <w:rPr>
                <w:noProof/>
              </w:rPr>
              <w:t>Mērķa</w:t>
            </w:r>
          </w:p>
        </w:tc>
        <w:tc>
          <w:tcPr>
            <w:tcW w:w="1559" w:type="dxa"/>
            <w:shd w:val="clear" w:color="auto" w:fill="C6EFCE"/>
            <w:noWrap/>
            <w:vAlign w:val="center"/>
          </w:tcPr>
          <w:p w14:paraId="05395038" w14:textId="21290A63" w:rsidR="00C972CB" w:rsidRDefault="002457F6">
            <w:pPr>
              <w:pStyle w:val="P68B1DB1-Normal11"/>
              <w:jc w:val="center"/>
              <w:rPr>
                <w:noProof/>
              </w:rPr>
            </w:pPr>
            <w:r>
              <w:rPr>
                <w:noProof/>
              </w:rPr>
              <w:t xml:space="preserve">Viedtīkli — </w:t>
            </w:r>
            <w:r>
              <w:rPr>
                <w:noProof/>
              </w:rPr>
              <w:t>enerģijas patēriņa elektrifikācija</w:t>
            </w:r>
          </w:p>
        </w:tc>
        <w:tc>
          <w:tcPr>
            <w:tcW w:w="1843" w:type="dxa"/>
            <w:shd w:val="clear" w:color="auto" w:fill="C6EFCE"/>
            <w:noWrap/>
            <w:vAlign w:val="center"/>
          </w:tcPr>
          <w:p w14:paraId="02C7183D" w14:textId="3E802A04" w:rsidR="00C972CB" w:rsidRDefault="002457F6">
            <w:pPr>
              <w:pStyle w:val="P68B1DB1-Normal11"/>
              <w:jc w:val="center"/>
              <w:rPr>
                <w:noProof/>
              </w:rPr>
            </w:pPr>
            <w:r>
              <w:rPr>
                <w:noProof/>
              </w:rPr>
              <w:t>NEPIEMĒRO</w:t>
            </w:r>
          </w:p>
        </w:tc>
        <w:tc>
          <w:tcPr>
            <w:tcW w:w="1417" w:type="dxa"/>
            <w:shd w:val="clear" w:color="auto" w:fill="C6EFCE"/>
            <w:noWrap/>
            <w:vAlign w:val="center"/>
          </w:tcPr>
          <w:p w14:paraId="2AF98FDD" w14:textId="55D8C22E" w:rsidR="00C972CB" w:rsidRDefault="002457F6">
            <w:pPr>
              <w:pStyle w:val="P68B1DB1-Normal11"/>
              <w:jc w:val="center"/>
              <w:rPr>
                <w:noProof/>
              </w:rPr>
            </w:pPr>
            <w:r>
              <w:rPr>
                <w:noProof/>
              </w:rPr>
              <w:t>Skaits</w:t>
            </w:r>
          </w:p>
        </w:tc>
        <w:tc>
          <w:tcPr>
            <w:tcW w:w="1134" w:type="dxa"/>
            <w:shd w:val="clear" w:color="auto" w:fill="C6EFCE"/>
            <w:noWrap/>
            <w:vAlign w:val="center"/>
          </w:tcPr>
          <w:p w14:paraId="4310D180" w14:textId="779E39AC" w:rsidR="00C972CB" w:rsidRDefault="002457F6">
            <w:pPr>
              <w:pStyle w:val="P68B1DB1-Normal11"/>
              <w:jc w:val="center"/>
              <w:rPr>
                <w:noProof/>
              </w:rPr>
            </w:pPr>
            <w:r>
              <w:rPr>
                <w:noProof/>
              </w:rPr>
              <w:t>0</w:t>
            </w:r>
          </w:p>
        </w:tc>
        <w:tc>
          <w:tcPr>
            <w:tcW w:w="946" w:type="dxa"/>
            <w:shd w:val="clear" w:color="auto" w:fill="C6EFCE"/>
            <w:noWrap/>
            <w:vAlign w:val="center"/>
          </w:tcPr>
          <w:p w14:paraId="7741FF87" w14:textId="06434783" w:rsidR="00C972CB" w:rsidRDefault="002457F6">
            <w:pPr>
              <w:pStyle w:val="P68B1DB1-Normal11"/>
              <w:jc w:val="center"/>
              <w:rPr>
                <w:noProof/>
              </w:rPr>
            </w:pPr>
            <w:r>
              <w:rPr>
                <w:noProof/>
              </w:rPr>
              <w:t>1 500 000</w:t>
            </w:r>
          </w:p>
        </w:tc>
        <w:tc>
          <w:tcPr>
            <w:tcW w:w="992" w:type="dxa"/>
            <w:shd w:val="clear" w:color="auto" w:fill="C6EFCE"/>
            <w:noWrap/>
            <w:vAlign w:val="center"/>
          </w:tcPr>
          <w:p w14:paraId="39F4CAB1" w14:textId="79224103" w:rsidR="00C972CB" w:rsidRDefault="002457F6">
            <w:pPr>
              <w:pStyle w:val="P68B1DB1-Normal11"/>
              <w:jc w:val="center"/>
              <w:rPr>
                <w:noProof/>
              </w:rPr>
            </w:pPr>
            <w:r>
              <w:rPr>
                <w:noProof/>
              </w:rPr>
              <w:t>2. CET.</w:t>
            </w:r>
          </w:p>
        </w:tc>
        <w:tc>
          <w:tcPr>
            <w:tcW w:w="756" w:type="dxa"/>
            <w:shd w:val="clear" w:color="auto" w:fill="C6EFCE"/>
            <w:noWrap/>
            <w:vAlign w:val="center"/>
          </w:tcPr>
          <w:p w14:paraId="7F10AA75" w14:textId="32251144" w:rsidR="00C972CB" w:rsidRDefault="002457F6">
            <w:pPr>
              <w:pStyle w:val="P68B1DB1-Normal11"/>
              <w:jc w:val="center"/>
              <w:rPr>
                <w:noProof/>
              </w:rPr>
            </w:pPr>
            <w:r>
              <w:rPr>
                <w:noProof/>
              </w:rPr>
              <w:t>2026</w:t>
            </w:r>
          </w:p>
        </w:tc>
        <w:tc>
          <w:tcPr>
            <w:tcW w:w="2793" w:type="dxa"/>
            <w:shd w:val="clear" w:color="auto" w:fill="C6EFCE"/>
            <w:noWrap/>
            <w:vAlign w:val="center"/>
          </w:tcPr>
          <w:p w14:paraId="3D68599E" w14:textId="4C01AD8C" w:rsidR="00C972CB" w:rsidRDefault="002457F6">
            <w:pPr>
              <w:pStyle w:val="P68B1DB1-Normal12"/>
              <w:rPr>
                <w:rFonts w:ascii="Arial Narrow" w:hAnsi="Arial Narrow"/>
                <w:noProof/>
              </w:rPr>
            </w:pPr>
            <w:r>
              <w:rPr>
                <w:rFonts w:ascii="Arial Narrow" w:hAnsi="Arial Narrow"/>
                <w:noProof/>
              </w:rPr>
              <w:t>Enerģijas patēriņa elektrifikācija, kas sasniedz vismaz</w:t>
            </w:r>
            <w:r>
              <w:rPr>
                <w:noProof/>
              </w:rPr>
              <w:t xml:space="preserve">  </w:t>
            </w:r>
            <w:r>
              <w:rPr>
                <w:rFonts w:ascii="Arial Narrow" w:hAnsi="Arial Narrow"/>
                <w:noProof/>
              </w:rPr>
              <w:t>1500000 iedzīvotāju</w:t>
            </w:r>
          </w:p>
        </w:tc>
      </w:tr>
      <w:tr w:rsidR="00C972CB" w14:paraId="62D0B581" w14:textId="77777777">
        <w:trPr>
          <w:trHeight w:val="309"/>
          <w:jc w:val="center"/>
        </w:trPr>
        <w:tc>
          <w:tcPr>
            <w:tcW w:w="1613" w:type="dxa"/>
            <w:shd w:val="clear" w:color="auto" w:fill="C6EFCE"/>
            <w:noWrap/>
            <w:vAlign w:val="center"/>
          </w:tcPr>
          <w:p w14:paraId="742578EB" w14:textId="5AA502E6" w:rsidR="00C972CB" w:rsidRDefault="002457F6">
            <w:pPr>
              <w:pStyle w:val="P68B1DB1-Normal11"/>
              <w:jc w:val="center"/>
              <w:rPr>
                <w:noProof/>
              </w:rPr>
            </w:pPr>
            <w:r>
              <w:rPr>
                <w:noProof/>
              </w:rPr>
              <w:t>M2C2–13</w:t>
            </w:r>
          </w:p>
        </w:tc>
        <w:tc>
          <w:tcPr>
            <w:tcW w:w="1643" w:type="dxa"/>
            <w:shd w:val="clear" w:color="auto" w:fill="C6EFCE"/>
            <w:noWrap/>
            <w:vAlign w:val="center"/>
          </w:tcPr>
          <w:p w14:paraId="5C9CD7F7" w14:textId="076D1E48" w:rsidR="00C972CB" w:rsidRDefault="002457F6">
            <w:pPr>
              <w:pStyle w:val="P68B1DB1-Normal11"/>
              <w:jc w:val="center"/>
              <w:rPr>
                <w:noProof/>
              </w:rPr>
            </w:pPr>
            <w:r>
              <w:rPr>
                <w:noProof/>
              </w:rPr>
              <w:t>Ieguldījums. Intervences elektrotīkla noturības palielināšanai</w:t>
            </w:r>
          </w:p>
        </w:tc>
        <w:tc>
          <w:tcPr>
            <w:tcW w:w="1559" w:type="dxa"/>
            <w:shd w:val="clear" w:color="auto" w:fill="C6EFCE"/>
            <w:noWrap/>
            <w:vAlign w:val="center"/>
          </w:tcPr>
          <w:p w14:paraId="08160935" w14:textId="002F52C7" w:rsidR="00C972CB" w:rsidRDefault="002457F6">
            <w:pPr>
              <w:pStyle w:val="P68B1DB1-Normal11"/>
              <w:jc w:val="center"/>
              <w:rPr>
                <w:noProof/>
              </w:rPr>
            </w:pPr>
            <w:r>
              <w:rPr>
                <w:noProof/>
              </w:rPr>
              <w:t>Mērķa</w:t>
            </w:r>
          </w:p>
        </w:tc>
        <w:tc>
          <w:tcPr>
            <w:tcW w:w="1559" w:type="dxa"/>
            <w:shd w:val="clear" w:color="auto" w:fill="C6EFCE"/>
            <w:noWrap/>
            <w:vAlign w:val="center"/>
          </w:tcPr>
          <w:p w14:paraId="506BEE00" w14:textId="32874C9F" w:rsidR="00C972CB" w:rsidRDefault="002457F6">
            <w:pPr>
              <w:pStyle w:val="P68B1DB1-Normal11"/>
              <w:jc w:val="center"/>
              <w:rPr>
                <w:noProof/>
              </w:rPr>
            </w:pPr>
            <w:r>
              <w:rPr>
                <w:noProof/>
              </w:rPr>
              <w:t xml:space="preserve">Palielināt </w:t>
            </w:r>
            <w:r>
              <w:rPr>
                <w:noProof/>
              </w:rPr>
              <w:t>elektroenerģijas sistēmas tīkla noturību</w:t>
            </w:r>
          </w:p>
        </w:tc>
        <w:tc>
          <w:tcPr>
            <w:tcW w:w="1843" w:type="dxa"/>
            <w:shd w:val="clear" w:color="auto" w:fill="C6EFCE"/>
            <w:noWrap/>
            <w:vAlign w:val="center"/>
          </w:tcPr>
          <w:p w14:paraId="5796553C" w14:textId="0B934FAD" w:rsidR="00C972CB" w:rsidRDefault="002457F6">
            <w:pPr>
              <w:pStyle w:val="P68B1DB1-Normal11"/>
              <w:jc w:val="center"/>
              <w:rPr>
                <w:noProof/>
              </w:rPr>
            </w:pPr>
            <w:r>
              <w:rPr>
                <w:noProof/>
              </w:rPr>
              <w:t>NEPIEMĒRO</w:t>
            </w:r>
          </w:p>
        </w:tc>
        <w:tc>
          <w:tcPr>
            <w:tcW w:w="1417" w:type="dxa"/>
            <w:shd w:val="clear" w:color="auto" w:fill="C6EFCE"/>
            <w:noWrap/>
            <w:vAlign w:val="center"/>
          </w:tcPr>
          <w:p w14:paraId="3D50B377" w14:textId="2D644E88" w:rsidR="00C972CB" w:rsidRDefault="002457F6">
            <w:pPr>
              <w:pStyle w:val="P68B1DB1-Normal11"/>
              <w:jc w:val="center"/>
              <w:rPr>
                <w:noProof/>
              </w:rPr>
            </w:pPr>
            <w:r>
              <w:rPr>
                <w:noProof/>
              </w:rPr>
              <w:t>Skaits</w:t>
            </w:r>
          </w:p>
        </w:tc>
        <w:tc>
          <w:tcPr>
            <w:tcW w:w="1134" w:type="dxa"/>
            <w:shd w:val="clear" w:color="auto" w:fill="C6EFCE"/>
            <w:noWrap/>
            <w:vAlign w:val="center"/>
          </w:tcPr>
          <w:p w14:paraId="5C01BFCF" w14:textId="7C257119" w:rsidR="00C972CB" w:rsidRDefault="002457F6">
            <w:pPr>
              <w:pStyle w:val="P68B1DB1-Normal11"/>
              <w:jc w:val="center"/>
              <w:rPr>
                <w:noProof/>
              </w:rPr>
            </w:pPr>
            <w:r>
              <w:rPr>
                <w:noProof/>
              </w:rPr>
              <w:t>0</w:t>
            </w:r>
          </w:p>
        </w:tc>
        <w:tc>
          <w:tcPr>
            <w:tcW w:w="946" w:type="dxa"/>
            <w:shd w:val="clear" w:color="auto" w:fill="C6EFCE"/>
            <w:noWrap/>
            <w:vAlign w:val="center"/>
          </w:tcPr>
          <w:p w14:paraId="4A285166" w14:textId="53C66589" w:rsidR="00C972CB" w:rsidRDefault="002457F6">
            <w:pPr>
              <w:pStyle w:val="P68B1DB1-Normal11"/>
              <w:jc w:val="center"/>
              <w:rPr>
                <w:noProof/>
              </w:rPr>
            </w:pPr>
            <w:r>
              <w:rPr>
                <w:noProof/>
              </w:rPr>
              <w:t>4 000</w:t>
            </w:r>
          </w:p>
        </w:tc>
        <w:tc>
          <w:tcPr>
            <w:tcW w:w="992" w:type="dxa"/>
            <w:shd w:val="clear" w:color="auto" w:fill="C6EFCE"/>
            <w:noWrap/>
            <w:vAlign w:val="center"/>
          </w:tcPr>
          <w:p w14:paraId="07C790CC" w14:textId="5890A751" w:rsidR="00C972CB" w:rsidRDefault="002457F6">
            <w:pPr>
              <w:pStyle w:val="P68B1DB1-Normal11"/>
              <w:jc w:val="center"/>
              <w:rPr>
                <w:noProof/>
              </w:rPr>
            </w:pPr>
            <w:r>
              <w:rPr>
                <w:noProof/>
              </w:rPr>
              <w:t>2. CET.</w:t>
            </w:r>
          </w:p>
        </w:tc>
        <w:tc>
          <w:tcPr>
            <w:tcW w:w="756" w:type="dxa"/>
            <w:shd w:val="clear" w:color="auto" w:fill="C6EFCE"/>
            <w:noWrap/>
            <w:vAlign w:val="center"/>
          </w:tcPr>
          <w:p w14:paraId="0E0A9451" w14:textId="406FC2B7" w:rsidR="00C972CB" w:rsidRDefault="002457F6">
            <w:pPr>
              <w:pStyle w:val="P68B1DB1-Normal11"/>
              <w:jc w:val="center"/>
              <w:rPr>
                <w:noProof/>
              </w:rPr>
            </w:pPr>
            <w:r>
              <w:rPr>
                <w:noProof/>
              </w:rPr>
              <w:t>2026</w:t>
            </w:r>
          </w:p>
        </w:tc>
        <w:tc>
          <w:tcPr>
            <w:tcW w:w="2793" w:type="dxa"/>
            <w:shd w:val="clear" w:color="auto" w:fill="C6EFCE"/>
            <w:noWrap/>
            <w:vAlign w:val="center"/>
          </w:tcPr>
          <w:p w14:paraId="46E88F5D" w14:textId="7AB9A943" w:rsidR="00C972CB" w:rsidRDefault="002457F6">
            <w:pPr>
              <w:pStyle w:val="P68B1DB1-Normal12"/>
              <w:rPr>
                <w:rFonts w:ascii="Arial Narrow" w:hAnsi="Arial Narrow"/>
                <w:noProof/>
              </w:rPr>
            </w:pPr>
            <w:r>
              <w:rPr>
                <w:rFonts w:ascii="Arial Narrow" w:hAnsi="Arial Narrow"/>
                <w:noProof/>
              </w:rPr>
              <w:t>Palielināt elektroenerģijas sistēmas tīkla noturību vismaz par 4000km, lai samazinātu ekstrēmu laikapstākļu izraisīto enerģijas samazinājumu biežumu un ilgumu.</w:t>
            </w:r>
          </w:p>
        </w:tc>
      </w:tr>
      <w:tr w:rsidR="00C972CB" w14:paraId="491CFFF7" w14:textId="77777777">
        <w:trPr>
          <w:trHeight w:val="309"/>
          <w:jc w:val="center"/>
        </w:trPr>
        <w:tc>
          <w:tcPr>
            <w:tcW w:w="1613" w:type="dxa"/>
            <w:shd w:val="clear" w:color="auto" w:fill="C6EFCE"/>
            <w:noWrap/>
            <w:vAlign w:val="center"/>
          </w:tcPr>
          <w:p w14:paraId="7A1D3E96" w14:textId="65109C2D" w:rsidR="00C972CB" w:rsidRDefault="002457F6">
            <w:pPr>
              <w:pStyle w:val="P68B1DB1-Normal11"/>
              <w:jc w:val="center"/>
              <w:rPr>
                <w:noProof/>
              </w:rPr>
            </w:pPr>
            <w:r>
              <w:rPr>
                <w:noProof/>
              </w:rPr>
              <w:t>M2C2–15</w:t>
            </w:r>
          </w:p>
        </w:tc>
        <w:tc>
          <w:tcPr>
            <w:tcW w:w="1643" w:type="dxa"/>
            <w:shd w:val="clear" w:color="auto" w:fill="C6EFCE"/>
            <w:noWrap/>
            <w:vAlign w:val="center"/>
          </w:tcPr>
          <w:p w14:paraId="4EF6FB73" w14:textId="4944460F" w:rsidR="00C972CB" w:rsidRDefault="002457F6">
            <w:pPr>
              <w:pStyle w:val="P68B1DB1-Normal11"/>
              <w:jc w:val="center"/>
              <w:rPr>
                <w:noProof/>
              </w:rPr>
            </w:pPr>
            <w:r>
              <w:rPr>
                <w:noProof/>
              </w:rPr>
              <w:t>Ieguldījums. Ūdeņraža testēšana autotransportam</w:t>
            </w:r>
          </w:p>
        </w:tc>
        <w:tc>
          <w:tcPr>
            <w:tcW w:w="1559" w:type="dxa"/>
            <w:shd w:val="clear" w:color="auto" w:fill="C6EFCE"/>
            <w:noWrap/>
            <w:vAlign w:val="center"/>
          </w:tcPr>
          <w:p w14:paraId="74194776" w14:textId="5B4093E0" w:rsidR="00C972CB" w:rsidRDefault="002457F6">
            <w:pPr>
              <w:pStyle w:val="P68B1DB1-Normal11"/>
              <w:jc w:val="center"/>
              <w:rPr>
                <w:noProof/>
              </w:rPr>
            </w:pPr>
            <w:r>
              <w:rPr>
                <w:noProof/>
              </w:rPr>
              <w:t>Mērķa</w:t>
            </w:r>
          </w:p>
        </w:tc>
        <w:tc>
          <w:tcPr>
            <w:tcW w:w="1559" w:type="dxa"/>
            <w:shd w:val="clear" w:color="auto" w:fill="C6EFCE"/>
            <w:noWrap/>
            <w:vAlign w:val="center"/>
          </w:tcPr>
          <w:p w14:paraId="08D76E29" w14:textId="5775DDD4" w:rsidR="00C972CB" w:rsidRDefault="002457F6">
            <w:pPr>
              <w:pStyle w:val="P68B1DB1-Normal11"/>
              <w:jc w:val="center"/>
              <w:rPr>
                <w:noProof/>
              </w:rPr>
            </w:pPr>
            <w:r>
              <w:rPr>
                <w:noProof/>
              </w:rPr>
              <w:t>Ūdeņraža uzlādes staciju izveide</w:t>
            </w:r>
          </w:p>
        </w:tc>
        <w:tc>
          <w:tcPr>
            <w:tcW w:w="1843" w:type="dxa"/>
            <w:shd w:val="clear" w:color="auto" w:fill="C6EFCE"/>
            <w:noWrap/>
            <w:vAlign w:val="center"/>
          </w:tcPr>
          <w:p w14:paraId="4BA9CAC6" w14:textId="5FCBE59B" w:rsidR="00C972CB" w:rsidRDefault="002457F6">
            <w:pPr>
              <w:pStyle w:val="P68B1DB1-Normal11"/>
              <w:jc w:val="center"/>
              <w:rPr>
                <w:noProof/>
              </w:rPr>
            </w:pPr>
            <w:r>
              <w:rPr>
                <w:noProof/>
              </w:rPr>
              <w:t>NEPIEMĒRO</w:t>
            </w:r>
          </w:p>
        </w:tc>
        <w:tc>
          <w:tcPr>
            <w:tcW w:w="1417" w:type="dxa"/>
            <w:shd w:val="clear" w:color="auto" w:fill="C6EFCE"/>
            <w:noWrap/>
            <w:vAlign w:val="center"/>
          </w:tcPr>
          <w:p w14:paraId="4BD4EA64" w14:textId="2C34521D" w:rsidR="00C972CB" w:rsidRDefault="002457F6">
            <w:pPr>
              <w:pStyle w:val="P68B1DB1-Normal11"/>
              <w:jc w:val="center"/>
              <w:rPr>
                <w:noProof/>
              </w:rPr>
            </w:pPr>
            <w:r>
              <w:rPr>
                <w:noProof/>
              </w:rPr>
              <w:t>Skaits</w:t>
            </w:r>
          </w:p>
        </w:tc>
        <w:tc>
          <w:tcPr>
            <w:tcW w:w="1134" w:type="dxa"/>
            <w:shd w:val="clear" w:color="auto" w:fill="C6EFCE"/>
            <w:noWrap/>
            <w:vAlign w:val="center"/>
          </w:tcPr>
          <w:p w14:paraId="4230DDB6" w14:textId="6E3EDE1A" w:rsidR="00C972CB" w:rsidRDefault="002457F6">
            <w:pPr>
              <w:pStyle w:val="P68B1DB1-Normal11"/>
              <w:jc w:val="center"/>
              <w:rPr>
                <w:noProof/>
              </w:rPr>
            </w:pPr>
            <w:r>
              <w:rPr>
                <w:noProof/>
              </w:rPr>
              <w:t>0</w:t>
            </w:r>
          </w:p>
        </w:tc>
        <w:tc>
          <w:tcPr>
            <w:tcW w:w="946" w:type="dxa"/>
            <w:shd w:val="clear" w:color="auto" w:fill="C6EFCE"/>
            <w:noWrap/>
            <w:vAlign w:val="center"/>
          </w:tcPr>
          <w:p w14:paraId="67B671B9" w14:textId="7CDB74CB" w:rsidR="00C972CB" w:rsidRDefault="002457F6">
            <w:pPr>
              <w:pStyle w:val="P68B1DB1-Normal11"/>
              <w:jc w:val="center"/>
              <w:rPr>
                <w:noProof/>
              </w:rPr>
            </w:pPr>
            <w:r>
              <w:rPr>
                <w:noProof/>
              </w:rPr>
              <w:t>40</w:t>
            </w:r>
          </w:p>
        </w:tc>
        <w:tc>
          <w:tcPr>
            <w:tcW w:w="992" w:type="dxa"/>
            <w:shd w:val="clear" w:color="auto" w:fill="C6EFCE"/>
            <w:noWrap/>
            <w:vAlign w:val="center"/>
          </w:tcPr>
          <w:p w14:paraId="5D35A18B" w14:textId="0A1C7893" w:rsidR="00C972CB" w:rsidRDefault="002457F6">
            <w:pPr>
              <w:pStyle w:val="P68B1DB1-Normal11"/>
              <w:jc w:val="center"/>
              <w:rPr>
                <w:noProof/>
              </w:rPr>
            </w:pPr>
            <w:r>
              <w:rPr>
                <w:noProof/>
              </w:rPr>
              <w:t>2. CET.</w:t>
            </w:r>
          </w:p>
        </w:tc>
        <w:tc>
          <w:tcPr>
            <w:tcW w:w="756" w:type="dxa"/>
            <w:shd w:val="clear" w:color="auto" w:fill="C6EFCE"/>
            <w:noWrap/>
            <w:vAlign w:val="center"/>
          </w:tcPr>
          <w:p w14:paraId="6D833B71" w14:textId="014A5761" w:rsidR="00C972CB" w:rsidRDefault="002457F6">
            <w:pPr>
              <w:pStyle w:val="P68B1DB1-Normal11"/>
              <w:jc w:val="center"/>
              <w:rPr>
                <w:noProof/>
              </w:rPr>
            </w:pPr>
            <w:r>
              <w:rPr>
                <w:noProof/>
              </w:rPr>
              <w:t>2026</w:t>
            </w:r>
          </w:p>
        </w:tc>
        <w:tc>
          <w:tcPr>
            <w:tcW w:w="2793" w:type="dxa"/>
            <w:shd w:val="clear" w:color="auto" w:fill="C6EFCE"/>
            <w:noWrap/>
            <w:vAlign w:val="center"/>
          </w:tcPr>
          <w:p w14:paraId="1C06CBA7" w14:textId="77777777" w:rsidR="00C972CB" w:rsidRDefault="002457F6">
            <w:pPr>
              <w:pStyle w:val="P68B1DB1-Normal11"/>
              <w:spacing w:after="120"/>
              <w:rPr>
                <w:noProof/>
              </w:rPr>
            </w:pPr>
            <w:r>
              <w:rPr>
                <w:noProof/>
              </w:rPr>
              <w:t xml:space="preserve">Izveidot vismaz 40 uzlādes stacijas, kuru pamatā ir ūdeņradis, vieglajiem un smagajiem transportlīdzekļiem saskaņā ar Direktīvu </w:t>
            </w:r>
            <w:r>
              <w:rPr>
                <w:noProof/>
              </w:rPr>
              <w:t>2014/94/ES</w:t>
            </w:r>
          </w:p>
          <w:p w14:paraId="5E8C581C" w14:textId="77777777" w:rsidR="00C972CB" w:rsidRDefault="00C972CB">
            <w:pPr>
              <w:rPr>
                <w:rFonts w:ascii="Arial Narrow" w:hAnsi="Arial Narrow"/>
                <w:noProof/>
                <w:sz w:val="20"/>
              </w:rPr>
            </w:pPr>
          </w:p>
        </w:tc>
      </w:tr>
      <w:tr w:rsidR="00C972CB" w14:paraId="7EA35CAD" w14:textId="77777777">
        <w:trPr>
          <w:trHeight w:val="309"/>
          <w:jc w:val="center"/>
        </w:trPr>
        <w:tc>
          <w:tcPr>
            <w:tcW w:w="1613" w:type="dxa"/>
            <w:shd w:val="clear" w:color="auto" w:fill="C6EFCE"/>
            <w:noWrap/>
            <w:vAlign w:val="center"/>
          </w:tcPr>
          <w:p w14:paraId="21E19A8D" w14:textId="3B523E6E" w:rsidR="00C972CB" w:rsidRDefault="002457F6">
            <w:pPr>
              <w:pStyle w:val="P68B1DB1-Normal11"/>
              <w:jc w:val="center"/>
              <w:rPr>
                <w:noProof/>
              </w:rPr>
            </w:pPr>
            <w:r>
              <w:rPr>
                <w:noProof/>
              </w:rPr>
              <w:t>M2C2–17</w:t>
            </w:r>
          </w:p>
        </w:tc>
        <w:tc>
          <w:tcPr>
            <w:tcW w:w="1643" w:type="dxa"/>
            <w:shd w:val="clear" w:color="auto" w:fill="C6EFCE"/>
            <w:noWrap/>
            <w:vAlign w:val="center"/>
          </w:tcPr>
          <w:p w14:paraId="66F2D814" w14:textId="5D31E876" w:rsidR="00C972CB" w:rsidRDefault="002457F6">
            <w:pPr>
              <w:pStyle w:val="P68B1DB1-Normal11"/>
              <w:jc w:val="center"/>
              <w:rPr>
                <w:noProof/>
              </w:rPr>
            </w:pPr>
            <w:r>
              <w:rPr>
                <w:noProof/>
              </w:rPr>
              <w:t>Ieguldījums. Ūdeņraža testēšana dzelzceļa mobilitātei</w:t>
            </w:r>
          </w:p>
        </w:tc>
        <w:tc>
          <w:tcPr>
            <w:tcW w:w="1559" w:type="dxa"/>
            <w:shd w:val="clear" w:color="auto" w:fill="C6EFCE"/>
            <w:noWrap/>
            <w:vAlign w:val="center"/>
          </w:tcPr>
          <w:p w14:paraId="0D5874B3" w14:textId="5EAFE349" w:rsidR="00C972CB" w:rsidRDefault="002457F6">
            <w:pPr>
              <w:pStyle w:val="P68B1DB1-Normal11"/>
              <w:jc w:val="center"/>
              <w:rPr>
                <w:noProof/>
              </w:rPr>
            </w:pPr>
            <w:r>
              <w:rPr>
                <w:noProof/>
              </w:rPr>
              <w:t>Mērķa</w:t>
            </w:r>
          </w:p>
        </w:tc>
        <w:tc>
          <w:tcPr>
            <w:tcW w:w="1559" w:type="dxa"/>
            <w:shd w:val="clear" w:color="auto" w:fill="C6EFCE"/>
            <w:noWrap/>
            <w:vAlign w:val="center"/>
          </w:tcPr>
          <w:p w14:paraId="1581AD0E" w14:textId="1CAF615B" w:rsidR="00C972CB" w:rsidRDefault="002457F6">
            <w:pPr>
              <w:pStyle w:val="P68B1DB1-Normal11"/>
              <w:jc w:val="center"/>
              <w:rPr>
                <w:noProof/>
              </w:rPr>
            </w:pPr>
            <w:r>
              <w:rPr>
                <w:noProof/>
              </w:rPr>
              <w:t>Ūdeņraža uzpildes staciju skaits</w:t>
            </w:r>
          </w:p>
        </w:tc>
        <w:tc>
          <w:tcPr>
            <w:tcW w:w="1843" w:type="dxa"/>
            <w:shd w:val="clear" w:color="auto" w:fill="C6EFCE"/>
            <w:noWrap/>
            <w:vAlign w:val="center"/>
          </w:tcPr>
          <w:p w14:paraId="2AD8A424" w14:textId="0F36A0E0" w:rsidR="00C972CB" w:rsidRDefault="002457F6">
            <w:pPr>
              <w:pStyle w:val="P68B1DB1-Normal11"/>
              <w:jc w:val="center"/>
              <w:rPr>
                <w:noProof/>
              </w:rPr>
            </w:pPr>
            <w:r>
              <w:rPr>
                <w:noProof/>
              </w:rPr>
              <w:t>NEPIEMĒRO</w:t>
            </w:r>
          </w:p>
        </w:tc>
        <w:tc>
          <w:tcPr>
            <w:tcW w:w="1417" w:type="dxa"/>
            <w:shd w:val="clear" w:color="auto" w:fill="C6EFCE"/>
            <w:noWrap/>
            <w:vAlign w:val="center"/>
          </w:tcPr>
          <w:p w14:paraId="541DB971" w14:textId="3DC6696C" w:rsidR="00C972CB" w:rsidRDefault="002457F6">
            <w:pPr>
              <w:pStyle w:val="P68B1DB1-Normal11"/>
              <w:jc w:val="center"/>
              <w:rPr>
                <w:noProof/>
              </w:rPr>
            </w:pPr>
            <w:r>
              <w:rPr>
                <w:noProof/>
              </w:rPr>
              <w:t>Skaits</w:t>
            </w:r>
          </w:p>
        </w:tc>
        <w:tc>
          <w:tcPr>
            <w:tcW w:w="1134" w:type="dxa"/>
            <w:shd w:val="clear" w:color="auto" w:fill="C6EFCE"/>
            <w:noWrap/>
            <w:vAlign w:val="center"/>
          </w:tcPr>
          <w:p w14:paraId="135FFF04" w14:textId="7FC728FA" w:rsidR="00C972CB" w:rsidRDefault="002457F6">
            <w:pPr>
              <w:pStyle w:val="P68B1DB1-Normal11"/>
              <w:jc w:val="center"/>
              <w:rPr>
                <w:noProof/>
              </w:rPr>
            </w:pPr>
            <w:r>
              <w:rPr>
                <w:noProof/>
              </w:rPr>
              <w:t>0</w:t>
            </w:r>
          </w:p>
        </w:tc>
        <w:tc>
          <w:tcPr>
            <w:tcW w:w="946" w:type="dxa"/>
            <w:shd w:val="clear" w:color="auto" w:fill="C6EFCE"/>
            <w:noWrap/>
            <w:vAlign w:val="center"/>
          </w:tcPr>
          <w:p w14:paraId="64C7038F" w14:textId="167BE95F" w:rsidR="00C972CB" w:rsidRDefault="002457F6">
            <w:pPr>
              <w:pStyle w:val="P68B1DB1-Normal11"/>
              <w:jc w:val="center"/>
              <w:rPr>
                <w:noProof/>
              </w:rPr>
            </w:pPr>
            <w:r>
              <w:rPr>
                <w:noProof/>
              </w:rPr>
              <w:t>10</w:t>
            </w:r>
          </w:p>
        </w:tc>
        <w:tc>
          <w:tcPr>
            <w:tcW w:w="992" w:type="dxa"/>
            <w:shd w:val="clear" w:color="auto" w:fill="C6EFCE"/>
            <w:noWrap/>
            <w:vAlign w:val="center"/>
          </w:tcPr>
          <w:p w14:paraId="41E06D40" w14:textId="2AB4A061" w:rsidR="00C972CB" w:rsidRDefault="002457F6">
            <w:pPr>
              <w:pStyle w:val="P68B1DB1-Normal11"/>
              <w:jc w:val="center"/>
              <w:rPr>
                <w:noProof/>
              </w:rPr>
            </w:pPr>
            <w:r>
              <w:rPr>
                <w:noProof/>
              </w:rPr>
              <w:t>2. CET.</w:t>
            </w:r>
          </w:p>
        </w:tc>
        <w:tc>
          <w:tcPr>
            <w:tcW w:w="756" w:type="dxa"/>
            <w:shd w:val="clear" w:color="auto" w:fill="C6EFCE"/>
            <w:noWrap/>
            <w:vAlign w:val="center"/>
          </w:tcPr>
          <w:p w14:paraId="59CC0418" w14:textId="6E796BEC" w:rsidR="00C972CB" w:rsidRDefault="002457F6">
            <w:pPr>
              <w:pStyle w:val="P68B1DB1-Normal11"/>
              <w:jc w:val="center"/>
              <w:rPr>
                <w:noProof/>
              </w:rPr>
            </w:pPr>
            <w:r>
              <w:rPr>
                <w:noProof/>
              </w:rPr>
              <w:t>2026</w:t>
            </w:r>
          </w:p>
        </w:tc>
        <w:tc>
          <w:tcPr>
            <w:tcW w:w="2793" w:type="dxa"/>
            <w:shd w:val="clear" w:color="auto" w:fill="C6EFCE"/>
            <w:noWrap/>
            <w:vAlign w:val="center"/>
          </w:tcPr>
          <w:p w14:paraId="02C5F061" w14:textId="629DF835" w:rsidR="00C972CB" w:rsidRDefault="002457F6">
            <w:pPr>
              <w:pStyle w:val="P68B1DB1-Normal11"/>
              <w:spacing w:after="120"/>
              <w:rPr>
                <w:noProof/>
              </w:rPr>
            </w:pPr>
            <w:r>
              <w:rPr>
                <w:noProof/>
              </w:rPr>
              <w:t xml:space="preserve">Būvēt desmit dzelzceļa uzpildes stacijas, kuru pamatā ir ūdeņradis, sešās dzelzceļa līnijās, ko nosaka </w:t>
            </w:r>
            <w:r>
              <w:rPr>
                <w:noProof/>
              </w:rPr>
              <w:t>publiskās procedūras, kuras nosaka Ilgtspējīgas mobilitātes ministrija (MIMS) un Ekoloģiskās pārkārtošanās ministrija (MITE).</w:t>
            </w:r>
          </w:p>
        </w:tc>
      </w:tr>
      <w:tr w:rsidR="00C972CB" w14:paraId="182B43DF" w14:textId="77777777">
        <w:trPr>
          <w:trHeight w:val="309"/>
          <w:jc w:val="center"/>
        </w:trPr>
        <w:tc>
          <w:tcPr>
            <w:tcW w:w="1613" w:type="dxa"/>
            <w:shd w:val="clear" w:color="auto" w:fill="C6EFCE"/>
            <w:noWrap/>
            <w:vAlign w:val="center"/>
          </w:tcPr>
          <w:p w14:paraId="0B47D30C" w14:textId="6B701A5C" w:rsidR="00C972CB" w:rsidRDefault="002457F6">
            <w:pPr>
              <w:pStyle w:val="P68B1DB1-Normal11"/>
              <w:jc w:val="center"/>
              <w:rPr>
                <w:noProof/>
              </w:rPr>
            </w:pPr>
            <w:r>
              <w:rPr>
                <w:noProof/>
              </w:rPr>
              <w:t>M2C2–19</w:t>
            </w:r>
          </w:p>
        </w:tc>
        <w:tc>
          <w:tcPr>
            <w:tcW w:w="1643" w:type="dxa"/>
            <w:shd w:val="clear" w:color="auto" w:fill="C6EFCE"/>
            <w:noWrap/>
            <w:vAlign w:val="center"/>
          </w:tcPr>
          <w:p w14:paraId="5D781946" w14:textId="46B03DDF" w:rsidR="00C972CB" w:rsidRDefault="002457F6">
            <w:pPr>
              <w:pStyle w:val="P68B1DB1-Normal11"/>
              <w:jc w:val="center"/>
              <w:rPr>
                <w:noProof/>
              </w:rPr>
            </w:pPr>
            <w:r>
              <w:rPr>
                <w:noProof/>
              </w:rPr>
              <w:t>Ieguldījums. Ūdeņraža pētniecība un izstrāde</w:t>
            </w:r>
          </w:p>
        </w:tc>
        <w:tc>
          <w:tcPr>
            <w:tcW w:w="1559" w:type="dxa"/>
            <w:shd w:val="clear" w:color="auto" w:fill="C6EFCE"/>
            <w:noWrap/>
            <w:vAlign w:val="center"/>
          </w:tcPr>
          <w:p w14:paraId="636E68D2" w14:textId="724276FD" w:rsidR="00C972CB" w:rsidRDefault="002457F6">
            <w:pPr>
              <w:pStyle w:val="P68B1DB1-Normal11"/>
              <w:jc w:val="center"/>
              <w:rPr>
                <w:noProof/>
              </w:rPr>
            </w:pPr>
            <w:r>
              <w:rPr>
                <w:noProof/>
              </w:rPr>
              <w:t>Mērķa</w:t>
            </w:r>
          </w:p>
        </w:tc>
        <w:tc>
          <w:tcPr>
            <w:tcW w:w="1559" w:type="dxa"/>
            <w:shd w:val="clear" w:color="auto" w:fill="C6EFCE"/>
            <w:noWrap/>
            <w:vAlign w:val="center"/>
          </w:tcPr>
          <w:p w14:paraId="1DB82AB1" w14:textId="7ADBC616" w:rsidR="00C972CB" w:rsidRDefault="002457F6">
            <w:pPr>
              <w:pStyle w:val="P68B1DB1-Normal11"/>
              <w:jc w:val="center"/>
              <w:rPr>
                <w:noProof/>
              </w:rPr>
            </w:pPr>
            <w:r>
              <w:rPr>
                <w:noProof/>
              </w:rPr>
              <w:t>Ūdeņraža pētniecības un izstrādes projektu skaits</w:t>
            </w:r>
          </w:p>
        </w:tc>
        <w:tc>
          <w:tcPr>
            <w:tcW w:w="1843" w:type="dxa"/>
            <w:shd w:val="clear" w:color="auto" w:fill="C6EFCE"/>
            <w:noWrap/>
            <w:vAlign w:val="center"/>
          </w:tcPr>
          <w:p w14:paraId="3D4A7914" w14:textId="5C4B35B3" w:rsidR="00C972CB" w:rsidRDefault="002457F6">
            <w:pPr>
              <w:pStyle w:val="P68B1DB1-Normal11"/>
              <w:jc w:val="center"/>
              <w:rPr>
                <w:noProof/>
              </w:rPr>
            </w:pPr>
            <w:r>
              <w:rPr>
                <w:noProof/>
              </w:rPr>
              <w:t>NEPIEMĒRO</w:t>
            </w:r>
          </w:p>
        </w:tc>
        <w:tc>
          <w:tcPr>
            <w:tcW w:w="1417" w:type="dxa"/>
            <w:shd w:val="clear" w:color="auto" w:fill="C6EFCE"/>
            <w:noWrap/>
            <w:vAlign w:val="center"/>
          </w:tcPr>
          <w:p w14:paraId="6D13D79E" w14:textId="4C57E9AC" w:rsidR="00C972CB" w:rsidRDefault="002457F6">
            <w:pPr>
              <w:pStyle w:val="P68B1DB1-Normal11"/>
              <w:jc w:val="center"/>
              <w:rPr>
                <w:noProof/>
              </w:rPr>
            </w:pPr>
            <w:r>
              <w:rPr>
                <w:noProof/>
              </w:rPr>
              <w:t>Skaits</w:t>
            </w:r>
          </w:p>
        </w:tc>
        <w:tc>
          <w:tcPr>
            <w:tcW w:w="1134" w:type="dxa"/>
            <w:shd w:val="clear" w:color="auto" w:fill="C6EFCE"/>
            <w:noWrap/>
            <w:vAlign w:val="center"/>
          </w:tcPr>
          <w:p w14:paraId="2D43C30F" w14:textId="63AC3690" w:rsidR="00C972CB" w:rsidRDefault="002457F6">
            <w:pPr>
              <w:pStyle w:val="P68B1DB1-Normal11"/>
              <w:jc w:val="center"/>
              <w:rPr>
                <w:noProof/>
              </w:rPr>
            </w:pPr>
            <w:r>
              <w:rPr>
                <w:noProof/>
              </w:rPr>
              <w:t>0</w:t>
            </w:r>
          </w:p>
        </w:tc>
        <w:tc>
          <w:tcPr>
            <w:tcW w:w="946" w:type="dxa"/>
            <w:shd w:val="clear" w:color="auto" w:fill="C6EFCE"/>
            <w:noWrap/>
            <w:vAlign w:val="center"/>
          </w:tcPr>
          <w:p w14:paraId="1B9ED744" w14:textId="60B60C4D" w:rsidR="00C972CB" w:rsidRDefault="002457F6">
            <w:pPr>
              <w:pStyle w:val="P68B1DB1-Normal11"/>
              <w:jc w:val="center"/>
              <w:rPr>
                <w:noProof/>
              </w:rPr>
            </w:pPr>
            <w:r>
              <w:rPr>
                <w:noProof/>
              </w:rPr>
              <w:t>10</w:t>
            </w:r>
          </w:p>
        </w:tc>
        <w:tc>
          <w:tcPr>
            <w:tcW w:w="992" w:type="dxa"/>
            <w:shd w:val="clear" w:color="auto" w:fill="C6EFCE"/>
            <w:noWrap/>
            <w:vAlign w:val="center"/>
          </w:tcPr>
          <w:p w14:paraId="37B503C0" w14:textId="4302C595" w:rsidR="00C972CB" w:rsidRDefault="002457F6">
            <w:pPr>
              <w:pStyle w:val="P68B1DB1-Normal11"/>
              <w:jc w:val="center"/>
              <w:rPr>
                <w:noProof/>
              </w:rPr>
            </w:pPr>
            <w:r>
              <w:rPr>
                <w:noProof/>
              </w:rPr>
              <w:t>2. CET.</w:t>
            </w:r>
          </w:p>
        </w:tc>
        <w:tc>
          <w:tcPr>
            <w:tcW w:w="756" w:type="dxa"/>
            <w:shd w:val="clear" w:color="auto" w:fill="C6EFCE"/>
            <w:noWrap/>
            <w:vAlign w:val="center"/>
          </w:tcPr>
          <w:p w14:paraId="365DB17F" w14:textId="5C62B646" w:rsidR="00C972CB" w:rsidRDefault="002457F6">
            <w:pPr>
              <w:pStyle w:val="P68B1DB1-Normal11"/>
              <w:jc w:val="center"/>
              <w:rPr>
                <w:noProof/>
              </w:rPr>
            </w:pPr>
            <w:r>
              <w:rPr>
                <w:noProof/>
              </w:rPr>
              <w:t>2026</w:t>
            </w:r>
          </w:p>
        </w:tc>
        <w:tc>
          <w:tcPr>
            <w:tcW w:w="2793" w:type="dxa"/>
            <w:shd w:val="clear" w:color="auto" w:fill="C6EFCE"/>
            <w:noWrap/>
            <w:vAlign w:val="center"/>
          </w:tcPr>
          <w:p w14:paraId="51F790C4" w14:textId="77777777" w:rsidR="00C972CB" w:rsidRDefault="002457F6">
            <w:pPr>
              <w:pStyle w:val="P68B1DB1-Normal11"/>
              <w:spacing w:after="120"/>
              <w:rPr>
                <w:noProof/>
              </w:rPr>
            </w:pPr>
            <w:r>
              <w:rPr>
                <w:noProof/>
              </w:rPr>
              <w:t>Ir īstenoti vismaz 10 pētniecības un izstrādes projekti (viens katrai pētniecības un izstrādes dimensijai) un kuriem ir testēšanas sertifikāts vai publikācija.</w:t>
            </w:r>
          </w:p>
          <w:p w14:paraId="21799A47" w14:textId="77777777" w:rsidR="00C972CB" w:rsidRDefault="002457F6">
            <w:pPr>
              <w:pStyle w:val="P68B1DB1-Normal11"/>
              <w:spacing w:after="120"/>
              <w:rPr>
                <w:noProof/>
              </w:rPr>
            </w:pPr>
            <w:r>
              <w:rPr>
                <w:noProof/>
              </w:rPr>
              <w:t>Izstrādā četrus pētniecības un attīstības darbību virzienus, atsaucoties uz:</w:t>
            </w:r>
          </w:p>
          <w:p w14:paraId="51205EEC" w14:textId="77777777" w:rsidR="00C972CB" w:rsidRDefault="002457F6">
            <w:pPr>
              <w:pStyle w:val="P68B1DB1-Normal11"/>
              <w:spacing w:after="120"/>
              <w:rPr>
                <w:noProof/>
              </w:rPr>
            </w:pPr>
            <w:r>
              <w:rPr>
                <w:noProof/>
              </w:rPr>
              <w:t>zaļ</w:t>
            </w:r>
            <w:r>
              <w:rPr>
                <w:noProof/>
              </w:rPr>
              <w:t>ā un tīrā ūdeņraža ražošana</w:t>
            </w:r>
          </w:p>
          <w:p w14:paraId="61E6685C" w14:textId="77777777" w:rsidR="00C972CB" w:rsidRDefault="002457F6">
            <w:pPr>
              <w:pStyle w:val="P68B1DB1-Normal11"/>
              <w:spacing w:after="120"/>
              <w:rPr>
                <w:noProof/>
              </w:rPr>
            </w:pPr>
            <w:r>
              <w:rPr>
                <w:noProof/>
              </w:rPr>
              <w:t>inovatīvas tehnoloģijas ūdeņraža uzglabāšanai, transportēšanai un pārveidošanai par atvasinājumiem un e-degvielām</w:t>
            </w:r>
          </w:p>
          <w:p w14:paraId="5F3E8F73" w14:textId="77777777" w:rsidR="00C972CB" w:rsidRDefault="002457F6">
            <w:pPr>
              <w:pStyle w:val="P68B1DB1-Normal11"/>
              <w:spacing w:after="120"/>
              <w:rPr>
                <w:noProof/>
              </w:rPr>
            </w:pPr>
            <w:r>
              <w:rPr>
                <w:noProof/>
              </w:rPr>
              <w:t>C)Felšūnas stacionāriem un mobilitātes lietojumiem</w:t>
            </w:r>
          </w:p>
          <w:p w14:paraId="7E121C8B" w14:textId="77777777" w:rsidR="00C972CB" w:rsidRDefault="002457F6">
            <w:pPr>
              <w:pStyle w:val="P68B1DB1-Normal11"/>
              <w:spacing w:after="120"/>
              <w:rPr>
                <w:noProof/>
              </w:rPr>
            </w:pPr>
            <w:r>
              <w:rPr>
                <w:noProof/>
              </w:rPr>
              <w:t>integrētas viedas pārvaldības sistēmas, lai palielinātu inteliģ</w:t>
            </w:r>
            <w:r>
              <w:rPr>
                <w:noProof/>
              </w:rPr>
              <w:t>ento ūdeņraža infrastruktūru noturību un uzticamību</w:t>
            </w:r>
          </w:p>
          <w:p w14:paraId="436F1952" w14:textId="17DE04AC" w:rsidR="00C972CB" w:rsidRDefault="002457F6">
            <w:pPr>
              <w:pStyle w:val="P68B1DB1-Normal11"/>
              <w:rPr>
                <w:noProof/>
              </w:rPr>
            </w:pPr>
            <w:r>
              <w:rPr>
                <w:noProof/>
              </w:rPr>
              <w:t>Šis pasākums atbalsta ūdeņraža ražošanu, kuras pamatā ir elektrolīze, izmantojot atjaunojamos energoresursus, kas definēti Direktīvā (ES) 2018/2001 (atjaunojamo energoresursu direktīva), vai tīkla elektro</w:t>
            </w:r>
            <w:r>
              <w:rPr>
                <w:noProof/>
              </w:rPr>
              <w:t>enerģiju, vai ūdeņraža darbības, kas atbilst prasībai par ūdeņraža aprites cikla SEG emisiju aiztaupījumu 73,4 % apmērā [kā rezultātā aprites cikla SEG emisijas ir mazākas par 3 t CO2e/tH2] un 70 % uz ūdeņradi balstītām sintētiskām degvielām attiecībā pret</w:t>
            </w:r>
            <w:r>
              <w:rPr>
                <w:noProof/>
              </w:rPr>
              <w:t xml:space="preserve"> fosilā kurināmā komparatoru 94 g CO2e/MJ pēc analoģijas ar pieeju, kas izklāstīta Direktīvas (ES) 2018/2001 25. panta 2. punktā un V pielikumā.</w:t>
            </w:r>
          </w:p>
        </w:tc>
      </w:tr>
      <w:tr w:rsidR="00C972CB" w14:paraId="24E4CE3E" w14:textId="77777777">
        <w:trPr>
          <w:trHeight w:val="309"/>
          <w:jc w:val="center"/>
        </w:trPr>
        <w:tc>
          <w:tcPr>
            <w:tcW w:w="1613" w:type="dxa"/>
            <w:shd w:val="clear" w:color="auto" w:fill="C6EFCE"/>
            <w:noWrap/>
            <w:vAlign w:val="center"/>
          </w:tcPr>
          <w:p w14:paraId="05BF0B1F" w14:textId="3C88F07C" w:rsidR="00C972CB" w:rsidRDefault="002457F6">
            <w:pPr>
              <w:pStyle w:val="P68B1DB1-Normal11"/>
              <w:jc w:val="center"/>
              <w:rPr>
                <w:noProof/>
              </w:rPr>
            </w:pPr>
            <w:r>
              <w:rPr>
                <w:noProof/>
              </w:rPr>
              <w:t>M2C2–25</w:t>
            </w:r>
          </w:p>
        </w:tc>
        <w:tc>
          <w:tcPr>
            <w:tcW w:w="1643" w:type="dxa"/>
            <w:shd w:val="clear" w:color="auto" w:fill="C6EFCE"/>
            <w:noWrap/>
            <w:vAlign w:val="center"/>
          </w:tcPr>
          <w:p w14:paraId="0D1A60A8" w14:textId="6C7E9345" w:rsidR="00C972CB" w:rsidRDefault="002457F6">
            <w:pPr>
              <w:pStyle w:val="P68B1DB1-Normal11"/>
              <w:jc w:val="center"/>
              <w:rPr>
                <w:noProof/>
              </w:rPr>
            </w:pPr>
            <w:r>
              <w:rPr>
                <w:noProof/>
              </w:rPr>
              <w:t>Ieguldījums. Ātrās masas transporta sistēmu (metro, ielu automobiļa, BRT) attīstība</w:t>
            </w:r>
          </w:p>
        </w:tc>
        <w:tc>
          <w:tcPr>
            <w:tcW w:w="1559" w:type="dxa"/>
            <w:shd w:val="clear" w:color="auto" w:fill="C6EFCE"/>
            <w:noWrap/>
            <w:vAlign w:val="center"/>
          </w:tcPr>
          <w:p w14:paraId="47FACFF1" w14:textId="4EE4B02E" w:rsidR="00C972CB" w:rsidRDefault="002457F6">
            <w:pPr>
              <w:pStyle w:val="P68B1DB1-Normal11"/>
              <w:jc w:val="center"/>
              <w:rPr>
                <w:noProof/>
              </w:rPr>
            </w:pPr>
            <w:r>
              <w:rPr>
                <w:noProof/>
              </w:rPr>
              <w:t>Starpposma mērķis</w:t>
            </w:r>
          </w:p>
        </w:tc>
        <w:tc>
          <w:tcPr>
            <w:tcW w:w="1559" w:type="dxa"/>
            <w:shd w:val="clear" w:color="auto" w:fill="C6EFCE"/>
            <w:noWrap/>
            <w:vAlign w:val="center"/>
          </w:tcPr>
          <w:p w14:paraId="7C083241" w14:textId="3647C721" w:rsidR="00C972CB" w:rsidRDefault="002457F6">
            <w:pPr>
              <w:pStyle w:val="P68B1DB1-Normal19"/>
              <w:jc w:val="center"/>
              <w:rPr>
                <w:noProof/>
                <w:color w:val="006100"/>
              </w:rPr>
            </w:pPr>
            <w:r>
              <w:rPr>
                <w:noProof/>
                <w:color w:val="006100"/>
              </w:rPr>
              <w:t>Visu publiskā iepirkuma līgumu slēgšanas tiesību piešķiršanapar bezemisiju ritošā sastāva iegādi un ātrās masas transporta sistēmu infrastruktūras modernizācijas intervences pasākumi</w:t>
            </w:r>
          </w:p>
        </w:tc>
        <w:tc>
          <w:tcPr>
            <w:tcW w:w="1843" w:type="dxa"/>
            <w:shd w:val="clear" w:color="auto" w:fill="C6EFCE"/>
            <w:noWrap/>
            <w:vAlign w:val="center"/>
          </w:tcPr>
          <w:p w14:paraId="617CE26B" w14:textId="7AAEFE79" w:rsidR="00C972CB" w:rsidRDefault="002457F6">
            <w:pPr>
              <w:pStyle w:val="P68B1DB1-Normal11"/>
              <w:jc w:val="center"/>
              <w:rPr>
                <w:noProof/>
              </w:rPr>
            </w:pPr>
            <w:r>
              <w:rPr>
                <w:noProof/>
              </w:rPr>
              <w:t>Paziņojums par visu publiskā iepirkuma līgumu slēgšanas tiesību piešķirša</w:t>
            </w:r>
            <w:r>
              <w:rPr>
                <w:noProof/>
              </w:rPr>
              <w:t xml:space="preserve">nu </w:t>
            </w:r>
          </w:p>
        </w:tc>
        <w:tc>
          <w:tcPr>
            <w:tcW w:w="1417" w:type="dxa"/>
            <w:shd w:val="clear" w:color="auto" w:fill="C6EFCE"/>
            <w:noWrap/>
            <w:vAlign w:val="center"/>
          </w:tcPr>
          <w:p w14:paraId="0F0717FD" w14:textId="26655EB8" w:rsidR="00C972CB" w:rsidRDefault="002457F6">
            <w:pPr>
              <w:pStyle w:val="P68B1DB1-Normal11"/>
              <w:jc w:val="center"/>
              <w:rPr>
                <w:noProof/>
              </w:rPr>
            </w:pPr>
            <w:r>
              <w:rPr>
                <w:noProof/>
              </w:rPr>
              <w:t>NEPIEMĒRO</w:t>
            </w:r>
          </w:p>
        </w:tc>
        <w:tc>
          <w:tcPr>
            <w:tcW w:w="1134" w:type="dxa"/>
            <w:shd w:val="clear" w:color="auto" w:fill="C6EFCE"/>
            <w:noWrap/>
            <w:vAlign w:val="center"/>
          </w:tcPr>
          <w:p w14:paraId="1E2FF4B8" w14:textId="19EF8EF0" w:rsidR="00C972CB" w:rsidRDefault="002457F6">
            <w:pPr>
              <w:pStyle w:val="P68B1DB1-Normal11"/>
              <w:jc w:val="center"/>
              <w:rPr>
                <w:noProof/>
              </w:rPr>
            </w:pPr>
            <w:r>
              <w:rPr>
                <w:noProof/>
              </w:rPr>
              <w:t>NEPIEMĒRO</w:t>
            </w:r>
          </w:p>
        </w:tc>
        <w:tc>
          <w:tcPr>
            <w:tcW w:w="946" w:type="dxa"/>
            <w:shd w:val="clear" w:color="auto" w:fill="C6EFCE"/>
            <w:noWrap/>
            <w:vAlign w:val="center"/>
          </w:tcPr>
          <w:p w14:paraId="30CBE5FA" w14:textId="164B5BB7" w:rsidR="00C972CB" w:rsidRDefault="002457F6">
            <w:pPr>
              <w:pStyle w:val="P68B1DB1-Normal11"/>
              <w:jc w:val="center"/>
              <w:rPr>
                <w:noProof/>
              </w:rPr>
            </w:pPr>
            <w:r>
              <w:rPr>
                <w:noProof/>
              </w:rPr>
              <w:t>NEPIEMĒRO</w:t>
            </w:r>
          </w:p>
        </w:tc>
        <w:tc>
          <w:tcPr>
            <w:tcW w:w="992" w:type="dxa"/>
            <w:shd w:val="clear" w:color="auto" w:fill="C6EFCE"/>
            <w:noWrap/>
            <w:vAlign w:val="center"/>
          </w:tcPr>
          <w:p w14:paraId="194264F7" w14:textId="640A3CBE" w:rsidR="00C972CB" w:rsidRDefault="002457F6">
            <w:pPr>
              <w:pStyle w:val="P68B1DB1-Normal11"/>
              <w:jc w:val="center"/>
              <w:rPr>
                <w:noProof/>
              </w:rPr>
            </w:pPr>
            <w:r>
              <w:rPr>
                <w:noProof/>
              </w:rPr>
              <w:t>3. CET.</w:t>
            </w:r>
          </w:p>
        </w:tc>
        <w:tc>
          <w:tcPr>
            <w:tcW w:w="756" w:type="dxa"/>
            <w:shd w:val="clear" w:color="auto" w:fill="C6EFCE"/>
            <w:noWrap/>
            <w:vAlign w:val="center"/>
          </w:tcPr>
          <w:p w14:paraId="2328139A" w14:textId="77C926E0" w:rsidR="00C972CB" w:rsidRDefault="002457F6">
            <w:pPr>
              <w:pStyle w:val="P68B1DB1-Normal11"/>
              <w:jc w:val="center"/>
              <w:rPr>
                <w:noProof/>
              </w:rPr>
            </w:pPr>
            <w:r>
              <w:rPr>
                <w:noProof/>
              </w:rPr>
              <w:t>2024</w:t>
            </w:r>
          </w:p>
        </w:tc>
        <w:tc>
          <w:tcPr>
            <w:tcW w:w="2793" w:type="dxa"/>
            <w:shd w:val="clear" w:color="auto" w:fill="C6EFCE"/>
            <w:noWrap/>
            <w:vAlign w:val="center"/>
          </w:tcPr>
          <w:p w14:paraId="5384B371" w14:textId="7AE5681E" w:rsidR="00C972CB" w:rsidRDefault="002457F6">
            <w:pPr>
              <w:pStyle w:val="P68B1DB1-Normal19"/>
              <w:rPr>
                <w:noProof/>
              </w:rPr>
            </w:pPr>
            <w:r>
              <w:rPr>
                <w:noProof/>
                <w:color w:val="006100"/>
              </w:rPr>
              <w:t>Paziņojums par visu publiskā iepirkuma līgumu slēgšanas tiesību piešķiršanuvismaz 85 ritošā sastāva vienību iegādei un vismaz 5 intervences pasākumiem ātrdarbīgas masas transporta sistēmu infrastruktūras moder</w:t>
            </w:r>
            <w:r>
              <w:rPr>
                <w:noProof/>
                <w:color w:val="006100"/>
              </w:rPr>
              <w:t>nizācijai, kā noteikts pasākuma aprakstā.</w:t>
            </w:r>
          </w:p>
        </w:tc>
      </w:tr>
      <w:tr w:rsidR="00C972CB" w14:paraId="5BACA9E8" w14:textId="77777777">
        <w:trPr>
          <w:trHeight w:val="309"/>
          <w:jc w:val="center"/>
        </w:trPr>
        <w:tc>
          <w:tcPr>
            <w:tcW w:w="1613" w:type="dxa"/>
            <w:shd w:val="clear" w:color="auto" w:fill="C6EFCE"/>
            <w:noWrap/>
            <w:vAlign w:val="center"/>
          </w:tcPr>
          <w:p w14:paraId="11FF148F" w14:textId="4DD833C5" w:rsidR="00C972CB" w:rsidRDefault="002457F6">
            <w:pPr>
              <w:pStyle w:val="P68B1DB1-Normal11"/>
              <w:jc w:val="center"/>
              <w:rPr>
                <w:noProof/>
              </w:rPr>
            </w:pPr>
            <w:r>
              <w:rPr>
                <w:noProof/>
              </w:rPr>
              <w:t>M2C2–25bis</w:t>
            </w:r>
          </w:p>
        </w:tc>
        <w:tc>
          <w:tcPr>
            <w:tcW w:w="1643" w:type="dxa"/>
            <w:shd w:val="clear" w:color="auto" w:fill="C6EFCE"/>
            <w:noWrap/>
            <w:vAlign w:val="center"/>
          </w:tcPr>
          <w:p w14:paraId="01C47145" w14:textId="7A46E38E" w:rsidR="00C972CB" w:rsidRDefault="002457F6">
            <w:pPr>
              <w:pStyle w:val="P68B1DB1-Normal11"/>
              <w:jc w:val="center"/>
              <w:rPr>
                <w:noProof/>
              </w:rPr>
            </w:pPr>
            <w:r>
              <w:rPr>
                <w:noProof/>
              </w:rPr>
              <w:t>Ieguldījums. Ātrās masas transporta sistēmu (metro, ielu automobiļa, BRT) attīstība</w:t>
            </w:r>
          </w:p>
        </w:tc>
        <w:tc>
          <w:tcPr>
            <w:tcW w:w="1559" w:type="dxa"/>
            <w:shd w:val="clear" w:color="auto" w:fill="C6EFCE"/>
            <w:noWrap/>
            <w:vAlign w:val="center"/>
          </w:tcPr>
          <w:p w14:paraId="683A03D5" w14:textId="0C94BA5F" w:rsidR="00C972CB" w:rsidRDefault="002457F6">
            <w:pPr>
              <w:pStyle w:val="P68B1DB1-Normal11"/>
              <w:jc w:val="center"/>
              <w:rPr>
                <w:noProof/>
              </w:rPr>
            </w:pPr>
            <w:r>
              <w:rPr>
                <w:noProof/>
              </w:rPr>
              <w:t>Mērķa</w:t>
            </w:r>
          </w:p>
        </w:tc>
        <w:tc>
          <w:tcPr>
            <w:tcW w:w="1559" w:type="dxa"/>
            <w:shd w:val="clear" w:color="auto" w:fill="C6EFCE"/>
            <w:noWrap/>
            <w:vAlign w:val="center"/>
          </w:tcPr>
          <w:p w14:paraId="14B20330" w14:textId="40BE84AF" w:rsidR="00C972CB" w:rsidRDefault="002457F6">
            <w:pPr>
              <w:pStyle w:val="P68B1DB1-Normal11"/>
              <w:jc w:val="center"/>
              <w:rPr>
                <w:noProof/>
              </w:rPr>
            </w:pPr>
            <w:r>
              <w:rPr>
                <w:noProof/>
              </w:rPr>
              <w:t>Vismaz 5 intervences ātrdarbīgu masu transporta sistēmu infrastruktūras modernizācijai</w:t>
            </w:r>
          </w:p>
        </w:tc>
        <w:tc>
          <w:tcPr>
            <w:tcW w:w="1843" w:type="dxa"/>
            <w:shd w:val="clear" w:color="auto" w:fill="C6EFCE"/>
            <w:noWrap/>
            <w:vAlign w:val="center"/>
          </w:tcPr>
          <w:p w14:paraId="0C30F5C6" w14:textId="77777777" w:rsidR="00C972CB" w:rsidRDefault="00C972CB">
            <w:pPr>
              <w:jc w:val="center"/>
              <w:rPr>
                <w:rFonts w:ascii="Arial Narrow" w:hAnsi="Arial Narrow"/>
                <w:noProof/>
                <w:color w:val="006100"/>
                <w:sz w:val="20"/>
              </w:rPr>
            </w:pPr>
          </w:p>
        </w:tc>
        <w:tc>
          <w:tcPr>
            <w:tcW w:w="1417" w:type="dxa"/>
            <w:shd w:val="clear" w:color="auto" w:fill="C6EFCE"/>
            <w:noWrap/>
            <w:vAlign w:val="center"/>
          </w:tcPr>
          <w:p w14:paraId="4D515C49" w14:textId="67F513ED" w:rsidR="00C972CB" w:rsidRDefault="002457F6">
            <w:pPr>
              <w:pStyle w:val="P68B1DB1-Normal11"/>
              <w:jc w:val="center"/>
              <w:rPr>
                <w:noProof/>
              </w:rPr>
            </w:pPr>
            <w:r>
              <w:rPr>
                <w:noProof/>
              </w:rPr>
              <w:t>Skaits</w:t>
            </w:r>
          </w:p>
        </w:tc>
        <w:tc>
          <w:tcPr>
            <w:tcW w:w="1134" w:type="dxa"/>
            <w:shd w:val="clear" w:color="auto" w:fill="C6EFCE"/>
            <w:noWrap/>
            <w:vAlign w:val="center"/>
          </w:tcPr>
          <w:p w14:paraId="454E2E91" w14:textId="400A4995" w:rsidR="00C972CB" w:rsidRDefault="002457F6">
            <w:pPr>
              <w:pStyle w:val="P68B1DB1-Normal11"/>
              <w:jc w:val="center"/>
              <w:rPr>
                <w:noProof/>
              </w:rPr>
            </w:pPr>
            <w:r>
              <w:rPr>
                <w:noProof/>
              </w:rPr>
              <w:t>0</w:t>
            </w:r>
          </w:p>
        </w:tc>
        <w:tc>
          <w:tcPr>
            <w:tcW w:w="946" w:type="dxa"/>
            <w:shd w:val="clear" w:color="auto" w:fill="C6EFCE"/>
            <w:noWrap/>
            <w:vAlign w:val="center"/>
          </w:tcPr>
          <w:p w14:paraId="635D468B" w14:textId="65B5B4D7" w:rsidR="00C972CB" w:rsidRDefault="002457F6">
            <w:pPr>
              <w:pStyle w:val="P68B1DB1-Normal11"/>
              <w:jc w:val="center"/>
              <w:rPr>
                <w:noProof/>
              </w:rPr>
            </w:pPr>
            <w:r>
              <w:rPr>
                <w:noProof/>
              </w:rPr>
              <w:t>5</w:t>
            </w:r>
          </w:p>
        </w:tc>
        <w:tc>
          <w:tcPr>
            <w:tcW w:w="992" w:type="dxa"/>
            <w:shd w:val="clear" w:color="auto" w:fill="C6EFCE"/>
            <w:noWrap/>
            <w:vAlign w:val="center"/>
          </w:tcPr>
          <w:p w14:paraId="0C68227C" w14:textId="06E78289" w:rsidR="00C972CB" w:rsidRDefault="002457F6">
            <w:pPr>
              <w:pStyle w:val="P68B1DB1-Normal11"/>
              <w:jc w:val="center"/>
              <w:rPr>
                <w:noProof/>
              </w:rPr>
            </w:pPr>
            <w:r>
              <w:rPr>
                <w:noProof/>
              </w:rPr>
              <w:t>2. CET.</w:t>
            </w:r>
          </w:p>
        </w:tc>
        <w:tc>
          <w:tcPr>
            <w:tcW w:w="756" w:type="dxa"/>
            <w:shd w:val="clear" w:color="auto" w:fill="C6EFCE"/>
            <w:noWrap/>
            <w:vAlign w:val="center"/>
          </w:tcPr>
          <w:p w14:paraId="11FF9650" w14:textId="7A8780DB" w:rsidR="00C972CB" w:rsidRDefault="002457F6">
            <w:pPr>
              <w:pStyle w:val="P68B1DB1-Normal11"/>
              <w:jc w:val="center"/>
              <w:rPr>
                <w:noProof/>
              </w:rPr>
            </w:pPr>
            <w:r>
              <w:rPr>
                <w:noProof/>
              </w:rPr>
              <w:t>2026</w:t>
            </w:r>
          </w:p>
        </w:tc>
        <w:tc>
          <w:tcPr>
            <w:tcW w:w="2793" w:type="dxa"/>
            <w:shd w:val="clear" w:color="auto" w:fill="C6EFCE"/>
            <w:noWrap/>
            <w:vAlign w:val="center"/>
          </w:tcPr>
          <w:p w14:paraId="3B674F83" w14:textId="77777777" w:rsidR="00C972CB" w:rsidRDefault="002457F6">
            <w:pPr>
              <w:pStyle w:val="P68B1DB1-Normal11"/>
              <w:spacing w:after="120"/>
              <w:rPr>
                <w:noProof/>
              </w:rPr>
            </w:pPr>
            <w:r>
              <w:rPr>
                <w:noProof/>
              </w:rPr>
              <w:t>Pabeigt vismaz 5 ātrās masas transporta sistēmu infrastruktūras modernizācijas pasākumus (kā noteikts pasākuma aprakstā).</w:t>
            </w:r>
          </w:p>
          <w:p w14:paraId="1536356F" w14:textId="05623B78" w:rsidR="00C972CB" w:rsidRDefault="002457F6">
            <w:pPr>
              <w:pStyle w:val="P68B1DB1-Normal11"/>
              <w:rPr>
                <w:noProof/>
              </w:rPr>
            </w:pPr>
            <w:r>
              <w:rPr>
                <w:noProof/>
              </w:rPr>
              <w:t>Pēc darbu pabeigšanas attiecīgā infrastruktūra ir ekspluatācijā vai pieejama (atkarībā no infrastruktūras veida).</w:t>
            </w:r>
          </w:p>
        </w:tc>
      </w:tr>
      <w:tr w:rsidR="00C972CB" w14:paraId="32DA3167" w14:textId="77777777">
        <w:trPr>
          <w:trHeight w:val="309"/>
          <w:jc w:val="center"/>
        </w:trPr>
        <w:tc>
          <w:tcPr>
            <w:tcW w:w="1613" w:type="dxa"/>
            <w:shd w:val="clear" w:color="auto" w:fill="C6EFCE"/>
            <w:noWrap/>
            <w:vAlign w:val="center"/>
          </w:tcPr>
          <w:p w14:paraId="13C259FA" w14:textId="24902D22" w:rsidR="00C972CB" w:rsidRDefault="002457F6">
            <w:pPr>
              <w:pStyle w:val="P68B1DB1-Normal11"/>
              <w:jc w:val="center"/>
              <w:rPr>
                <w:noProof/>
              </w:rPr>
            </w:pPr>
            <w:r>
              <w:rPr>
                <w:noProof/>
              </w:rPr>
              <w:t>M2C2–25ter</w:t>
            </w:r>
          </w:p>
        </w:tc>
        <w:tc>
          <w:tcPr>
            <w:tcW w:w="1643" w:type="dxa"/>
            <w:shd w:val="clear" w:color="auto" w:fill="C6EFCE"/>
            <w:noWrap/>
            <w:vAlign w:val="center"/>
          </w:tcPr>
          <w:p w14:paraId="220293E7" w14:textId="4A203037" w:rsidR="00C972CB" w:rsidRDefault="002457F6">
            <w:pPr>
              <w:pStyle w:val="P68B1DB1-Normal11"/>
              <w:jc w:val="center"/>
              <w:rPr>
                <w:noProof/>
              </w:rPr>
            </w:pPr>
            <w:r>
              <w:rPr>
                <w:noProof/>
              </w:rPr>
              <w:t>Ieguldījums. Ātrās masas transporta sistēmu (metro, ielu automobiļa, BRT) attīstība</w:t>
            </w:r>
          </w:p>
        </w:tc>
        <w:tc>
          <w:tcPr>
            <w:tcW w:w="1559" w:type="dxa"/>
            <w:shd w:val="clear" w:color="auto" w:fill="C6EFCE"/>
            <w:noWrap/>
            <w:vAlign w:val="center"/>
          </w:tcPr>
          <w:p w14:paraId="57F0D4B7" w14:textId="4FE69707" w:rsidR="00C972CB" w:rsidRDefault="002457F6">
            <w:pPr>
              <w:pStyle w:val="P68B1DB1-Normal11"/>
              <w:jc w:val="center"/>
              <w:rPr>
                <w:noProof/>
              </w:rPr>
            </w:pPr>
            <w:r>
              <w:rPr>
                <w:noProof/>
              </w:rPr>
              <w:t>Mērķa</w:t>
            </w:r>
          </w:p>
        </w:tc>
        <w:tc>
          <w:tcPr>
            <w:tcW w:w="1559" w:type="dxa"/>
            <w:shd w:val="clear" w:color="auto" w:fill="C6EFCE"/>
            <w:noWrap/>
            <w:vAlign w:val="center"/>
          </w:tcPr>
          <w:p w14:paraId="4D1D5B7A" w14:textId="5C3CDAB5" w:rsidR="00C972CB" w:rsidRDefault="002457F6">
            <w:pPr>
              <w:pStyle w:val="P68B1DB1-Normal11"/>
              <w:jc w:val="center"/>
              <w:rPr>
                <w:noProof/>
              </w:rPr>
            </w:pPr>
            <w:r>
              <w:rPr>
                <w:noProof/>
              </w:rPr>
              <w:t>Vismaz 85 ritošā sastāva vienību iegāde ātrai pārvadāšanai</w:t>
            </w:r>
          </w:p>
        </w:tc>
        <w:tc>
          <w:tcPr>
            <w:tcW w:w="1843" w:type="dxa"/>
            <w:shd w:val="clear" w:color="auto" w:fill="C6EFCE"/>
            <w:noWrap/>
            <w:vAlign w:val="center"/>
          </w:tcPr>
          <w:p w14:paraId="7A4B3FD8" w14:textId="77777777" w:rsidR="00C972CB" w:rsidRDefault="00C972CB">
            <w:pPr>
              <w:jc w:val="center"/>
              <w:rPr>
                <w:rFonts w:ascii="Arial Narrow" w:hAnsi="Arial Narrow"/>
                <w:noProof/>
                <w:color w:val="006100"/>
                <w:sz w:val="20"/>
              </w:rPr>
            </w:pPr>
          </w:p>
        </w:tc>
        <w:tc>
          <w:tcPr>
            <w:tcW w:w="1417" w:type="dxa"/>
            <w:shd w:val="clear" w:color="auto" w:fill="C6EFCE"/>
            <w:noWrap/>
            <w:vAlign w:val="center"/>
          </w:tcPr>
          <w:p w14:paraId="33DD2A38" w14:textId="259F3290" w:rsidR="00C972CB" w:rsidRDefault="002457F6">
            <w:pPr>
              <w:pStyle w:val="P68B1DB1-Normal11"/>
              <w:jc w:val="center"/>
              <w:rPr>
                <w:noProof/>
              </w:rPr>
            </w:pPr>
            <w:r>
              <w:rPr>
                <w:noProof/>
              </w:rPr>
              <w:t>Skaits</w:t>
            </w:r>
          </w:p>
        </w:tc>
        <w:tc>
          <w:tcPr>
            <w:tcW w:w="1134" w:type="dxa"/>
            <w:shd w:val="clear" w:color="auto" w:fill="C6EFCE"/>
            <w:noWrap/>
            <w:vAlign w:val="center"/>
          </w:tcPr>
          <w:p w14:paraId="46A97DC9" w14:textId="67638BDC" w:rsidR="00C972CB" w:rsidRDefault="002457F6">
            <w:pPr>
              <w:pStyle w:val="P68B1DB1-Normal11"/>
              <w:jc w:val="center"/>
              <w:rPr>
                <w:noProof/>
              </w:rPr>
            </w:pPr>
            <w:r>
              <w:rPr>
                <w:noProof/>
              </w:rPr>
              <w:t>0</w:t>
            </w:r>
          </w:p>
        </w:tc>
        <w:tc>
          <w:tcPr>
            <w:tcW w:w="946" w:type="dxa"/>
            <w:shd w:val="clear" w:color="auto" w:fill="C6EFCE"/>
            <w:noWrap/>
            <w:vAlign w:val="center"/>
          </w:tcPr>
          <w:p w14:paraId="6F4B60E2" w14:textId="70F9770C" w:rsidR="00C972CB" w:rsidRDefault="002457F6">
            <w:pPr>
              <w:pStyle w:val="P68B1DB1-Normal11"/>
              <w:jc w:val="center"/>
              <w:rPr>
                <w:noProof/>
              </w:rPr>
            </w:pPr>
            <w:r>
              <w:rPr>
                <w:noProof/>
              </w:rPr>
              <w:t>85</w:t>
            </w:r>
          </w:p>
        </w:tc>
        <w:tc>
          <w:tcPr>
            <w:tcW w:w="992" w:type="dxa"/>
            <w:shd w:val="clear" w:color="auto" w:fill="C6EFCE"/>
            <w:noWrap/>
            <w:vAlign w:val="center"/>
          </w:tcPr>
          <w:p w14:paraId="39D0A847" w14:textId="2D58F86D" w:rsidR="00C972CB" w:rsidRDefault="002457F6">
            <w:pPr>
              <w:pStyle w:val="P68B1DB1-Normal11"/>
              <w:jc w:val="center"/>
              <w:rPr>
                <w:noProof/>
              </w:rPr>
            </w:pPr>
            <w:r>
              <w:rPr>
                <w:noProof/>
              </w:rPr>
              <w:t>2. CET.</w:t>
            </w:r>
          </w:p>
        </w:tc>
        <w:tc>
          <w:tcPr>
            <w:tcW w:w="756" w:type="dxa"/>
            <w:shd w:val="clear" w:color="auto" w:fill="C6EFCE"/>
            <w:noWrap/>
            <w:vAlign w:val="center"/>
          </w:tcPr>
          <w:p w14:paraId="14D46E1C" w14:textId="493F4B2F" w:rsidR="00C972CB" w:rsidRDefault="002457F6">
            <w:pPr>
              <w:pStyle w:val="P68B1DB1-Normal11"/>
              <w:jc w:val="center"/>
              <w:rPr>
                <w:noProof/>
              </w:rPr>
            </w:pPr>
            <w:r>
              <w:rPr>
                <w:noProof/>
              </w:rPr>
              <w:t>2026</w:t>
            </w:r>
          </w:p>
        </w:tc>
        <w:tc>
          <w:tcPr>
            <w:tcW w:w="2793" w:type="dxa"/>
            <w:shd w:val="clear" w:color="auto" w:fill="C6EFCE"/>
            <w:noWrap/>
            <w:vAlign w:val="center"/>
          </w:tcPr>
          <w:p w14:paraId="3490D222" w14:textId="1C341EE5" w:rsidR="00C972CB" w:rsidRDefault="002457F6">
            <w:pPr>
              <w:pStyle w:val="P68B1DB1-Normal11"/>
              <w:rPr>
                <w:noProof/>
              </w:rPr>
            </w:pPr>
            <w:r>
              <w:rPr>
                <w:noProof/>
              </w:rPr>
              <w:t xml:space="preserve">Vismaz 85 bezemisiju ritošā sastāva vienību iegāde ātram transportam lielpilsētu </w:t>
            </w:r>
            <w:r>
              <w:rPr>
                <w:noProof/>
              </w:rPr>
              <w:t>teritorijās, kā noteikts pasākuma aprakstā.</w:t>
            </w:r>
          </w:p>
        </w:tc>
      </w:tr>
      <w:tr w:rsidR="00C972CB" w14:paraId="556DF3EA" w14:textId="77777777">
        <w:trPr>
          <w:trHeight w:val="309"/>
          <w:jc w:val="center"/>
        </w:trPr>
        <w:tc>
          <w:tcPr>
            <w:tcW w:w="1613" w:type="dxa"/>
            <w:shd w:val="clear" w:color="auto" w:fill="C6EFCE"/>
            <w:noWrap/>
            <w:vAlign w:val="center"/>
          </w:tcPr>
          <w:p w14:paraId="039F680F" w14:textId="16920259" w:rsidR="00C972CB" w:rsidRDefault="002457F6">
            <w:pPr>
              <w:pStyle w:val="P68B1DB1-Normal11"/>
              <w:jc w:val="center"/>
              <w:rPr>
                <w:noProof/>
              </w:rPr>
            </w:pPr>
            <w:r>
              <w:rPr>
                <w:noProof/>
              </w:rPr>
              <w:t>M2C2–26</w:t>
            </w:r>
          </w:p>
        </w:tc>
        <w:tc>
          <w:tcPr>
            <w:tcW w:w="1643" w:type="dxa"/>
            <w:shd w:val="clear" w:color="auto" w:fill="C6EFCE"/>
            <w:noWrap/>
            <w:vAlign w:val="center"/>
          </w:tcPr>
          <w:p w14:paraId="1567AD24" w14:textId="7A70CAEC" w:rsidR="00C972CB" w:rsidRDefault="002457F6">
            <w:pPr>
              <w:pStyle w:val="P68B1DB1-Normal11"/>
              <w:jc w:val="center"/>
              <w:rPr>
                <w:noProof/>
              </w:rPr>
            </w:pPr>
            <w:r>
              <w:rPr>
                <w:noProof/>
              </w:rPr>
              <w:t>Ieguldījums. Ātrās masas transporta sistēmu attīstība (metro, ielu automobiļi, autobusa ātrais tranzīts)</w:t>
            </w:r>
          </w:p>
        </w:tc>
        <w:tc>
          <w:tcPr>
            <w:tcW w:w="1559" w:type="dxa"/>
            <w:shd w:val="clear" w:color="auto" w:fill="C6EFCE"/>
            <w:noWrap/>
            <w:vAlign w:val="center"/>
          </w:tcPr>
          <w:p w14:paraId="4569FF91" w14:textId="5425C196" w:rsidR="00C972CB" w:rsidRDefault="002457F6">
            <w:pPr>
              <w:pStyle w:val="P68B1DB1-Normal11"/>
              <w:jc w:val="center"/>
              <w:rPr>
                <w:noProof/>
              </w:rPr>
            </w:pPr>
            <w:r>
              <w:rPr>
                <w:noProof/>
              </w:rPr>
              <w:t>Mērķa</w:t>
            </w:r>
          </w:p>
        </w:tc>
        <w:tc>
          <w:tcPr>
            <w:tcW w:w="1559" w:type="dxa"/>
            <w:shd w:val="clear" w:color="auto" w:fill="C6EFCE"/>
            <w:noWrap/>
            <w:vAlign w:val="center"/>
          </w:tcPr>
          <w:p w14:paraId="0E7E2E14" w14:textId="47806917" w:rsidR="00C972CB" w:rsidRDefault="002457F6">
            <w:pPr>
              <w:pStyle w:val="P68B1DB1-Normal11"/>
              <w:jc w:val="center"/>
              <w:rPr>
                <w:noProof/>
              </w:rPr>
            </w:pPr>
            <w:r>
              <w:rPr>
                <w:noProof/>
              </w:rPr>
              <w:t>Sabiedriskā transporta infrastruktūras km skaits</w:t>
            </w:r>
          </w:p>
        </w:tc>
        <w:tc>
          <w:tcPr>
            <w:tcW w:w="1843" w:type="dxa"/>
            <w:shd w:val="clear" w:color="auto" w:fill="C6EFCE"/>
            <w:noWrap/>
            <w:vAlign w:val="center"/>
          </w:tcPr>
          <w:p w14:paraId="19BA64EC" w14:textId="244C69C7" w:rsidR="00C972CB" w:rsidRDefault="002457F6">
            <w:pPr>
              <w:pStyle w:val="P68B1DB1-Normal11"/>
              <w:jc w:val="center"/>
              <w:rPr>
                <w:noProof/>
              </w:rPr>
            </w:pPr>
            <w:r>
              <w:rPr>
                <w:noProof/>
              </w:rPr>
              <w:t>NEPIEMĒRO</w:t>
            </w:r>
          </w:p>
        </w:tc>
        <w:tc>
          <w:tcPr>
            <w:tcW w:w="1417" w:type="dxa"/>
            <w:shd w:val="clear" w:color="auto" w:fill="C6EFCE"/>
            <w:noWrap/>
            <w:vAlign w:val="center"/>
          </w:tcPr>
          <w:p w14:paraId="1EBE794B" w14:textId="2282C9A4" w:rsidR="00C972CB" w:rsidRDefault="002457F6">
            <w:pPr>
              <w:pStyle w:val="P68B1DB1-Normal11"/>
              <w:jc w:val="center"/>
              <w:rPr>
                <w:noProof/>
              </w:rPr>
            </w:pPr>
            <w:r>
              <w:rPr>
                <w:noProof/>
              </w:rPr>
              <w:t>km</w:t>
            </w:r>
          </w:p>
        </w:tc>
        <w:tc>
          <w:tcPr>
            <w:tcW w:w="1134" w:type="dxa"/>
            <w:shd w:val="clear" w:color="auto" w:fill="C6EFCE"/>
            <w:noWrap/>
            <w:vAlign w:val="center"/>
          </w:tcPr>
          <w:p w14:paraId="0C3FF7A2" w14:textId="0E7E63F6" w:rsidR="00C972CB" w:rsidRDefault="002457F6">
            <w:pPr>
              <w:pStyle w:val="P68B1DB1-Normal11"/>
              <w:jc w:val="center"/>
              <w:rPr>
                <w:noProof/>
              </w:rPr>
            </w:pPr>
            <w:r>
              <w:rPr>
                <w:noProof/>
              </w:rPr>
              <w:t>0</w:t>
            </w:r>
          </w:p>
        </w:tc>
        <w:tc>
          <w:tcPr>
            <w:tcW w:w="946" w:type="dxa"/>
            <w:shd w:val="clear" w:color="auto" w:fill="C6EFCE"/>
            <w:noWrap/>
            <w:vAlign w:val="center"/>
          </w:tcPr>
          <w:p w14:paraId="0D0BBCF9" w14:textId="21CD7D81" w:rsidR="00C972CB" w:rsidRDefault="002457F6">
            <w:pPr>
              <w:pStyle w:val="P68B1DB1-Normal11"/>
              <w:jc w:val="center"/>
              <w:rPr>
                <w:noProof/>
              </w:rPr>
            </w:pPr>
            <w:r>
              <w:rPr>
                <w:noProof/>
              </w:rPr>
              <w:t>231</w:t>
            </w:r>
          </w:p>
        </w:tc>
        <w:tc>
          <w:tcPr>
            <w:tcW w:w="992" w:type="dxa"/>
            <w:shd w:val="clear" w:color="auto" w:fill="C6EFCE"/>
            <w:noWrap/>
            <w:vAlign w:val="center"/>
          </w:tcPr>
          <w:p w14:paraId="165D5C00" w14:textId="63548CFC" w:rsidR="00C972CB" w:rsidRDefault="002457F6">
            <w:pPr>
              <w:pStyle w:val="P68B1DB1-Normal11"/>
              <w:jc w:val="center"/>
              <w:rPr>
                <w:noProof/>
              </w:rPr>
            </w:pPr>
            <w:r>
              <w:rPr>
                <w:noProof/>
              </w:rPr>
              <w:t>2. CET.</w:t>
            </w:r>
          </w:p>
        </w:tc>
        <w:tc>
          <w:tcPr>
            <w:tcW w:w="756" w:type="dxa"/>
            <w:shd w:val="clear" w:color="auto" w:fill="C6EFCE"/>
            <w:noWrap/>
            <w:vAlign w:val="center"/>
          </w:tcPr>
          <w:p w14:paraId="169F20AD" w14:textId="3DB1988E" w:rsidR="00C972CB" w:rsidRDefault="002457F6">
            <w:pPr>
              <w:pStyle w:val="P68B1DB1-Normal11"/>
              <w:jc w:val="center"/>
              <w:rPr>
                <w:noProof/>
              </w:rPr>
            </w:pPr>
            <w:r>
              <w:rPr>
                <w:noProof/>
              </w:rPr>
              <w:t>2026</w:t>
            </w:r>
          </w:p>
        </w:tc>
        <w:tc>
          <w:tcPr>
            <w:tcW w:w="2793" w:type="dxa"/>
            <w:shd w:val="clear" w:color="auto" w:fill="C6EFCE"/>
            <w:noWrap/>
            <w:vAlign w:val="center"/>
          </w:tcPr>
          <w:p w14:paraId="71B55AEC" w14:textId="613666D6" w:rsidR="00C972CB" w:rsidRDefault="002457F6">
            <w:pPr>
              <w:pStyle w:val="P68B1DB1-Normal11"/>
              <w:rPr>
                <w:noProof/>
              </w:rPr>
            </w:pPr>
            <w:r>
              <w:rPr>
                <w:noProof/>
              </w:rPr>
              <w:t xml:space="preserve">Būvē vismaz 231 km sabiedriskā transporta infrastruktūru funkcionālās pilsētu teritorijās, kā noteikts pasākuma aprakstā. </w:t>
            </w:r>
          </w:p>
        </w:tc>
      </w:tr>
      <w:tr w:rsidR="00C972CB" w14:paraId="36490252" w14:textId="77777777">
        <w:trPr>
          <w:trHeight w:val="309"/>
          <w:jc w:val="center"/>
        </w:trPr>
        <w:tc>
          <w:tcPr>
            <w:tcW w:w="1613" w:type="dxa"/>
            <w:shd w:val="clear" w:color="auto" w:fill="C6EFCE"/>
            <w:noWrap/>
            <w:vAlign w:val="center"/>
          </w:tcPr>
          <w:p w14:paraId="5215CD32" w14:textId="3A4C3C64" w:rsidR="00C972CB" w:rsidRDefault="002457F6">
            <w:pPr>
              <w:pStyle w:val="P68B1DB1-Normal11"/>
              <w:jc w:val="center"/>
              <w:rPr>
                <w:noProof/>
              </w:rPr>
            </w:pPr>
            <w:r>
              <w:rPr>
                <w:noProof/>
              </w:rPr>
              <w:t>M2C2–31</w:t>
            </w:r>
          </w:p>
        </w:tc>
        <w:tc>
          <w:tcPr>
            <w:tcW w:w="1643" w:type="dxa"/>
            <w:shd w:val="clear" w:color="auto" w:fill="C6EFCE"/>
            <w:noWrap/>
            <w:vAlign w:val="center"/>
          </w:tcPr>
          <w:p w14:paraId="296DE649" w14:textId="19B59E46" w:rsidR="00C972CB" w:rsidRDefault="002457F6">
            <w:pPr>
              <w:pStyle w:val="P68B1DB1-Normal11"/>
              <w:jc w:val="center"/>
              <w:rPr>
                <w:noProof/>
              </w:rPr>
            </w:pPr>
            <w:r>
              <w:rPr>
                <w:noProof/>
              </w:rPr>
              <w:t>Ieguldījums 4.4.3.: Flotes atjaunošana Valsts ugunsdzēsības brigādes komandai</w:t>
            </w:r>
          </w:p>
        </w:tc>
        <w:tc>
          <w:tcPr>
            <w:tcW w:w="1559" w:type="dxa"/>
            <w:shd w:val="clear" w:color="auto" w:fill="C6EFCE"/>
            <w:noWrap/>
            <w:vAlign w:val="center"/>
          </w:tcPr>
          <w:p w14:paraId="7828404E" w14:textId="6785A404" w:rsidR="00C972CB" w:rsidRDefault="002457F6">
            <w:pPr>
              <w:pStyle w:val="P68B1DB1-Normal11"/>
              <w:jc w:val="center"/>
              <w:rPr>
                <w:noProof/>
              </w:rPr>
            </w:pPr>
            <w:r>
              <w:rPr>
                <w:noProof/>
              </w:rPr>
              <w:t>Starpposma mērķis</w:t>
            </w:r>
          </w:p>
        </w:tc>
        <w:tc>
          <w:tcPr>
            <w:tcW w:w="1559" w:type="dxa"/>
            <w:shd w:val="clear" w:color="auto" w:fill="C6EFCE"/>
            <w:noWrap/>
            <w:vAlign w:val="center"/>
          </w:tcPr>
          <w:p w14:paraId="3B37DC9C" w14:textId="0CF21D53" w:rsidR="00C972CB" w:rsidRDefault="002457F6">
            <w:pPr>
              <w:pStyle w:val="P68B1DB1-Normal11"/>
              <w:jc w:val="center"/>
              <w:rPr>
                <w:noProof/>
              </w:rPr>
            </w:pPr>
            <w:r>
              <w:rPr>
                <w:noProof/>
              </w:rPr>
              <w:t xml:space="preserve">Visu publiskā iepirkuma </w:t>
            </w:r>
            <w:r>
              <w:rPr>
                <w:noProof/>
              </w:rPr>
              <w:t>līgumu slēgšanas tiesību piešķiršana par flotes atjaunošanu valsts ugunsdzēsības brigādes komandai</w:t>
            </w:r>
          </w:p>
        </w:tc>
        <w:tc>
          <w:tcPr>
            <w:tcW w:w="1843" w:type="dxa"/>
            <w:shd w:val="clear" w:color="auto" w:fill="C6EFCE"/>
            <w:noWrap/>
            <w:vAlign w:val="center"/>
          </w:tcPr>
          <w:p w14:paraId="69171247" w14:textId="3F5BB3E6" w:rsidR="00C972CB" w:rsidRDefault="002457F6">
            <w:pPr>
              <w:pStyle w:val="P68B1DB1-Normal11"/>
              <w:jc w:val="center"/>
              <w:rPr>
                <w:noProof/>
              </w:rPr>
            </w:pPr>
            <w:r>
              <w:rPr>
                <w:noProof/>
              </w:rPr>
              <w:t>Paziņojums par visu līgumu slēgšanas tiesību piešķiršanu par flotes atjaunošanu valsts ugunsdzēsības brigādes komandai</w:t>
            </w:r>
          </w:p>
        </w:tc>
        <w:tc>
          <w:tcPr>
            <w:tcW w:w="1417" w:type="dxa"/>
            <w:shd w:val="clear" w:color="auto" w:fill="C6EFCE"/>
            <w:noWrap/>
            <w:vAlign w:val="center"/>
          </w:tcPr>
          <w:p w14:paraId="3525242E" w14:textId="3C11419E" w:rsidR="00C972CB" w:rsidRDefault="002457F6">
            <w:pPr>
              <w:pStyle w:val="P68B1DB1-Normal11"/>
              <w:jc w:val="center"/>
              <w:rPr>
                <w:noProof/>
              </w:rPr>
            </w:pPr>
            <w:r>
              <w:rPr>
                <w:noProof/>
              </w:rPr>
              <w:t>NEPIEMĒRO</w:t>
            </w:r>
          </w:p>
        </w:tc>
        <w:tc>
          <w:tcPr>
            <w:tcW w:w="1134" w:type="dxa"/>
            <w:shd w:val="clear" w:color="auto" w:fill="C6EFCE"/>
            <w:noWrap/>
            <w:vAlign w:val="center"/>
          </w:tcPr>
          <w:p w14:paraId="6CE9D23F" w14:textId="7D0F13AD" w:rsidR="00C972CB" w:rsidRDefault="002457F6">
            <w:pPr>
              <w:pStyle w:val="P68B1DB1-Normal11"/>
              <w:jc w:val="center"/>
              <w:rPr>
                <w:noProof/>
              </w:rPr>
            </w:pPr>
            <w:r>
              <w:rPr>
                <w:noProof/>
              </w:rPr>
              <w:t>NEPIEMĒRO</w:t>
            </w:r>
          </w:p>
        </w:tc>
        <w:tc>
          <w:tcPr>
            <w:tcW w:w="946" w:type="dxa"/>
            <w:shd w:val="clear" w:color="auto" w:fill="C6EFCE"/>
            <w:noWrap/>
            <w:vAlign w:val="center"/>
          </w:tcPr>
          <w:p w14:paraId="6133BD69" w14:textId="4672C66A" w:rsidR="00C972CB" w:rsidRDefault="002457F6">
            <w:pPr>
              <w:pStyle w:val="P68B1DB1-Normal11"/>
              <w:jc w:val="center"/>
              <w:rPr>
                <w:noProof/>
              </w:rPr>
            </w:pPr>
            <w:r>
              <w:rPr>
                <w:noProof/>
              </w:rPr>
              <w:t>N.A.</w:t>
            </w:r>
          </w:p>
        </w:tc>
        <w:tc>
          <w:tcPr>
            <w:tcW w:w="992" w:type="dxa"/>
            <w:shd w:val="clear" w:color="auto" w:fill="C6EFCE"/>
            <w:noWrap/>
            <w:vAlign w:val="center"/>
          </w:tcPr>
          <w:p w14:paraId="18F64F2C" w14:textId="3C32A002" w:rsidR="00C972CB" w:rsidRDefault="002457F6">
            <w:pPr>
              <w:pStyle w:val="P68B1DB1-Normal11"/>
              <w:jc w:val="center"/>
              <w:rPr>
                <w:noProof/>
              </w:rPr>
            </w:pPr>
            <w:r>
              <w:rPr>
                <w:noProof/>
              </w:rPr>
              <w:t>2. CET.</w:t>
            </w:r>
          </w:p>
        </w:tc>
        <w:tc>
          <w:tcPr>
            <w:tcW w:w="756" w:type="dxa"/>
            <w:shd w:val="clear" w:color="auto" w:fill="C6EFCE"/>
            <w:noWrap/>
            <w:vAlign w:val="center"/>
          </w:tcPr>
          <w:p w14:paraId="3C47FF49" w14:textId="7D313BD9" w:rsidR="00C972CB" w:rsidRDefault="002457F6">
            <w:pPr>
              <w:pStyle w:val="P68B1DB1-Normal11"/>
              <w:jc w:val="center"/>
              <w:rPr>
                <w:noProof/>
              </w:rPr>
            </w:pPr>
            <w:r>
              <w:rPr>
                <w:noProof/>
              </w:rPr>
              <w:t>2024</w:t>
            </w:r>
          </w:p>
        </w:tc>
        <w:tc>
          <w:tcPr>
            <w:tcW w:w="2793" w:type="dxa"/>
            <w:shd w:val="clear" w:color="auto" w:fill="C6EFCE"/>
            <w:noWrap/>
            <w:vAlign w:val="center"/>
          </w:tcPr>
          <w:p w14:paraId="3119651E" w14:textId="6147EF01" w:rsidR="00C972CB" w:rsidRDefault="002457F6">
            <w:pPr>
              <w:pStyle w:val="P68B1DB1-Normal11"/>
              <w:rPr>
                <w:noProof/>
              </w:rPr>
            </w:pPr>
            <w:r>
              <w:rPr>
                <w:noProof/>
              </w:rPr>
              <w:t>Paziņojums par visu publiskā iepirkuma līgumu slēgšanas tiesību piešķiršanu valsts ugunsdzēsēju transportlīdzekļu iegādei.</w:t>
            </w:r>
          </w:p>
        </w:tc>
      </w:tr>
      <w:tr w:rsidR="00C972CB" w14:paraId="607DBD31" w14:textId="77777777">
        <w:trPr>
          <w:trHeight w:val="309"/>
          <w:jc w:val="center"/>
        </w:trPr>
        <w:tc>
          <w:tcPr>
            <w:tcW w:w="1613" w:type="dxa"/>
            <w:shd w:val="clear" w:color="auto" w:fill="C6EFCE"/>
            <w:noWrap/>
            <w:vAlign w:val="center"/>
          </w:tcPr>
          <w:p w14:paraId="5E2E0FBE" w14:textId="6477DB6E" w:rsidR="00C972CB" w:rsidRDefault="002457F6">
            <w:pPr>
              <w:pStyle w:val="P68B1DB1-Normal11"/>
              <w:jc w:val="center"/>
              <w:rPr>
                <w:noProof/>
              </w:rPr>
            </w:pPr>
            <w:r>
              <w:rPr>
                <w:noProof/>
              </w:rPr>
              <w:t>M2C2–32</w:t>
            </w:r>
          </w:p>
        </w:tc>
        <w:tc>
          <w:tcPr>
            <w:tcW w:w="1643" w:type="dxa"/>
            <w:shd w:val="clear" w:color="auto" w:fill="C6EFCE"/>
            <w:noWrap/>
            <w:vAlign w:val="center"/>
          </w:tcPr>
          <w:p w14:paraId="281EE316" w14:textId="6529F74E" w:rsidR="00C972CB" w:rsidRDefault="002457F6">
            <w:pPr>
              <w:pStyle w:val="P68B1DB1-Normal11"/>
              <w:jc w:val="center"/>
              <w:rPr>
                <w:noProof/>
              </w:rPr>
            </w:pPr>
            <w:r>
              <w:rPr>
                <w:noProof/>
              </w:rPr>
              <w:t>Ieguldījums 4.4.1.: Reģionālā sabiedriskā transporta autobusu parka stiprināšana ar bezemisiju mazemisiju autobusiem</w:t>
            </w:r>
          </w:p>
        </w:tc>
        <w:tc>
          <w:tcPr>
            <w:tcW w:w="1559" w:type="dxa"/>
            <w:shd w:val="clear" w:color="auto" w:fill="C6EFCE"/>
            <w:noWrap/>
            <w:vAlign w:val="center"/>
          </w:tcPr>
          <w:p w14:paraId="43FA8E85" w14:textId="16015E34" w:rsidR="00C972CB" w:rsidRDefault="002457F6">
            <w:pPr>
              <w:pStyle w:val="P68B1DB1-Normal11"/>
              <w:jc w:val="center"/>
              <w:rPr>
                <w:noProof/>
              </w:rPr>
            </w:pPr>
            <w:r>
              <w:rPr>
                <w:noProof/>
              </w:rPr>
              <w:t>Starpposma mērķis</w:t>
            </w:r>
          </w:p>
        </w:tc>
        <w:tc>
          <w:tcPr>
            <w:tcW w:w="1559" w:type="dxa"/>
            <w:shd w:val="clear" w:color="auto" w:fill="C6EFCE"/>
            <w:noWrap/>
            <w:vAlign w:val="center"/>
          </w:tcPr>
          <w:p w14:paraId="7E3A61C0" w14:textId="4D87B5D3" w:rsidR="00C972CB" w:rsidRDefault="002457F6">
            <w:pPr>
              <w:pStyle w:val="P68B1DB1-Normal11"/>
              <w:jc w:val="center"/>
              <w:rPr>
                <w:noProof/>
              </w:rPr>
            </w:pPr>
            <w:r>
              <w:rPr>
                <w:noProof/>
              </w:rPr>
              <w:t>Visu publiskā iepirkuma līgumu slēgšanas tiesību piešķiršana reģionālā sabiedriskā transporta autobusu parka stiprināšanai ar bezemisiju mazemisiju autobusiem</w:t>
            </w:r>
          </w:p>
        </w:tc>
        <w:tc>
          <w:tcPr>
            <w:tcW w:w="1843" w:type="dxa"/>
            <w:shd w:val="clear" w:color="auto" w:fill="C6EFCE"/>
            <w:noWrap/>
            <w:vAlign w:val="center"/>
          </w:tcPr>
          <w:p w14:paraId="20C4EFFF" w14:textId="6A573DAF" w:rsidR="00C972CB" w:rsidRDefault="002457F6">
            <w:pPr>
              <w:pStyle w:val="P68B1DB1-Normal11"/>
              <w:jc w:val="center"/>
              <w:rPr>
                <w:noProof/>
              </w:rPr>
            </w:pPr>
            <w:r>
              <w:rPr>
                <w:noProof/>
              </w:rPr>
              <w:t xml:space="preserve">Paziņojums par visu līgumu slēgšanas tiesību piešķiršanu </w:t>
            </w:r>
          </w:p>
        </w:tc>
        <w:tc>
          <w:tcPr>
            <w:tcW w:w="1417" w:type="dxa"/>
            <w:shd w:val="clear" w:color="auto" w:fill="C6EFCE"/>
            <w:noWrap/>
            <w:vAlign w:val="center"/>
          </w:tcPr>
          <w:p w14:paraId="3E37DD2F" w14:textId="2FE66134" w:rsidR="00C972CB" w:rsidRDefault="002457F6">
            <w:pPr>
              <w:pStyle w:val="P68B1DB1-Normal11"/>
              <w:jc w:val="center"/>
              <w:rPr>
                <w:noProof/>
              </w:rPr>
            </w:pPr>
            <w:r>
              <w:rPr>
                <w:noProof/>
              </w:rPr>
              <w:t>NEPIEMĒRO</w:t>
            </w:r>
          </w:p>
        </w:tc>
        <w:tc>
          <w:tcPr>
            <w:tcW w:w="1134" w:type="dxa"/>
            <w:shd w:val="clear" w:color="auto" w:fill="C6EFCE"/>
            <w:noWrap/>
            <w:vAlign w:val="center"/>
          </w:tcPr>
          <w:p w14:paraId="002D1BDC" w14:textId="342BE0AF" w:rsidR="00C972CB" w:rsidRDefault="002457F6">
            <w:pPr>
              <w:pStyle w:val="P68B1DB1-Normal11"/>
              <w:jc w:val="center"/>
              <w:rPr>
                <w:noProof/>
              </w:rPr>
            </w:pPr>
            <w:r>
              <w:rPr>
                <w:noProof/>
              </w:rPr>
              <w:t>NEPIEMĒRO</w:t>
            </w:r>
          </w:p>
        </w:tc>
        <w:tc>
          <w:tcPr>
            <w:tcW w:w="946" w:type="dxa"/>
            <w:shd w:val="clear" w:color="auto" w:fill="C6EFCE"/>
            <w:noWrap/>
            <w:vAlign w:val="center"/>
          </w:tcPr>
          <w:p w14:paraId="5D927AD9" w14:textId="1257566B" w:rsidR="00C972CB" w:rsidRDefault="002457F6">
            <w:pPr>
              <w:pStyle w:val="P68B1DB1-Normal11"/>
              <w:jc w:val="center"/>
              <w:rPr>
                <w:noProof/>
              </w:rPr>
            </w:pPr>
            <w:r>
              <w:rPr>
                <w:noProof/>
              </w:rPr>
              <w:t>NEPIEMĒRO</w:t>
            </w:r>
          </w:p>
        </w:tc>
        <w:tc>
          <w:tcPr>
            <w:tcW w:w="992" w:type="dxa"/>
            <w:shd w:val="clear" w:color="auto" w:fill="C6EFCE"/>
            <w:noWrap/>
            <w:vAlign w:val="center"/>
          </w:tcPr>
          <w:p w14:paraId="577FABF3" w14:textId="3B9B0D3B" w:rsidR="00C972CB" w:rsidRDefault="002457F6">
            <w:pPr>
              <w:pStyle w:val="P68B1DB1-Normal11"/>
              <w:jc w:val="center"/>
              <w:rPr>
                <w:noProof/>
              </w:rPr>
            </w:pPr>
            <w:r>
              <w:rPr>
                <w:noProof/>
              </w:rPr>
              <w:t>4. CET.</w:t>
            </w:r>
          </w:p>
        </w:tc>
        <w:tc>
          <w:tcPr>
            <w:tcW w:w="756" w:type="dxa"/>
            <w:shd w:val="clear" w:color="auto" w:fill="C6EFCE"/>
            <w:noWrap/>
            <w:vAlign w:val="center"/>
          </w:tcPr>
          <w:p w14:paraId="57F47EB0" w14:textId="4657596A" w:rsidR="00C972CB" w:rsidRDefault="002457F6">
            <w:pPr>
              <w:pStyle w:val="P68B1DB1-Normal11"/>
              <w:jc w:val="center"/>
              <w:rPr>
                <w:noProof/>
              </w:rPr>
            </w:pPr>
            <w:r>
              <w:rPr>
                <w:noProof/>
              </w:rPr>
              <w:t>2023</w:t>
            </w:r>
          </w:p>
        </w:tc>
        <w:tc>
          <w:tcPr>
            <w:tcW w:w="2793" w:type="dxa"/>
            <w:shd w:val="clear" w:color="auto" w:fill="C6EFCE"/>
            <w:noWrap/>
            <w:vAlign w:val="center"/>
          </w:tcPr>
          <w:p w14:paraId="59AD17FA" w14:textId="2E925756" w:rsidR="00C972CB" w:rsidRDefault="002457F6">
            <w:pPr>
              <w:pStyle w:val="P68B1DB1-Normal12"/>
              <w:rPr>
                <w:rFonts w:ascii="Arial Narrow" w:hAnsi="Arial Narrow"/>
                <w:noProof/>
              </w:rPr>
            </w:pPr>
            <w:r>
              <w:rPr>
                <w:rFonts w:ascii="Arial Narrow" w:hAnsi="Arial Narrow"/>
                <w:noProof/>
              </w:rPr>
              <w:t>Paziņojums par publisko līgumu slēgšanas tiesību piešķiršanu vismaz 3000 bezemisiju mazemisiju autobusu iegādei.</w:t>
            </w:r>
          </w:p>
        </w:tc>
      </w:tr>
      <w:tr w:rsidR="00C972CB" w14:paraId="3145F41B" w14:textId="77777777">
        <w:trPr>
          <w:trHeight w:val="309"/>
          <w:jc w:val="center"/>
        </w:trPr>
        <w:tc>
          <w:tcPr>
            <w:tcW w:w="1613" w:type="dxa"/>
            <w:shd w:val="clear" w:color="auto" w:fill="C6EFCE"/>
            <w:noWrap/>
            <w:vAlign w:val="center"/>
          </w:tcPr>
          <w:p w14:paraId="28A11FF2" w14:textId="590494B3" w:rsidR="00C972CB" w:rsidRDefault="002457F6">
            <w:pPr>
              <w:pStyle w:val="P68B1DB1-Normal11"/>
              <w:jc w:val="center"/>
              <w:rPr>
                <w:noProof/>
              </w:rPr>
            </w:pPr>
            <w:r>
              <w:rPr>
                <w:noProof/>
              </w:rPr>
              <w:t>M2C2–34</w:t>
            </w:r>
          </w:p>
        </w:tc>
        <w:tc>
          <w:tcPr>
            <w:tcW w:w="1643" w:type="dxa"/>
            <w:shd w:val="clear" w:color="auto" w:fill="C6EFCE"/>
            <w:noWrap/>
            <w:vAlign w:val="center"/>
          </w:tcPr>
          <w:p w14:paraId="48533CB6" w14:textId="1FC97417" w:rsidR="00C972CB" w:rsidRDefault="002457F6">
            <w:pPr>
              <w:pStyle w:val="P68B1DB1-Normal11"/>
              <w:jc w:val="center"/>
              <w:rPr>
                <w:noProof/>
              </w:rPr>
            </w:pPr>
            <w:r>
              <w:rPr>
                <w:noProof/>
              </w:rPr>
              <w:t xml:space="preserve">Ieguldījums 4.4.1.: Reģionālā sabiedriskā transporta autobusu parka stiprināšana ar bezemisiju mazemisiju </w:t>
            </w:r>
            <w:r>
              <w:rPr>
                <w:noProof/>
              </w:rPr>
              <w:t>autobusiem</w:t>
            </w:r>
          </w:p>
        </w:tc>
        <w:tc>
          <w:tcPr>
            <w:tcW w:w="1559" w:type="dxa"/>
            <w:shd w:val="clear" w:color="auto" w:fill="C6EFCE"/>
            <w:noWrap/>
            <w:vAlign w:val="center"/>
          </w:tcPr>
          <w:p w14:paraId="3C4CFBFE" w14:textId="0E7760C3" w:rsidR="00C972CB" w:rsidRDefault="002457F6">
            <w:pPr>
              <w:pStyle w:val="P68B1DB1-Normal11"/>
              <w:jc w:val="center"/>
              <w:rPr>
                <w:noProof/>
              </w:rPr>
            </w:pPr>
            <w:r>
              <w:rPr>
                <w:noProof/>
              </w:rPr>
              <w:t>Mērķa</w:t>
            </w:r>
          </w:p>
        </w:tc>
        <w:tc>
          <w:tcPr>
            <w:tcW w:w="1559" w:type="dxa"/>
            <w:shd w:val="clear" w:color="auto" w:fill="C6EFCE"/>
            <w:noWrap/>
            <w:vAlign w:val="center"/>
          </w:tcPr>
          <w:p w14:paraId="706C0BFF" w14:textId="14C7DA7B" w:rsidR="00C972CB" w:rsidRDefault="002457F6">
            <w:pPr>
              <w:pStyle w:val="P68B1DB1-Normal11"/>
              <w:jc w:val="center"/>
              <w:rPr>
                <w:noProof/>
              </w:rPr>
            </w:pPr>
            <w:r>
              <w:rPr>
                <w:noProof/>
              </w:rPr>
              <w:t>Iegādāto bezemisiju mazemisiju autobusu skaits T1</w:t>
            </w:r>
          </w:p>
        </w:tc>
        <w:tc>
          <w:tcPr>
            <w:tcW w:w="1843" w:type="dxa"/>
            <w:shd w:val="clear" w:color="auto" w:fill="C6EFCE"/>
            <w:noWrap/>
            <w:vAlign w:val="center"/>
          </w:tcPr>
          <w:p w14:paraId="7C1535D6" w14:textId="521558A7" w:rsidR="00C972CB" w:rsidRDefault="002457F6">
            <w:pPr>
              <w:pStyle w:val="P68B1DB1-Normal11"/>
              <w:jc w:val="center"/>
              <w:rPr>
                <w:noProof/>
              </w:rPr>
            </w:pPr>
            <w:r>
              <w:rPr>
                <w:noProof/>
              </w:rPr>
              <w:t>NEPIEMĒRO</w:t>
            </w:r>
          </w:p>
        </w:tc>
        <w:tc>
          <w:tcPr>
            <w:tcW w:w="1417" w:type="dxa"/>
            <w:shd w:val="clear" w:color="auto" w:fill="C6EFCE"/>
            <w:noWrap/>
            <w:vAlign w:val="center"/>
          </w:tcPr>
          <w:p w14:paraId="54BF4ADA" w14:textId="17F6F2CF" w:rsidR="00C972CB" w:rsidRDefault="002457F6">
            <w:pPr>
              <w:pStyle w:val="P68B1DB1-Normal11"/>
              <w:jc w:val="center"/>
              <w:rPr>
                <w:noProof/>
              </w:rPr>
            </w:pPr>
            <w:r>
              <w:rPr>
                <w:noProof/>
              </w:rPr>
              <w:t>Skaits</w:t>
            </w:r>
          </w:p>
        </w:tc>
        <w:tc>
          <w:tcPr>
            <w:tcW w:w="1134" w:type="dxa"/>
            <w:shd w:val="clear" w:color="auto" w:fill="C6EFCE"/>
            <w:noWrap/>
            <w:vAlign w:val="center"/>
          </w:tcPr>
          <w:p w14:paraId="49A76DA1" w14:textId="77CDB780" w:rsidR="00C972CB" w:rsidRDefault="002457F6">
            <w:pPr>
              <w:pStyle w:val="P68B1DB1-Normal11"/>
              <w:jc w:val="center"/>
              <w:rPr>
                <w:noProof/>
              </w:rPr>
            </w:pPr>
            <w:r>
              <w:rPr>
                <w:noProof/>
              </w:rPr>
              <w:t>0</w:t>
            </w:r>
          </w:p>
        </w:tc>
        <w:tc>
          <w:tcPr>
            <w:tcW w:w="946" w:type="dxa"/>
            <w:shd w:val="clear" w:color="auto" w:fill="C6EFCE"/>
            <w:noWrap/>
            <w:vAlign w:val="center"/>
          </w:tcPr>
          <w:p w14:paraId="37258A90" w14:textId="2A05B492" w:rsidR="00C972CB" w:rsidRDefault="002457F6">
            <w:pPr>
              <w:pStyle w:val="P68B1DB1-Normal11"/>
              <w:jc w:val="center"/>
              <w:rPr>
                <w:noProof/>
              </w:rPr>
            </w:pPr>
            <w:r>
              <w:rPr>
                <w:noProof/>
              </w:rPr>
              <w:t>800</w:t>
            </w:r>
          </w:p>
        </w:tc>
        <w:tc>
          <w:tcPr>
            <w:tcW w:w="992" w:type="dxa"/>
            <w:shd w:val="clear" w:color="auto" w:fill="C6EFCE"/>
            <w:noWrap/>
            <w:vAlign w:val="center"/>
          </w:tcPr>
          <w:p w14:paraId="36417E52" w14:textId="37ECFD50" w:rsidR="00C972CB" w:rsidRDefault="002457F6">
            <w:pPr>
              <w:pStyle w:val="P68B1DB1-Normal11"/>
              <w:jc w:val="center"/>
              <w:rPr>
                <w:noProof/>
              </w:rPr>
            </w:pPr>
            <w:r>
              <w:rPr>
                <w:noProof/>
              </w:rPr>
              <w:t>4. CET.</w:t>
            </w:r>
          </w:p>
        </w:tc>
        <w:tc>
          <w:tcPr>
            <w:tcW w:w="756" w:type="dxa"/>
            <w:shd w:val="clear" w:color="auto" w:fill="C6EFCE"/>
            <w:noWrap/>
            <w:vAlign w:val="center"/>
          </w:tcPr>
          <w:p w14:paraId="0997D89F" w14:textId="19BEA95A" w:rsidR="00C972CB" w:rsidRDefault="002457F6">
            <w:pPr>
              <w:pStyle w:val="P68B1DB1-Normal11"/>
              <w:jc w:val="center"/>
              <w:rPr>
                <w:noProof/>
              </w:rPr>
            </w:pPr>
            <w:r>
              <w:rPr>
                <w:noProof/>
              </w:rPr>
              <w:t>2024</w:t>
            </w:r>
          </w:p>
        </w:tc>
        <w:tc>
          <w:tcPr>
            <w:tcW w:w="2793" w:type="dxa"/>
            <w:shd w:val="clear" w:color="auto" w:fill="C6EFCE"/>
            <w:noWrap/>
            <w:vAlign w:val="center"/>
          </w:tcPr>
          <w:p w14:paraId="215E1485" w14:textId="42739984" w:rsidR="00C972CB" w:rsidRDefault="002457F6">
            <w:pPr>
              <w:pStyle w:val="P68B1DB1-Normal11"/>
              <w:rPr>
                <w:noProof/>
              </w:rPr>
            </w:pPr>
            <w:r>
              <w:rPr>
                <w:noProof/>
              </w:rPr>
              <w:t>Iegādāties vismaz 800 mazemisiju mazemisiju autobusus, kas iepirkti saskaņā ar M2C2–32–32, lai stiprinātu attiecīgo autoparku.</w:t>
            </w:r>
          </w:p>
        </w:tc>
      </w:tr>
      <w:tr w:rsidR="00C972CB" w14:paraId="688DD9EF" w14:textId="77777777">
        <w:trPr>
          <w:trHeight w:val="309"/>
          <w:jc w:val="center"/>
        </w:trPr>
        <w:tc>
          <w:tcPr>
            <w:tcW w:w="1613" w:type="dxa"/>
            <w:shd w:val="clear" w:color="auto" w:fill="C6EFCE"/>
            <w:noWrap/>
            <w:vAlign w:val="center"/>
          </w:tcPr>
          <w:p w14:paraId="6D7FB5A8" w14:textId="67D54327" w:rsidR="00C972CB" w:rsidRDefault="002457F6">
            <w:pPr>
              <w:pStyle w:val="P68B1DB1-Normal11"/>
              <w:jc w:val="center"/>
              <w:rPr>
                <w:noProof/>
              </w:rPr>
            </w:pPr>
            <w:r>
              <w:rPr>
                <w:noProof/>
              </w:rPr>
              <w:t>M2C2–34 Bis</w:t>
            </w:r>
          </w:p>
        </w:tc>
        <w:tc>
          <w:tcPr>
            <w:tcW w:w="1643" w:type="dxa"/>
            <w:shd w:val="clear" w:color="auto" w:fill="C6EFCE"/>
            <w:noWrap/>
            <w:vAlign w:val="center"/>
          </w:tcPr>
          <w:p w14:paraId="5768DE46" w14:textId="7B7E2613" w:rsidR="00C972CB" w:rsidRDefault="002457F6">
            <w:pPr>
              <w:pStyle w:val="P68B1DB1-Normal11"/>
              <w:jc w:val="center"/>
              <w:rPr>
                <w:noProof/>
              </w:rPr>
            </w:pPr>
            <w:r>
              <w:rPr>
                <w:noProof/>
              </w:rPr>
              <w:t xml:space="preserve">Ieguldījums </w:t>
            </w:r>
            <w:r>
              <w:rPr>
                <w:noProof/>
              </w:rPr>
              <w:t>4.4.2.:  Reģionālā sabiedriskā transporta dzelzceļa parka stiprināšana ar bezemisiju vilcieniem un universālo pakalpojumu</w:t>
            </w:r>
          </w:p>
        </w:tc>
        <w:tc>
          <w:tcPr>
            <w:tcW w:w="1559" w:type="dxa"/>
            <w:shd w:val="clear" w:color="auto" w:fill="C6EFCE"/>
            <w:noWrap/>
            <w:vAlign w:val="center"/>
          </w:tcPr>
          <w:p w14:paraId="6D24012A" w14:textId="3187B139" w:rsidR="00C972CB" w:rsidRDefault="002457F6">
            <w:pPr>
              <w:pStyle w:val="P68B1DB1-Normal11"/>
              <w:jc w:val="center"/>
              <w:rPr>
                <w:noProof/>
              </w:rPr>
            </w:pPr>
            <w:r>
              <w:rPr>
                <w:noProof/>
              </w:rPr>
              <w:t>Mērķa</w:t>
            </w:r>
          </w:p>
        </w:tc>
        <w:tc>
          <w:tcPr>
            <w:tcW w:w="1559" w:type="dxa"/>
            <w:shd w:val="clear" w:color="auto" w:fill="C6EFCE"/>
            <w:noWrap/>
            <w:vAlign w:val="center"/>
          </w:tcPr>
          <w:p w14:paraId="194D8B04" w14:textId="3DA6972C" w:rsidR="00C972CB" w:rsidRDefault="002457F6">
            <w:pPr>
              <w:pStyle w:val="P68B1DB1-Normal11"/>
              <w:jc w:val="center"/>
              <w:rPr>
                <w:noProof/>
              </w:rPr>
            </w:pPr>
            <w:r>
              <w:rPr>
                <w:noProof/>
              </w:rPr>
              <w:t>Nulles emisijas vilcienu skaits T1</w:t>
            </w:r>
          </w:p>
        </w:tc>
        <w:tc>
          <w:tcPr>
            <w:tcW w:w="1843" w:type="dxa"/>
            <w:shd w:val="clear" w:color="auto" w:fill="C6EFCE"/>
            <w:noWrap/>
            <w:vAlign w:val="center"/>
          </w:tcPr>
          <w:p w14:paraId="4EDADB83" w14:textId="3B02470E" w:rsidR="00C972CB" w:rsidRDefault="002457F6">
            <w:pPr>
              <w:pStyle w:val="P68B1DB1-Normal11"/>
              <w:jc w:val="center"/>
              <w:rPr>
                <w:noProof/>
              </w:rPr>
            </w:pPr>
            <w:r>
              <w:rPr>
                <w:noProof/>
              </w:rPr>
              <w:t>NEPIEMĒRO</w:t>
            </w:r>
          </w:p>
        </w:tc>
        <w:tc>
          <w:tcPr>
            <w:tcW w:w="1417" w:type="dxa"/>
            <w:shd w:val="clear" w:color="auto" w:fill="C6EFCE"/>
            <w:noWrap/>
            <w:vAlign w:val="center"/>
          </w:tcPr>
          <w:p w14:paraId="3D24203C" w14:textId="616CB648" w:rsidR="00C972CB" w:rsidRDefault="002457F6">
            <w:pPr>
              <w:pStyle w:val="P68B1DB1-Normal11"/>
              <w:jc w:val="center"/>
              <w:rPr>
                <w:noProof/>
              </w:rPr>
            </w:pPr>
            <w:r>
              <w:rPr>
                <w:noProof/>
              </w:rPr>
              <w:t>Skaits</w:t>
            </w:r>
          </w:p>
        </w:tc>
        <w:tc>
          <w:tcPr>
            <w:tcW w:w="1134" w:type="dxa"/>
            <w:shd w:val="clear" w:color="auto" w:fill="C6EFCE"/>
            <w:noWrap/>
            <w:vAlign w:val="center"/>
          </w:tcPr>
          <w:p w14:paraId="2DF56A00" w14:textId="2299CBF6" w:rsidR="00C972CB" w:rsidRDefault="002457F6">
            <w:pPr>
              <w:pStyle w:val="P68B1DB1-Normal11"/>
              <w:jc w:val="center"/>
              <w:rPr>
                <w:noProof/>
              </w:rPr>
            </w:pPr>
            <w:r>
              <w:rPr>
                <w:noProof/>
              </w:rPr>
              <w:t>0</w:t>
            </w:r>
          </w:p>
        </w:tc>
        <w:tc>
          <w:tcPr>
            <w:tcW w:w="946" w:type="dxa"/>
            <w:shd w:val="clear" w:color="auto" w:fill="C6EFCE"/>
            <w:noWrap/>
            <w:vAlign w:val="center"/>
          </w:tcPr>
          <w:p w14:paraId="3AF0516D" w14:textId="0132741D" w:rsidR="00C972CB" w:rsidRDefault="002457F6">
            <w:pPr>
              <w:pStyle w:val="P68B1DB1-Normal11"/>
              <w:jc w:val="center"/>
              <w:rPr>
                <w:noProof/>
              </w:rPr>
            </w:pPr>
            <w:r>
              <w:rPr>
                <w:noProof/>
              </w:rPr>
              <w:t>25</w:t>
            </w:r>
          </w:p>
        </w:tc>
        <w:tc>
          <w:tcPr>
            <w:tcW w:w="992" w:type="dxa"/>
            <w:shd w:val="clear" w:color="auto" w:fill="C6EFCE"/>
            <w:noWrap/>
            <w:vAlign w:val="center"/>
          </w:tcPr>
          <w:p w14:paraId="30708AC1" w14:textId="079D248D" w:rsidR="00C972CB" w:rsidRDefault="002457F6">
            <w:pPr>
              <w:pStyle w:val="P68B1DB1-Normal11"/>
              <w:jc w:val="center"/>
              <w:rPr>
                <w:noProof/>
              </w:rPr>
            </w:pPr>
            <w:r>
              <w:rPr>
                <w:noProof/>
              </w:rPr>
              <w:t>4. CET.</w:t>
            </w:r>
          </w:p>
        </w:tc>
        <w:tc>
          <w:tcPr>
            <w:tcW w:w="756" w:type="dxa"/>
            <w:shd w:val="clear" w:color="auto" w:fill="C6EFCE"/>
            <w:noWrap/>
            <w:vAlign w:val="center"/>
          </w:tcPr>
          <w:p w14:paraId="6887E4E1" w14:textId="328FE88D" w:rsidR="00C972CB" w:rsidRDefault="002457F6">
            <w:pPr>
              <w:pStyle w:val="P68B1DB1-Normal11"/>
              <w:jc w:val="center"/>
              <w:rPr>
                <w:noProof/>
              </w:rPr>
            </w:pPr>
            <w:r>
              <w:rPr>
                <w:noProof/>
              </w:rPr>
              <w:t>2024</w:t>
            </w:r>
          </w:p>
        </w:tc>
        <w:tc>
          <w:tcPr>
            <w:tcW w:w="2793" w:type="dxa"/>
            <w:shd w:val="clear" w:color="auto" w:fill="C6EFCE"/>
            <w:noWrap/>
            <w:vAlign w:val="center"/>
          </w:tcPr>
          <w:p w14:paraId="4064729D" w14:textId="55D93875" w:rsidR="00C972CB" w:rsidRDefault="002457F6">
            <w:pPr>
              <w:pStyle w:val="P68B1DB1-Normal11"/>
              <w:rPr>
                <w:noProof/>
              </w:rPr>
            </w:pPr>
            <w:r>
              <w:rPr>
                <w:noProof/>
              </w:rPr>
              <w:t>EK atbilstības verifikācijas deklarācijas iegūšana saskaņā</w:t>
            </w:r>
            <w:r>
              <w:rPr>
                <w:noProof/>
              </w:rPr>
              <w:t xml:space="preserve"> ar Likumdošanas dekrēta Nr. 57/2019 15. pantu (t. i., Dichiarazione di verifica di conformità CE di cui all’art 15 del D.Lgs 57/2019) vismaz 25 bezemisiju vilcieniem attiecīgā autoparka nostiprināšanai.</w:t>
            </w:r>
          </w:p>
        </w:tc>
      </w:tr>
      <w:tr w:rsidR="00C972CB" w14:paraId="7D822BE4" w14:textId="77777777">
        <w:trPr>
          <w:trHeight w:val="309"/>
          <w:jc w:val="center"/>
        </w:trPr>
        <w:tc>
          <w:tcPr>
            <w:tcW w:w="1613" w:type="dxa"/>
            <w:shd w:val="clear" w:color="auto" w:fill="C6EFCE"/>
            <w:noWrap/>
            <w:vAlign w:val="center"/>
          </w:tcPr>
          <w:p w14:paraId="644AD3AC" w14:textId="0957D0CA" w:rsidR="00C972CB" w:rsidRDefault="002457F6">
            <w:pPr>
              <w:pStyle w:val="P68B1DB1-Normal11"/>
              <w:jc w:val="center"/>
              <w:rPr>
                <w:noProof/>
              </w:rPr>
            </w:pPr>
            <w:r>
              <w:rPr>
                <w:noProof/>
              </w:rPr>
              <w:t>M2C2–35</w:t>
            </w:r>
          </w:p>
        </w:tc>
        <w:tc>
          <w:tcPr>
            <w:tcW w:w="1643" w:type="dxa"/>
            <w:shd w:val="clear" w:color="auto" w:fill="C6EFCE"/>
            <w:noWrap/>
            <w:vAlign w:val="center"/>
          </w:tcPr>
          <w:p w14:paraId="25A765E5" w14:textId="08F17CF3" w:rsidR="00C972CB" w:rsidRDefault="002457F6">
            <w:pPr>
              <w:pStyle w:val="P68B1DB1-Normal19"/>
              <w:jc w:val="center"/>
              <w:rPr>
                <w:noProof/>
                <w:color w:val="006100"/>
              </w:rPr>
            </w:pPr>
            <w:r>
              <w:rPr>
                <w:noProof/>
                <w:color w:val="006100"/>
              </w:rPr>
              <w:t xml:space="preserve">Ieguldījums 4.4.1.: Reģionālā sabiedriskā </w:t>
            </w:r>
            <w:r>
              <w:rPr>
                <w:noProof/>
                <w:color w:val="006100"/>
              </w:rPr>
              <w:t>transporta autobusu parka stiprināšana ar</w:t>
            </w:r>
            <w:r>
              <w:rPr>
                <w:noProof/>
              </w:rPr>
              <w:t xml:space="preserve"> </w:t>
            </w:r>
            <w:r>
              <w:rPr>
                <w:noProof/>
                <w:color w:val="006100"/>
              </w:rPr>
              <w:t>bezemisiju mazemisiju autobusiem —</w:t>
            </w:r>
          </w:p>
        </w:tc>
        <w:tc>
          <w:tcPr>
            <w:tcW w:w="1559" w:type="dxa"/>
            <w:shd w:val="clear" w:color="auto" w:fill="C6EFCE"/>
            <w:noWrap/>
            <w:vAlign w:val="center"/>
          </w:tcPr>
          <w:p w14:paraId="21FCD810" w14:textId="33532628" w:rsidR="00C972CB" w:rsidRDefault="002457F6">
            <w:pPr>
              <w:pStyle w:val="P68B1DB1-Normal11"/>
              <w:jc w:val="center"/>
              <w:rPr>
                <w:noProof/>
              </w:rPr>
            </w:pPr>
            <w:r>
              <w:rPr>
                <w:noProof/>
              </w:rPr>
              <w:t>Mērķa</w:t>
            </w:r>
          </w:p>
        </w:tc>
        <w:tc>
          <w:tcPr>
            <w:tcW w:w="1559" w:type="dxa"/>
            <w:shd w:val="clear" w:color="auto" w:fill="C6EFCE"/>
            <w:noWrap/>
            <w:vAlign w:val="center"/>
          </w:tcPr>
          <w:p w14:paraId="7BF9976E" w14:textId="17EBA8FF" w:rsidR="00C972CB" w:rsidRDefault="002457F6">
            <w:pPr>
              <w:pStyle w:val="P68B1DB1-Normal11"/>
              <w:jc w:val="center"/>
              <w:rPr>
                <w:noProof/>
              </w:rPr>
            </w:pPr>
            <w:r>
              <w:rPr>
                <w:noProof/>
              </w:rPr>
              <w:t>Stājās spēkā T2 bezemisiju mazemisiju autobusu skaits</w:t>
            </w:r>
          </w:p>
        </w:tc>
        <w:tc>
          <w:tcPr>
            <w:tcW w:w="1843" w:type="dxa"/>
            <w:shd w:val="clear" w:color="auto" w:fill="C6EFCE"/>
            <w:noWrap/>
            <w:vAlign w:val="center"/>
          </w:tcPr>
          <w:p w14:paraId="31334AF3" w14:textId="46BEF7A8" w:rsidR="00C972CB" w:rsidRDefault="002457F6">
            <w:pPr>
              <w:pStyle w:val="P68B1DB1-Normal11"/>
              <w:jc w:val="center"/>
              <w:rPr>
                <w:noProof/>
              </w:rPr>
            </w:pPr>
            <w:r>
              <w:rPr>
                <w:noProof/>
              </w:rPr>
              <w:t>NEPIEMĒRO</w:t>
            </w:r>
          </w:p>
        </w:tc>
        <w:tc>
          <w:tcPr>
            <w:tcW w:w="1417" w:type="dxa"/>
            <w:shd w:val="clear" w:color="auto" w:fill="C6EFCE"/>
            <w:noWrap/>
            <w:vAlign w:val="center"/>
          </w:tcPr>
          <w:p w14:paraId="17CF2D03" w14:textId="272FCAA4" w:rsidR="00C972CB" w:rsidRDefault="002457F6">
            <w:pPr>
              <w:pStyle w:val="P68B1DB1-Normal11"/>
              <w:jc w:val="center"/>
              <w:rPr>
                <w:noProof/>
              </w:rPr>
            </w:pPr>
            <w:r>
              <w:rPr>
                <w:noProof/>
              </w:rPr>
              <w:t>Skaits</w:t>
            </w:r>
          </w:p>
        </w:tc>
        <w:tc>
          <w:tcPr>
            <w:tcW w:w="1134" w:type="dxa"/>
            <w:shd w:val="clear" w:color="auto" w:fill="C6EFCE"/>
            <w:noWrap/>
            <w:vAlign w:val="center"/>
          </w:tcPr>
          <w:p w14:paraId="01FE92AD" w14:textId="6F7DAA8D" w:rsidR="00C972CB" w:rsidRDefault="002457F6">
            <w:pPr>
              <w:pStyle w:val="P68B1DB1-Normal11"/>
              <w:jc w:val="center"/>
              <w:rPr>
                <w:noProof/>
              </w:rPr>
            </w:pPr>
            <w:r>
              <w:rPr>
                <w:noProof/>
              </w:rPr>
              <w:t>0</w:t>
            </w:r>
          </w:p>
        </w:tc>
        <w:tc>
          <w:tcPr>
            <w:tcW w:w="946" w:type="dxa"/>
            <w:shd w:val="clear" w:color="auto" w:fill="C6EFCE"/>
            <w:noWrap/>
            <w:vAlign w:val="center"/>
          </w:tcPr>
          <w:p w14:paraId="1E4DAE5F" w14:textId="21B70E26" w:rsidR="00C972CB" w:rsidRDefault="002457F6">
            <w:pPr>
              <w:pStyle w:val="P68B1DB1-Normal12"/>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000</w:t>
            </w:r>
          </w:p>
        </w:tc>
        <w:tc>
          <w:tcPr>
            <w:tcW w:w="992" w:type="dxa"/>
            <w:shd w:val="clear" w:color="auto" w:fill="C6EFCE"/>
            <w:noWrap/>
            <w:vAlign w:val="center"/>
          </w:tcPr>
          <w:p w14:paraId="25273CD8" w14:textId="2A3FE4D5" w:rsidR="00C972CB" w:rsidRDefault="002457F6">
            <w:pPr>
              <w:pStyle w:val="P68B1DB1-Normal11"/>
              <w:jc w:val="center"/>
              <w:rPr>
                <w:noProof/>
              </w:rPr>
            </w:pPr>
            <w:r>
              <w:rPr>
                <w:noProof/>
              </w:rPr>
              <w:t>2. CET.</w:t>
            </w:r>
          </w:p>
        </w:tc>
        <w:tc>
          <w:tcPr>
            <w:tcW w:w="756" w:type="dxa"/>
            <w:shd w:val="clear" w:color="auto" w:fill="C6EFCE"/>
            <w:noWrap/>
            <w:vAlign w:val="center"/>
          </w:tcPr>
          <w:p w14:paraId="6D55FC23" w14:textId="703A7CAB" w:rsidR="00C972CB" w:rsidRDefault="002457F6">
            <w:pPr>
              <w:pStyle w:val="P68B1DB1-Normal11"/>
              <w:jc w:val="center"/>
              <w:rPr>
                <w:noProof/>
              </w:rPr>
            </w:pPr>
            <w:r>
              <w:rPr>
                <w:noProof/>
              </w:rPr>
              <w:t>2026</w:t>
            </w:r>
          </w:p>
        </w:tc>
        <w:tc>
          <w:tcPr>
            <w:tcW w:w="2793" w:type="dxa"/>
            <w:shd w:val="clear" w:color="auto" w:fill="C6EFCE"/>
            <w:noWrap/>
            <w:vAlign w:val="center"/>
          </w:tcPr>
          <w:p w14:paraId="16B6CA78" w14:textId="454920F6" w:rsidR="00C972CB" w:rsidRDefault="002457F6">
            <w:pPr>
              <w:pStyle w:val="P68B1DB1-Normal12"/>
              <w:rPr>
                <w:rFonts w:ascii="Arial Narrow" w:hAnsi="Arial Narrow"/>
                <w:noProof/>
              </w:rPr>
            </w:pPr>
            <w:r>
              <w:rPr>
                <w:rFonts w:ascii="Arial Narrow" w:hAnsi="Arial Narrow"/>
                <w:noProof/>
              </w:rPr>
              <w:t>Nodot ekspluatācijā vismaz 3000</w:t>
            </w:r>
            <w:r>
              <w:rPr>
                <w:noProof/>
              </w:rPr>
              <w:t xml:space="preserve"> </w:t>
            </w:r>
            <w:r>
              <w:rPr>
                <w:rFonts w:ascii="Arial Narrow" w:hAnsi="Arial Narrow"/>
                <w:noProof/>
              </w:rPr>
              <w:t xml:space="preserve">bezemisiju mazemisiju autobusu, kas iepirkti </w:t>
            </w:r>
            <w:r>
              <w:rPr>
                <w:rFonts w:ascii="Arial Narrow" w:hAnsi="Arial Narrow"/>
                <w:noProof/>
              </w:rPr>
              <w:t>saskaņā ar M2C2–32–32, lai stiprinātu attiecīgo autoparku.</w:t>
            </w:r>
          </w:p>
        </w:tc>
      </w:tr>
      <w:tr w:rsidR="00C972CB" w14:paraId="57131C8F" w14:textId="77777777">
        <w:trPr>
          <w:trHeight w:val="309"/>
          <w:jc w:val="center"/>
        </w:trPr>
        <w:tc>
          <w:tcPr>
            <w:tcW w:w="1613" w:type="dxa"/>
            <w:shd w:val="clear" w:color="auto" w:fill="C6EFCE"/>
            <w:noWrap/>
            <w:vAlign w:val="center"/>
          </w:tcPr>
          <w:p w14:paraId="65D8EC3C" w14:textId="00F19994" w:rsidR="00C972CB" w:rsidRDefault="002457F6">
            <w:pPr>
              <w:pStyle w:val="P68B1DB1-Normal11"/>
              <w:jc w:val="center"/>
              <w:rPr>
                <w:noProof/>
              </w:rPr>
            </w:pPr>
            <w:r>
              <w:rPr>
                <w:noProof/>
              </w:rPr>
              <w:t>M2C2–35 ter</w:t>
            </w:r>
          </w:p>
        </w:tc>
        <w:tc>
          <w:tcPr>
            <w:tcW w:w="1643" w:type="dxa"/>
            <w:shd w:val="clear" w:color="auto" w:fill="C6EFCE"/>
            <w:noWrap/>
            <w:vAlign w:val="center"/>
          </w:tcPr>
          <w:p w14:paraId="4DEBB833" w14:textId="4F9D7C4F" w:rsidR="00C972CB" w:rsidRDefault="002457F6">
            <w:pPr>
              <w:pStyle w:val="P68B1DB1-Normal11"/>
              <w:jc w:val="center"/>
              <w:rPr>
                <w:noProof/>
              </w:rPr>
            </w:pPr>
            <w:r>
              <w:rPr>
                <w:noProof/>
              </w:rPr>
              <w:t>Ieguldījums 4.4.1.: Reģionālā sabiedriskā transporta autobusu parka stiprināšana ar “tīro degvielu” transportlīdzekļiem</w:t>
            </w:r>
          </w:p>
        </w:tc>
        <w:tc>
          <w:tcPr>
            <w:tcW w:w="1559" w:type="dxa"/>
            <w:shd w:val="clear" w:color="auto" w:fill="C6EFCE"/>
            <w:noWrap/>
            <w:vAlign w:val="center"/>
          </w:tcPr>
          <w:p w14:paraId="670666C6" w14:textId="67B6CFB8" w:rsidR="00C972CB" w:rsidRDefault="002457F6">
            <w:pPr>
              <w:pStyle w:val="P68B1DB1-Normal11"/>
              <w:jc w:val="center"/>
              <w:rPr>
                <w:noProof/>
              </w:rPr>
            </w:pPr>
            <w:r>
              <w:rPr>
                <w:noProof/>
              </w:rPr>
              <w:t>Mērķa</w:t>
            </w:r>
          </w:p>
        </w:tc>
        <w:tc>
          <w:tcPr>
            <w:tcW w:w="1559" w:type="dxa"/>
            <w:shd w:val="clear" w:color="auto" w:fill="C6EFCE"/>
            <w:noWrap/>
            <w:vAlign w:val="center"/>
          </w:tcPr>
          <w:p w14:paraId="7BA1A97F" w14:textId="6B4BB629" w:rsidR="00C972CB" w:rsidRDefault="002457F6">
            <w:pPr>
              <w:pStyle w:val="P68B1DB1-Normal11"/>
              <w:jc w:val="center"/>
              <w:rPr>
                <w:noProof/>
              </w:rPr>
            </w:pPr>
            <w:r>
              <w:rPr>
                <w:noProof/>
              </w:rPr>
              <w:t>Bezemisiju un mazemisiju autobusu uzlādes staciju skaits</w:t>
            </w:r>
          </w:p>
        </w:tc>
        <w:tc>
          <w:tcPr>
            <w:tcW w:w="1843" w:type="dxa"/>
            <w:shd w:val="clear" w:color="auto" w:fill="C6EFCE"/>
            <w:noWrap/>
            <w:vAlign w:val="center"/>
          </w:tcPr>
          <w:p w14:paraId="03F058BD" w14:textId="77777777" w:rsidR="00C972CB" w:rsidRDefault="00C972CB">
            <w:pPr>
              <w:jc w:val="center"/>
              <w:rPr>
                <w:rFonts w:ascii="Arial Narrow" w:hAnsi="Arial Narrow"/>
                <w:noProof/>
                <w:color w:val="006100"/>
                <w:sz w:val="20"/>
              </w:rPr>
            </w:pPr>
          </w:p>
        </w:tc>
        <w:tc>
          <w:tcPr>
            <w:tcW w:w="1417" w:type="dxa"/>
            <w:shd w:val="clear" w:color="auto" w:fill="C6EFCE"/>
            <w:noWrap/>
            <w:vAlign w:val="center"/>
          </w:tcPr>
          <w:p w14:paraId="3688F7D8" w14:textId="52982773" w:rsidR="00C972CB" w:rsidRDefault="002457F6">
            <w:pPr>
              <w:pStyle w:val="P68B1DB1-Normal11"/>
              <w:jc w:val="center"/>
              <w:rPr>
                <w:noProof/>
              </w:rPr>
            </w:pPr>
            <w:r>
              <w:rPr>
                <w:noProof/>
              </w:rPr>
              <w:t>Skaits</w:t>
            </w:r>
          </w:p>
        </w:tc>
        <w:tc>
          <w:tcPr>
            <w:tcW w:w="1134" w:type="dxa"/>
            <w:shd w:val="clear" w:color="auto" w:fill="C6EFCE"/>
            <w:noWrap/>
            <w:vAlign w:val="center"/>
          </w:tcPr>
          <w:p w14:paraId="3F98E140" w14:textId="322E37A0" w:rsidR="00C972CB" w:rsidRDefault="002457F6">
            <w:pPr>
              <w:pStyle w:val="P68B1DB1-Normal11"/>
              <w:jc w:val="center"/>
              <w:rPr>
                <w:noProof/>
              </w:rPr>
            </w:pPr>
            <w:r>
              <w:rPr>
                <w:noProof/>
              </w:rPr>
              <w:t>0</w:t>
            </w:r>
          </w:p>
        </w:tc>
        <w:tc>
          <w:tcPr>
            <w:tcW w:w="946" w:type="dxa"/>
            <w:shd w:val="clear" w:color="auto" w:fill="C6EFCE"/>
            <w:noWrap/>
            <w:vAlign w:val="center"/>
          </w:tcPr>
          <w:p w14:paraId="67062E89" w14:textId="06A69D27" w:rsidR="00C972CB" w:rsidRDefault="002457F6">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992" w:type="dxa"/>
            <w:shd w:val="clear" w:color="auto" w:fill="C6EFCE"/>
            <w:noWrap/>
            <w:vAlign w:val="center"/>
          </w:tcPr>
          <w:p w14:paraId="73343940" w14:textId="7CBA4C0C" w:rsidR="00C972CB" w:rsidRDefault="002457F6">
            <w:pPr>
              <w:pStyle w:val="P68B1DB1-Normal11"/>
              <w:jc w:val="center"/>
              <w:rPr>
                <w:noProof/>
              </w:rPr>
            </w:pPr>
            <w:r>
              <w:rPr>
                <w:noProof/>
              </w:rPr>
              <w:t>2. CET.</w:t>
            </w:r>
          </w:p>
        </w:tc>
        <w:tc>
          <w:tcPr>
            <w:tcW w:w="756" w:type="dxa"/>
            <w:shd w:val="clear" w:color="auto" w:fill="C6EFCE"/>
            <w:noWrap/>
            <w:vAlign w:val="center"/>
          </w:tcPr>
          <w:p w14:paraId="35853347" w14:textId="1204565B" w:rsidR="00C972CB" w:rsidRDefault="002457F6">
            <w:pPr>
              <w:pStyle w:val="P68B1DB1-Normal11"/>
              <w:jc w:val="center"/>
              <w:rPr>
                <w:noProof/>
              </w:rPr>
            </w:pPr>
            <w:r>
              <w:rPr>
                <w:noProof/>
              </w:rPr>
              <w:t>2026</w:t>
            </w:r>
          </w:p>
        </w:tc>
        <w:tc>
          <w:tcPr>
            <w:tcW w:w="2793" w:type="dxa"/>
            <w:shd w:val="clear" w:color="auto" w:fill="C6EFCE"/>
            <w:noWrap/>
            <w:vAlign w:val="center"/>
          </w:tcPr>
          <w:p w14:paraId="520CFB57" w14:textId="40E79060" w:rsidR="00C972CB" w:rsidRDefault="002457F6">
            <w:pPr>
              <w:pStyle w:val="P68B1DB1-Normal12"/>
              <w:rPr>
                <w:rFonts w:ascii="Arial Narrow" w:hAnsi="Arial Narrow"/>
                <w:noProof/>
              </w:rPr>
            </w:pPr>
            <w:r>
              <w:rPr>
                <w:rFonts w:ascii="Arial Narrow" w:hAnsi="Arial Narrow"/>
                <w:noProof/>
              </w:rPr>
              <w:t>Sāk ekspluatēt vismaz 1000</w:t>
            </w:r>
            <w:r>
              <w:rPr>
                <w:noProof/>
              </w:rPr>
              <w:t xml:space="preserve"> </w:t>
            </w:r>
            <w:r>
              <w:rPr>
                <w:rFonts w:ascii="Arial Narrow" w:hAnsi="Arial Narrow"/>
                <w:noProof/>
              </w:rPr>
              <w:t>bezemisiju vai mazemisiju mazemisiju autobusu uzlādes stacijas.</w:t>
            </w:r>
          </w:p>
        </w:tc>
      </w:tr>
      <w:tr w:rsidR="00C972CB" w14:paraId="3B3A3368" w14:textId="77777777">
        <w:trPr>
          <w:trHeight w:val="309"/>
          <w:jc w:val="center"/>
        </w:trPr>
        <w:tc>
          <w:tcPr>
            <w:tcW w:w="1613" w:type="dxa"/>
            <w:shd w:val="clear" w:color="auto" w:fill="C6EFCE"/>
            <w:noWrap/>
            <w:vAlign w:val="center"/>
          </w:tcPr>
          <w:p w14:paraId="0FC13E9E" w14:textId="63167281" w:rsidR="00C972CB" w:rsidRDefault="002457F6">
            <w:pPr>
              <w:pStyle w:val="P68B1DB1-Normal11"/>
              <w:jc w:val="center"/>
              <w:rPr>
                <w:noProof/>
              </w:rPr>
            </w:pPr>
            <w:r>
              <w:rPr>
                <w:noProof/>
              </w:rPr>
              <w:t xml:space="preserve">M2C2–35 bis </w:t>
            </w:r>
          </w:p>
        </w:tc>
        <w:tc>
          <w:tcPr>
            <w:tcW w:w="1643" w:type="dxa"/>
            <w:shd w:val="clear" w:color="auto" w:fill="C6EFCE"/>
            <w:noWrap/>
            <w:vAlign w:val="center"/>
          </w:tcPr>
          <w:p w14:paraId="038BF8F0" w14:textId="6F33A523" w:rsidR="00C972CB" w:rsidRDefault="002457F6">
            <w:pPr>
              <w:pStyle w:val="P68B1DB1-Normal11"/>
              <w:jc w:val="center"/>
              <w:rPr>
                <w:noProof/>
              </w:rPr>
            </w:pPr>
            <w:r>
              <w:rPr>
                <w:noProof/>
              </w:rPr>
              <w:t xml:space="preserve">Ieguldījums 4.4.2.:  Reģionālā sabiedriskā transporta dzelzceļa parka stiprināšana ar bezemisiju vilcieniem un universālo </w:t>
            </w:r>
            <w:r>
              <w:rPr>
                <w:noProof/>
              </w:rPr>
              <w:t>pakalpojumu</w:t>
            </w:r>
          </w:p>
        </w:tc>
        <w:tc>
          <w:tcPr>
            <w:tcW w:w="1559" w:type="dxa"/>
            <w:shd w:val="clear" w:color="auto" w:fill="C6EFCE"/>
            <w:noWrap/>
            <w:vAlign w:val="center"/>
          </w:tcPr>
          <w:p w14:paraId="2BD9B1E2" w14:textId="2B532D99" w:rsidR="00C972CB" w:rsidRDefault="002457F6">
            <w:pPr>
              <w:pStyle w:val="P68B1DB1-Normal11"/>
              <w:jc w:val="center"/>
              <w:rPr>
                <w:noProof/>
              </w:rPr>
            </w:pPr>
            <w:r>
              <w:rPr>
                <w:noProof/>
              </w:rPr>
              <w:t>Mērķa</w:t>
            </w:r>
          </w:p>
        </w:tc>
        <w:tc>
          <w:tcPr>
            <w:tcW w:w="1559" w:type="dxa"/>
            <w:shd w:val="clear" w:color="auto" w:fill="C6EFCE"/>
            <w:noWrap/>
            <w:vAlign w:val="center"/>
          </w:tcPr>
          <w:p w14:paraId="5989E266" w14:textId="3109000E" w:rsidR="00C972CB" w:rsidRDefault="002457F6">
            <w:pPr>
              <w:pStyle w:val="P68B1DB1-Normal11"/>
              <w:jc w:val="center"/>
              <w:rPr>
                <w:noProof/>
              </w:rPr>
            </w:pPr>
            <w:r>
              <w:rPr>
                <w:noProof/>
              </w:rPr>
              <w:t xml:space="preserve">Bezemisiju vilcienu skaits un pārvadājumu skaits universālajam pakalpojumam </w:t>
            </w:r>
          </w:p>
        </w:tc>
        <w:tc>
          <w:tcPr>
            <w:tcW w:w="1843" w:type="dxa"/>
            <w:shd w:val="clear" w:color="auto" w:fill="C6EFCE"/>
            <w:noWrap/>
            <w:vAlign w:val="center"/>
          </w:tcPr>
          <w:p w14:paraId="19BF3ED8" w14:textId="4153D8C6" w:rsidR="00C972CB" w:rsidRDefault="002457F6">
            <w:pPr>
              <w:pStyle w:val="P68B1DB1-Normal11"/>
              <w:jc w:val="center"/>
              <w:rPr>
                <w:noProof/>
              </w:rPr>
            </w:pPr>
            <w:r>
              <w:rPr>
                <w:noProof/>
              </w:rPr>
              <w:t>NEPIEMĒRO</w:t>
            </w:r>
          </w:p>
        </w:tc>
        <w:tc>
          <w:tcPr>
            <w:tcW w:w="1417" w:type="dxa"/>
            <w:shd w:val="clear" w:color="auto" w:fill="C6EFCE"/>
            <w:noWrap/>
            <w:vAlign w:val="center"/>
          </w:tcPr>
          <w:p w14:paraId="58DAAB80" w14:textId="48B00CE7" w:rsidR="00C972CB" w:rsidRDefault="002457F6">
            <w:pPr>
              <w:pStyle w:val="P68B1DB1-Normal11"/>
              <w:jc w:val="center"/>
              <w:rPr>
                <w:noProof/>
              </w:rPr>
            </w:pPr>
            <w:r>
              <w:rPr>
                <w:noProof/>
              </w:rPr>
              <w:t>Skaits</w:t>
            </w:r>
          </w:p>
        </w:tc>
        <w:tc>
          <w:tcPr>
            <w:tcW w:w="1134" w:type="dxa"/>
            <w:shd w:val="clear" w:color="auto" w:fill="C6EFCE"/>
            <w:noWrap/>
            <w:vAlign w:val="center"/>
          </w:tcPr>
          <w:p w14:paraId="57F22ED5" w14:textId="24EBE61E" w:rsidR="00C972CB" w:rsidRDefault="002457F6">
            <w:pPr>
              <w:pStyle w:val="P68B1DB1-Normal11"/>
              <w:jc w:val="center"/>
              <w:rPr>
                <w:noProof/>
              </w:rPr>
            </w:pPr>
            <w:r>
              <w:rPr>
                <w:noProof/>
              </w:rPr>
              <w:t>25</w:t>
            </w:r>
          </w:p>
        </w:tc>
        <w:tc>
          <w:tcPr>
            <w:tcW w:w="946" w:type="dxa"/>
            <w:shd w:val="clear" w:color="auto" w:fill="C6EFCE"/>
            <w:noWrap/>
            <w:vAlign w:val="center"/>
          </w:tcPr>
          <w:p w14:paraId="00FB7959" w14:textId="08E7CB78" w:rsidR="00C972CB" w:rsidRDefault="002457F6">
            <w:pPr>
              <w:pStyle w:val="P68B1DB1-Normal11"/>
              <w:jc w:val="center"/>
              <w:rPr>
                <w:noProof/>
              </w:rPr>
            </w:pPr>
            <w:r>
              <w:rPr>
                <w:noProof/>
              </w:rPr>
              <w:t>66</w:t>
            </w:r>
          </w:p>
        </w:tc>
        <w:tc>
          <w:tcPr>
            <w:tcW w:w="992" w:type="dxa"/>
            <w:shd w:val="clear" w:color="auto" w:fill="C6EFCE"/>
            <w:noWrap/>
            <w:vAlign w:val="center"/>
          </w:tcPr>
          <w:p w14:paraId="4A6B0840" w14:textId="3F756168" w:rsidR="00C972CB" w:rsidRDefault="002457F6">
            <w:pPr>
              <w:pStyle w:val="P68B1DB1-Normal11"/>
              <w:jc w:val="center"/>
              <w:rPr>
                <w:noProof/>
              </w:rPr>
            </w:pPr>
            <w:r>
              <w:rPr>
                <w:noProof/>
              </w:rPr>
              <w:t>2. CET.</w:t>
            </w:r>
          </w:p>
        </w:tc>
        <w:tc>
          <w:tcPr>
            <w:tcW w:w="756" w:type="dxa"/>
            <w:shd w:val="clear" w:color="auto" w:fill="C6EFCE"/>
            <w:noWrap/>
            <w:vAlign w:val="center"/>
          </w:tcPr>
          <w:p w14:paraId="07284C95" w14:textId="1526B012" w:rsidR="00C972CB" w:rsidRDefault="002457F6">
            <w:pPr>
              <w:pStyle w:val="P68B1DB1-Normal11"/>
              <w:jc w:val="center"/>
              <w:rPr>
                <w:noProof/>
              </w:rPr>
            </w:pPr>
            <w:r>
              <w:rPr>
                <w:noProof/>
              </w:rPr>
              <w:t>2026</w:t>
            </w:r>
          </w:p>
        </w:tc>
        <w:tc>
          <w:tcPr>
            <w:tcW w:w="2793" w:type="dxa"/>
            <w:shd w:val="clear" w:color="auto" w:fill="C6EFCE"/>
            <w:noWrap/>
            <w:vAlign w:val="center"/>
          </w:tcPr>
          <w:p w14:paraId="083D5B7D" w14:textId="77777777" w:rsidR="00C972CB" w:rsidRDefault="002457F6">
            <w:pPr>
              <w:pStyle w:val="P68B1DB1-Normal11"/>
              <w:spacing w:after="120"/>
              <w:rPr>
                <w:noProof/>
              </w:rPr>
            </w:pPr>
            <w:r>
              <w:rPr>
                <w:noProof/>
              </w:rPr>
              <w:t>EK atbilstības deklarācijas nodošana ekspluatācijā un iegūšana saskaņā ar Likumdošanas dekrēta Nr. 57/2019 15. pantu (t. i., Dichiarazione di verifica di conformità CE di cui all’art 15 del D.Lgs 57/2019) attiecībā uz vismaz 53 bezemisiju vilcieniem reģion</w:t>
            </w:r>
            <w:r>
              <w:rPr>
                <w:noProof/>
              </w:rPr>
              <w:t xml:space="preserve">ālajam dzelzceļa parkam, vismaz 13 divmodāliem vilcieniem un 100 vagoniem universālajam pakalpojumam. </w:t>
            </w:r>
          </w:p>
          <w:p w14:paraId="300E9A17" w14:textId="34EB7FAF" w:rsidR="00C972CB" w:rsidRDefault="002457F6">
            <w:pPr>
              <w:pStyle w:val="P68B1DB1-Normal11"/>
              <w:rPr>
                <w:noProof/>
              </w:rPr>
            </w:pPr>
            <w:r>
              <w:rPr>
                <w:noProof/>
              </w:rPr>
              <w:t>Attiecībā uz universālo pakalpojumu/starppilsētu ritošais sastāvs, kas iegādāts ar ANM resursiem, pieder valstij. Tādējādi, beidzoties vēsturisko pakalpo</w:t>
            </w:r>
            <w:r>
              <w:rPr>
                <w:noProof/>
              </w:rPr>
              <w:t>jumu sniedzēju pakalpojumu līgumam, šis ritošais sastāvs tiks darīts pieejams jaunajam pakalpojumu līguma saņēmējam, pilnībā ievērojot Regulu (ES) Nr. 1370/2007.</w:t>
            </w:r>
          </w:p>
        </w:tc>
      </w:tr>
      <w:tr w:rsidR="00C972CB" w14:paraId="289F8605" w14:textId="77777777">
        <w:trPr>
          <w:trHeight w:val="309"/>
          <w:jc w:val="center"/>
        </w:trPr>
        <w:tc>
          <w:tcPr>
            <w:tcW w:w="1613" w:type="dxa"/>
            <w:shd w:val="clear" w:color="auto" w:fill="C6EFCE"/>
            <w:noWrap/>
            <w:vAlign w:val="center"/>
          </w:tcPr>
          <w:p w14:paraId="69D571FD" w14:textId="498E3C08" w:rsidR="00C972CB" w:rsidRDefault="002457F6">
            <w:pPr>
              <w:pStyle w:val="P68B1DB1-Normal11"/>
              <w:jc w:val="center"/>
              <w:rPr>
                <w:noProof/>
              </w:rPr>
            </w:pPr>
            <w:r>
              <w:rPr>
                <w:noProof/>
              </w:rPr>
              <w:t>M2C2–36</w:t>
            </w:r>
          </w:p>
        </w:tc>
        <w:tc>
          <w:tcPr>
            <w:tcW w:w="1643" w:type="dxa"/>
            <w:shd w:val="clear" w:color="auto" w:fill="C6EFCE"/>
            <w:noWrap/>
            <w:vAlign w:val="center"/>
          </w:tcPr>
          <w:p w14:paraId="3C82E55B" w14:textId="70A1E87A" w:rsidR="00C972CB" w:rsidRDefault="002457F6">
            <w:pPr>
              <w:pStyle w:val="P68B1DB1-Normal11"/>
              <w:jc w:val="center"/>
              <w:rPr>
                <w:noProof/>
              </w:rPr>
            </w:pPr>
            <w:r>
              <w:rPr>
                <w:noProof/>
              </w:rPr>
              <w:t>Ieguldījums 4.4.3.: Flotes atjaunošana Valsts ugunsdzēsības brigādes komandai</w:t>
            </w:r>
          </w:p>
        </w:tc>
        <w:tc>
          <w:tcPr>
            <w:tcW w:w="1559" w:type="dxa"/>
            <w:shd w:val="clear" w:color="auto" w:fill="C6EFCE"/>
            <w:noWrap/>
            <w:vAlign w:val="center"/>
          </w:tcPr>
          <w:p w14:paraId="04A5A3DC" w14:textId="0E608DE7" w:rsidR="00C972CB" w:rsidRDefault="002457F6">
            <w:pPr>
              <w:pStyle w:val="P68B1DB1-Normal11"/>
              <w:jc w:val="center"/>
              <w:rPr>
                <w:noProof/>
              </w:rPr>
            </w:pPr>
            <w:r>
              <w:rPr>
                <w:noProof/>
              </w:rPr>
              <w:t>Mērķa</w:t>
            </w:r>
          </w:p>
        </w:tc>
        <w:tc>
          <w:tcPr>
            <w:tcW w:w="1559" w:type="dxa"/>
            <w:shd w:val="clear" w:color="auto" w:fill="C6EFCE"/>
            <w:noWrap/>
            <w:vAlign w:val="center"/>
          </w:tcPr>
          <w:p w14:paraId="618BF38E" w14:textId="29309AE1" w:rsidR="00C972CB" w:rsidRDefault="002457F6">
            <w:pPr>
              <w:pStyle w:val="P68B1DB1-Normal11"/>
              <w:jc w:val="center"/>
              <w:rPr>
                <w:noProof/>
              </w:rPr>
            </w:pPr>
            <w:r>
              <w:rPr>
                <w:noProof/>
              </w:rPr>
              <w:t>Tīro transportlīdzekļu skaits parka atjaunošanai valsts ugunsdzēsības brigādes komandai</w:t>
            </w:r>
          </w:p>
        </w:tc>
        <w:tc>
          <w:tcPr>
            <w:tcW w:w="1843" w:type="dxa"/>
            <w:shd w:val="clear" w:color="auto" w:fill="C6EFCE"/>
            <w:noWrap/>
            <w:vAlign w:val="center"/>
          </w:tcPr>
          <w:p w14:paraId="510B771C" w14:textId="48B279E9" w:rsidR="00C972CB" w:rsidRDefault="002457F6">
            <w:pPr>
              <w:pStyle w:val="P68B1DB1-Normal11"/>
              <w:jc w:val="center"/>
              <w:rPr>
                <w:noProof/>
              </w:rPr>
            </w:pPr>
            <w:r>
              <w:rPr>
                <w:noProof/>
              </w:rPr>
              <w:t>NEPIEMĒRO</w:t>
            </w:r>
          </w:p>
        </w:tc>
        <w:tc>
          <w:tcPr>
            <w:tcW w:w="1417" w:type="dxa"/>
            <w:shd w:val="clear" w:color="auto" w:fill="C6EFCE"/>
            <w:noWrap/>
            <w:vAlign w:val="center"/>
          </w:tcPr>
          <w:p w14:paraId="3FE555EC" w14:textId="01FBC720" w:rsidR="00C972CB" w:rsidRDefault="002457F6">
            <w:pPr>
              <w:pStyle w:val="P68B1DB1-Normal11"/>
              <w:jc w:val="center"/>
              <w:rPr>
                <w:noProof/>
              </w:rPr>
            </w:pPr>
            <w:r>
              <w:rPr>
                <w:noProof/>
              </w:rPr>
              <w:t>Skaits</w:t>
            </w:r>
          </w:p>
        </w:tc>
        <w:tc>
          <w:tcPr>
            <w:tcW w:w="1134" w:type="dxa"/>
            <w:shd w:val="clear" w:color="auto" w:fill="C6EFCE"/>
            <w:noWrap/>
            <w:vAlign w:val="center"/>
          </w:tcPr>
          <w:p w14:paraId="5C1E1606" w14:textId="3312C42F" w:rsidR="00C972CB" w:rsidRDefault="002457F6">
            <w:pPr>
              <w:pStyle w:val="P68B1DB1-Normal11"/>
              <w:jc w:val="center"/>
              <w:rPr>
                <w:noProof/>
              </w:rPr>
            </w:pPr>
            <w:r>
              <w:rPr>
                <w:noProof/>
              </w:rPr>
              <w:t>0</w:t>
            </w:r>
          </w:p>
        </w:tc>
        <w:tc>
          <w:tcPr>
            <w:tcW w:w="946" w:type="dxa"/>
            <w:shd w:val="clear" w:color="auto" w:fill="C6EFCE"/>
            <w:noWrap/>
            <w:vAlign w:val="center"/>
          </w:tcPr>
          <w:p w14:paraId="093FD57A" w14:textId="0C4401BE" w:rsidR="00C972CB" w:rsidRDefault="002457F6">
            <w:pPr>
              <w:pStyle w:val="P68B1DB1-Normal12"/>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800</w:t>
            </w:r>
          </w:p>
        </w:tc>
        <w:tc>
          <w:tcPr>
            <w:tcW w:w="992" w:type="dxa"/>
            <w:shd w:val="clear" w:color="auto" w:fill="C6EFCE"/>
            <w:noWrap/>
            <w:vAlign w:val="center"/>
          </w:tcPr>
          <w:p w14:paraId="70ED4F02" w14:textId="1275D6EE" w:rsidR="00C972CB" w:rsidRDefault="002457F6">
            <w:pPr>
              <w:pStyle w:val="P68B1DB1-Normal11"/>
              <w:jc w:val="center"/>
              <w:rPr>
                <w:noProof/>
              </w:rPr>
            </w:pPr>
            <w:r>
              <w:rPr>
                <w:noProof/>
              </w:rPr>
              <w:t>2. CET.</w:t>
            </w:r>
          </w:p>
        </w:tc>
        <w:tc>
          <w:tcPr>
            <w:tcW w:w="756" w:type="dxa"/>
            <w:shd w:val="clear" w:color="auto" w:fill="C6EFCE"/>
            <w:noWrap/>
            <w:vAlign w:val="center"/>
          </w:tcPr>
          <w:p w14:paraId="5AFCE793" w14:textId="4DC33676" w:rsidR="00C972CB" w:rsidRDefault="002457F6">
            <w:pPr>
              <w:pStyle w:val="P68B1DB1-Normal11"/>
              <w:jc w:val="center"/>
              <w:rPr>
                <w:noProof/>
              </w:rPr>
            </w:pPr>
            <w:r>
              <w:rPr>
                <w:noProof/>
              </w:rPr>
              <w:t>2026</w:t>
            </w:r>
          </w:p>
        </w:tc>
        <w:tc>
          <w:tcPr>
            <w:tcW w:w="2793" w:type="dxa"/>
            <w:shd w:val="clear" w:color="auto" w:fill="C6EFCE"/>
            <w:noWrap/>
            <w:vAlign w:val="center"/>
          </w:tcPr>
          <w:p w14:paraId="550D2A14" w14:textId="3520004A" w:rsidR="00C972CB" w:rsidRDefault="002457F6">
            <w:pPr>
              <w:pStyle w:val="P68B1DB1-Normal12"/>
              <w:spacing w:after="120"/>
              <w:rPr>
                <w:rFonts w:ascii="Arial Narrow" w:hAnsi="Arial Narrow"/>
                <w:noProof/>
              </w:rPr>
            </w:pPr>
            <w:r>
              <w:rPr>
                <w:rFonts w:ascii="Arial Narrow" w:hAnsi="Arial Narrow"/>
                <w:noProof/>
              </w:rPr>
              <w:t>Nodot ekspluatācijā vismaz 3800</w:t>
            </w:r>
            <w:r>
              <w:rPr>
                <w:noProof/>
              </w:rPr>
              <w:t xml:space="preserve"> </w:t>
            </w:r>
            <w:r>
              <w:rPr>
                <w:rFonts w:ascii="Arial Narrow" w:hAnsi="Arial Narrow"/>
                <w:noProof/>
              </w:rPr>
              <w:t>tīru transportlīdzekļu parka atjaunošanai valsts ugunsdzēsēju brigādes komandai.</w:t>
            </w:r>
          </w:p>
          <w:p w14:paraId="334CE951" w14:textId="564D1E5F" w:rsidR="00C972CB" w:rsidRDefault="002457F6">
            <w:pPr>
              <w:pStyle w:val="P68B1DB1-Normal12"/>
              <w:rPr>
                <w:rFonts w:ascii="Arial Narrow" w:hAnsi="Arial Narrow"/>
                <w:noProof/>
              </w:rPr>
            </w:pPr>
            <w:r>
              <w:rPr>
                <w:rFonts w:ascii="Arial Narrow" w:hAnsi="Arial Narrow"/>
                <w:noProof/>
              </w:rPr>
              <w:t>3500</w:t>
            </w:r>
            <w:r>
              <w:rPr>
                <w:noProof/>
              </w:rPr>
              <w:t xml:space="preserve"> </w:t>
            </w:r>
            <w:r>
              <w:rPr>
                <w:rFonts w:ascii="Arial Narrow" w:hAnsi="Arial Narrow"/>
                <w:noProof/>
              </w:rPr>
              <w:t xml:space="preserve">transportlīdzekļiem var piemērot 100 % ekoloģisko marķējumu, jo tie ir 100 % elektriskie transportlīdzekļi, un uzlādes stacijas darbina ar fotoelementu paneļiem. 300 smagos transportlīdzekļus, 200 — lidostas un 100 — glābšanai pilsētās, ekspluatē tikai ar </w:t>
            </w:r>
            <w:r>
              <w:rPr>
                <w:rFonts w:ascii="Arial Narrow" w:hAnsi="Arial Narrow"/>
                <w:noProof/>
              </w:rPr>
              <w:t>biometānu un atbilst kritērijiem, kas noteikti Direktīvā 2018/2001 par atjaunojamiem energoresursiem (RED II direktīva). Biodegvielas un biometāna gāzes un biodegvielas ražotājiem ir jāiesniedz sertifikāti (Ilgtspējas apliecinājums), ko izsnieguši neatkarī</w:t>
            </w:r>
            <w:r>
              <w:rPr>
                <w:rFonts w:ascii="Arial Narrow" w:hAnsi="Arial Narrow"/>
                <w:noProof/>
              </w:rPr>
              <w:t xml:space="preserve">gi vērtētāji, kā paredzēts Direktīvā 2018/2001. Operators iegādājas izcelsmes apliecinājuma sertifikātus proporcionāli paredzamajam degvielas izmantojumam.  </w:t>
            </w:r>
          </w:p>
        </w:tc>
      </w:tr>
      <w:tr w:rsidR="00C972CB" w14:paraId="3D934462" w14:textId="77777777">
        <w:trPr>
          <w:trHeight w:val="309"/>
          <w:jc w:val="center"/>
        </w:trPr>
        <w:tc>
          <w:tcPr>
            <w:tcW w:w="1613" w:type="dxa"/>
            <w:shd w:val="clear" w:color="auto" w:fill="C6EFCE"/>
            <w:noWrap/>
            <w:vAlign w:val="center"/>
          </w:tcPr>
          <w:p w14:paraId="4F3644F2" w14:textId="71FD8371" w:rsidR="00C972CB" w:rsidRDefault="002457F6">
            <w:pPr>
              <w:pStyle w:val="P68B1DB1-Normal11"/>
              <w:jc w:val="center"/>
              <w:rPr>
                <w:noProof/>
              </w:rPr>
            </w:pPr>
            <w:r>
              <w:rPr>
                <w:noProof/>
              </w:rPr>
              <w:t>M2C2–38bis</w:t>
            </w:r>
          </w:p>
        </w:tc>
        <w:tc>
          <w:tcPr>
            <w:tcW w:w="1643" w:type="dxa"/>
            <w:shd w:val="clear" w:color="auto" w:fill="C6EFCE"/>
            <w:noWrap/>
            <w:vAlign w:val="center"/>
          </w:tcPr>
          <w:p w14:paraId="6FFFD400" w14:textId="25A87519" w:rsidR="00C972CB" w:rsidRDefault="002457F6">
            <w:pPr>
              <w:pStyle w:val="P68B1DB1-Normal11"/>
              <w:jc w:val="center"/>
              <w:rPr>
                <w:noProof/>
              </w:rPr>
            </w:pPr>
            <w:r>
              <w:rPr>
                <w:noProof/>
              </w:rPr>
              <w:t>Ieguldījums 5.1.: Atjaunojamie energoresursi un akumulatori</w:t>
            </w:r>
          </w:p>
        </w:tc>
        <w:tc>
          <w:tcPr>
            <w:tcW w:w="1559" w:type="dxa"/>
            <w:shd w:val="clear" w:color="auto" w:fill="C6EFCE"/>
            <w:noWrap/>
            <w:vAlign w:val="center"/>
          </w:tcPr>
          <w:p w14:paraId="4474E6E8" w14:textId="4AA0FB0D" w:rsidR="00C972CB" w:rsidRDefault="002457F6">
            <w:pPr>
              <w:pStyle w:val="P68B1DB1-Normal11"/>
              <w:jc w:val="center"/>
              <w:rPr>
                <w:noProof/>
              </w:rPr>
            </w:pPr>
            <w:r>
              <w:rPr>
                <w:noProof/>
              </w:rPr>
              <w:t>Starpposma mērķis</w:t>
            </w:r>
          </w:p>
        </w:tc>
        <w:tc>
          <w:tcPr>
            <w:tcW w:w="1559" w:type="dxa"/>
            <w:shd w:val="clear" w:color="auto" w:fill="C6EFCE"/>
            <w:noWrap/>
            <w:vAlign w:val="center"/>
          </w:tcPr>
          <w:p w14:paraId="53CB2321" w14:textId="1CCBF9B1" w:rsidR="00C972CB" w:rsidRDefault="002457F6">
            <w:pPr>
              <w:pStyle w:val="P68B1DB1-Normal11"/>
              <w:jc w:val="center"/>
              <w:rPr>
                <w:noProof/>
              </w:rPr>
            </w:pPr>
            <w:r>
              <w:rPr>
                <w:noProof/>
              </w:rPr>
              <w:t>Īstenošanas nolīgums</w:t>
            </w:r>
          </w:p>
        </w:tc>
        <w:tc>
          <w:tcPr>
            <w:tcW w:w="1843" w:type="dxa"/>
            <w:shd w:val="clear" w:color="auto" w:fill="C6EFCE"/>
            <w:noWrap/>
            <w:vAlign w:val="center"/>
          </w:tcPr>
          <w:p w14:paraId="330F8274" w14:textId="5836B837" w:rsidR="00C972CB" w:rsidRDefault="002457F6">
            <w:pPr>
              <w:pStyle w:val="P68B1DB1-Normal11"/>
              <w:jc w:val="center"/>
              <w:rPr>
                <w:noProof/>
              </w:rPr>
            </w:pPr>
            <w:r>
              <w:rPr>
                <w:noProof/>
              </w:rPr>
              <w:t>Īstenošanas nolīguma stāšanās spēkā</w:t>
            </w:r>
          </w:p>
        </w:tc>
        <w:tc>
          <w:tcPr>
            <w:tcW w:w="1417" w:type="dxa"/>
            <w:shd w:val="clear" w:color="auto" w:fill="C6EFCE"/>
            <w:noWrap/>
          </w:tcPr>
          <w:p w14:paraId="750C7155" w14:textId="77777777" w:rsidR="00C972CB" w:rsidRDefault="00C972CB">
            <w:pPr>
              <w:jc w:val="center"/>
              <w:rPr>
                <w:rFonts w:ascii="Arial Narrow" w:hAnsi="Arial Narrow"/>
                <w:noProof/>
                <w:color w:val="006100"/>
                <w:sz w:val="20"/>
              </w:rPr>
            </w:pPr>
          </w:p>
        </w:tc>
        <w:tc>
          <w:tcPr>
            <w:tcW w:w="1134" w:type="dxa"/>
            <w:shd w:val="clear" w:color="auto" w:fill="C6EFCE"/>
            <w:noWrap/>
            <w:vAlign w:val="center"/>
          </w:tcPr>
          <w:p w14:paraId="7964B7DF" w14:textId="77777777" w:rsidR="00C972CB" w:rsidRDefault="00C972CB">
            <w:pPr>
              <w:jc w:val="center"/>
              <w:rPr>
                <w:rFonts w:ascii="Arial Narrow" w:hAnsi="Arial Narrow"/>
                <w:noProof/>
                <w:color w:val="006100"/>
                <w:sz w:val="20"/>
              </w:rPr>
            </w:pPr>
          </w:p>
        </w:tc>
        <w:tc>
          <w:tcPr>
            <w:tcW w:w="946" w:type="dxa"/>
            <w:shd w:val="clear" w:color="auto" w:fill="C6EFCE"/>
            <w:noWrap/>
            <w:vAlign w:val="center"/>
          </w:tcPr>
          <w:p w14:paraId="27EED8BB" w14:textId="77777777" w:rsidR="00C972CB" w:rsidRDefault="00C972CB">
            <w:pPr>
              <w:jc w:val="center"/>
              <w:rPr>
                <w:rFonts w:ascii="Arial Narrow" w:hAnsi="Arial Narrow"/>
                <w:noProof/>
                <w:color w:val="006100"/>
                <w:sz w:val="20"/>
              </w:rPr>
            </w:pPr>
          </w:p>
        </w:tc>
        <w:tc>
          <w:tcPr>
            <w:tcW w:w="992" w:type="dxa"/>
            <w:shd w:val="clear" w:color="auto" w:fill="C6EFCE"/>
            <w:noWrap/>
            <w:vAlign w:val="center"/>
          </w:tcPr>
          <w:p w14:paraId="10FD3502" w14:textId="464609AB" w:rsidR="00C972CB" w:rsidRDefault="002457F6">
            <w:pPr>
              <w:pStyle w:val="P68B1DB1-Normal11"/>
              <w:jc w:val="center"/>
              <w:rPr>
                <w:noProof/>
              </w:rPr>
            </w:pPr>
            <w:r>
              <w:rPr>
                <w:noProof/>
              </w:rPr>
              <w:t>4. CET.</w:t>
            </w:r>
          </w:p>
        </w:tc>
        <w:tc>
          <w:tcPr>
            <w:tcW w:w="756" w:type="dxa"/>
            <w:shd w:val="clear" w:color="auto" w:fill="C6EFCE"/>
            <w:noWrap/>
            <w:vAlign w:val="center"/>
          </w:tcPr>
          <w:p w14:paraId="5CE7549B" w14:textId="07EDD059" w:rsidR="00C972CB" w:rsidRDefault="002457F6">
            <w:pPr>
              <w:pStyle w:val="P68B1DB1-Normal11"/>
              <w:jc w:val="center"/>
              <w:rPr>
                <w:noProof/>
              </w:rPr>
            </w:pPr>
            <w:r>
              <w:rPr>
                <w:noProof/>
              </w:rPr>
              <w:t>2024</w:t>
            </w:r>
          </w:p>
        </w:tc>
        <w:tc>
          <w:tcPr>
            <w:tcW w:w="2793" w:type="dxa"/>
            <w:shd w:val="clear" w:color="auto" w:fill="C6EFCE"/>
            <w:noWrap/>
            <w:vAlign w:val="center"/>
          </w:tcPr>
          <w:p w14:paraId="31A5B811" w14:textId="495E9709" w:rsidR="00C972CB" w:rsidRDefault="002457F6">
            <w:pPr>
              <w:pStyle w:val="P68B1DB1-Normal11"/>
              <w:rPr>
                <w:noProof/>
              </w:rPr>
            </w:pPr>
            <w:r>
              <w:rPr>
                <w:noProof/>
              </w:rPr>
              <w:t>Īstenošanas nolīguma stāšanās spēkā.</w:t>
            </w:r>
          </w:p>
        </w:tc>
      </w:tr>
      <w:tr w:rsidR="00C972CB" w14:paraId="38BA111C" w14:textId="77777777">
        <w:trPr>
          <w:trHeight w:val="309"/>
          <w:jc w:val="center"/>
        </w:trPr>
        <w:tc>
          <w:tcPr>
            <w:tcW w:w="1613" w:type="dxa"/>
            <w:shd w:val="clear" w:color="auto" w:fill="C6EFCE"/>
            <w:noWrap/>
            <w:vAlign w:val="center"/>
          </w:tcPr>
          <w:p w14:paraId="38A2A77C" w14:textId="5141008F" w:rsidR="00C972CB" w:rsidRDefault="002457F6">
            <w:pPr>
              <w:pStyle w:val="P68B1DB1-Normal11"/>
              <w:jc w:val="center"/>
              <w:rPr>
                <w:noProof/>
              </w:rPr>
            </w:pPr>
            <w:r>
              <w:rPr>
                <w:noProof/>
              </w:rPr>
              <w:t>M2C2–39</w:t>
            </w:r>
          </w:p>
        </w:tc>
        <w:tc>
          <w:tcPr>
            <w:tcW w:w="1643" w:type="dxa"/>
            <w:shd w:val="clear" w:color="auto" w:fill="C6EFCE"/>
            <w:noWrap/>
            <w:vAlign w:val="center"/>
          </w:tcPr>
          <w:p w14:paraId="53001829" w14:textId="45BF4CBC" w:rsidR="00C972CB" w:rsidRDefault="002457F6">
            <w:pPr>
              <w:pStyle w:val="P68B1DB1-Normal11"/>
              <w:jc w:val="center"/>
              <w:rPr>
                <w:noProof/>
              </w:rPr>
            </w:pPr>
            <w:r>
              <w:rPr>
                <w:noProof/>
              </w:rPr>
              <w:t>Ieguldījums 5.1. Atjaunojamie energoresursi un akumulatori</w:t>
            </w:r>
          </w:p>
        </w:tc>
        <w:tc>
          <w:tcPr>
            <w:tcW w:w="1559" w:type="dxa"/>
            <w:shd w:val="clear" w:color="auto" w:fill="C6EFCE"/>
            <w:noWrap/>
            <w:vAlign w:val="center"/>
          </w:tcPr>
          <w:p w14:paraId="45ABCE1C" w14:textId="56EF9985" w:rsidR="00C972CB" w:rsidRDefault="002457F6">
            <w:pPr>
              <w:pStyle w:val="P68B1DB1-Normal11"/>
              <w:jc w:val="center"/>
              <w:rPr>
                <w:noProof/>
              </w:rPr>
            </w:pPr>
            <w:r>
              <w:rPr>
                <w:noProof/>
              </w:rPr>
              <w:t>Starpposma mērķis</w:t>
            </w:r>
          </w:p>
        </w:tc>
        <w:tc>
          <w:tcPr>
            <w:tcW w:w="1559" w:type="dxa"/>
            <w:shd w:val="clear" w:color="auto" w:fill="C6EFCE"/>
            <w:noWrap/>
            <w:vAlign w:val="center"/>
          </w:tcPr>
          <w:p w14:paraId="6B0EF39E" w14:textId="40E15942" w:rsidR="00C972CB" w:rsidRDefault="002457F6">
            <w:pPr>
              <w:pStyle w:val="P68B1DB1-Normal11"/>
              <w:jc w:val="center"/>
              <w:rPr>
                <w:noProof/>
              </w:rPr>
            </w:pPr>
            <w:r>
              <w:rPr>
                <w:noProof/>
              </w:rPr>
              <w:t xml:space="preserve">Itālijas Uzņēmumu un Madu ministrija ir pabeigusi līdzekļu </w:t>
            </w:r>
            <w:r>
              <w:rPr>
                <w:noProof/>
              </w:rPr>
              <w:t>pārskaitīšanu Invitalia S.p.A.</w:t>
            </w:r>
          </w:p>
        </w:tc>
        <w:tc>
          <w:tcPr>
            <w:tcW w:w="1843" w:type="dxa"/>
            <w:shd w:val="clear" w:color="auto" w:fill="C6EFCE"/>
            <w:noWrap/>
            <w:vAlign w:val="center"/>
          </w:tcPr>
          <w:p w14:paraId="37A4E05F" w14:textId="202A1FEE" w:rsidR="00C972CB" w:rsidRDefault="002457F6">
            <w:pPr>
              <w:pStyle w:val="P68B1DB1-Normal11"/>
              <w:jc w:val="center"/>
              <w:rPr>
                <w:noProof/>
              </w:rPr>
            </w:pPr>
            <w:r>
              <w:rPr>
                <w:noProof/>
              </w:rPr>
              <w:t>Nodošanas sertifikāts</w:t>
            </w:r>
          </w:p>
        </w:tc>
        <w:tc>
          <w:tcPr>
            <w:tcW w:w="1417" w:type="dxa"/>
            <w:shd w:val="clear" w:color="auto" w:fill="C6EFCE"/>
            <w:noWrap/>
          </w:tcPr>
          <w:p w14:paraId="4B406C9C" w14:textId="77777777" w:rsidR="00C972CB" w:rsidRDefault="00C972CB">
            <w:pPr>
              <w:jc w:val="center"/>
              <w:rPr>
                <w:rFonts w:ascii="Arial Narrow" w:hAnsi="Arial Narrow"/>
                <w:noProof/>
                <w:color w:val="006100"/>
                <w:sz w:val="20"/>
              </w:rPr>
            </w:pPr>
          </w:p>
        </w:tc>
        <w:tc>
          <w:tcPr>
            <w:tcW w:w="1134" w:type="dxa"/>
            <w:shd w:val="clear" w:color="auto" w:fill="C6EFCE"/>
            <w:noWrap/>
            <w:vAlign w:val="center"/>
          </w:tcPr>
          <w:p w14:paraId="01937D2F" w14:textId="77777777" w:rsidR="00C972CB" w:rsidRDefault="00C972CB">
            <w:pPr>
              <w:jc w:val="center"/>
              <w:rPr>
                <w:rFonts w:ascii="Arial Narrow" w:hAnsi="Arial Narrow"/>
                <w:noProof/>
                <w:color w:val="006100"/>
                <w:sz w:val="20"/>
              </w:rPr>
            </w:pPr>
          </w:p>
        </w:tc>
        <w:tc>
          <w:tcPr>
            <w:tcW w:w="946" w:type="dxa"/>
            <w:shd w:val="clear" w:color="auto" w:fill="C6EFCE"/>
            <w:noWrap/>
            <w:vAlign w:val="center"/>
          </w:tcPr>
          <w:p w14:paraId="123625C1" w14:textId="77777777" w:rsidR="00C972CB" w:rsidRDefault="00C972CB">
            <w:pPr>
              <w:jc w:val="center"/>
              <w:rPr>
                <w:rFonts w:ascii="Arial Narrow" w:hAnsi="Arial Narrow"/>
                <w:noProof/>
                <w:color w:val="006100"/>
                <w:sz w:val="20"/>
              </w:rPr>
            </w:pPr>
          </w:p>
        </w:tc>
        <w:tc>
          <w:tcPr>
            <w:tcW w:w="992" w:type="dxa"/>
            <w:shd w:val="clear" w:color="auto" w:fill="C6EFCE"/>
            <w:noWrap/>
            <w:vAlign w:val="center"/>
          </w:tcPr>
          <w:p w14:paraId="42532100" w14:textId="0B17B6F8" w:rsidR="00C972CB" w:rsidRDefault="002457F6">
            <w:pPr>
              <w:pStyle w:val="P68B1DB1-Normal11"/>
              <w:jc w:val="center"/>
              <w:rPr>
                <w:noProof/>
              </w:rPr>
            </w:pPr>
            <w:r>
              <w:rPr>
                <w:noProof/>
              </w:rPr>
              <w:t>4. CET.</w:t>
            </w:r>
          </w:p>
        </w:tc>
        <w:tc>
          <w:tcPr>
            <w:tcW w:w="756" w:type="dxa"/>
            <w:shd w:val="clear" w:color="auto" w:fill="C6EFCE"/>
            <w:noWrap/>
            <w:vAlign w:val="center"/>
          </w:tcPr>
          <w:p w14:paraId="0A25D1B6" w14:textId="27D302D7" w:rsidR="00C972CB" w:rsidRDefault="002457F6">
            <w:pPr>
              <w:pStyle w:val="P68B1DB1-Normal11"/>
              <w:jc w:val="center"/>
              <w:rPr>
                <w:noProof/>
              </w:rPr>
            </w:pPr>
            <w:r>
              <w:rPr>
                <w:noProof/>
              </w:rPr>
              <w:t>2024</w:t>
            </w:r>
          </w:p>
        </w:tc>
        <w:tc>
          <w:tcPr>
            <w:tcW w:w="2793" w:type="dxa"/>
            <w:shd w:val="clear" w:color="auto" w:fill="C6EFCE"/>
            <w:noWrap/>
            <w:vAlign w:val="center"/>
          </w:tcPr>
          <w:p w14:paraId="67EAE0AC" w14:textId="156131B7" w:rsidR="00C972CB" w:rsidRDefault="002457F6">
            <w:pPr>
              <w:pStyle w:val="P68B1DB1-Normal12"/>
              <w:rPr>
                <w:rFonts w:ascii="Arial Narrow" w:hAnsi="Arial Narrow"/>
                <w:noProof/>
              </w:rPr>
            </w:pPr>
            <w:r>
              <w:rPr>
                <w:rFonts w:ascii="Arial Narrow" w:hAnsi="Arial Narrow"/>
                <w:noProof/>
              </w:rPr>
              <w:t>Itālija pārskaita Invitalia S.p.A.  EUR1000000000 Mehānisma vajadzībām.</w:t>
            </w:r>
          </w:p>
        </w:tc>
      </w:tr>
      <w:tr w:rsidR="00C972CB" w14:paraId="268061FF" w14:textId="77777777">
        <w:trPr>
          <w:trHeight w:val="309"/>
          <w:jc w:val="center"/>
        </w:trPr>
        <w:tc>
          <w:tcPr>
            <w:tcW w:w="1613" w:type="dxa"/>
            <w:shd w:val="clear" w:color="auto" w:fill="C6EFCE"/>
            <w:noWrap/>
            <w:vAlign w:val="center"/>
          </w:tcPr>
          <w:p w14:paraId="66557E2F" w14:textId="32D2FBE7" w:rsidR="00C972CB" w:rsidRDefault="002457F6">
            <w:pPr>
              <w:pStyle w:val="P68B1DB1-Normal11"/>
              <w:jc w:val="center"/>
              <w:rPr>
                <w:noProof/>
              </w:rPr>
            </w:pPr>
            <w:r>
              <w:rPr>
                <w:noProof/>
              </w:rPr>
              <w:t>M2C2–40</w:t>
            </w:r>
          </w:p>
        </w:tc>
        <w:tc>
          <w:tcPr>
            <w:tcW w:w="1643" w:type="dxa"/>
            <w:shd w:val="clear" w:color="auto" w:fill="C6EFCE"/>
            <w:noWrap/>
            <w:vAlign w:val="center"/>
          </w:tcPr>
          <w:p w14:paraId="78D6B58D" w14:textId="6316991E" w:rsidR="00C972CB" w:rsidRDefault="002457F6">
            <w:pPr>
              <w:pStyle w:val="P68B1DB1-Normal11"/>
              <w:jc w:val="center"/>
              <w:rPr>
                <w:noProof/>
              </w:rPr>
            </w:pPr>
            <w:r>
              <w:rPr>
                <w:noProof/>
              </w:rPr>
              <w:t>Ieguldījums 5.1.1.:  Atjaunojamie energoresursi un akumulatori</w:t>
            </w:r>
          </w:p>
        </w:tc>
        <w:tc>
          <w:tcPr>
            <w:tcW w:w="1559" w:type="dxa"/>
            <w:shd w:val="clear" w:color="auto" w:fill="C6EFCE"/>
            <w:noWrap/>
            <w:vAlign w:val="center"/>
          </w:tcPr>
          <w:p w14:paraId="5FFFD250" w14:textId="74FD09AF" w:rsidR="00C972CB" w:rsidRDefault="002457F6">
            <w:pPr>
              <w:pStyle w:val="P68B1DB1-Normal11"/>
              <w:jc w:val="center"/>
              <w:rPr>
                <w:noProof/>
              </w:rPr>
            </w:pPr>
            <w:r>
              <w:rPr>
                <w:noProof/>
              </w:rPr>
              <w:t>Mērķa</w:t>
            </w:r>
          </w:p>
        </w:tc>
        <w:tc>
          <w:tcPr>
            <w:tcW w:w="1559" w:type="dxa"/>
            <w:shd w:val="clear" w:color="auto" w:fill="C6EFCE"/>
            <w:noWrap/>
            <w:vAlign w:val="center"/>
          </w:tcPr>
          <w:p w14:paraId="74343D12" w14:textId="2A696D18" w:rsidR="00C972CB" w:rsidRDefault="002457F6">
            <w:pPr>
              <w:pStyle w:val="P68B1DB1-Normal11"/>
              <w:jc w:val="center"/>
              <w:rPr>
                <w:noProof/>
              </w:rPr>
            </w:pPr>
            <w:r>
              <w:rPr>
                <w:noProof/>
              </w:rPr>
              <w:t xml:space="preserve">Ar galīgajiem saņēmējiem parakstīti </w:t>
            </w:r>
            <w:r>
              <w:rPr>
                <w:noProof/>
              </w:rPr>
              <w:t>juridiski nolīgumi par fotoelementu vai vēja tehnoloģiju enerģijas ražošanas jaudu</w:t>
            </w:r>
          </w:p>
        </w:tc>
        <w:tc>
          <w:tcPr>
            <w:tcW w:w="1843" w:type="dxa"/>
            <w:shd w:val="clear" w:color="auto" w:fill="C6EFCE"/>
            <w:noWrap/>
            <w:vAlign w:val="center"/>
          </w:tcPr>
          <w:p w14:paraId="1317DEF7" w14:textId="77777777" w:rsidR="00C972CB" w:rsidRDefault="00C972CB">
            <w:pPr>
              <w:jc w:val="center"/>
              <w:rPr>
                <w:rFonts w:ascii="Arial Narrow" w:hAnsi="Arial Narrow"/>
                <w:noProof/>
                <w:color w:val="006100"/>
                <w:sz w:val="20"/>
              </w:rPr>
            </w:pPr>
          </w:p>
        </w:tc>
        <w:tc>
          <w:tcPr>
            <w:tcW w:w="1417" w:type="dxa"/>
            <w:shd w:val="clear" w:color="auto" w:fill="C6EFCE"/>
            <w:noWrap/>
            <w:vAlign w:val="center"/>
          </w:tcPr>
          <w:p w14:paraId="15D17449" w14:textId="298B0890" w:rsidR="00C972CB" w:rsidRDefault="002457F6">
            <w:pPr>
              <w:pStyle w:val="P68B1DB1-Normal11"/>
              <w:jc w:val="center"/>
              <w:rPr>
                <w:noProof/>
              </w:rPr>
            </w:pPr>
            <w:r>
              <w:rPr>
                <w:noProof/>
              </w:rPr>
              <w:t>Procentuālā daļa (%)</w:t>
            </w:r>
          </w:p>
        </w:tc>
        <w:tc>
          <w:tcPr>
            <w:tcW w:w="1134" w:type="dxa"/>
            <w:shd w:val="clear" w:color="auto" w:fill="C6EFCE"/>
            <w:noWrap/>
            <w:vAlign w:val="center"/>
          </w:tcPr>
          <w:p w14:paraId="1F66E418" w14:textId="55D443CB" w:rsidR="00C972CB" w:rsidRDefault="002457F6">
            <w:pPr>
              <w:pStyle w:val="P68B1DB1-Normal11"/>
              <w:jc w:val="center"/>
              <w:rPr>
                <w:noProof/>
              </w:rPr>
            </w:pPr>
            <w:r>
              <w:rPr>
                <w:noProof/>
              </w:rPr>
              <w:t>0</w:t>
            </w:r>
          </w:p>
        </w:tc>
        <w:tc>
          <w:tcPr>
            <w:tcW w:w="946" w:type="dxa"/>
            <w:shd w:val="clear" w:color="auto" w:fill="C6EFCE"/>
            <w:noWrap/>
            <w:vAlign w:val="center"/>
          </w:tcPr>
          <w:p w14:paraId="494942D0" w14:textId="4B39A786" w:rsidR="00C972CB" w:rsidRDefault="002457F6">
            <w:pPr>
              <w:pStyle w:val="P68B1DB1-Normal11"/>
              <w:jc w:val="center"/>
              <w:rPr>
                <w:noProof/>
              </w:rPr>
            </w:pPr>
            <w:r>
              <w:rPr>
                <w:noProof/>
              </w:rPr>
              <w:t>100 %</w:t>
            </w:r>
          </w:p>
        </w:tc>
        <w:tc>
          <w:tcPr>
            <w:tcW w:w="992" w:type="dxa"/>
            <w:shd w:val="clear" w:color="auto" w:fill="C6EFCE"/>
            <w:noWrap/>
            <w:vAlign w:val="center"/>
          </w:tcPr>
          <w:p w14:paraId="1A94F417" w14:textId="7DDCA547" w:rsidR="00C972CB" w:rsidRDefault="002457F6">
            <w:pPr>
              <w:pStyle w:val="P68B1DB1-Normal11"/>
              <w:jc w:val="center"/>
              <w:rPr>
                <w:noProof/>
              </w:rPr>
            </w:pPr>
            <w:r>
              <w:rPr>
                <w:noProof/>
              </w:rPr>
              <w:t>4. CET.</w:t>
            </w:r>
          </w:p>
        </w:tc>
        <w:tc>
          <w:tcPr>
            <w:tcW w:w="756" w:type="dxa"/>
            <w:shd w:val="clear" w:color="auto" w:fill="C6EFCE"/>
            <w:noWrap/>
            <w:vAlign w:val="center"/>
          </w:tcPr>
          <w:p w14:paraId="5F64D79E" w14:textId="14BDA0B0" w:rsidR="00C972CB" w:rsidRDefault="002457F6">
            <w:pPr>
              <w:pStyle w:val="P68B1DB1-Normal11"/>
              <w:jc w:val="center"/>
              <w:rPr>
                <w:noProof/>
              </w:rPr>
            </w:pPr>
            <w:r>
              <w:rPr>
                <w:noProof/>
              </w:rPr>
              <w:t>2025</w:t>
            </w:r>
          </w:p>
        </w:tc>
        <w:tc>
          <w:tcPr>
            <w:tcW w:w="2793" w:type="dxa"/>
            <w:shd w:val="clear" w:color="auto" w:fill="C6EFCE"/>
            <w:noWrap/>
            <w:vAlign w:val="center"/>
          </w:tcPr>
          <w:p w14:paraId="3AB0AA41" w14:textId="49CA3835" w:rsidR="00C972CB" w:rsidRDefault="002457F6">
            <w:pPr>
              <w:pStyle w:val="P68B1DB1-Normal11"/>
              <w:rPr>
                <w:noProof/>
              </w:rPr>
            </w:pPr>
            <w:r>
              <w:rPr>
                <w:noProof/>
              </w:rPr>
              <w:t xml:space="preserve">Invitalia S.p.A. ir noslēdzis likumīgas finansēšanas nolīgumus ar galasaņēmējiem par summu, kas nepieciešama, lai mehānismā </w:t>
            </w:r>
            <w:r>
              <w:rPr>
                <w:noProof/>
              </w:rPr>
              <w:t>izmantotu 100 % ANM ieguldījumu (ņemot vērā pārvaldības maksas).</w:t>
            </w:r>
          </w:p>
        </w:tc>
      </w:tr>
      <w:tr w:rsidR="00C972CB" w14:paraId="52E39CE5" w14:textId="77777777">
        <w:trPr>
          <w:trHeight w:val="309"/>
          <w:jc w:val="center"/>
        </w:trPr>
        <w:tc>
          <w:tcPr>
            <w:tcW w:w="1613" w:type="dxa"/>
            <w:shd w:val="clear" w:color="auto" w:fill="C6EFCE"/>
            <w:noWrap/>
            <w:vAlign w:val="center"/>
          </w:tcPr>
          <w:p w14:paraId="7C92CB11" w14:textId="624438C6" w:rsidR="00C972CB" w:rsidRDefault="002457F6">
            <w:pPr>
              <w:pStyle w:val="P68B1DB1-Normal11"/>
              <w:jc w:val="both"/>
              <w:rPr>
                <w:noProof/>
              </w:rPr>
            </w:pPr>
            <w:r>
              <w:rPr>
                <w:noProof/>
              </w:rPr>
              <w:t>M2C2–42 BIS</w:t>
            </w:r>
          </w:p>
        </w:tc>
        <w:tc>
          <w:tcPr>
            <w:tcW w:w="1643" w:type="dxa"/>
            <w:shd w:val="clear" w:color="auto" w:fill="C6EFCE"/>
            <w:noWrap/>
            <w:vAlign w:val="center"/>
          </w:tcPr>
          <w:p w14:paraId="268556FE" w14:textId="50CB54F5" w:rsidR="00C972CB" w:rsidRDefault="002457F6">
            <w:pPr>
              <w:pStyle w:val="P68B1DB1-Normal11"/>
              <w:jc w:val="both"/>
              <w:rPr>
                <w:noProof/>
              </w:rPr>
            </w:pPr>
            <w:r>
              <w:rPr>
                <w:noProof/>
              </w:rPr>
              <w:t>Ieguldījums 5.4 — Atbalsts jaunuzņēmumiem un riska kapitālam, kas aktīvi darbojas ekoloģiskās pārkārtošanās procesā.</w:t>
            </w:r>
          </w:p>
        </w:tc>
        <w:tc>
          <w:tcPr>
            <w:tcW w:w="1559" w:type="dxa"/>
            <w:shd w:val="clear" w:color="auto" w:fill="C6EFCE"/>
            <w:noWrap/>
            <w:vAlign w:val="center"/>
          </w:tcPr>
          <w:p w14:paraId="64672603" w14:textId="7756D228" w:rsidR="00C972CB" w:rsidRDefault="002457F6">
            <w:pPr>
              <w:pStyle w:val="P68B1DB1-Normal11"/>
              <w:jc w:val="both"/>
              <w:rPr>
                <w:noProof/>
              </w:rPr>
            </w:pPr>
            <w:r>
              <w:rPr>
                <w:noProof/>
              </w:rPr>
              <w:t>Starpposma mērķis</w:t>
            </w:r>
          </w:p>
        </w:tc>
        <w:tc>
          <w:tcPr>
            <w:tcW w:w="1559" w:type="dxa"/>
            <w:shd w:val="clear" w:color="auto" w:fill="C6EFCE"/>
            <w:noWrap/>
            <w:vAlign w:val="center"/>
          </w:tcPr>
          <w:p w14:paraId="642A35D4" w14:textId="14AF6B7A" w:rsidR="00C972CB" w:rsidRDefault="002457F6">
            <w:pPr>
              <w:pStyle w:val="P68B1DB1-Normal11"/>
              <w:jc w:val="both"/>
              <w:rPr>
                <w:noProof/>
              </w:rPr>
            </w:pPr>
            <w:r>
              <w:rPr>
                <w:noProof/>
              </w:rPr>
              <w:t xml:space="preserve">Ministrija ir pabeigusi līdzekļu nodošanu </w:t>
            </w:r>
            <w:r>
              <w:rPr>
                <w:noProof/>
              </w:rPr>
              <w:t>CDP riska kapitālam SGR</w:t>
            </w:r>
          </w:p>
        </w:tc>
        <w:tc>
          <w:tcPr>
            <w:tcW w:w="1843" w:type="dxa"/>
            <w:shd w:val="clear" w:color="auto" w:fill="C6EFCE"/>
            <w:noWrap/>
            <w:vAlign w:val="center"/>
          </w:tcPr>
          <w:p w14:paraId="425FDFB4" w14:textId="75E4BDDC" w:rsidR="00C972CB" w:rsidRDefault="002457F6">
            <w:pPr>
              <w:pStyle w:val="P68B1DB1-Normal11"/>
              <w:jc w:val="center"/>
              <w:rPr>
                <w:noProof/>
              </w:rPr>
            </w:pPr>
            <w:r>
              <w:rPr>
                <w:noProof/>
              </w:rPr>
              <w:t>Nodošanas sertifikāts</w:t>
            </w:r>
          </w:p>
        </w:tc>
        <w:tc>
          <w:tcPr>
            <w:tcW w:w="1417" w:type="dxa"/>
            <w:shd w:val="clear" w:color="auto" w:fill="C6EFCE"/>
            <w:noWrap/>
            <w:vAlign w:val="center"/>
          </w:tcPr>
          <w:p w14:paraId="7315E67C" w14:textId="0EA73ACB" w:rsidR="00C972CB" w:rsidRDefault="002457F6">
            <w:pPr>
              <w:pStyle w:val="P68B1DB1-Normal11"/>
              <w:jc w:val="center"/>
              <w:rPr>
                <w:noProof/>
              </w:rPr>
            </w:pPr>
            <w:r>
              <w:rPr>
                <w:noProof/>
              </w:rPr>
              <w:t>NEPIEMĒRO</w:t>
            </w:r>
          </w:p>
        </w:tc>
        <w:tc>
          <w:tcPr>
            <w:tcW w:w="1134" w:type="dxa"/>
            <w:shd w:val="clear" w:color="auto" w:fill="C6EFCE"/>
            <w:noWrap/>
            <w:vAlign w:val="center"/>
          </w:tcPr>
          <w:p w14:paraId="2A382B0B" w14:textId="408748C0" w:rsidR="00C972CB" w:rsidRDefault="002457F6">
            <w:pPr>
              <w:pStyle w:val="P68B1DB1-Normal11"/>
              <w:jc w:val="center"/>
              <w:rPr>
                <w:noProof/>
              </w:rPr>
            </w:pPr>
            <w:r>
              <w:rPr>
                <w:noProof/>
              </w:rPr>
              <w:t xml:space="preserve"> NEPIEMĒRO</w:t>
            </w:r>
          </w:p>
        </w:tc>
        <w:tc>
          <w:tcPr>
            <w:tcW w:w="946" w:type="dxa"/>
            <w:shd w:val="clear" w:color="auto" w:fill="C6EFCE"/>
            <w:noWrap/>
            <w:vAlign w:val="center"/>
          </w:tcPr>
          <w:p w14:paraId="47D8128C" w14:textId="0D8E4148" w:rsidR="00C972CB" w:rsidRDefault="002457F6">
            <w:pPr>
              <w:pStyle w:val="P68B1DB1-Normal11"/>
              <w:jc w:val="center"/>
              <w:rPr>
                <w:noProof/>
              </w:rPr>
            </w:pPr>
            <w:r>
              <w:rPr>
                <w:noProof/>
              </w:rPr>
              <w:t>NEPIEMĒRO</w:t>
            </w:r>
          </w:p>
        </w:tc>
        <w:tc>
          <w:tcPr>
            <w:tcW w:w="992" w:type="dxa"/>
            <w:shd w:val="clear" w:color="auto" w:fill="C6EFCE"/>
            <w:noWrap/>
            <w:vAlign w:val="center"/>
          </w:tcPr>
          <w:p w14:paraId="474C5EA0" w14:textId="69EF6568" w:rsidR="00C972CB" w:rsidRDefault="002457F6">
            <w:pPr>
              <w:pStyle w:val="P68B1DB1-Normal11"/>
              <w:jc w:val="center"/>
              <w:rPr>
                <w:noProof/>
              </w:rPr>
            </w:pPr>
            <w:r>
              <w:rPr>
                <w:noProof/>
              </w:rPr>
              <w:t>4. CET.</w:t>
            </w:r>
          </w:p>
        </w:tc>
        <w:tc>
          <w:tcPr>
            <w:tcW w:w="756" w:type="dxa"/>
            <w:shd w:val="clear" w:color="auto" w:fill="C6EFCE"/>
            <w:noWrap/>
            <w:vAlign w:val="center"/>
          </w:tcPr>
          <w:p w14:paraId="57D6EAD4" w14:textId="201227AA" w:rsidR="00C972CB" w:rsidRDefault="002457F6">
            <w:pPr>
              <w:pStyle w:val="P68B1DB1-Normal11"/>
              <w:jc w:val="center"/>
              <w:rPr>
                <w:noProof/>
              </w:rPr>
            </w:pPr>
            <w:r>
              <w:rPr>
                <w:noProof/>
              </w:rPr>
              <w:t>2024</w:t>
            </w:r>
          </w:p>
        </w:tc>
        <w:tc>
          <w:tcPr>
            <w:tcW w:w="2793" w:type="dxa"/>
            <w:shd w:val="clear" w:color="auto" w:fill="C6EFCE"/>
            <w:noWrap/>
            <w:vAlign w:val="center"/>
          </w:tcPr>
          <w:p w14:paraId="73887946" w14:textId="52AE8E19" w:rsidR="00C972CB" w:rsidRDefault="002457F6">
            <w:pPr>
              <w:pStyle w:val="P68B1DB1-Normal12"/>
              <w:spacing w:after="120"/>
              <w:jc w:val="both"/>
              <w:rPr>
                <w:rFonts w:ascii="Arial Narrow" w:hAnsi="Arial Narrow"/>
                <w:noProof/>
              </w:rPr>
            </w:pPr>
            <w:r>
              <w:rPr>
                <w:rFonts w:ascii="Arial Narrow" w:hAnsi="Arial Narrow"/>
                <w:noProof/>
              </w:rPr>
              <w:t>Itālija pārskaita EUR</w:t>
            </w:r>
            <w:r>
              <w:rPr>
                <w:noProof/>
              </w:rPr>
              <w:t xml:space="preserve"> </w:t>
            </w:r>
            <w:r>
              <w:rPr>
                <w:rFonts w:ascii="Arial Narrow" w:hAnsi="Arial Narrow"/>
                <w:noProof/>
              </w:rPr>
              <w:t>250000000</w:t>
            </w:r>
            <w:r>
              <w:rPr>
                <w:noProof/>
              </w:rPr>
              <w:t xml:space="preserve"> </w:t>
            </w:r>
            <w:r>
              <w:rPr>
                <w:rFonts w:ascii="Arial Narrow" w:hAnsi="Arial Narrow"/>
                <w:noProof/>
              </w:rPr>
              <w:t>CDP riska kapitālam SGR mehānisma vajadzībām.</w:t>
            </w:r>
          </w:p>
          <w:p w14:paraId="6AFBA486" w14:textId="55A16E6F" w:rsidR="00C972CB" w:rsidRDefault="002457F6">
            <w:pPr>
              <w:pStyle w:val="P68B1DB1-Normal11"/>
              <w:rPr>
                <w:noProof/>
              </w:rPr>
            </w:pPr>
            <w:r>
              <w:rPr>
                <w:noProof/>
              </w:rPr>
              <w:t xml:space="preserve">Lai sasniegtu mērķi, ir jāgroza arī īstenošanas nolīgums starp Itāliju un CDP riska </w:t>
            </w:r>
            <w:r>
              <w:rPr>
                <w:noProof/>
              </w:rPr>
              <w:t>kapitālu SGR un mehānisma noteikumi saskaņā ar Padomes īstenošanas lēmumā izklāstītajiem nosacījumiem.</w:t>
            </w:r>
          </w:p>
        </w:tc>
      </w:tr>
      <w:tr w:rsidR="00C972CB" w14:paraId="1B8DFD43" w14:textId="77777777">
        <w:trPr>
          <w:trHeight w:val="309"/>
          <w:jc w:val="center"/>
        </w:trPr>
        <w:tc>
          <w:tcPr>
            <w:tcW w:w="1613" w:type="dxa"/>
            <w:shd w:val="clear" w:color="auto" w:fill="C6EFCE"/>
            <w:noWrap/>
            <w:vAlign w:val="center"/>
          </w:tcPr>
          <w:p w14:paraId="11CF808C" w14:textId="2D1689D8" w:rsidR="00C972CB" w:rsidRDefault="002457F6">
            <w:pPr>
              <w:pStyle w:val="P68B1DB1-Normal11"/>
              <w:jc w:val="center"/>
              <w:rPr>
                <w:noProof/>
              </w:rPr>
            </w:pPr>
            <w:r>
              <w:rPr>
                <w:noProof/>
              </w:rPr>
              <w:t>M2C2–43</w:t>
            </w:r>
          </w:p>
        </w:tc>
        <w:tc>
          <w:tcPr>
            <w:tcW w:w="1643" w:type="dxa"/>
            <w:shd w:val="clear" w:color="auto" w:fill="C6EFCE"/>
            <w:noWrap/>
            <w:vAlign w:val="center"/>
          </w:tcPr>
          <w:p w14:paraId="60832C76" w14:textId="03732F65" w:rsidR="00C972CB" w:rsidRDefault="002457F6">
            <w:pPr>
              <w:pStyle w:val="P68B1DB1-Normal11"/>
              <w:jc w:val="center"/>
              <w:rPr>
                <w:noProof/>
              </w:rPr>
            </w:pPr>
            <w:r>
              <w:rPr>
                <w:noProof/>
              </w:rPr>
              <w:t>Ieguldījums 5.4 — Atbalsts jaunuzņēmumiem un riska kapitālam, kas aktīvi darbojas ekoloģiskās pārkārtošanās procesā.</w:t>
            </w:r>
          </w:p>
        </w:tc>
        <w:tc>
          <w:tcPr>
            <w:tcW w:w="1559" w:type="dxa"/>
            <w:shd w:val="clear" w:color="auto" w:fill="C6EFCE"/>
            <w:noWrap/>
            <w:vAlign w:val="center"/>
          </w:tcPr>
          <w:p w14:paraId="234D8E26" w14:textId="6CFDE74C" w:rsidR="00C972CB" w:rsidRDefault="002457F6">
            <w:pPr>
              <w:pStyle w:val="P68B1DB1-Normal11"/>
              <w:jc w:val="center"/>
              <w:rPr>
                <w:noProof/>
              </w:rPr>
            </w:pPr>
            <w:r>
              <w:rPr>
                <w:noProof/>
              </w:rPr>
              <w:t>Mērķa</w:t>
            </w:r>
          </w:p>
        </w:tc>
        <w:tc>
          <w:tcPr>
            <w:tcW w:w="1559" w:type="dxa"/>
            <w:shd w:val="clear" w:color="auto" w:fill="C6EFCE"/>
            <w:noWrap/>
            <w:vAlign w:val="center"/>
          </w:tcPr>
          <w:p w14:paraId="71531521" w14:textId="639F467E" w:rsidR="00C972CB" w:rsidRDefault="002457F6">
            <w:pPr>
              <w:pStyle w:val="P68B1DB1-Normal11"/>
              <w:jc w:val="center"/>
              <w:rPr>
                <w:noProof/>
              </w:rPr>
            </w:pPr>
            <w:r>
              <w:rPr>
                <w:noProof/>
              </w:rPr>
              <w:t xml:space="preserve">Juridiski nolīgumi, </w:t>
            </w:r>
            <w:r>
              <w:rPr>
                <w:noProof/>
              </w:rPr>
              <w:t>kas parakstīti ar riska kapitāla fondiem un jaunuzņēmumiem</w:t>
            </w:r>
          </w:p>
        </w:tc>
        <w:tc>
          <w:tcPr>
            <w:tcW w:w="1843" w:type="dxa"/>
            <w:shd w:val="clear" w:color="auto" w:fill="C6EFCE"/>
            <w:noWrap/>
            <w:vAlign w:val="center"/>
          </w:tcPr>
          <w:p w14:paraId="1B5E7E37" w14:textId="77777777" w:rsidR="00C972CB" w:rsidRDefault="00C972CB">
            <w:pPr>
              <w:jc w:val="center"/>
              <w:rPr>
                <w:rFonts w:ascii="Arial Narrow" w:hAnsi="Arial Narrow"/>
                <w:noProof/>
                <w:color w:val="006100"/>
                <w:sz w:val="20"/>
              </w:rPr>
            </w:pPr>
          </w:p>
        </w:tc>
        <w:tc>
          <w:tcPr>
            <w:tcW w:w="1417" w:type="dxa"/>
            <w:shd w:val="clear" w:color="auto" w:fill="C6EFCE"/>
            <w:noWrap/>
            <w:vAlign w:val="center"/>
          </w:tcPr>
          <w:p w14:paraId="131CB4C3" w14:textId="70604196" w:rsidR="00C972CB" w:rsidRDefault="002457F6">
            <w:pPr>
              <w:pStyle w:val="P68B1DB1-Normal11"/>
              <w:jc w:val="center"/>
              <w:rPr>
                <w:noProof/>
              </w:rPr>
            </w:pPr>
            <w:r>
              <w:rPr>
                <w:noProof/>
              </w:rPr>
              <w:t>EUR</w:t>
            </w:r>
          </w:p>
        </w:tc>
        <w:tc>
          <w:tcPr>
            <w:tcW w:w="1134" w:type="dxa"/>
            <w:shd w:val="clear" w:color="auto" w:fill="C6EFCE"/>
            <w:noWrap/>
            <w:vAlign w:val="center"/>
          </w:tcPr>
          <w:p w14:paraId="4F4F59D5" w14:textId="37C11453" w:rsidR="00C972CB" w:rsidRDefault="002457F6">
            <w:pPr>
              <w:pStyle w:val="P68B1DB1-Normal11"/>
              <w:jc w:val="center"/>
              <w:rPr>
                <w:noProof/>
              </w:rPr>
            </w:pPr>
            <w:r>
              <w:rPr>
                <w:noProof/>
              </w:rPr>
              <w:t>0</w:t>
            </w:r>
          </w:p>
        </w:tc>
        <w:tc>
          <w:tcPr>
            <w:tcW w:w="946" w:type="dxa"/>
            <w:shd w:val="clear" w:color="auto" w:fill="C6EFCE"/>
            <w:noWrap/>
            <w:vAlign w:val="center"/>
          </w:tcPr>
          <w:p w14:paraId="323614AD" w14:textId="05357F4F" w:rsidR="00C972CB" w:rsidRDefault="002457F6">
            <w:pPr>
              <w:pStyle w:val="P68B1DB1-Normal11"/>
              <w:jc w:val="center"/>
              <w:rPr>
                <w:noProof/>
              </w:rPr>
            </w:pPr>
            <w:r>
              <w:rPr>
                <w:noProof/>
              </w:rPr>
              <w:t>100 %</w:t>
            </w:r>
          </w:p>
        </w:tc>
        <w:tc>
          <w:tcPr>
            <w:tcW w:w="992" w:type="dxa"/>
            <w:shd w:val="clear" w:color="auto" w:fill="C6EFCE"/>
            <w:noWrap/>
            <w:vAlign w:val="center"/>
          </w:tcPr>
          <w:p w14:paraId="5FC3F196" w14:textId="7061B44A" w:rsidR="00C972CB" w:rsidRDefault="002457F6">
            <w:pPr>
              <w:pStyle w:val="P68B1DB1-Normal11"/>
              <w:jc w:val="center"/>
              <w:rPr>
                <w:noProof/>
              </w:rPr>
            </w:pPr>
            <w:r>
              <w:rPr>
                <w:noProof/>
              </w:rPr>
              <w:t>2. CET.</w:t>
            </w:r>
          </w:p>
        </w:tc>
        <w:tc>
          <w:tcPr>
            <w:tcW w:w="756" w:type="dxa"/>
            <w:shd w:val="clear" w:color="auto" w:fill="C6EFCE"/>
            <w:noWrap/>
            <w:vAlign w:val="center"/>
          </w:tcPr>
          <w:p w14:paraId="7B17DEEE" w14:textId="6F4E7CBB" w:rsidR="00C972CB" w:rsidRDefault="002457F6">
            <w:pPr>
              <w:pStyle w:val="P68B1DB1-Normal11"/>
              <w:jc w:val="center"/>
              <w:rPr>
                <w:noProof/>
              </w:rPr>
            </w:pPr>
            <w:r>
              <w:rPr>
                <w:noProof/>
              </w:rPr>
              <w:t>2026</w:t>
            </w:r>
          </w:p>
        </w:tc>
        <w:tc>
          <w:tcPr>
            <w:tcW w:w="2793" w:type="dxa"/>
            <w:shd w:val="clear" w:color="auto" w:fill="C6EFCE"/>
            <w:noWrap/>
          </w:tcPr>
          <w:p w14:paraId="311409E5" w14:textId="77777777" w:rsidR="00C972CB" w:rsidRDefault="002457F6">
            <w:pPr>
              <w:pStyle w:val="P68B1DB1-Normal11"/>
              <w:jc w:val="both"/>
              <w:rPr>
                <w:noProof/>
              </w:rPr>
            </w:pPr>
            <w:r>
              <w:rPr>
                <w:noProof/>
              </w:rPr>
              <w:t xml:space="preserve">Cassa Depositi e Prestiti Venture Capital ir noslēdzis likumīgas finansēšanas līgumus ar jaunuzņēmumiem, inkubācijas/paātrināšanas programmām vai riska kapitāla fondiem </w:t>
            </w:r>
            <w:r>
              <w:rPr>
                <w:noProof/>
              </w:rPr>
              <w:t>par summu, kas nepieciešama, lai Mehānismā izmantotu 100 % ANM ieguldījuma (250 ml EUR) (tostarp vidējo maksimālo robežu 13 % apmērā no pārvaldības maksām un GTF izmaksām visā fonda dzīves ciklā, kā arī ex ante nosacījumus turpmākajām ieguldījumu kārtām, i</w:t>
            </w:r>
            <w:r>
              <w:rPr>
                <w:noProof/>
              </w:rPr>
              <w:t>zņemot pārnestās ieinteresētās maksas, ar darbības rezultātiem saistītās maksas un visas izmaksas un pārvaldības maksas, kas saistītas ar trešo personu fondiem).</w:t>
            </w:r>
          </w:p>
          <w:p w14:paraId="68CC68AF" w14:textId="77777777" w:rsidR="00C972CB" w:rsidRDefault="00C972CB">
            <w:pPr>
              <w:jc w:val="both"/>
              <w:rPr>
                <w:rFonts w:ascii="Arial Narrow" w:hAnsi="Arial Narrow"/>
                <w:noProof/>
                <w:color w:val="006100"/>
                <w:sz w:val="20"/>
              </w:rPr>
            </w:pPr>
          </w:p>
          <w:p w14:paraId="04D90142" w14:textId="77777777" w:rsidR="00C972CB" w:rsidRDefault="002457F6">
            <w:pPr>
              <w:pStyle w:val="P68B1DB1-Normal11"/>
              <w:jc w:val="both"/>
              <w:rPr>
                <w:noProof/>
              </w:rPr>
            </w:pPr>
            <w:r>
              <w:rPr>
                <w:noProof/>
              </w:rPr>
              <w:t>Investīcijas sadala šādos divos intervences virzienos:</w:t>
            </w:r>
          </w:p>
          <w:p w14:paraId="1411E1E0" w14:textId="77777777" w:rsidR="00C972CB" w:rsidRDefault="00C972CB">
            <w:pPr>
              <w:jc w:val="both"/>
              <w:rPr>
                <w:rFonts w:ascii="Arial Narrow" w:hAnsi="Arial Narrow"/>
                <w:noProof/>
                <w:color w:val="006100"/>
                <w:sz w:val="20"/>
              </w:rPr>
            </w:pPr>
          </w:p>
          <w:p w14:paraId="0D12F7E4" w14:textId="77777777" w:rsidR="00C972CB" w:rsidRDefault="002457F6">
            <w:pPr>
              <w:pStyle w:val="P68B1DB1-Normal11"/>
              <w:jc w:val="both"/>
              <w:rPr>
                <w:noProof/>
              </w:rPr>
            </w:pPr>
            <w:r>
              <w:rPr>
                <w:noProof/>
              </w:rPr>
              <w:t>Tiešie ieguldījumi.</w:t>
            </w:r>
          </w:p>
          <w:p w14:paraId="2BBC8B12" w14:textId="77777777" w:rsidR="00C972CB" w:rsidRDefault="00C972CB">
            <w:pPr>
              <w:jc w:val="both"/>
              <w:rPr>
                <w:rFonts w:ascii="Arial Narrow" w:hAnsi="Arial Narrow"/>
                <w:noProof/>
                <w:color w:val="006100"/>
                <w:sz w:val="20"/>
              </w:rPr>
            </w:pPr>
          </w:p>
          <w:p w14:paraId="7B2FEF94" w14:textId="77777777" w:rsidR="00C972CB" w:rsidRDefault="002457F6">
            <w:pPr>
              <w:pStyle w:val="P68B1DB1-Normal11"/>
              <w:jc w:val="both"/>
              <w:rPr>
                <w:noProof/>
              </w:rPr>
            </w:pPr>
            <w:r>
              <w:rPr>
                <w:noProof/>
              </w:rPr>
              <w:t>Netiešie ieguldī</w:t>
            </w:r>
            <w:r>
              <w:rPr>
                <w:noProof/>
              </w:rPr>
              <w:t>jumi.</w:t>
            </w:r>
          </w:p>
          <w:p w14:paraId="7906E9E3" w14:textId="77777777" w:rsidR="00C972CB" w:rsidRDefault="00C972CB">
            <w:pPr>
              <w:jc w:val="both"/>
              <w:rPr>
                <w:rFonts w:ascii="Arial Narrow" w:hAnsi="Arial Narrow"/>
                <w:noProof/>
                <w:color w:val="006100"/>
                <w:sz w:val="20"/>
              </w:rPr>
            </w:pPr>
          </w:p>
          <w:p w14:paraId="1947A3AD" w14:textId="77777777" w:rsidR="00C972CB" w:rsidRDefault="002457F6">
            <w:pPr>
              <w:pStyle w:val="P68B1DB1-Normal11"/>
              <w:jc w:val="both"/>
              <w:rPr>
                <w:noProof/>
              </w:rPr>
            </w:pPr>
            <w:r>
              <w:rPr>
                <w:noProof/>
              </w:rPr>
              <w:t>Attiecībā uz netiešajiem ieguldījumiem riska kapitāla fondos Cassa Depositi e Prestiti riska kapitāla fonds ir noslēdzis likumīgas finansēšanas līgumus ar riska kapitāla fondiem par summu, kas nepieciešama, lai aptuveni 60 % no ANM ieguldījumiem Meh</w:t>
            </w:r>
            <w:r>
              <w:rPr>
                <w:noProof/>
              </w:rPr>
              <w:t xml:space="preserve">ānismā varētu izmantot (izņemot pārvaldības maksas un GTF izmaksas fonda dzīves ciklā). </w:t>
            </w:r>
          </w:p>
          <w:p w14:paraId="6C5EE136" w14:textId="77777777" w:rsidR="00C972CB" w:rsidRDefault="00C972CB">
            <w:pPr>
              <w:jc w:val="both"/>
              <w:rPr>
                <w:rFonts w:ascii="Arial Narrow" w:hAnsi="Arial Narrow"/>
                <w:noProof/>
                <w:color w:val="006100"/>
                <w:sz w:val="20"/>
              </w:rPr>
            </w:pPr>
          </w:p>
          <w:p w14:paraId="0EF2CBC2" w14:textId="77777777" w:rsidR="00C972CB" w:rsidRDefault="002457F6">
            <w:pPr>
              <w:pStyle w:val="P68B1DB1-Normal11"/>
              <w:jc w:val="both"/>
              <w:rPr>
                <w:noProof/>
              </w:rPr>
            </w:pPr>
            <w:r>
              <w:rPr>
                <w:noProof/>
              </w:rPr>
              <w:t>Attiecībā uz netiešajām investīcijām jaunuzņēmumos juridiskā finansējuma nolīgumos ar riska kapitāla fondiem iekļauj saistošu apņemšanos panākt piesaistītā kapitāla k</w:t>
            </w:r>
            <w:r>
              <w:rPr>
                <w:noProof/>
              </w:rPr>
              <w:t>umulatīvo sviras efektu gan fondu līmenī, gan vismaz 1x1 jaunu uzņēmumu līmenī visā fonda darbības laikā.</w:t>
            </w:r>
          </w:p>
          <w:p w14:paraId="137F7DC3" w14:textId="77777777" w:rsidR="00C972CB" w:rsidRDefault="00C972CB">
            <w:pPr>
              <w:jc w:val="both"/>
              <w:rPr>
                <w:rFonts w:ascii="Arial Narrow" w:hAnsi="Arial Narrow"/>
                <w:noProof/>
                <w:color w:val="006100"/>
                <w:sz w:val="20"/>
              </w:rPr>
            </w:pPr>
          </w:p>
          <w:p w14:paraId="1D0862BB" w14:textId="77777777" w:rsidR="00C972CB" w:rsidRDefault="002457F6">
            <w:pPr>
              <w:pStyle w:val="P68B1DB1-Normal11"/>
              <w:jc w:val="both"/>
              <w:rPr>
                <w:noProof/>
              </w:rPr>
            </w:pPr>
            <w:r>
              <w:rPr>
                <w:noProof/>
              </w:rPr>
              <w:t>Attiecībā uz tiešajiem ieguldījumiem CDP riska kapitāls ir noslēdzis likumīgas finansēšanas nolīgumus ar jaunuzņēmumiem/inkubācijas/paātrināšanas pro</w:t>
            </w:r>
            <w:r>
              <w:rPr>
                <w:noProof/>
              </w:rPr>
              <w:t>grammām par summu, kas nepieciešama, lai aptuveni 40 % no ANM ieguldījuma (250 miljoni EUR) indikatīvi izmantotu mehānismā (tostarp pārvaldības maksas un GTF izmaksas visā fonda dzīves ciklā).</w:t>
            </w:r>
          </w:p>
          <w:p w14:paraId="65C05EF2" w14:textId="31B7AEC6" w:rsidR="00C972CB" w:rsidRDefault="002457F6">
            <w:pPr>
              <w:pStyle w:val="P68B1DB1-Normal11"/>
              <w:jc w:val="both"/>
              <w:rPr>
                <w:noProof/>
              </w:rPr>
            </w:pPr>
            <w:r>
              <w:rPr>
                <w:noProof/>
              </w:rPr>
              <w:t>Turklāt attiecībā uz tiešajām investīcijām juridiskā finansējum</w:t>
            </w:r>
            <w:r>
              <w:rPr>
                <w:noProof/>
              </w:rPr>
              <w:t>a nolīgumā ar jaunuzņēmumiem var iekļaut ex ante nosacījumus turpmākām ieguldījumu kārtām (t. i., nosacījumus B vai Serie C Serie finansējuma atraisīšanai).</w:t>
            </w:r>
          </w:p>
          <w:p w14:paraId="200760E7" w14:textId="77777777" w:rsidR="00C972CB" w:rsidRDefault="00C972CB">
            <w:pPr>
              <w:jc w:val="both"/>
              <w:rPr>
                <w:rFonts w:ascii="Arial Narrow" w:hAnsi="Arial Narrow"/>
                <w:noProof/>
                <w:color w:val="006100"/>
                <w:sz w:val="20"/>
              </w:rPr>
            </w:pPr>
          </w:p>
          <w:p w14:paraId="561D427A" w14:textId="77777777" w:rsidR="00C972CB" w:rsidRDefault="002457F6">
            <w:pPr>
              <w:pStyle w:val="P68B1DB1-Normal11"/>
              <w:jc w:val="both"/>
              <w:rPr>
                <w:noProof/>
              </w:rPr>
            </w:pPr>
            <w:r>
              <w:rPr>
                <w:noProof/>
              </w:rPr>
              <w:t>Šā pasākuma saistības, kas noslēgtas pirms īstenošanas nolīguma ieguldījumu politikas grozījumu st</w:t>
            </w:r>
            <w:r>
              <w:rPr>
                <w:noProof/>
              </w:rPr>
              <w:t xml:space="preserve">āšanās spēkā un saskaņā ar nolīgumu saskaņā ar M2C2–42–42 starpposma mērķi, arī ņem vērā, lai sasniegtu mērķi. </w:t>
            </w:r>
          </w:p>
          <w:p w14:paraId="3B8C23E1" w14:textId="77777777" w:rsidR="00C972CB" w:rsidRDefault="002457F6">
            <w:pPr>
              <w:pStyle w:val="P68B1DB1-Normal11"/>
              <w:jc w:val="both"/>
              <w:rPr>
                <w:noProof/>
              </w:rPr>
            </w:pPr>
            <w:r>
              <w:rPr>
                <w:noProof/>
              </w:rPr>
              <w:t>No dienas, kad stājas spēkā Padomes īstenošanas lēmums, saskaņā ar jauno Padomes īstenošanas lēmumu būtu jāsāk ievērot jaunās ieguldījumu politi</w:t>
            </w:r>
            <w:r>
              <w:rPr>
                <w:noProof/>
              </w:rPr>
              <w:t xml:space="preserve">kas prasības. </w:t>
            </w:r>
          </w:p>
          <w:p w14:paraId="5DD04FB0" w14:textId="77777777" w:rsidR="00C972CB" w:rsidRDefault="00C972CB">
            <w:pPr>
              <w:rPr>
                <w:rFonts w:ascii="Arial Narrow" w:hAnsi="Arial Narrow"/>
                <w:noProof/>
                <w:sz w:val="20"/>
              </w:rPr>
            </w:pPr>
          </w:p>
        </w:tc>
      </w:tr>
      <w:tr w:rsidR="00C972CB" w14:paraId="1810176D" w14:textId="77777777">
        <w:trPr>
          <w:trHeight w:val="309"/>
          <w:jc w:val="center"/>
        </w:trPr>
        <w:tc>
          <w:tcPr>
            <w:tcW w:w="1613" w:type="dxa"/>
            <w:shd w:val="clear" w:color="auto" w:fill="C6EFCE"/>
            <w:noWrap/>
            <w:vAlign w:val="center"/>
            <w:hideMark/>
          </w:tcPr>
          <w:p w14:paraId="3CD5FD09" w14:textId="77777777" w:rsidR="00C972CB" w:rsidRDefault="002457F6">
            <w:pPr>
              <w:pStyle w:val="P68B1DB1-Normal11"/>
              <w:jc w:val="center"/>
              <w:rPr>
                <w:noProof/>
              </w:rPr>
            </w:pPr>
            <w:r>
              <w:rPr>
                <w:noProof/>
              </w:rPr>
              <w:t>M2C2–44</w:t>
            </w:r>
          </w:p>
        </w:tc>
        <w:tc>
          <w:tcPr>
            <w:tcW w:w="1643" w:type="dxa"/>
            <w:shd w:val="clear" w:color="auto" w:fill="C6EFCE"/>
            <w:noWrap/>
            <w:vAlign w:val="center"/>
            <w:hideMark/>
          </w:tcPr>
          <w:p w14:paraId="78590C12" w14:textId="77777777" w:rsidR="00C972CB" w:rsidRDefault="002457F6">
            <w:pPr>
              <w:pStyle w:val="P68B1DB1-Normal11"/>
              <w:jc w:val="center"/>
              <w:rPr>
                <w:noProof/>
              </w:rPr>
            </w:pPr>
            <w:r>
              <w:rPr>
                <w:noProof/>
              </w:rPr>
              <w:t>Ieguldījums 1.1. Lauksaimniecības energosistēmu attīstība</w:t>
            </w:r>
          </w:p>
        </w:tc>
        <w:tc>
          <w:tcPr>
            <w:tcW w:w="1559" w:type="dxa"/>
            <w:shd w:val="clear" w:color="auto" w:fill="C6EFCE"/>
            <w:noWrap/>
            <w:vAlign w:val="center"/>
            <w:hideMark/>
          </w:tcPr>
          <w:p w14:paraId="0B310B86" w14:textId="77777777" w:rsidR="00C972CB" w:rsidRDefault="002457F6">
            <w:pPr>
              <w:pStyle w:val="P68B1DB1-Normal11"/>
              <w:jc w:val="center"/>
              <w:rPr>
                <w:noProof/>
              </w:rPr>
            </w:pPr>
            <w:r>
              <w:rPr>
                <w:noProof/>
              </w:rPr>
              <w:t>Starpposma mērķis</w:t>
            </w:r>
          </w:p>
        </w:tc>
        <w:tc>
          <w:tcPr>
            <w:tcW w:w="1559" w:type="dxa"/>
            <w:shd w:val="clear" w:color="auto" w:fill="C6EFCE"/>
            <w:noWrap/>
            <w:vAlign w:val="center"/>
            <w:hideMark/>
          </w:tcPr>
          <w:p w14:paraId="7393C641" w14:textId="77777777" w:rsidR="00C972CB" w:rsidRDefault="002457F6">
            <w:pPr>
              <w:pStyle w:val="P68B1DB1-Normal11"/>
              <w:jc w:val="center"/>
              <w:rPr>
                <w:noProof/>
              </w:rPr>
            </w:pPr>
            <w:r>
              <w:rPr>
                <w:noProof/>
              </w:rPr>
              <w:t>Visu publiskā iepirkuma līgumu slēgšanas tiesību piešķiršana saules fotoelementu paneļu uzstādīšanai agroelektriskajās sistēmās</w:t>
            </w:r>
          </w:p>
        </w:tc>
        <w:tc>
          <w:tcPr>
            <w:tcW w:w="1843" w:type="dxa"/>
            <w:shd w:val="clear" w:color="auto" w:fill="C6EFCE"/>
            <w:noWrap/>
            <w:vAlign w:val="center"/>
            <w:hideMark/>
          </w:tcPr>
          <w:p w14:paraId="07299CC2" w14:textId="77777777" w:rsidR="00C972CB" w:rsidRDefault="002457F6">
            <w:pPr>
              <w:pStyle w:val="P68B1DB1-Normal11"/>
              <w:jc w:val="center"/>
              <w:rPr>
                <w:noProof/>
              </w:rPr>
            </w:pPr>
            <w:r>
              <w:rPr>
                <w:noProof/>
              </w:rPr>
              <w:t xml:space="preserve">Paziņojums par visu publiskā iepirkuma līgumu slēgšanas tiesību piešķiršanu fotoelementu paneļu uzstādīšanai agroelektriskajās sistēmās </w:t>
            </w:r>
          </w:p>
        </w:tc>
        <w:tc>
          <w:tcPr>
            <w:tcW w:w="1417" w:type="dxa"/>
            <w:shd w:val="clear" w:color="auto" w:fill="C6EFCE"/>
            <w:noWrap/>
            <w:vAlign w:val="center"/>
            <w:hideMark/>
          </w:tcPr>
          <w:p w14:paraId="626F7CBD"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6A115CB0" w14:textId="77777777" w:rsidR="00C972CB" w:rsidRDefault="002457F6">
            <w:pPr>
              <w:pStyle w:val="P68B1DB1-Normal11"/>
              <w:jc w:val="center"/>
              <w:rPr>
                <w:noProof/>
              </w:rPr>
            </w:pPr>
            <w:r>
              <w:rPr>
                <w:noProof/>
              </w:rPr>
              <w:t>NEPIEMĒRO</w:t>
            </w:r>
          </w:p>
        </w:tc>
        <w:tc>
          <w:tcPr>
            <w:tcW w:w="946" w:type="dxa"/>
            <w:shd w:val="clear" w:color="auto" w:fill="C6EFCE"/>
            <w:noWrap/>
            <w:vAlign w:val="center"/>
            <w:hideMark/>
          </w:tcPr>
          <w:p w14:paraId="371DB9B5" w14:textId="77777777" w:rsidR="00C972CB" w:rsidRDefault="002457F6">
            <w:pPr>
              <w:pStyle w:val="P68B1DB1-Normal11"/>
              <w:jc w:val="center"/>
              <w:rPr>
                <w:noProof/>
              </w:rPr>
            </w:pPr>
            <w:r>
              <w:rPr>
                <w:noProof/>
              </w:rPr>
              <w:t>NEPIEMĒRO</w:t>
            </w:r>
          </w:p>
        </w:tc>
        <w:tc>
          <w:tcPr>
            <w:tcW w:w="992" w:type="dxa"/>
            <w:shd w:val="clear" w:color="auto" w:fill="C6EFCE"/>
            <w:noWrap/>
            <w:vAlign w:val="center"/>
            <w:hideMark/>
          </w:tcPr>
          <w:p w14:paraId="0A6A3291" w14:textId="77777777" w:rsidR="00C972CB" w:rsidRDefault="002457F6">
            <w:pPr>
              <w:pStyle w:val="P68B1DB1-Normal11"/>
              <w:jc w:val="center"/>
              <w:rPr>
                <w:noProof/>
              </w:rPr>
            </w:pPr>
            <w:r>
              <w:rPr>
                <w:noProof/>
              </w:rPr>
              <w:t>4. CET.</w:t>
            </w:r>
          </w:p>
        </w:tc>
        <w:tc>
          <w:tcPr>
            <w:tcW w:w="756" w:type="dxa"/>
            <w:shd w:val="clear" w:color="auto" w:fill="C6EFCE"/>
            <w:noWrap/>
            <w:vAlign w:val="center"/>
            <w:hideMark/>
          </w:tcPr>
          <w:p w14:paraId="2722A80A" w14:textId="77777777" w:rsidR="00C972CB" w:rsidRDefault="002457F6">
            <w:pPr>
              <w:pStyle w:val="P68B1DB1-Normal11"/>
              <w:jc w:val="center"/>
              <w:rPr>
                <w:noProof/>
              </w:rPr>
            </w:pPr>
            <w:r>
              <w:rPr>
                <w:noProof/>
              </w:rPr>
              <w:t>2024</w:t>
            </w:r>
          </w:p>
        </w:tc>
        <w:tc>
          <w:tcPr>
            <w:tcW w:w="2793" w:type="dxa"/>
            <w:shd w:val="clear" w:color="auto" w:fill="C6EFCE"/>
            <w:noWrap/>
            <w:vAlign w:val="center"/>
            <w:hideMark/>
          </w:tcPr>
          <w:p w14:paraId="7795466B" w14:textId="6F155913" w:rsidR="00C972CB" w:rsidRDefault="002457F6">
            <w:pPr>
              <w:pStyle w:val="P68B1DB1-Normal11"/>
              <w:rPr>
                <w:noProof/>
              </w:rPr>
            </w:pPr>
            <w:r>
              <w:rPr>
                <w:noProof/>
              </w:rPr>
              <w:t xml:space="preserve">Paziņojums par visu publiskā iepirkuma līgumu slēgšanas tiesību piešķiršanu </w:t>
            </w:r>
            <w:r>
              <w:rPr>
                <w:noProof/>
              </w:rPr>
              <w:t>saules fotoelementu paneļu un mērinstrumentu uzstādīšanai lauksaimniecības energosistēmās.</w:t>
            </w:r>
          </w:p>
          <w:p w14:paraId="34BB7F51" w14:textId="2107130F" w:rsidR="00C972CB" w:rsidRDefault="002457F6">
            <w:pPr>
              <w:pStyle w:val="P68B1DB1-Normal11"/>
              <w:rPr>
                <w:noProof/>
              </w:rPr>
            </w:pPr>
            <w:r>
              <w:rPr>
                <w:noProof/>
              </w:rPr>
              <w:t>Paredzams, ka eksperimentālu agroelektrisko sistēmu uzstādītā jauda veicinās inovatīvu risinājumu izstrādi zemes iekārtām, kurās var līdzāspastāvēt vairāki zemes izm</w:t>
            </w:r>
            <w:r>
              <w:rPr>
                <w:noProof/>
              </w:rPr>
              <w:t>antošanas veidi, radot konkurējošus ieguvumus. Iekārtu nodošanu ekspluatācijā reģistrē valsts Gaudì sistēmā (ražošanas iekārtu reģistrā), kas sniedz pārliecinošus pierādījumus par mērķu sasniegšanu.</w:t>
            </w:r>
          </w:p>
        </w:tc>
      </w:tr>
      <w:tr w:rsidR="00C972CB" w14:paraId="274E4186" w14:textId="77777777">
        <w:trPr>
          <w:trHeight w:val="309"/>
          <w:jc w:val="center"/>
        </w:trPr>
        <w:tc>
          <w:tcPr>
            <w:tcW w:w="1613" w:type="dxa"/>
            <w:shd w:val="clear" w:color="auto" w:fill="C6EFCE"/>
            <w:noWrap/>
            <w:vAlign w:val="center"/>
            <w:hideMark/>
          </w:tcPr>
          <w:p w14:paraId="3C5F71A3" w14:textId="77777777" w:rsidR="00C972CB" w:rsidRDefault="002457F6">
            <w:pPr>
              <w:pStyle w:val="P68B1DB1-Normal11"/>
              <w:jc w:val="center"/>
              <w:rPr>
                <w:noProof/>
              </w:rPr>
            </w:pPr>
            <w:r>
              <w:rPr>
                <w:noProof/>
              </w:rPr>
              <w:t>M2C2–45</w:t>
            </w:r>
          </w:p>
        </w:tc>
        <w:tc>
          <w:tcPr>
            <w:tcW w:w="1643" w:type="dxa"/>
            <w:shd w:val="clear" w:color="auto" w:fill="C6EFCE"/>
            <w:noWrap/>
            <w:vAlign w:val="center"/>
            <w:hideMark/>
          </w:tcPr>
          <w:p w14:paraId="3497472B" w14:textId="77777777" w:rsidR="00C972CB" w:rsidRDefault="002457F6">
            <w:pPr>
              <w:pStyle w:val="P68B1DB1-Normal11"/>
              <w:jc w:val="center"/>
              <w:rPr>
                <w:noProof/>
              </w:rPr>
            </w:pPr>
            <w:r>
              <w:rPr>
                <w:noProof/>
              </w:rPr>
              <w:t xml:space="preserve">Ieguldījums 1.1. Lauksaimniecības energosistēmu </w:t>
            </w:r>
            <w:r>
              <w:rPr>
                <w:noProof/>
              </w:rPr>
              <w:t>attīstība</w:t>
            </w:r>
          </w:p>
        </w:tc>
        <w:tc>
          <w:tcPr>
            <w:tcW w:w="1559" w:type="dxa"/>
            <w:shd w:val="clear" w:color="auto" w:fill="C6EFCE"/>
            <w:noWrap/>
            <w:vAlign w:val="center"/>
            <w:hideMark/>
          </w:tcPr>
          <w:p w14:paraId="2A920501" w14:textId="77777777" w:rsidR="00C972CB" w:rsidRDefault="002457F6">
            <w:pPr>
              <w:pStyle w:val="P68B1DB1-Normal11"/>
              <w:jc w:val="center"/>
              <w:rPr>
                <w:noProof/>
              </w:rPr>
            </w:pPr>
            <w:r>
              <w:rPr>
                <w:noProof/>
              </w:rPr>
              <w:t>Mērķa</w:t>
            </w:r>
          </w:p>
        </w:tc>
        <w:tc>
          <w:tcPr>
            <w:tcW w:w="1559" w:type="dxa"/>
            <w:shd w:val="clear" w:color="auto" w:fill="C6EFCE"/>
            <w:noWrap/>
            <w:vAlign w:val="center"/>
            <w:hideMark/>
          </w:tcPr>
          <w:p w14:paraId="3ED6BCAC" w14:textId="77777777" w:rsidR="00C972CB" w:rsidRDefault="002457F6">
            <w:pPr>
              <w:pStyle w:val="P68B1DB1-Normal11"/>
              <w:jc w:val="center"/>
              <w:rPr>
                <w:noProof/>
              </w:rPr>
            </w:pPr>
            <w:r>
              <w:rPr>
                <w:noProof/>
              </w:rPr>
              <w:t xml:space="preserve">Saules fotoelementu paneļu uzstādīšana agroelektriskajās sistēmās </w:t>
            </w:r>
          </w:p>
        </w:tc>
        <w:tc>
          <w:tcPr>
            <w:tcW w:w="1843" w:type="dxa"/>
            <w:shd w:val="clear" w:color="auto" w:fill="C6EFCE"/>
            <w:noWrap/>
            <w:vAlign w:val="center"/>
            <w:hideMark/>
          </w:tcPr>
          <w:p w14:paraId="4F10ECFF" w14:textId="77777777" w:rsidR="00C972CB" w:rsidRDefault="002457F6">
            <w:pPr>
              <w:pStyle w:val="P68B1DB1-Normal11"/>
              <w:jc w:val="center"/>
              <w:rPr>
                <w:noProof/>
              </w:rPr>
            </w:pPr>
            <w:r>
              <w:rPr>
                <w:noProof/>
              </w:rPr>
              <w:t>NEPIEMĒRO</w:t>
            </w:r>
          </w:p>
        </w:tc>
        <w:tc>
          <w:tcPr>
            <w:tcW w:w="1417" w:type="dxa"/>
            <w:shd w:val="clear" w:color="auto" w:fill="C6EFCE"/>
            <w:noWrap/>
            <w:vAlign w:val="center"/>
            <w:hideMark/>
          </w:tcPr>
          <w:p w14:paraId="5760DCA9" w14:textId="77777777" w:rsidR="00C972CB" w:rsidRDefault="002457F6">
            <w:pPr>
              <w:pStyle w:val="P68B1DB1-Normal11"/>
              <w:jc w:val="center"/>
              <w:rPr>
                <w:noProof/>
              </w:rPr>
            </w:pPr>
            <w:r>
              <w:rPr>
                <w:noProof/>
              </w:rPr>
              <w:t>MW</w:t>
            </w:r>
          </w:p>
        </w:tc>
        <w:tc>
          <w:tcPr>
            <w:tcW w:w="1134" w:type="dxa"/>
            <w:shd w:val="clear" w:color="auto" w:fill="C6EFCE"/>
            <w:noWrap/>
            <w:vAlign w:val="center"/>
            <w:hideMark/>
          </w:tcPr>
          <w:p w14:paraId="39FE1A0F" w14:textId="77777777" w:rsidR="00C972CB" w:rsidRDefault="002457F6">
            <w:pPr>
              <w:pStyle w:val="P68B1DB1-Normal11"/>
              <w:jc w:val="center"/>
              <w:rPr>
                <w:noProof/>
              </w:rPr>
            </w:pPr>
            <w:r>
              <w:rPr>
                <w:noProof/>
              </w:rPr>
              <w:t>0</w:t>
            </w:r>
          </w:p>
        </w:tc>
        <w:tc>
          <w:tcPr>
            <w:tcW w:w="946" w:type="dxa"/>
            <w:shd w:val="clear" w:color="auto" w:fill="C6EFCE"/>
            <w:noWrap/>
            <w:vAlign w:val="center"/>
            <w:hideMark/>
          </w:tcPr>
          <w:p w14:paraId="643A830B" w14:textId="77777777" w:rsidR="00C972CB" w:rsidRDefault="002457F6">
            <w:pPr>
              <w:pStyle w:val="P68B1DB1-Normal11"/>
              <w:jc w:val="center"/>
              <w:rPr>
                <w:noProof/>
              </w:rPr>
            </w:pPr>
            <w:r>
              <w:rPr>
                <w:noProof/>
              </w:rPr>
              <w:t>900</w:t>
            </w:r>
          </w:p>
        </w:tc>
        <w:tc>
          <w:tcPr>
            <w:tcW w:w="992" w:type="dxa"/>
            <w:shd w:val="clear" w:color="auto" w:fill="C6EFCE"/>
            <w:noWrap/>
            <w:vAlign w:val="center"/>
            <w:hideMark/>
          </w:tcPr>
          <w:p w14:paraId="33C235C8" w14:textId="77777777" w:rsidR="00C972CB" w:rsidRDefault="002457F6">
            <w:pPr>
              <w:pStyle w:val="P68B1DB1-Normal11"/>
              <w:jc w:val="center"/>
              <w:rPr>
                <w:noProof/>
              </w:rPr>
            </w:pPr>
            <w:r>
              <w:rPr>
                <w:noProof/>
              </w:rPr>
              <w:t>2. CET.</w:t>
            </w:r>
          </w:p>
        </w:tc>
        <w:tc>
          <w:tcPr>
            <w:tcW w:w="756" w:type="dxa"/>
            <w:shd w:val="clear" w:color="auto" w:fill="C6EFCE"/>
            <w:noWrap/>
            <w:vAlign w:val="center"/>
            <w:hideMark/>
          </w:tcPr>
          <w:p w14:paraId="3C960C01" w14:textId="77777777" w:rsidR="00C972CB" w:rsidRDefault="002457F6">
            <w:pPr>
              <w:pStyle w:val="P68B1DB1-Normal11"/>
              <w:jc w:val="center"/>
              <w:rPr>
                <w:noProof/>
              </w:rPr>
            </w:pPr>
            <w:r>
              <w:rPr>
                <w:noProof/>
              </w:rPr>
              <w:t>2026</w:t>
            </w:r>
          </w:p>
        </w:tc>
        <w:tc>
          <w:tcPr>
            <w:tcW w:w="2793" w:type="dxa"/>
            <w:shd w:val="clear" w:color="auto" w:fill="C6EFCE"/>
            <w:noWrap/>
            <w:vAlign w:val="center"/>
            <w:hideMark/>
          </w:tcPr>
          <w:p w14:paraId="63574DBD" w14:textId="77777777" w:rsidR="00C972CB" w:rsidRDefault="002457F6">
            <w:pPr>
              <w:pStyle w:val="P68B1DB1-Normal11"/>
              <w:rPr>
                <w:noProof/>
              </w:rPr>
            </w:pPr>
            <w:r>
              <w:rPr>
                <w:noProof/>
              </w:rPr>
              <w:t xml:space="preserve">Uzstādīt saules fotoelementu paneļus agroelektriskajās sistēmās, kuru jauda ir vismaz 900 MW. </w:t>
            </w:r>
          </w:p>
        </w:tc>
      </w:tr>
      <w:tr w:rsidR="00C972CB" w14:paraId="4559D083" w14:textId="77777777">
        <w:trPr>
          <w:trHeight w:val="309"/>
          <w:jc w:val="center"/>
        </w:trPr>
        <w:tc>
          <w:tcPr>
            <w:tcW w:w="1613" w:type="dxa"/>
            <w:shd w:val="clear" w:color="auto" w:fill="C6EFCE"/>
            <w:noWrap/>
            <w:vAlign w:val="center"/>
            <w:hideMark/>
          </w:tcPr>
          <w:p w14:paraId="003480CF" w14:textId="77777777" w:rsidR="00C972CB" w:rsidRDefault="002457F6">
            <w:pPr>
              <w:pStyle w:val="P68B1DB1-Normal11"/>
              <w:jc w:val="center"/>
              <w:rPr>
                <w:noProof/>
              </w:rPr>
            </w:pPr>
            <w:r>
              <w:rPr>
                <w:noProof/>
              </w:rPr>
              <w:t>M2C2–46</w:t>
            </w:r>
          </w:p>
        </w:tc>
        <w:tc>
          <w:tcPr>
            <w:tcW w:w="1643" w:type="dxa"/>
            <w:shd w:val="clear" w:color="auto" w:fill="C6EFCE"/>
            <w:noWrap/>
            <w:vAlign w:val="center"/>
            <w:hideMark/>
          </w:tcPr>
          <w:p w14:paraId="793E317B" w14:textId="77777777" w:rsidR="00C972CB" w:rsidRDefault="002457F6">
            <w:pPr>
              <w:pStyle w:val="P68B1DB1-Normal11"/>
              <w:jc w:val="center"/>
              <w:rPr>
                <w:noProof/>
              </w:rPr>
            </w:pPr>
            <w:r>
              <w:rPr>
                <w:noProof/>
              </w:rPr>
              <w:t xml:space="preserve">Ieguldījums 1.2. Atjaunojamo </w:t>
            </w:r>
            <w:r>
              <w:rPr>
                <w:noProof/>
              </w:rPr>
              <w:t>energoresursu veicināšana energokopienām un atjaunojamo energoresursu enerģijas pašpatērētāju kopīgai rīcībai</w:t>
            </w:r>
          </w:p>
        </w:tc>
        <w:tc>
          <w:tcPr>
            <w:tcW w:w="1559" w:type="dxa"/>
            <w:shd w:val="clear" w:color="auto" w:fill="C6EFCE"/>
            <w:noWrap/>
            <w:vAlign w:val="center"/>
            <w:hideMark/>
          </w:tcPr>
          <w:p w14:paraId="61FD22EF" w14:textId="77777777" w:rsidR="00C972CB" w:rsidRDefault="002457F6">
            <w:pPr>
              <w:pStyle w:val="P68B1DB1-Normal11"/>
              <w:jc w:val="center"/>
              <w:rPr>
                <w:noProof/>
              </w:rPr>
            </w:pPr>
            <w:r>
              <w:rPr>
                <w:noProof/>
              </w:rPr>
              <w:t>Starpposma mērķis</w:t>
            </w:r>
          </w:p>
        </w:tc>
        <w:tc>
          <w:tcPr>
            <w:tcW w:w="1559" w:type="dxa"/>
            <w:shd w:val="clear" w:color="auto" w:fill="C6EFCE"/>
            <w:noWrap/>
            <w:vAlign w:val="center"/>
            <w:hideMark/>
          </w:tcPr>
          <w:p w14:paraId="47321E97" w14:textId="77777777" w:rsidR="00C972CB" w:rsidRDefault="002457F6">
            <w:pPr>
              <w:pStyle w:val="P68B1DB1-Normal11"/>
              <w:jc w:val="center"/>
              <w:rPr>
                <w:noProof/>
              </w:rPr>
            </w:pPr>
            <w:r>
              <w:rPr>
                <w:noProof/>
              </w:rPr>
              <w:t>Visu publiskā iepirkuma līgumu slēgšanas tiesību piešķiršana energokopienu intervences pasākumu īstenošanai</w:t>
            </w:r>
          </w:p>
        </w:tc>
        <w:tc>
          <w:tcPr>
            <w:tcW w:w="1843" w:type="dxa"/>
            <w:shd w:val="clear" w:color="auto" w:fill="C6EFCE"/>
            <w:noWrap/>
            <w:vAlign w:val="center"/>
            <w:hideMark/>
          </w:tcPr>
          <w:p w14:paraId="68CC52AE" w14:textId="77777777" w:rsidR="00C972CB" w:rsidRDefault="002457F6">
            <w:pPr>
              <w:pStyle w:val="P68B1DB1-Normal11"/>
              <w:jc w:val="center"/>
              <w:rPr>
                <w:noProof/>
              </w:rPr>
            </w:pPr>
            <w:r>
              <w:rPr>
                <w:noProof/>
              </w:rPr>
              <w:t xml:space="preserve">Paziņojums par visu publisko līgumu slēgšanas tiesību piešķiršanu, lai īstenotu intervences pasākumus energokopienām </w:t>
            </w:r>
          </w:p>
        </w:tc>
        <w:tc>
          <w:tcPr>
            <w:tcW w:w="1417" w:type="dxa"/>
            <w:shd w:val="clear" w:color="auto" w:fill="C6EFCE"/>
            <w:noWrap/>
            <w:vAlign w:val="center"/>
            <w:hideMark/>
          </w:tcPr>
          <w:p w14:paraId="018CD686"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130E8915" w14:textId="77777777" w:rsidR="00C972CB" w:rsidRDefault="002457F6">
            <w:pPr>
              <w:pStyle w:val="P68B1DB1-Normal11"/>
              <w:jc w:val="center"/>
              <w:rPr>
                <w:noProof/>
              </w:rPr>
            </w:pPr>
            <w:r>
              <w:rPr>
                <w:noProof/>
              </w:rPr>
              <w:t>NEPIEMĒRO</w:t>
            </w:r>
          </w:p>
        </w:tc>
        <w:tc>
          <w:tcPr>
            <w:tcW w:w="946" w:type="dxa"/>
            <w:shd w:val="clear" w:color="auto" w:fill="C6EFCE"/>
            <w:noWrap/>
            <w:vAlign w:val="center"/>
            <w:hideMark/>
          </w:tcPr>
          <w:p w14:paraId="2FAD9929" w14:textId="77777777" w:rsidR="00C972CB" w:rsidRDefault="002457F6">
            <w:pPr>
              <w:pStyle w:val="P68B1DB1-Normal11"/>
              <w:jc w:val="center"/>
              <w:rPr>
                <w:noProof/>
              </w:rPr>
            </w:pPr>
            <w:r>
              <w:rPr>
                <w:noProof/>
              </w:rPr>
              <w:t>NEPIEMĒRO</w:t>
            </w:r>
          </w:p>
        </w:tc>
        <w:tc>
          <w:tcPr>
            <w:tcW w:w="992" w:type="dxa"/>
            <w:shd w:val="clear" w:color="auto" w:fill="C6EFCE"/>
            <w:noWrap/>
            <w:vAlign w:val="center"/>
            <w:hideMark/>
          </w:tcPr>
          <w:p w14:paraId="31D99785" w14:textId="77777777" w:rsidR="00C972CB" w:rsidRDefault="002457F6">
            <w:pPr>
              <w:pStyle w:val="P68B1DB1-Normal11"/>
              <w:jc w:val="center"/>
              <w:rPr>
                <w:noProof/>
              </w:rPr>
            </w:pPr>
            <w:r>
              <w:rPr>
                <w:noProof/>
              </w:rPr>
              <w:t>4. CET.</w:t>
            </w:r>
          </w:p>
        </w:tc>
        <w:tc>
          <w:tcPr>
            <w:tcW w:w="756" w:type="dxa"/>
            <w:shd w:val="clear" w:color="auto" w:fill="C6EFCE"/>
            <w:noWrap/>
            <w:vAlign w:val="center"/>
            <w:hideMark/>
          </w:tcPr>
          <w:p w14:paraId="03968E71" w14:textId="77777777" w:rsidR="00C972CB" w:rsidRDefault="002457F6">
            <w:pPr>
              <w:pStyle w:val="P68B1DB1-Normal11"/>
              <w:jc w:val="center"/>
              <w:rPr>
                <w:noProof/>
              </w:rPr>
            </w:pPr>
            <w:r>
              <w:rPr>
                <w:noProof/>
              </w:rPr>
              <w:t xml:space="preserve">2025 </w:t>
            </w:r>
          </w:p>
        </w:tc>
        <w:tc>
          <w:tcPr>
            <w:tcW w:w="2793" w:type="dxa"/>
            <w:shd w:val="clear" w:color="auto" w:fill="C6EFCE"/>
            <w:noWrap/>
            <w:vAlign w:val="center"/>
            <w:hideMark/>
          </w:tcPr>
          <w:p w14:paraId="41E33AF6" w14:textId="2772E252" w:rsidR="00C972CB" w:rsidRDefault="002457F6">
            <w:pPr>
              <w:pStyle w:val="P68B1DB1-Normal11"/>
              <w:rPr>
                <w:noProof/>
              </w:rPr>
            </w:pPr>
            <w:r>
              <w:rPr>
                <w:noProof/>
              </w:rPr>
              <w:t xml:space="preserve">Līgumu parakstīšana par dotāciju piešķiršanu, lai īstenotu intervences pasākumus </w:t>
            </w:r>
            <w:r>
              <w:rPr>
                <w:noProof/>
              </w:rPr>
              <w:t>energokopienām.</w:t>
            </w:r>
          </w:p>
        </w:tc>
      </w:tr>
      <w:tr w:rsidR="00C972CB" w14:paraId="2BCE8323" w14:textId="77777777">
        <w:trPr>
          <w:trHeight w:val="309"/>
          <w:jc w:val="center"/>
        </w:trPr>
        <w:tc>
          <w:tcPr>
            <w:tcW w:w="1613" w:type="dxa"/>
            <w:shd w:val="clear" w:color="auto" w:fill="C6EFCE"/>
            <w:noWrap/>
            <w:vAlign w:val="center"/>
            <w:hideMark/>
          </w:tcPr>
          <w:p w14:paraId="21A10B5B" w14:textId="77777777" w:rsidR="00C972CB" w:rsidRDefault="002457F6">
            <w:pPr>
              <w:pStyle w:val="P68B1DB1-Normal11"/>
              <w:jc w:val="center"/>
              <w:rPr>
                <w:noProof/>
              </w:rPr>
            </w:pPr>
            <w:r>
              <w:rPr>
                <w:noProof/>
              </w:rPr>
              <w:t>M2C2–47</w:t>
            </w:r>
          </w:p>
        </w:tc>
        <w:tc>
          <w:tcPr>
            <w:tcW w:w="1643" w:type="dxa"/>
            <w:shd w:val="clear" w:color="auto" w:fill="C6EFCE"/>
            <w:noWrap/>
            <w:vAlign w:val="center"/>
            <w:hideMark/>
          </w:tcPr>
          <w:p w14:paraId="3A3D6CC3" w14:textId="77777777" w:rsidR="00C972CB" w:rsidRDefault="002457F6">
            <w:pPr>
              <w:pStyle w:val="P68B1DB1-Normal11"/>
              <w:jc w:val="center"/>
              <w:rPr>
                <w:noProof/>
              </w:rPr>
            </w:pPr>
            <w:r>
              <w:rPr>
                <w:noProof/>
              </w:rPr>
              <w:t>Ieguldījumi 1.2. AER veicināšana energokopienām un atjaunojamo energoresursu enerģijas pašpatērētājiem, kas darbojas kopīgi</w:t>
            </w:r>
          </w:p>
        </w:tc>
        <w:tc>
          <w:tcPr>
            <w:tcW w:w="1559" w:type="dxa"/>
            <w:shd w:val="clear" w:color="auto" w:fill="C6EFCE"/>
            <w:noWrap/>
            <w:vAlign w:val="center"/>
            <w:hideMark/>
          </w:tcPr>
          <w:p w14:paraId="61825259" w14:textId="77777777" w:rsidR="00C972CB" w:rsidRDefault="002457F6">
            <w:pPr>
              <w:pStyle w:val="P68B1DB1-Normal11"/>
              <w:jc w:val="center"/>
              <w:rPr>
                <w:noProof/>
              </w:rPr>
            </w:pPr>
            <w:r>
              <w:rPr>
                <w:noProof/>
              </w:rPr>
              <w:t>Mērķa</w:t>
            </w:r>
          </w:p>
        </w:tc>
        <w:tc>
          <w:tcPr>
            <w:tcW w:w="1559" w:type="dxa"/>
            <w:shd w:val="clear" w:color="auto" w:fill="C6EFCE"/>
            <w:noWrap/>
            <w:vAlign w:val="center"/>
            <w:hideMark/>
          </w:tcPr>
          <w:p w14:paraId="5F9E148B" w14:textId="77777777" w:rsidR="00C972CB" w:rsidRDefault="002457F6">
            <w:pPr>
              <w:pStyle w:val="P68B1DB1-Normal11"/>
              <w:jc w:val="center"/>
              <w:rPr>
                <w:noProof/>
              </w:rPr>
            </w:pPr>
            <w:r>
              <w:rPr>
                <w:noProof/>
              </w:rPr>
              <w:t xml:space="preserve">Atjaunojamo energoresursu enerģijas ražošana energokopienās un atjaunīgās enerģijas pašpatērētāji, </w:t>
            </w:r>
            <w:r>
              <w:rPr>
                <w:noProof/>
              </w:rPr>
              <w:t>kas rīkojas kopīgi</w:t>
            </w:r>
          </w:p>
        </w:tc>
        <w:tc>
          <w:tcPr>
            <w:tcW w:w="1843" w:type="dxa"/>
            <w:shd w:val="clear" w:color="auto" w:fill="C6EFCE"/>
            <w:noWrap/>
            <w:vAlign w:val="center"/>
            <w:hideMark/>
          </w:tcPr>
          <w:p w14:paraId="4E870E22" w14:textId="77777777" w:rsidR="00C972CB" w:rsidRDefault="002457F6">
            <w:pPr>
              <w:pStyle w:val="P68B1DB1-Normal11"/>
              <w:jc w:val="center"/>
              <w:rPr>
                <w:noProof/>
              </w:rPr>
            </w:pPr>
            <w:r>
              <w:rPr>
                <w:noProof/>
              </w:rPr>
              <w:t>NEPIEMĒRO</w:t>
            </w:r>
          </w:p>
        </w:tc>
        <w:tc>
          <w:tcPr>
            <w:tcW w:w="1417" w:type="dxa"/>
            <w:shd w:val="clear" w:color="auto" w:fill="C6EFCE"/>
            <w:noWrap/>
            <w:vAlign w:val="center"/>
            <w:hideMark/>
          </w:tcPr>
          <w:p w14:paraId="2E360EEF" w14:textId="77777777" w:rsidR="00C972CB" w:rsidRDefault="002457F6">
            <w:pPr>
              <w:pStyle w:val="P68B1DB1-Normal11"/>
              <w:jc w:val="center"/>
              <w:rPr>
                <w:noProof/>
              </w:rPr>
            </w:pPr>
            <w:r>
              <w:rPr>
                <w:noProof/>
              </w:rPr>
              <w:t>Skaits</w:t>
            </w:r>
          </w:p>
        </w:tc>
        <w:tc>
          <w:tcPr>
            <w:tcW w:w="1134" w:type="dxa"/>
            <w:shd w:val="clear" w:color="auto" w:fill="C6EFCE"/>
            <w:noWrap/>
            <w:vAlign w:val="center"/>
            <w:hideMark/>
          </w:tcPr>
          <w:p w14:paraId="6AE7C5D5" w14:textId="77777777" w:rsidR="00C972CB" w:rsidRDefault="002457F6">
            <w:pPr>
              <w:pStyle w:val="P68B1DB1-Normal11"/>
              <w:jc w:val="center"/>
              <w:rPr>
                <w:noProof/>
              </w:rPr>
            </w:pPr>
            <w:r>
              <w:rPr>
                <w:noProof/>
              </w:rPr>
              <w:t>0</w:t>
            </w:r>
          </w:p>
        </w:tc>
        <w:tc>
          <w:tcPr>
            <w:tcW w:w="946" w:type="dxa"/>
            <w:shd w:val="clear" w:color="auto" w:fill="C6EFCE"/>
            <w:noWrap/>
            <w:vAlign w:val="center"/>
            <w:hideMark/>
          </w:tcPr>
          <w:p w14:paraId="589D6281" w14:textId="1186F4B7" w:rsidR="00C972CB" w:rsidRDefault="002457F6">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730</w:t>
            </w:r>
          </w:p>
        </w:tc>
        <w:tc>
          <w:tcPr>
            <w:tcW w:w="992" w:type="dxa"/>
            <w:shd w:val="clear" w:color="auto" w:fill="C6EFCE"/>
            <w:noWrap/>
            <w:vAlign w:val="center"/>
            <w:hideMark/>
          </w:tcPr>
          <w:p w14:paraId="28D8DEE2" w14:textId="77777777" w:rsidR="00C972CB" w:rsidRDefault="002457F6">
            <w:pPr>
              <w:pStyle w:val="P68B1DB1-Normal11"/>
              <w:jc w:val="center"/>
              <w:rPr>
                <w:noProof/>
              </w:rPr>
            </w:pPr>
            <w:r>
              <w:rPr>
                <w:noProof/>
              </w:rPr>
              <w:t>2. CET.</w:t>
            </w:r>
          </w:p>
        </w:tc>
        <w:tc>
          <w:tcPr>
            <w:tcW w:w="756" w:type="dxa"/>
            <w:shd w:val="clear" w:color="auto" w:fill="C6EFCE"/>
            <w:noWrap/>
            <w:vAlign w:val="center"/>
            <w:hideMark/>
          </w:tcPr>
          <w:p w14:paraId="22EB4CC9" w14:textId="77777777" w:rsidR="00C972CB" w:rsidRDefault="002457F6">
            <w:pPr>
              <w:pStyle w:val="P68B1DB1-Normal11"/>
              <w:jc w:val="center"/>
              <w:rPr>
                <w:noProof/>
              </w:rPr>
            </w:pPr>
            <w:r>
              <w:rPr>
                <w:noProof/>
              </w:rPr>
              <w:t>2026</w:t>
            </w:r>
          </w:p>
        </w:tc>
        <w:tc>
          <w:tcPr>
            <w:tcW w:w="2793" w:type="dxa"/>
            <w:shd w:val="clear" w:color="auto" w:fill="C6EFCE"/>
            <w:noWrap/>
            <w:vAlign w:val="center"/>
            <w:hideMark/>
          </w:tcPr>
          <w:p w14:paraId="37ED75D7" w14:textId="479C4D5B" w:rsidR="00C972CB" w:rsidRDefault="002457F6">
            <w:pPr>
              <w:pStyle w:val="P68B1DB1-Normal12"/>
              <w:rPr>
                <w:rFonts w:ascii="Arial Narrow" w:hAnsi="Arial Narrow"/>
                <w:noProof/>
              </w:rPr>
            </w:pPr>
            <w:r>
              <w:rPr>
                <w:rFonts w:ascii="Arial Narrow" w:hAnsi="Arial Narrow"/>
                <w:noProof/>
              </w:rPr>
              <w:t>Atbalstīt energokopienas pašvaldībās, kurās ir mazāk nekā 5000</w:t>
            </w:r>
            <w:r>
              <w:rPr>
                <w:noProof/>
              </w:rPr>
              <w:t xml:space="preserve"> </w:t>
            </w:r>
            <w:r>
              <w:rPr>
                <w:rFonts w:ascii="Arial Narrow" w:hAnsi="Arial Narrow"/>
                <w:noProof/>
              </w:rPr>
              <w:t>iedzīvotāju, lai nodrošinātu iekārtu vismaz 1730</w:t>
            </w:r>
            <w:r>
              <w:rPr>
                <w:noProof/>
              </w:rPr>
              <w:t xml:space="preserve"> </w:t>
            </w:r>
            <w:r>
              <w:rPr>
                <w:rFonts w:ascii="Arial Narrow" w:hAnsi="Arial Narrow"/>
                <w:noProof/>
              </w:rPr>
              <w:t xml:space="preserve">MW apmērā no atjaunīgajiem energoresursiem. Šis pasākums neatbalsta ūdeņraža darbības, </w:t>
            </w:r>
            <w:r>
              <w:rPr>
                <w:rFonts w:ascii="Arial Narrow" w:hAnsi="Arial Narrow"/>
                <w:noProof/>
              </w:rPr>
              <w:t>kuru rezultātā SEG emisijas pārsniedz 3 t CO2 ekv./tH2.</w:t>
            </w:r>
          </w:p>
        </w:tc>
      </w:tr>
      <w:tr w:rsidR="00C972CB" w14:paraId="124B3150" w14:textId="77777777">
        <w:trPr>
          <w:trHeight w:val="309"/>
          <w:jc w:val="center"/>
        </w:trPr>
        <w:tc>
          <w:tcPr>
            <w:tcW w:w="1613" w:type="dxa"/>
            <w:shd w:val="clear" w:color="auto" w:fill="C6EFCE"/>
            <w:noWrap/>
            <w:vAlign w:val="center"/>
          </w:tcPr>
          <w:p w14:paraId="2C899AE0" w14:textId="77777777" w:rsidR="00C972CB" w:rsidRDefault="002457F6">
            <w:pPr>
              <w:pStyle w:val="P68B1DB1-Normal11"/>
              <w:jc w:val="center"/>
              <w:rPr>
                <w:noProof/>
              </w:rPr>
            </w:pPr>
            <w:r>
              <w:rPr>
                <w:noProof/>
              </w:rPr>
              <w:t>M2C2–48</w:t>
            </w:r>
          </w:p>
        </w:tc>
        <w:tc>
          <w:tcPr>
            <w:tcW w:w="1643" w:type="dxa"/>
            <w:shd w:val="clear" w:color="auto" w:fill="C6EFCE"/>
            <w:noWrap/>
            <w:vAlign w:val="center"/>
          </w:tcPr>
          <w:p w14:paraId="36074FF4" w14:textId="77777777" w:rsidR="00C972CB" w:rsidRDefault="002457F6">
            <w:pPr>
              <w:pStyle w:val="P68B1DB1-Normal11"/>
              <w:jc w:val="center"/>
              <w:rPr>
                <w:noProof/>
              </w:rPr>
            </w:pPr>
            <w:r>
              <w:rPr>
                <w:noProof/>
              </w:rPr>
              <w:t>Investīcija. Ūdeņraža ražošana degradētās teritorijās (Ūdeņraža ielejās)</w:t>
            </w:r>
          </w:p>
        </w:tc>
        <w:tc>
          <w:tcPr>
            <w:tcW w:w="1559" w:type="dxa"/>
            <w:shd w:val="clear" w:color="auto" w:fill="C6EFCE"/>
            <w:noWrap/>
            <w:vAlign w:val="center"/>
          </w:tcPr>
          <w:p w14:paraId="51930F8B" w14:textId="77777777" w:rsidR="00C972CB" w:rsidRDefault="002457F6">
            <w:pPr>
              <w:pStyle w:val="P68B1DB1-Normal11"/>
              <w:jc w:val="center"/>
              <w:rPr>
                <w:noProof/>
              </w:rPr>
            </w:pPr>
            <w:r>
              <w:rPr>
                <w:noProof/>
              </w:rPr>
              <w:t>Starpposma mērķis</w:t>
            </w:r>
          </w:p>
        </w:tc>
        <w:tc>
          <w:tcPr>
            <w:tcW w:w="1559" w:type="dxa"/>
            <w:shd w:val="clear" w:color="auto" w:fill="C6EFCE"/>
            <w:noWrap/>
            <w:vAlign w:val="center"/>
          </w:tcPr>
          <w:p w14:paraId="11C8216A" w14:textId="77777777" w:rsidR="00C972CB" w:rsidRDefault="002457F6">
            <w:pPr>
              <w:pStyle w:val="P68B1DB1-Normal11"/>
              <w:jc w:val="center"/>
              <w:rPr>
                <w:noProof/>
              </w:rPr>
            </w:pPr>
            <w:r>
              <w:rPr>
                <w:noProof/>
              </w:rPr>
              <w:t xml:space="preserve">Visu publiskā iepirkuma līgumu slēgšanas tiesību piešķiršana ūdeņraža ražošanas projektiem pamestos </w:t>
            </w:r>
            <w:r>
              <w:rPr>
                <w:noProof/>
              </w:rPr>
              <w:t>rūpnieciskos apgabalos</w:t>
            </w:r>
          </w:p>
        </w:tc>
        <w:tc>
          <w:tcPr>
            <w:tcW w:w="1843" w:type="dxa"/>
            <w:shd w:val="clear" w:color="auto" w:fill="C6EFCE"/>
            <w:noWrap/>
            <w:vAlign w:val="center"/>
          </w:tcPr>
          <w:p w14:paraId="45B691C9" w14:textId="77777777" w:rsidR="00C972CB" w:rsidRDefault="002457F6">
            <w:pPr>
              <w:pStyle w:val="P68B1DB1-Normal11"/>
              <w:jc w:val="center"/>
              <w:rPr>
                <w:noProof/>
              </w:rPr>
            </w:pPr>
            <w:r>
              <w:rPr>
                <w:noProof/>
              </w:rPr>
              <w:t>Paziņojums par visu publiskā iepirkuma līgumu slēgšanas tiesību piešķiršanu par ūdeņraža ražošanu pamestos rūpnieciskos apgabalos</w:t>
            </w:r>
          </w:p>
        </w:tc>
        <w:tc>
          <w:tcPr>
            <w:tcW w:w="1417" w:type="dxa"/>
            <w:shd w:val="clear" w:color="auto" w:fill="C6EFCE"/>
            <w:noWrap/>
            <w:vAlign w:val="center"/>
          </w:tcPr>
          <w:p w14:paraId="0803A14B"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0E4F627C" w14:textId="77777777" w:rsidR="00C972CB" w:rsidRDefault="002457F6">
            <w:pPr>
              <w:pStyle w:val="P68B1DB1-Normal11"/>
              <w:jc w:val="center"/>
              <w:rPr>
                <w:noProof/>
              </w:rPr>
            </w:pPr>
            <w:r>
              <w:rPr>
                <w:noProof/>
              </w:rPr>
              <w:t>NEPIEMĒRO</w:t>
            </w:r>
          </w:p>
        </w:tc>
        <w:tc>
          <w:tcPr>
            <w:tcW w:w="946" w:type="dxa"/>
            <w:shd w:val="clear" w:color="auto" w:fill="C6EFCE"/>
            <w:noWrap/>
            <w:vAlign w:val="center"/>
          </w:tcPr>
          <w:p w14:paraId="1681F748" w14:textId="77777777" w:rsidR="00C972CB" w:rsidRDefault="002457F6">
            <w:pPr>
              <w:pStyle w:val="P68B1DB1-Normal11"/>
              <w:jc w:val="center"/>
              <w:rPr>
                <w:noProof/>
              </w:rPr>
            </w:pPr>
            <w:r>
              <w:rPr>
                <w:noProof/>
              </w:rPr>
              <w:t>NEPIEMĒRO</w:t>
            </w:r>
          </w:p>
        </w:tc>
        <w:tc>
          <w:tcPr>
            <w:tcW w:w="992" w:type="dxa"/>
            <w:shd w:val="clear" w:color="auto" w:fill="C6EFCE"/>
            <w:noWrap/>
            <w:vAlign w:val="center"/>
          </w:tcPr>
          <w:p w14:paraId="12F83C88" w14:textId="77777777" w:rsidR="00C972CB" w:rsidRDefault="002457F6">
            <w:pPr>
              <w:pStyle w:val="P68B1DB1-Normal11"/>
              <w:jc w:val="center"/>
              <w:rPr>
                <w:noProof/>
              </w:rPr>
            </w:pPr>
            <w:r>
              <w:rPr>
                <w:noProof/>
              </w:rPr>
              <w:t>1. CET.</w:t>
            </w:r>
          </w:p>
        </w:tc>
        <w:tc>
          <w:tcPr>
            <w:tcW w:w="756" w:type="dxa"/>
            <w:shd w:val="clear" w:color="auto" w:fill="C6EFCE"/>
            <w:noWrap/>
            <w:vAlign w:val="center"/>
          </w:tcPr>
          <w:p w14:paraId="5836E9CC" w14:textId="77777777" w:rsidR="00C972CB" w:rsidRDefault="002457F6">
            <w:pPr>
              <w:pStyle w:val="P68B1DB1-Normal11"/>
              <w:jc w:val="center"/>
              <w:rPr>
                <w:noProof/>
              </w:rPr>
            </w:pPr>
            <w:r>
              <w:rPr>
                <w:noProof/>
              </w:rPr>
              <w:t>2023</w:t>
            </w:r>
          </w:p>
        </w:tc>
        <w:tc>
          <w:tcPr>
            <w:tcW w:w="2793" w:type="dxa"/>
            <w:shd w:val="clear" w:color="auto" w:fill="C6EFCE"/>
            <w:noWrap/>
            <w:vAlign w:val="center"/>
          </w:tcPr>
          <w:p w14:paraId="4DB42062" w14:textId="77777777" w:rsidR="00C972CB" w:rsidRDefault="002457F6">
            <w:pPr>
              <w:pStyle w:val="P68B1DB1-Normal19"/>
              <w:rPr>
                <w:noProof/>
                <w:color w:val="006100"/>
              </w:rPr>
            </w:pPr>
            <w:r>
              <w:rPr>
                <w:noProof/>
              </w:rPr>
              <w:t>Ūdeņraža ražošanas projektu</w:t>
            </w:r>
            <w:r>
              <w:rPr>
                <w:noProof/>
                <w:color w:val="006100"/>
              </w:rPr>
              <w:t xml:space="preserve">piešķiršana pamestu rūpniecības </w:t>
            </w:r>
            <w:r>
              <w:rPr>
                <w:noProof/>
                <w:color w:val="006100"/>
              </w:rPr>
              <w:t>teritoriju centros. Finansējumu piešķir tāda zaļā ūdeņraža ražošanai, kura daudzums ir mazāks par 3 tCO2eq/tH2, lai gūtu vislabāko dekarbonizācijas rezultātu. Šis pasākums atbalsta ūdeņraža ražošanu elektrolīzes ceļā, izmantojot atjaunojamos energoresursus</w:t>
            </w:r>
            <w:r>
              <w:rPr>
                <w:noProof/>
                <w:color w:val="006100"/>
              </w:rPr>
              <w:t>, kas definēti Direktīvā (ES) 2018/2001 (Atjaunojamo energoresursu direktīva), vai tīkla elektroenerģiju</w:t>
            </w:r>
            <w:r>
              <w:rPr>
                <w:noProof/>
              </w:rPr>
              <w:t>.</w:t>
            </w:r>
          </w:p>
        </w:tc>
      </w:tr>
      <w:tr w:rsidR="00C972CB" w14:paraId="41646CBA" w14:textId="77777777">
        <w:trPr>
          <w:trHeight w:val="309"/>
          <w:jc w:val="center"/>
        </w:trPr>
        <w:tc>
          <w:tcPr>
            <w:tcW w:w="1613" w:type="dxa"/>
            <w:shd w:val="clear" w:color="auto" w:fill="C6EFCE"/>
            <w:noWrap/>
            <w:vAlign w:val="center"/>
          </w:tcPr>
          <w:p w14:paraId="69AF7824" w14:textId="77777777" w:rsidR="00C972CB" w:rsidRDefault="002457F6">
            <w:pPr>
              <w:pStyle w:val="P68B1DB1-Normal11"/>
              <w:jc w:val="center"/>
              <w:rPr>
                <w:noProof/>
              </w:rPr>
            </w:pPr>
            <w:r>
              <w:rPr>
                <w:noProof/>
              </w:rPr>
              <w:t>M2C2–49</w:t>
            </w:r>
          </w:p>
        </w:tc>
        <w:tc>
          <w:tcPr>
            <w:tcW w:w="1643" w:type="dxa"/>
            <w:shd w:val="clear" w:color="auto" w:fill="C6EFCE"/>
            <w:noWrap/>
            <w:vAlign w:val="center"/>
          </w:tcPr>
          <w:p w14:paraId="0BA0F21F" w14:textId="77777777" w:rsidR="00C972CB" w:rsidRDefault="002457F6">
            <w:pPr>
              <w:pStyle w:val="P68B1DB1-Normal11"/>
              <w:jc w:val="center"/>
              <w:rPr>
                <w:noProof/>
              </w:rPr>
            </w:pPr>
            <w:r>
              <w:rPr>
                <w:noProof/>
              </w:rPr>
              <w:t>Investīcija. Ūdeņraža ražošana degradētās teritorijās (Ūdeņraža ielejās)</w:t>
            </w:r>
          </w:p>
        </w:tc>
        <w:tc>
          <w:tcPr>
            <w:tcW w:w="1559" w:type="dxa"/>
            <w:shd w:val="clear" w:color="auto" w:fill="C6EFCE"/>
            <w:noWrap/>
            <w:vAlign w:val="center"/>
          </w:tcPr>
          <w:p w14:paraId="38753819" w14:textId="77777777" w:rsidR="00C972CB" w:rsidRDefault="002457F6">
            <w:pPr>
              <w:pStyle w:val="P68B1DB1-Normal11"/>
              <w:jc w:val="center"/>
              <w:rPr>
                <w:noProof/>
              </w:rPr>
            </w:pPr>
            <w:r>
              <w:rPr>
                <w:noProof/>
              </w:rPr>
              <w:t>Mērķa</w:t>
            </w:r>
          </w:p>
        </w:tc>
        <w:tc>
          <w:tcPr>
            <w:tcW w:w="1559" w:type="dxa"/>
            <w:shd w:val="clear" w:color="auto" w:fill="C6EFCE"/>
            <w:noWrap/>
            <w:vAlign w:val="center"/>
          </w:tcPr>
          <w:p w14:paraId="03F5F0B3" w14:textId="77777777" w:rsidR="00C972CB" w:rsidRDefault="002457F6">
            <w:pPr>
              <w:pStyle w:val="P68B1DB1-Normal11"/>
              <w:jc w:val="center"/>
              <w:rPr>
                <w:noProof/>
              </w:rPr>
            </w:pPr>
            <w:r>
              <w:rPr>
                <w:noProof/>
              </w:rPr>
              <w:t>Ūdeņraža ražošanas projektu pabeigšana rūpniecības apgabalos</w:t>
            </w:r>
          </w:p>
        </w:tc>
        <w:tc>
          <w:tcPr>
            <w:tcW w:w="1843" w:type="dxa"/>
            <w:shd w:val="clear" w:color="auto" w:fill="C6EFCE"/>
            <w:noWrap/>
            <w:vAlign w:val="center"/>
          </w:tcPr>
          <w:p w14:paraId="0D1FBFCC" w14:textId="77777777" w:rsidR="00C972CB" w:rsidRDefault="002457F6">
            <w:pPr>
              <w:pStyle w:val="P68B1DB1-Normal11"/>
              <w:jc w:val="center"/>
              <w:rPr>
                <w:noProof/>
              </w:rPr>
            </w:pPr>
            <w:r>
              <w:rPr>
                <w:noProof/>
              </w:rPr>
              <w:t>NEPIEMĒRO</w:t>
            </w:r>
          </w:p>
        </w:tc>
        <w:tc>
          <w:tcPr>
            <w:tcW w:w="1417" w:type="dxa"/>
            <w:shd w:val="clear" w:color="auto" w:fill="C6EFCE"/>
            <w:noWrap/>
            <w:vAlign w:val="center"/>
          </w:tcPr>
          <w:p w14:paraId="160DB480" w14:textId="77777777" w:rsidR="00C972CB" w:rsidRDefault="002457F6">
            <w:pPr>
              <w:pStyle w:val="P68B1DB1-Normal11"/>
              <w:jc w:val="center"/>
              <w:rPr>
                <w:noProof/>
              </w:rPr>
            </w:pPr>
            <w:r>
              <w:rPr>
                <w:noProof/>
              </w:rPr>
              <w:t>Skaits</w:t>
            </w:r>
          </w:p>
        </w:tc>
        <w:tc>
          <w:tcPr>
            <w:tcW w:w="1134" w:type="dxa"/>
            <w:shd w:val="clear" w:color="auto" w:fill="C6EFCE"/>
            <w:noWrap/>
            <w:vAlign w:val="center"/>
          </w:tcPr>
          <w:p w14:paraId="26D25F9A" w14:textId="77777777" w:rsidR="00C972CB" w:rsidRDefault="002457F6">
            <w:pPr>
              <w:pStyle w:val="P68B1DB1-Normal11"/>
              <w:jc w:val="center"/>
              <w:rPr>
                <w:noProof/>
              </w:rPr>
            </w:pPr>
            <w:r>
              <w:rPr>
                <w:noProof/>
              </w:rPr>
              <w:t>0</w:t>
            </w:r>
          </w:p>
        </w:tc>
        <w:tc>
          <w:tcPr>
            <w:tcW w:w="946" w:type="dxa"/>
            <w:shd w:val="clear" w:color="auto" w:fill="C6EFCE"/>
            <w:noWrap/>
            <w:vAlign w:val="center"/>
          </w:tcPr>
          <w:p w14:paraId="6FAA6D43" w14:textId="77777777" w:rsidR="00C972CB" w:rsidRDefault="002457F6">
            <w:pPr>
              <w:pStyle w:val="P68B1DB1-Normal11"/>
              <w:jc w:val="center"/>
              <w:rPr>
                <w:noProof/>
              </w:rPr>
            </w:pPr>
            <w:r>
              <w:rPr>
                <w:noProof/>
              </w:rPr>
              <w:t>10</w:t>
            </w:r>
          </w:p>
        </w:tc>
        <w:tc>
          <w:tcPr>
            <w:tcW w:w="992" w:type="dxa"/>
            <w:shd w:val="clear" w:color="auto" w:fill="C6EFCE"/>
            <w:noWrap/>
            <w:vAlign w:val="center"/>
          </w:tcPr>
          <w:p w14:paraId="782E86C4" w14:textId="77777777" w:rsidR="00C972CB" w:rsidRDefault="002457F6">
            <w:pPr>
              <w:pStyle w:val="P68B1DB1-Normal11"/>
              <w:jc w:val="center"/>
              <w:rPr>
                <w:noProof/>
              </w:rPr>
            </w:pPr>
            <w:r>
              <w:rPr>
                <w:noProof/>
              </w:rPr>
              <w:t>2. CET.</w:t>
            </w:r>
          </w:p>
        </w:tc>
        <w:tc>
          <w:tcPr>
            <w:tcW w:w="756" w:type="dxa"/>
            <w:shd w:val="clear" w:color="auto" w:fill="C6EFCE"/>
            <w:noWrap/>
            <w:vAlign w:val="center"/>
          </w:tcPr>
          <w:p w14:paraId="2BF50EE8" w14:textId="77777777" w:rsidR="00C972CB" w:rsidRDefault="002457F6">
            <w:pPr>
              <w:pStyle w:val="P68B1DB1-Normal11"/>
              <w:jc w:val="center"/>
              <w:rPr>
                <w:noProof/>
              </w:rPr>
            </w:pPr>
            <w:r>
              <w:rPr>
                <w:noProof/>
              </w:rPr>
              <w:t>2026</w:t>
            </w:r>
          </w:p>
        </w:tc>
        <w:tc>
          <w:tcPr>
            <w:tcW w:w="2793" w:type="dxa"/>
            <w:shd w:val="clear" w:color="auto" w:fill="C6EFCE"/>
            <w:noWrap/>
            <w:vAlign w:val="center"/>
          </w:tcPr>
          <w:p w14:paraId="73499DF0" w14:textId="77777777" w:rsidR="00C972CB" w:rsidRDefault="002457F6">
            <w:pPr>
              <w:pStyle w:val="P68B1DB1-Normal11"/>
              <w:spacing w:after="120"/>
              <w:rPr>
                <w:noProof/>
              </w:rPr>
            </w:pPr>
            <w:r>
              <w:rPr>
                <w:noProof/>
              </w:rPr>
              <w:t>Pabeidz vismaz 10 ūdeņraža ražošanas projektus pamestos rūpnieciskos apgabalos ar vidējo jaudu vismaz 1–5 MW katrā.</w:t>
            </w:r>
          </w:p>
          <w:p w14:paraId="6A3D0136" w14:textId="77777777" w:rsidR="00C972CB" w:rsidRDefault="002457F6">
            <w:pPr>
              <w:pStyle w:val="P68B1DB1-Normal11"/>
              <w:spacing w:after="120"/>
              <w:rPr>
                <w:noProof/>
              </w:rPr>
            </w:pPr>
            <w:r>
              <w:rPr>
                <w:noProof/>
              </w:rPr>
              <w:t>Šis pasākums atbalsta ūdeņraža ražošanu elektrolīzes veidā, izmantojot atjaunojamos energoresursus, kas d</w:t>
            </w:r>
            <w:r>
              <w:rPr>
                <w:noProof/>
              </w:rPr>
              <w:t>efinēti Direktīvā (ES) 2018/2001 (Atjaunojamo energoresursu direktīva), vai tīkla elektroenerģiju.</w:t>
            </w:r>
          </w:p>
        </w:tc>
      </w:tr>
      <w:tr w:rsidR="00C972CB" w14:paraId="7883E920" w14:textId="77777777">
        <w:trPr>
          <w:trHeight w:val="309"/>
          <w:jc w:val="center"/>
        </w:trPr>
        <w:tc>
          <w:tcPr>
            <w:tcW w:w="1613" w:type="dxa"/>
            <w:shd w:val="clear" w:color="auto" w:fill="C6EFCE"/>
            <w:noWrap/>
            <w:vAlign w:val="center"/>
          </w:tcPr>
          <w:p w14:paraId="44ABFBEE" w14:textId="77777777" w:rsidR="00C972CB" w:rsidRDefault="002457F6">
            <w:pPr>
              <w:pStyle w:val="P68B1DB1-Normal11"/>
              <w:jc w:val="center"/>
              <w:rPr>
                <w:noProof/>
              </w:rPr>
            </w:pPr>
            <w:r>
              <w:rPr>
                <w:noProof/>
              </w:rPr>
              <w:t>M2C2–50</w:t>
            </w:r>
          </w:p>
        </w:tc>
        <w:tc>
          <w:tcPr>
            <w:tcW w:w="1643" w:type="dxa"/>
            <w:shd w:val="clear" w:color="auto" w:fill="C6EFCE"/>
            <w:noWrap/>
            <w:vAlign w:val="center"/>
          </w:tcPr>
          <w:p w14:paraId="14ECA391" w14:textId="77777777" w:rsidR="00C972CB" w:rsidRDefault="002457F6">
            <w:pPr>
              <w:pStyle w:val="P68B1DB1-Normal11"/>
              <w:jc w:val="center"/>
              <w:rPr>
                <w:noProof/>
              </w:rPr>
            </w:pPr>
            <w:r>
              <w:rPr>
                <w:noProof/>
              </w:rPr>
              <w:t>Investīcija Nr. 3.2. Ūdeņraža izmantošana grūti dekarbonizējamā rūpniecībā</w:t>
            </w:r>
          </w:p>
        </w:tc>
        <w:tc>
          <w:tcPr>
            <w:tcW w:w="1559" w:type="dxa"/>
            <w:shd w:val="clear" w:color="auto" w:fill="C6EFCE"/>
            <w:noWrap/>
            <w:vAlign w:val="center"/>
          </w:tcPr>
          <w:p w14:paraId="554BBDCD" w14:textId="77777777" w:rsidR="00C972CB" w:rsidRDefault="002457F6">
            <w:pPr>
              <w:pStyle w:val="P68B1DB1-Normal11"/>
              <w:jc w:val="center"/>
              <w:rPr>
                <w:noProof/>
              </w:rPr>
            </w:pPr>
            <w:r>
              <w:rPr>
                <w:noProof/>
              </w:rPr>
              <w:t>Starpposma mērķis</w:t>
            </w:r>
          </w:p>
        </w:tc>
        <w:tc>
          <w:tcPr>
            <w:tcW w:w="1559" w:type="dxa"/>
            <w:shd w:val="clear" w:color="auto" w:fill="C6EFCE"/>
            <w:noWrap/>
            <w:vAlign w:val="center"/>
          </w:tcPr>
          <w:p w14:paraId="55BD504A" w14:textId="77777777" w:rsidR="00C972CB" w:rsidRDefault="002457F6">
            <w:pPr>
              <w:pStyle w:val="P68B1DB1-Normal11"/>
              <w:jc w:val="center"/>
              <w:rPr>
                <w:noProof/>
              </w:rPr>
            </w:pPr>
            <w:r>
              <w:rPr>
                <w:noProof/>
              </w:rPr>
              <w:t>Vienošanās veicināt pāreju no metāna uz zaļo ūdeņradi</w:t>
            </w:r>
          </w:p>
        </w:tc>
        <w:tc>
          <w:tcPr>
            <w:tcW w:w="1843" w:type="dxa"/>
            <w:shd w:val="clear" w:color="auto" w:fill="C6EFCE"/>
            <w:noWrap/>
            <w:vAlign w:val="center"/>
          </w:tcPr>
          <w:p w14:paraId="5ABE1986" w14:textId="77777777" w:rsidR="00C972CB" w:rsidRDefault="002457F6">
            <w:pPr>
              <w:pStyle w:val="P68B1DB1-Normal11"/>
              <w:jc w:val="center"/>
              <w:rPr>
                <w:noProof/>
              </w:rPr>
            </w:pPr>
            <w:r>
              <w:rPr>
                <w:noProof/>
              </w:rPr>
              <w:t>Nolīguma parakstīšana</w:t>
            </w:r>
          </w:p>
        </w:tc>
        <w:tc>
          <w:tcPr>
            <w:tcW w:w="1417" w:type="dxa"/>
            <w:shd w:val="clear" w:color="auto" w:fill="C6EFCE"/>
            <w:noWrap/>
            <w:vAlign w:val="center"/>
          </w:tcPr>
          <w:p w14:paraId="49E60012"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179D9CF1" w14:textId="77777777" w:rsidR="00C972CB" w:rsidRDefault="002457F6">
            <w:pPr>
              <w:pStyle w:val="P68B1DB1-Normal11"/>
              <w:jc w:val="center"/>
              <w:rPr>
                <w:noProof/>
              </w:rPr>
            </w:pPr>
            <w:r>
              <w:rPr>
                <w:noProof/>
              </w:rPr>
              <w:t>NEPIEMĒRO</w:t>
            </w:r>
          </w:p>
        </w:tc>
        <w:tc>
          <w:tcPr>
            <w:tcW w:w="946" w:type="dxa"/>
            <w:shd w:val="clear" w:color="auto" w:fill="C6EFCE"/>
            <w:noWrap/>
            <w:vAlign w:val="center"/>
          </w:tcPr>
          <w:p w14:paraId="149A7A55" w14:textId="77777777" w:rsidR="00C972CB" w:rsidRDefault="002457F6">
            <w:pPr>
              <w:pStyle w:val="P68B1DB1-Normal11"/>
              <w:jc w:val="center"/>
              <w:rPr>
                <w:noProof/>
              </w:rPr>
            </w:pPr>
            <w:r>
              <w:rPr>
                <w:noProof/>
              </w:rPr>
              <w:t>NEPIEMĒRO</w:t>
            </w:r>
          </w:p>
        </w:tc>
        <w:tc>
          <w:tcPr>
            <w:tcW w:w="992" w:type="dxa"/>
            <w:shd w:val="clear" w:color="auto" w:fill="C6EFCE"/>
            <w:noWrap/>
            <w:vAlign w:val="center"/>
          </w:tcPr>
          <w:p w14:paraId="0553CBE0" w14:textId="77777777" w:rsidR="00C972CB" w:rsidRDefault="002457F6">
            <w:pPr>
              <w:pStyle w:val="P68B1DB1-Normal11"/>
              <w:jc w:val="center"/>
              <w:rPr>
                <w:noProof/>
              </w:rPr>
            </w:pPr>
            <w:r>
              <w:rPr>
                <w:noProof/>
              </w:rPr>
              <w:t>1. CET.</w:t>
            </w:r>
          </w:p>
        </w:tc>
        <w:tc>
          <w:tcPr>
            <w:tcW w:w="756" w:type="dxa"/>
            <w:shd w:val="clear" w:color="auto" w:fill="C6EFCE"/>
            <w:noWrap/>
            <w:vAlign w:val="center"/>
          </w:tcPr>
          <w:p w14:paraId="7AC0FE4E" w14:textId="77777777" w:rsidR="00C972CB" w:rsidRDefault="002457F6">
            <w:pPr>
              <w:pStyle w:val="P68B1DB1-Normal11"/>
              <w:jc w:val="center"/>
              <w:rPr>
                <w:noProof/>
              </w:rPr>
            </w:pPr>
            <w:r>
              <w:rPr>
                <w:noProof/>
              </w:rPr>
              <w:t>2023</w:t>
            </w:r>
          </w:p>
        </w:tc>
        <w:tc>
          <w:tcPr>
            <w:tcW w:w="2793" w:type="dxa"/>
            <w:shd w:val="clear" w:color="auto" w:fill="C6EFCE"/>
            <w:noWrap/>
            <w:vAlign w:val="center"/>
          </w:tcPr>
          <w:p w14:paraId="58E8DD70" w14:textId="77777777" w:rsidR="00C972CB" w:rsidRDefault="002457F6">
            <w:pPr>
              <w:pStyle w:val="P68B1DB1-Normal19"/>
              <w:rPr>
                <w:noProof/>
                <w:color w:val="006100"/>
              </w:rPr>
            </w:pPr>
            <w:r>
              <w:rPr>
                <w:noProof/>
              </w:rPr>
              <w:t>Nolīguma</w:t>
            </w:r>
            <w:r>
              <w:rPr>
                <w:noProof/>
                <w:color w:val="006100"/>
              </w:rPr>
              <w:t>parakstīšana ar atlasītajiem projektu īpašniekiem, lai veicinātu pāreju no metāna uz zaļo ūdeņradi. Projekti daļēji ir paredzēti pētniecības, izstrādes un inovācijas procesam, lai izs</w:t>
            </w:r>
            <w:r>
              <w:rPr>
                <w:noProof/>
                <w:color w:val="006100"/>
              </w:rPr>
              <w:t>trādātu un daļēji veltītu rūpnieciskā prototipa ieviešanai un testēšanai, izmantojot ūdeņradi.</w:t>
            </w:r>
            <w:r>
              <w:rPr>
                <w:noProof/>
              </w:rPr>
              <w:t xml:space="preserve"> </w:t>
            </w:r>
            <w:r>
              <w:rPr>
                <w:noProof/>
                <w:color w:val="006100"/>
              </w:rPr>
              <w:t>Šis pasākums atbalsta ūdeņraža ražošanu elektrolīzes veidā, izmantojot atjaunojamos energoresursus, kas definēti Direktīvā (ES) 2018/2001 (Atjaunojamo energoresu</w:t>
            </w:r>
            <w:r>
              <w:rPr>
                <w:noProof/>
                <w:color w:val="006100"/>
              </w:rPr>
              <w:t>rsu direktīva), vai tīkla elektroenerģiju.</w:t>
            </w:r>
          </w:p>
        </w:tc>
      </w:tr>
      <w:tr w:rsidR="00C972CB" w14:paraId="0DCF4886" w14:textId="77777777">
        <w:trPr>
          <w:trHeight w:val="309"/>
          <w:jc w:val="center"/>
        </w:trPr>
        <w:tc>
          <w:tcPr>
            <w:tcW w:w="1613" w:type="dxa"/>
            <w:shd w:val="clear" w:color="auto" w:fill="C6EFCE"/>
            <w:noWrap/>
            <w:vAlign w:val="center"/>
          </w:tcPr>
          <w:p w14:paraId="77936FDA" w14:textId="77777777" w:rsidR="00C972CB" w:rsidRDefault="002457F6">
            <w:pPr>
              <w:pStyle w:val="P68B1DB1-Normal11"/>
              <w:jc w:val="center"/>
              <w:rPr>
                <w:noProof/>
              </w:rPr>
            </w:pPr>
            <w:r>
              <w:rPr>
                <w:noProof/>
              </w:rPr>
              <w:t>M2C2–51</w:t>
            </w:r>
          </w:p>
        </w:tc>
        <w:tc>
          <w:tcPr>
            <w:tcW w:w="1643" w:type="dxa"/>
            <w:shd w:val="clear" w:color="auto" w:fill="C6EFCE"/>
            <w:noWrap/>
            <w:vAlign w:val="center"/>
          </w:tcPr>
          <w:p w14:paraId="6E36E884" w14:textId="77777777" w:rsidR="00C972CB" w:rsidRDefault="002457F6">
            <w:pPr>
              <w:pStyle w:val="P68B1DB1-Normal11"/>
              <w:jc w:val="center"/>
              <w:rPr>
                <w:noProof/>
              </w:rPr>
            </w:pPr>
            <w:r>
              <w:rPr>
                <w:noProof/>
              </w:rPr>
              <w:t>Investīcija Nr. 3.2. Ūdeņraža izmantošana grūti dekarbonizējamā rūpniecībā</w:t>
            </w:r>
          </w:p>
        </w:tc>
        <w:tc>
          <w:tcPr>
            <w:tcW w:w="1559" w:type="dxa"/>
            <w:shd w:val="clear" w:color="auto" w:fill="C6EFCE"/>
            <w:noWrap/>
            <w:vAlign w:val="center"/>
          </w:tcPr>
          <w:p w14:paraId="4B830690" w14:textId="77777777" w:rsidR="00C972CB" w:rsidRDefault="002457F6">
            <w:pPr>
              <w:pStyle w:val="P68B1DB1-Normal11"/>
              <w:jc w:val="center"/>
              <w:rPr>
                <w:noProof/>
              </w:rPr>
            </w:pPr>
            <w:r>
              <w:rPr>
                <w:noProof/>
              </w:rPr>
              <w:t>Mērķa</w:t>
            </w:r>
          </w:p>
        </w:tc>
        <w:tc>
          <w:tcPr>
            <w:tcW w:w="1559" w:type="dxa"/>
            <w:shd w:val="clear" w:color="auto" w:fill="C6EFCE"/>
            <w:noWrap/>
            <w:vAlign w:val="center"/>
          </w:tcPr>
          <w:p w14:paraId="7C9FB0D4" w14:textId="77777777" w:rsidR="00C972CB" w:rsidRDefault="002457F6">
            <w:pPr>
              <w:pStyle w:val="P68B1DB1-Normal11"/>
              <w:jc w:val="center"/>
              <w:rPr>
                <w:noProof/>
              </w:rPr>
            </w:pPr>
            <w:r>
              <w:rPr>
                <w:noProof/>
              </w:rPr>
              <w:t>Ūdeņraža ieviešana rūpnieciskajā procesā</w:t>
            </w:r>
          </w:p>
        </w:tc>
        <w:tc>
          <w:tcPr>
            <w:tcW w:w="1843" w:type="dxa"/>
            <w:shd w:val="clear" w:color="auto" w:fill="C6EFCE"/>
            <w:noWrap/>
            <w:vAlign w:val="center"/>
          </w:tcPr>
          <w:p w14:paraId="154FB226" w14:textId="77777777" w:rsidR="00C972CB" w:rsidRDefault="002457F6">
            <w:pPr>
              <w:pStyle w:val="P68B1DB1-Normal11"/>
              <w:jc w:val="center"/>
              <w:rPr>
                <w:noProof/>
              </w:rPr>
            </w:pPr>
            <w:r>
              <w:rPr>
                <w:noProof/>
              </w:rPr>
              <w:t>NEPIEMĒRO</w:t>
            </w:r>
          </w:p>
        </w:tc>
        <w:tc>
          <w:tcPr>
            <w:tcW w:w="1417" w:type="dxa"/>
            <w:shd w:val="clear" w:color="auto" w:fill="C6EFCE"/>
            <w:noWrap/>
            <w:vAlign w:val="center"/>
          </w:tcPr>
          <w:p w14:paraId="2D721C78" w14:textId="77777777" w:rsidR="00C972CB" w:rsidRDefault="002457F6">
            <w:pPr>
              <w:pStyle w:val="P68B1DB1-Normal11"/>
              <w:jc w:val="center"/>
              <w:rPr>
                <w:noProof/>
              </w:rPr>
            </w:pPr>
            <w:r>
              <w:rPr>
                <w:noProof/>
              </w:rPr>
              <w:t xml:space="preserve">Skaits </w:t>
            </w:r>
          </w:p>
        </w:tc>
        <w:tc>
          <w:tcPr>
            <w:tcW w:w="1134" w:type="dxa"/>
            <w:shd w:val="clear" w:color="auto" w:fill="C6EFCE"/>
            <w:noWrap/>
            <w:vAlign w:val="center"/>
          </w:tcPr>
          <w:p w14:paraId="0DBAF812" w14:textId="77777777" w:rsidR="00C972CB" w:rsidRDefault="002457F6">
            <w:pPr>
              <w:pStyle w:val="P68B1DB1-Normal11"/>
              <w:jc w:val="center"/>
              <w:rPr>
                <w:noProof/>
              </w:rPr>
            </w:pPr>
            <w:r>
              <w:rPr>
                <w:noProof/>
              </w:rPr>
              <w:t>0</w:t>
            </w:r>
          </w:p>
        </w:tc>
        <w:tc>
          <w:tcPr>
            <w:tcW w:w="946" w:type="dxa"/>
            <w:shd w:val="clear" w:color="auto" w:fill="C6EFCE"/>
            <w:noWrap/>
            <w:vAlign w:val="center"/>
          </w:tcPr>
          <w:p w14:paraId="58CB8129" w14:textId="77777777" w:rsidR="00C972CB" w:rsidRDefault="002457F6">
            <w:pPr>
              <w:pStyle w:val="P68B1DB1-Normal11"/>
              <w:jc w:val="center"/>
              <w:rPr>
                <w:noProof/>
              </w:rPr>
            </w:pPr>
            <w:r>
              <w:rPr>
                <w:noProof/>
              </w:rPr>
              <w:t>1</w:t>
            </w:r>
          </w:p>
        </w:tc>
        <w:tc>
          <w:tcPr>
            <w:tcW w:w="992" w:type="dxa"/>
            <w:shd w:val="clear" w:color="auto" w:fill="C6EFCE"/>
            <w:noWrap/>
            <w:vAlign w:val="center"/>
          </w:tcPr>
          <w:p w14:paraId="1226EBB2" w14:textId="77777777" w:rsidR="00C972CB" w:rsidRDefault="002457F6">
            <w:pPr>
              <w:pStyle w:val="P68B1DB1-Normal11"/>
              <w:jc w:val="center"/>
              <w:rPr>
                <w:noProof/>
              </w:rPr>
            </w:pPr>
            <w:r>
              <w:rPr>
                <w:noProof/>
              </w:rPr>
              <w:t>2. CET.</w:t>
            </w:r>
          </w:p>
        </w:tc>
        <w:tc>
          <w:tcPr>
            <w:tcW w:w="756" w:type="dxa"/>
            <w:shd w:val="clear" w:color="auto" w:fill="C6EFCE"/>
            <w:noWrap/>
            <w:vAlign w:val="center"/>
          </w:tcPr>
          <w:p w14:paraId="7A2CD16B" w14:textId="77777777" w:rsidR="00C972CB" w:rsidRDefault="002457F6">
            <w:pPr>
              <w:pStyle w:val="P68B1DB1-Normal11"/>
              <w:jc w:val="center"/>
              <w:rPr>
                <w:noProof/>
              </w:rPr>
            </w:pPr>
            <w:r>
              <w:rPr>
                <w:noProof/>
              </w:rPr>
              <w:t>2026</w:t>
            </w:r>
          </w:p>
        </w:tc>
        <w:tc>
          <w:tcPr>
            <w:tcW w:w="2793" w:type="dxa"/>
            <w:shd w:val="clear" w:color="auto" w:fill="C6EFCE"/>
            <w:noWrap/>
            <w:vAlign w:val="center"/>
          </w:tcPr>
          <w:p w14:paraId="246AFA32" w14:textId="20F4276F" w:rsidR="00C972CB" w:rsidRDefault="002457F6">
            <w:pPr>
              <w:pStyle w:val="P68B1DB1-Normal11"/>
              <w:spacing w:after="120"/>
              <w:rPr>
                <w:noProof/>
              </w:rPr>
            </w:pPr>
            <w:r>
              <w:rPr>
                <w:noProof/>
              </w:rPr>
              <w:t xml:space="preserve">Ieviest ūdeņradi vismaz vienā rūpniecības </w:t>
            </w:r>
            <w:r>
              <w:rPr>
                <w:noProof/>
              </w:rPr>
              <w:t>rūpnīcā, lai dekarbonizētu nozares, kuras ir grūti samazināt. Šis pasākums atbalsta ūdeņraža ražošanu elektrolīzē, izmantojot atjaunojamos energoresursus, kas definēti Direktīvā (ES) 2018/2001 (Atjaunojamo energoresursu direktīva), vai tīkla elektroenerģij</w:t>
            </w:r>
            <w:r>
              <w:rPr>
                <w:noProof/>
              </w:rPr>
              <w:t>u.</w:t>
            </w:r>
          </w:p>
          <w:p w14:paraId="370D219D" w14:textId="7ED68F9E" w:rsidR="00C972CB" w:rsidRDefault="002457F6">
            <w:pPr>
              <w:pStyle w:val="P68B1DB1-Normal12"/>
              <w:spacing w:after="120"/>
              <w:rPr>
                <w:rFonts w:ascii="Arial Narrow" w:hAnsi="Arial Narrow"/>
                <w:noProof/>
              </w:rPr>
            </w:pPr>
            <w:r>
              <w:rPr>
                <w:rFonts w:ascii="Arial Narrow" w:hAnsi="Arial Narrow"/>
                <w:noProof/>
              </w:rPr>
              <w:t>Vismaz 400 000 000 EUR atbalsta</w:t>
            </w:r>
            <w:r>
              <w:rPr>
                <w:noProof/>
              </w:rPr>
              <w:t xml:space="preserve"> </w:t>
            </w:r>
            <w:r>
              <w:rPr>
                <w:rFonts w:ascii="Arial Narrow" w:hAnsi="Arial Narrow"/>
                <w:noProof/>
              </w:rPr>
              <w:t xml:space="preserve"> rūpniecības attīstību, kas 90 % metāna un fosilā kurināmā izmantošanas rūpnieciskā procesā aizstāj ar ūdeņradi, kura pamatā ir elektrolīze, izmantojot atjaunojamos energoresursus, kā definēts Direktīvā (ES) 2018/2001 (At</w:t>
            </w:r>
            <w:r>
              <w:rPr>
                <w:rFonts w:ascii="Arial Narrow" w:hAnsi="Arial Narrow"/>
                <w:noProof/>
              </w:rPr>
              <w:t>jaunojamo energoresursu direktīva), vai tīkla elektroenerģiju</w:t>
            </w:r>
            <w:r>
              <w:rPr>
                <w:noProof/>
              </w:rPr>
              <w:t>.</w:t>
            </w:r>
          </w:p>
        </w:tc>
      </w:tr>
      <w:tr w:rsidR="00C972CB" w14:paraId="76739419" w14:textId="77777777">
        <w:trPr>
          <w:trHeight w:val="309"/>
          <w:jc w:val="center"/>
        </w:trPr>
        <w:tc>
          <w:tcPr>
            <w:tcW w:w="1613" w:type="dxa"/>
            <w:shd w:val="clear" w:color="auto" w:fill="C6EFCE"/>
            <w:noWrap/>
            <w:vAlign w:val="center"/>
          </w:tcPr>
          <w:p w14:paraId="641DF0E7" w14:textId="77777777" w:rsidR="00C972CB" w:rsidRDefault="002457F6">
            <w:pPr>
              <w:pStyle w:val="P68B1DB1-Normal11"/>
              <w:jc w:val="center"/>
              <w:rPr>
                <w:noProof/>
              </w:rPr>
            </w:pPr>
            <w:r>
              <w:rPr>
                <w:noProof/>
              </w:rPr>
              <w:t>M2C2–52</w:t>
            </w:r>
          </w:p>
        </w:tc>
        <w:tc>
          <w:tcPr>
            <w:tcW w:w="1643" w:type="dxa"/>
            <w:shd w:val="clear" w:color="auto" w:fill="C6EFCE"/>
            <w:noWrap/>
            <w:vAlign w:val="center"/>
          </w:tcPr>
          <w:p w14:paraId="6BAFBEE8" w14:textId="77777777" w:rsidR="00C972CB" w:rsidRDefault="002457F6">
            <w:pPr>
              <w:pStyle w:val="P68B1DB1-Normal11"/>
              <w:jc w:val="center"/>
              <w:rPr>
                <w:noProof/>
              </w:rPr>
            </w:pPr>
            <w:r>
              <w:rPr>
                <w:noProof/>
              </w:rPr>
              <w:t>Investīcija 5.2. Ūdeņradis</w:t>
            </w:r>
          </w:p>
        </w:tc>
        <w:tc>
          <w:tcPr>
            <w:tcW w:w="1559" w:type="dxa"/>
            <w:shd w:val="clear" w:color="auto" w:fill="C6EFCE"/>
            <w:noWrap/>
            <w:vAlign w:val="center"/>
          </w:tcPr>
          <w:p w14:paraId="503BC730" w14:textId="77777777" w:rsidR="00C972CB" w:rsidRDefault="002457F6">
            <w:pPr>
              <w:pStyle w:val="P68B1DB1-Normal11"/>
              <w:jc w:val="center"/>
              <w:rPr>
                <w:noProof/>
              </w:rPr>
            </w:pPr>
            <w:r>
              <w:rPr>
                <w:noProof/>
              </w:rPr>
              <w:t>Starpposma mērķis</w:t>
            </w:r>
          </w:p>
        </w:tc>
        <w:tc>
          <w:tcPr>
            <w:tcW w:w="1559" w:type="dxa"/>
            <w:shd w:val="clear" w:color="auto" w:fill="C6EFCE"/>
            <w:noWrap/>
            <w:vAlign w:val="center"/>
          </w:tcPr>
          <w:p w14:paraId="20554E7C" w14:textId="77777777" w:rsidR="00C972CB" w:rsidRDefault="002457F6">
            <w:pPr>
              <w:pStyle w:val="P68B1DB1-Normal11"/>
              <w:jc w:val="center"/>
              <w:rPr>
                <w:noProof/>
              </w:rPr>
            </w:pPr>
            <w:r>
              <w:rPr>
                <w:noProof/>
              </w:rPr>
              <w:t>Elektrolīzeru ražošana</w:t>
            </w:r>
          </w:p>
        </w:tc>
        <w:tc>
          <w:tcPr>
            <w:tcW w:w="1843" w:type="dxa"/>
            <w:shd w:val="clear" w:color="auto" w:fill="C6EFCE"/>
            <w:noWrap/>
            <w:vAlign w:val="center"/>
          </w:tcPr>
          <w:p w14:paraId="03B0C0EB" w14:textId="77777777" w:rsidR="00C972CB" w:rsidRDefault="002457F6">
            <w:pPr>
              <w:pStyle w:val="P68B1DB1-Normal11"/>
              <w:jc w:val="center"/>
              <w:rPr>
                <w:noProof/>
              </w:rPr>
            </w:pPr>
            <w:r>
              <w:rPr>
                <w:noProof/>
              </w:rPr>
              <w:t>Paziņojums par visu publisko līgumu publicēšanu</w:t>
            </w:r>
          </w:p>
        </w:tc>
        <w:tc>
          <w:tcPr>
            <w:tcW w:w="1417" w:type="dxa"/>
            <w:shd w:val="clear" w:color="auto" w:fill="C6EFCE"/>
            <w:noWrap/>
            <w:vAlign w:val="center"/>
          </w:tcPr>
          <w:p w14:paraId="2EE5B0FE"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3CC3CDE6" w14:textId="77777777" w:rsidR="00C972CB" w:rsidRDefault="002457F6">
            <w:pPr>
              <w:pStyle w:val="P68B1DB1-Normal11"/>
              <w:jc w:val="center"/>
              <w:rPr>
                <w:noProof/>
              </w:rPr>
            </w:pPr>
            <w:r>
              <w:rPr>
                <w:noProof/>
              </w:rPr>
              <w:t>NEPIEMĒRO</w:t>
            </w:r>
          </w:p>
        </w:tc>
        <w:tc>
          <w:tcPr>
            <w:tcW w:w="946" w:type="dxa"/>
            <w:shd w:val="clear" w:color="auto" w:fill="C6EFCE"/>
            <w:noWrap/>
            <w:vAlign w:val="center"/>
          </w:tcPr>
          <w:p w14:paraId="3EBED14A" w14:textId="77777777" w:rsidR="00C972CB" w:rsidRDefault="002457F6">
            <w:pPr>
              <w:pStyle w:val="P68B1DB1-Normal11"/>
              <w:jc w:val="center"/>
              <w:rPr>
                <w:noProof/>
              </w:rPr>
            </w:pPr>
            <w:r>
              <w:rPr>
                <w:noProof/>
              </w:rPr>
              <w:t>NEPIEMĒRO</w:t>
            </w:r>
          </w:p>
        </w:tc>
        <w:tc>
          <w:tcPr>
            <w:tcW w:w="992" w:type="dxa"/>
            <w:shd w:val="clear" w:color="auto" w:fill="C6EFCE"/>
            <w:noWrap/>
            <w:vAlign w:val="center"/>
          </w:tcPr>
          <w:p w14:paraId="396FCA77" w14:textId="77777777" w:rsidR="00C972CB" w:rsidRDefault="002457F6">
            <w:pPr>
              <w:pStyle w:val="P68B1DB1-Normal11"/>
              <w:jc w:val="center"/>
              <w:rPr>
                <w:noProof/>
              </w:rPr>
            </w:pPr>
            <w:r>
              <w:rPr>
                <w:noProof/>
              </w:rPr>
              <w:t>2. CET.</w:t>
            </w:r>
          </w:p>
        </w:tc>
        <w:tc>
          <w:tcPr>
            <w:tcW w:w="756" w:type="dxa"/>
            <w:shd w:val="clear" w:color="auto" w:fill="C6EFCE"/>
            <w:noWrap/>
            <w:vAlign w:val="center"/>
          </w:tcPr>
          <w:p w14:paraId="10B7151E" w14:textId="77777777" w:rsidR="00C972CB" w:rsidRDefault="002457F6">
            <w:pPr>
              <w:pStyle w:val="P68B1DB1-Normal11"/>
              <w:jc w:val="center"/>
              <w:rPr>
                <w:noProof/>
              </w:rPr>
            </w:pPr>
            <w:r>
              <w:rPr>
                <w:noProof/>
              </w:rPr>
              <w:t>2022</w:t>
            </w:r>
          </w:p>
        </w:tc>
        <w:tc>
          <w:tcPr>
            <w:tcW w:w="2793" w:type="dxa"/>
            <w:shd w:val="clear" w:color="auto" w:fill="C6EFCE"/>
            <w:noWrap/>
            <w:vAlign w:val="center"/>
          </w:tcPr>
          <w:p w14:paraId="5AB1EA3A" w14:textId="50C04F95" w:rsidR="00C972CB" w:rsidRDefault="002457F6">
            <w:pPr>
              <w:pStyle w:val="P68B1DB1-Normal11"/>
              <w:rPr>
                <w:noProof/>
              </w:rPr>
            </w:pPr>
            <w:r>
              <w:rPr>
                <w:noProof/>
              </w:rPr>
              <w:t xml:space="preserve">Līguma slēgšanas tiesību piešķiršana elektrolīzeru ražošanas rūpnīcas būvniecībai. </w:t>
            </w:r>
          </w:p>
        </w:tc>
      </w:tr>
      <w:tr w:rsidR="00C972CB" w14:paraId="14E7E44F" w14:textId="77777777">
        <w:trPr>
          <w:trHeight w:val="309"/>
          <w:jc w:val="center"/>
        </w:trPr>
        <w:tc>
          <w:tcPr>
            <w:tcW w:w="1613" w:type="dxa"/>
            <w:shd w:val="clear" w:color="auto" w:fill="C6EFCE"/>
            <w:noWrap/>
            <w:vAlign w:val="center"/>
          </w:tcPr>
          <w:p w14:paraId="4B058BE7" w14:textId="77777777" w:rsidR="00C972CB" w:rsidRDefault="002457F6">
            <w:pPr>
              <w:pStyle w:val="P68B1DB1-Normal11"/>
              <w:jc w:val="center"/>
              <w:rPr>
                <w:noProof/>
              </w:rPr>
            </w:pPr>
            <w:r>
              <w:rPr>
                <w:noProof/>
              </w:rPr>
              <w:t>M2C2–53</w:t>
            </w:r>
          </w:p>
        </w:tc>
        <w:tc>
          <w:tcPr>
            <w:tcW w:w="1643" w:type="dxa"/>
            <w:shd w:val="clear" w:color="auto" w:fill="C6EFCE"/>
            <w:noWrap/>
            <w:vAlign w:val="center"/>
          </w:tcPr>
          <w:p w14:paraId="2ED4EA78" w14:textId="77777777" w:rsidR="00C972CB" w:rsidRDefault="002457F6">
            <w:pPr>
              <w:pStyle w:val="P68B1DB1-Normal11"/>
              <w:jc w:val="center"/>
              <w:rPr>
                <w:noProof/>
              </w:rPr>
            </w:pPr>
            <w:r>
              <w:rPr>
                <w:noProof/>
              </w:rPr>
              <w:t>Investīcija 5.2. Ūdeņradis</w:t>
            </w:r>
          </w:p>
        </w:tc>
        <w:tc>
          <w:tcPr>
            <w:tcW w:w="1559" w:type="dxa"/>
            <w:shd w:val="clear" w:color="auto" w:fill="C6EFCE"/>
            <w:noWrap/>
            <w:vAlign w:val="center"/>
          </w:tcPr>
          <w:p w14:paraId="3933D75C" w14:textId="77777777" w:rsidR="00C972CB" w:rsidRDefault="002457F6">
            <w:pPr>
              <w:pStyle w:val="P68B1DB1-Normal11"/>
              <w:jc w:val="center"/>
              <w:rPr>
                <w:noProof/>
              </w:rPr>
            </w:pPr>
            <w:r>
              <w:rPr>
                <w:noProof/>
              </w:rPr>
              <w:t>Mērķa</w:t>
            </w:r>
          </w:p>
        </w:tc>
        <w:tc>
          <w:tcPr>
            <w:tcW w:w="1559" w:type="dxa"/>
            <w:shd w:val="clear" w:color="auto" w:fill="C6EFCE"/>
            <w:noWrap/>
            <w:vAlign w:val="center"/>
          </w:tcPr>
          <w:p w14:paraId="14D9AF21" w14:textId="77777777" w:rsidR="00C972CB" w:rsidRDefault="002457F6">
            <w:pPr>
              <w:pStyle w:val="P68B1DB1-Normal11"/>
              <w:jc w:val="center"/>
              <w:rPr>
                <w:noProof/>
              </w:rPr>
            </w:pPr>
            <w:r>
              <w:rPr>
                <w:noProof/>
              </w:rPr>
              <w:t xml:space="preserve">Visu publiskā iepirkuma līgumu slēgšanas tiesību piešķiršana elektrolīzeru ražošanas iekārtu pabeigšanai </w:t>
            </w:r>
          </w:p>
        </w:tc>
        <w:tc>
          <w:tcPr>
            <w:tcW w:w="1843" w:type="dxa"/>
            <w:shd w:val="clear" w:color="auto" w:fill="C6EFCE"/>
            <w:noWrap/>
            <w:vAlign w:val="center"/>
          </w:tcPr>
          <w:p w14:paraId="7E203C22" w14:textId="77777777" w:rsidR="00C972CB" w:rsidRDefault="002457F6">
            <w:pPr>
              <w:pStyle w:val="P68B1DB1-Normal11"/>
              <w:jc w:val="center"/>
              <w:rPr>
                <w:noProof/>
              </w:rPr>
            </w:pPr>
            <w:r>
              <w:rPr>
                <w:noProof/>
              </w:rPr>
              <w:t>NEPIEMĒRO</w:t>
            </w:r>
          </w:p>
        </w:tc>
        <w:tc>
          <w:tcPr>
            <w:tcW w:w="1417" w:type="dxa"/>
            <w:shd w:val="clear" w:color="auto" w:fill="C6EFCE"/>
            <w:noWrap/>
            <w:vAlign w:val="center"/>
          </w:tcPr>
          <w:p w14:paraId="35AFD891" w14:textId="77777777" w:rsidR="00C972CB" w:rsidRDefault="002457F6">
            <w:pPr>
              <w:pStyle w:val="P68B1DB1-Normal11"/>
              <w:jc w:val="center"/>
              <w:rPr>
                <w:noProof/>
              </w:rPr>
            </w:pPr>
            <w:r>
              <w:rPr>
                <w:noProof/>
              </w:rPr>
              <w:t>Skaits</w:t>
            </w:r>
          </w:p>
        </w:tc>
        <w:tc>
          <w:tcPr>
            <w:tcW w:w="1134" w:type="dxa"/>
            <w:shd w:val="clear" w:color="auto" w:fill="C6EFCE"/>
            <w:noWrap/>
            <w:vAlign w:val="center"/>
          </w:tcPr>
          <w:p w14:paraId="36140207" w14:textId="77777777" w:rsidR="00C972CB" w:rsidRDefault="002457F6">
            <w:pPr>
              <w:pStyle w:val="P68B1DB1-Normal11"/>
              <w:jc w:val="center"/>
              <w:rPr>
                <w:noProof/>
              </w:rPr>
            </w:pPr>
            <w:r>
              <w:rPr>
                <w:noProof/>
              </w:rPr>
              <w:t>0</w:t>
            </w:r>
          </w:p>
        </w:tc>
        <w:tc>
          <w:tcPr>
            <w:tcW w:w="946" w:type="dxa"/>
            <w:shd w:val="clear" w:color="auto" w:fill="C6EFCE"/>
            <w:noWrap/>
            <w:vAlign w:val="center"/>
          </w:tcPr>
          <w:p w14:paraId="389E87BB" w14:textId="77777777" w:rsidR="00C972CB" w:rsidRDefault="002457F6">
            <w:pPr>
              <w:pStyle w:val="P68B1DB1-Normal11"/>
              <w:jc w:val="center"/>
              <w:rPr>
                <w:noProof/>
              </w:rPr>
            </w:pPr>
            <w:r>
              <w:rPr>
                <w:noProof/>
              </w:rPr>
              <w:t>1</w:t>
            </w:r>
          </w:p>
        </w:tc>
        <w:tc>
          <w:tcPr>
            <w:tcW w:w="992" w:type="dxa"/>
            <w:shd w:val="clear" w:color="auto" w:fill="C6EFCE"/>
            <w:noWrap/>
            <w:vAlign w:val="center"/>
          </w:tcPr>
          <w:p w14:paraId="34C9EBD3" w14:textId="77777777" w:rsidR="00C972CB" w:rsidRDefault="002457F6">
            <w:pPr>
              <w:pStyle w:val="P68B1DB1-Normal11"/>
              <w:jc w:val="center"/>
              <w:rPr>
                <w:noProof/>
              </w:rPr>
            </w:pPr>
            <w:r>
              <w:rPr>
                <w:noProof/>
              </w:rPr>
              <w:t xml:space="preserve">2. </w:t>
            </w:r>
            <w:r>
              <w:rPr>
                <w:noProof/>
              </w:rPr>
              <w:t>CET.</w:t>
            </w:r>
          </w:p>
        </w:tc>
        <w:tc>
          <w:tcPr>
            <w:tcW w:w="756" w:type="dxa"/>
            <w:shd w:val="clear" w:color="auto" w:fill="C6EFCE"/>
            <w:noWrap/>
            <w:vAlign w:val="center"/>
          </w:tcPr>
          <w:p w14:paraId="4168BDCB" w14:textId="77777777" w:rsidR="00C972CB" w:rsidRDefault="002457F6">
            <w:pPr>
              <w:pStyle w:val="P68B1DB1-Normal11"/>
              <w:jc w:val="center"/>
              <w:rPr>
                <w:noProof/>
              </w:rPr>
            </w:pPr>
            <w:r>
              <w:rPr>
                <w:noProof/>
              </w:rPr>
              <w:t>2026</w:t>
            </w:r>
          </w:p>
        </w:tc>
        <w:tc>
          <w:tcPr>
            <w:tcW w:w="2793" w:type="dxa"/>
            <w:shd w:val="clear" w:color="auto" w:fill="C6EFCE"/>
            <w:noWrap/>
            <w:vAlign w:val="center"/>
          </w:tcPr>
          <w:p w14:paraId="6A45DACD" w14:textId="77777777" w:rsidR="00C972CB" w:rsidRDefault="002457F6">
            <w:pPr>
              <w:pStyle w:val="P68B1DB1-Normal11"/>
              <w:rPr>
                <w:noProof/>
              </w:rPr>
            </w:pPr>
            <w:r>
              <w:rPr>
                <w:noProof/>
              </w:rPr>
              <w:t>Vismaz vienas rūpnieciskas ražotnes būvniecība elektrolīzeru ražošanai, kuras kopējā jauda ir vismaz 1 GW gadā.</w:t>
            </w:r>
          </w:p>
        </w:tc>
      </w:tr>
    </w:tbl>
    <w:p w14:paraId="1F2E6B84" w14:textId="77777777" w:rsidR="00C972CB" w:rsidRDefault="00C972CB">
      <w:pPr>
        <w:tabs>
          <w:tab w:val="left" w:pos="1860"/>
        </w:tabs>
        <w:spacing w:before="120" w:after="120"/>
        <w:jc w:val="both"/>
        <w:rPr>
          <w:noProof/>
        </w:rPr>
      </w:pPr>
    </w:p>
    <w:p w14:paraId="52DF5F00" w14:textId="77777777" w:rsidR="00C972CB" w:rsidRDefault="00C972CB">
      <w:pPr>
        <w:tabs>
          <w:tab w:val="left" w:pos="1860"/>
        </w:tabs>
        <w:spacing w:before="120" w:after="120"/>
        <w:jc w:val="both"/>
        <w:rPr>
          <w:noProof/>
        </w:rPr>
        <w:sectPr w:rsidR="00C972CB" w:rsidSect="001354D1">
          <w:headerReference w:type="even" r:id="rId134"/>
          <w:headerReference w:type="default" r:id="rId135"/>
          <w:footerReference w:type="even" r:id="rId136"/>
          <w:footerReference w:type="default" r:id="rId137"/>
          <w:headerReference w:type="first" r:id="rId138"/>
          <w:footerReference w:type="first" r:id="rId139"/>
          <w:pgSz w:w="16839" w:h="11907" w:orient="landscape"/>
          <w:pgMar w:top="1134" w:right="1134" w:bottom="1134" w:left="1134" w:header="567" w:footer="567" w:gutter="0"/>
          <w:cols w:space="720"/>
          <w:docGrid w:linePitch="360"/>
        </w:sectPr>
      </w:pPr>
    </w:p>
    <w:p w14:paraId="2CBE028E" w14:textId="409092A6" w:rsidR="00C972CB" w:rsidRDefault="002457F6">
      <w:pPr>
        <w:pStyle w:val="Heading2"/>
        <w:numPr>
          <w:ilvl w:val="0"/>
          <w:numId w:val="0"/>
        </w:numPr>
        <w:rPr>
          <w:noProof/>
        </w:rPr>
      </w:pPr>
      <w:r>
        <w:rPr>
          <w:noProof/>
        </w:rPr>
        <w:t>F. 2. MISIJA 3 — Ēku energoefektivitāte un pārkvalifikācija</w:t>
      </w:r>
    </w:p>
    <w:p w14:paraId="1074CDF1" w14:textId="77777777" w:rsidR="00C972CB" w:rsidRDefault="002457F6">
      <w:pPr>
        <w:spacing w:before="120" w:after="120"/>
        <w:jc w:val="both"/>
        <w:rPr>
          <w:noProof/>
        </w:rPr>
      </w:pPr>
      <w:r>
        <w:rPr>
          <w:noProof/>
        </w:rPr>
        <w:t xml:space="preserve">Energoefektivitāte ir šā komponenta stūrakmens, ko veido trīs galvenie pīlāri. </w:t>
      </w:r>
    </w:p>
    <w:p w14:paraId="6C0D4D8C" w14:textId="77777777" w:rsidR="00C972CB" w:rsidRDefault="002457F6">
      <w:pPr>
        <w:numPr>
          <w:ilvl w:val="0"/>
          <w:numId w:val="70"/>
        </w:numPr>
        <w:spacing w:before="120" w:after="120"/>
        <w:ind w:left="360"/>
        <w:contextualSpacing/>
        <w:jc w:val="both"/>
        <w:rPr>
          <w:noProof/>
        </w:rPr>
      </w:pPr>
      <w:r>
        <w:rPr>
          <w:noProof/>
        </w:rPr>
        <w:t xml:space="preserve">Pirmais pīlārs ir pagaidu stimula ieviešana enerģētikā un privātā nekustamā īpašuma seismiskā renovācijā, atņemot ar intervenci saistītās izmaksas. Atbalsttiesīgās intervences </w:t>
      </w:r>
      <w:r>
        <w:rPr>
          <w:noProof/>
        </w:rPr>
        <w:t xml:space="preserve">ir tās, kas palielina mājokļa energosniegumu vismaz par divām energosertifikāta kategorijām, panākot enerģijas patēriņa pieaugumu vidēji virs 30 %. </w:t>
      </w:r>
    </w:p>
    <w:p w14:paraId="5564DA23" w14:textId="77777777" w:rsidR="00C972CB" w:rsidRDefault="002457F6">
      <w:pPr>
        <w:numPr>
          <w:ilvl w:val="0"/>
          <w:numId w:val="70"/>
        </w:numPr>
        <w:spacing w:before="120" w:after="120"/>
        <w:ind w:left="360"/>
        <w:contextualSpacing/>
        <w:jc w:val="both"/>
        <w:rPr>
          <w:noProof/>
        </w:rPr>
      </w:pPr>
      <w:r>
        <w:rPr>
          <w:noProof/>
        </w:rPr>
        <w:t>Šā komponenta otrais pīlārs ir valsts skolu un tiesu iestāžu citadelu efektivitātes un drošības uzlabošana.</w:t>
      </w:r>
    </w:p>
    <w:p w14:paraId="1911484F" w14:textId="77777777" w:rsidR="00C972CB" w:rsidRDefault="002457F6">
      <w:pPr>
        <w:numPr>
          <w:ilvl w:val="0"/>
          <w:numId w:val="70"/>
        </w:numPr>
        <w:spacing w:before="120" w:after="120"/>
        <w:ind w:left="360"/>
        <w:contextualSpacing/>
        <w:jc w:val="both"/>
        <w:rPr>
          <w:noProof/>
        </w:rPr>
      </w:pPr>
      <w:r>
        <w:rPr>
          <w:noProof/>
        </w:rPr>
        <w:t xml:space="preserve">Trešā pīlāra mērķis ir stimulēt efektīvu centralizētās siltumapgādes tīklu būvniecību un paplašināšanu pilsētu teritorijās. </w:t>
      </w:r>
    </w:p>
    <w:p w14:paraId="470FBF23" w14:textId="77777777" w:rsidR="00C972CB" w:rsidRDefault="002457F6">
      <w:pPr>
        <w:spacing w:before="120" w:after="120"/>
        <w:jc w:val="both"/>
        <w:rPr>
          <w:noProof/>
        </w:rPr>
      </w:pPr>
      <w:r>
        <w:rPr>
          <w:noProof/>
        </w:rPr>
        <w:t>Turklāt ir vairākas reformas, lai vienkāršotu un paātrinātu tādu projektu īstenošanu, kuru mērķis ir uzlabot ēku energoefektivitāt</w:t>
      </w:r>
      <w:r>
        <w:rPr>
          <w:noProof/>
        </w:rPr>
        <w:t xml:space="preserve">i. </w:t>
      </w:r>
    </w:p>
    <w:p w14:paraId="422483A5" w14:textId="77777777" w:rsidR="00C972CB" w:rsidRDefault="002457F6">
      <w:pPr>
        <w:spacing w:before="120" w:after="120"/>
        <w:jc w:val="both"/>
        <w:rPr>
          <w:noProof/>
        </w:rPr>
      </w:pPr>
      <w:r>
        <w:rPr>
          <w:noProof/>
        </w:rPr>
        <w:t>Paredzams, ka šis komponents ievērojami veicinās Itālijas 2030. gadam izvirzīto klimata un enerģētikas mērķrādītāju sasniegšanu, jo civilais sektors ir atbildīgs par gandrīz pusi no kopējā enerģijas patēriņa Itālijā. Lielākā daļa ēku tika būvētas pirms</w:t>
      </w:r>
      <w:r>
        <w:rPr>
          <w:noProof/>
        </w:rPr>
        <w:t xml:space="preserve"> energotaupības kritēriju pieņemšanas un attiecīgo tiesību aktu stāšanās spēkā, tāpēc ir ievērojamas vajadzības attiecībā uz energoefektivitāti un pielāgošanos seismiskajiem riskiem.  </w:t>
      </w:r>
    </w:p>
    <w:p w14:paraId="0DDB3A4B" w14:textId="77777777" w:rsidR="00C972CB" w:rsidRDefault="002457F6">
      <w:pPr>
        <w:spacing w:before="120" w:after="120"/>
        <w:jc w:val="both"/>
        <w:rPr>
          <w:noProof/>
        </w:rPr>
      </w:pPr>
      <w:r>
        <w:rPr>
          <w:noProof/>
        </w:rPr>
        <w:t>Šis komponents attiecas uz daļu no 2020. gada valstij adresētā ieteikum</w:t>
      </w:r>
      <w:r>
        <w:rPr>
          <w:noProof/>
        </w:rPr>
        <w:t>a Nr. 3, ar kuru Padome ieteica Itālijai rīkoties, lai “koncentrētu investīcijas uz zaļo un digitālo pārkārtošanos, jo īpaši attiecībā uz [...] ūdens apsaimniekošanu, kā arī pastiprinātu digitālo infrastruktūru, lai nodrošinātu pamatpakalpojumu sniegšanu”.</w:t>
      </w:r>
      <w:r>
        <w:rPr>
          <w:noProof/>
        </w:rPr>
        <w:t xml:space="preserve"> Tajā ir aplūkotas arī daļas no 2019. gada valstij adresētajiem ieteikumiem Nr. 3 (“Ar ieguldījumiem saistīta ekonomikas politika par infrastruktūras kvalitāti, ņemot vērā reģionālās atšķirības”. [...] un uzlabot valsts pārvaldes efektivitāti [...], paātri</w:t>
      </w:r>
      <w:r>
        <w:rPr>
          <w:noProof/>
        </w:rPr>
        <w:t>not digitalizāciju un palielinot vietējo sabiedrisko pakalpojumu efektivitāti un kvalitāti).</w:t>
      </w:r>
    </w:p>
    <w:p w14:paraId="2E58118F" w14:textId="77777777" w:rsidR="00C972CB" w:rsidRDefault="002457F6">
      <w:pPr>
        <w:spacing w:before="120" w:after="120"/>
        <w:jc w:val="both"/>
        <w:rPr>
          <w:noProof/>
        </w:rPr>
      </w:pPr>
      <w:r>
        <w:rPr>
          <w:noProof/>
        </w:rPr>
        <w:t>Paredzams, ka neviens pasākums šajā komponentā būtiski nekaitēs vides mērķiem Regulas (ES) 2020/852 17. panta nozīmē, ņemot vērā atveseļošanas un noturības plānā i</w:t>
      </w:r>
      <w:r>
        <w:rPr>
          <w:noProof/>
        </w:rPr>
        <w:t xml:space="preserve">zklāstīto pasākumu aprakstu un mazināšanas pasākumus saskaņā ar DNSH tehniskajiem norādījumiem (2021/C58/01). </w:t>
      </w:r>
    </w:p>
    <w:p w14:paraId="03A66B47"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F.1. </w:t>
      </w:r>
      <w:r>
        <w:rPr>
          <w:noProof/>
        </w:rPr>
        <w:tab/>
      </w:r>
      <w:r>
        <w:rPr>
          <w:b/>
          <w:i w:val="0"/>
          <w:noProof/>
          <w:u w:val="single"/>
        </w:rPr>
        <w:t>Neatmaksājamam finansiālajam atbalstam pieteikto reformu un investīciju apraksts</w:t>
      </w:r>
    </w:p>
    <w:p w14:paraId="226E2B7B" w14:textId="38D634AC" w:rsidR="00C972CB" w:rsidRDefault="002457F6">
      <w:pPr>
        <w:pStyle w:val="P68B1DB1-Normal2"/>
        <w:spacing w:before="120" w:after="120" w:line="257" w:lineRule="auto"/>
        <w:jc w:val="both"/>
        <w:rPr>
          <w:noProof/>
        </w:rPr>
      </w:pPr>
      <w:r>
        <w:rPr>
          <w:noProof/>
        </w:rPr>
        <w:t>Ieguldījums 2.1.: “Ekobonus” stiprināšana energoefektivitā</w:t>
      </w:r>
      <w:r>
        <w:rPr>
          <w:noProof/>
        </w:rPr>
        <w:t>tes jomā</w:t>
      </w:r>
    </w:p>
    <w:p w14:paraId="7786D95C" w14:textId="77777777" w:rsidR="00C972CB" w:rsidRDefault="002457F6">
      <w:pPr>
        <w:spacing w:before="120" w:after="120"/>
        <w:jc w:val="both"/>
        <w:rPr>
          <w:noProof/>
        </w:rPr>
      </w:pPr>
      <w:r>
        <w:rPr>
          <w:noProof/>
        </w:rPr>
        <w:t>Superbonus pasākums finansē dzīvojamo ēku, tostarp sociālo mājokļu, energorenovāciju, kā norādīts 119. pantā tā sauktajā “Decreto Rilancio”, kas pieņemts, lai novērstu pandēmijas nelabvēlīgo ekonomisko un sociālo ietekmi. Mērķis ir divējāds: Snieg</w:t>
      </w:r>
      <w:r>
        <w:rPr>
          <w:noProof/>
        </w:rPr>
        <w:t>t būtisku ieguldījumu energotaupības un emisiju samazināšanas mērķu sasniegšanā, kas noteikti Itālijas integrētajā nacionālajā enerģētikas un klimata plānā (PNIEC) 2030. gadam, un 2) sniegt pretciklisku atbalstu būvniecības nozarei un privātajam pieprasīju</w:t>
      </w:r>
      <w:r>
        <w:rPr>
          <w:noProof/>
        </w:rPr>
        <w:t xml:space="preserve">mam, lai kompensētu ekonomikas lejupslīdes sekas. </w:t>
      </w:r>
    </w:p>
    <w:p w14:paraId="0B4D89CC" w14:textId="34762B21" w:rsidR="00C972CB" w:rsidRDefault="002457F6">
      <w:pPr>
        <w:spacing w:before="120" w:after="120"/>
        <w:jc w:val="both"/>
        <w:rPr>
          <w:noProof/>
        </w:rPr>
      </w:pPr>
      <w:r>
        <w:rPr>
          <w:noProof/>
        </w:rPr>
        <w:t>Atbalsts tiek sniegts nodokļu atskaitījuma veidā piecu gadu laikā. Līdz 2023. gada 16. februārim ir paredzēts, ka saņēmēji kā alternatīva nodokļu atskaitīšanas instrumentam atskaitīšanas tiešas izmantošana</w:t>
      </w:r>
      <w:r>
        <w:rPr>
          <w:noProof/>
        </w:rPr>
        <w:t>s vietā var izvēlēties izmantot finanšu instrumentus (tā saukto “kredīta pārvedumu” un “rēķinu atlaidi”), lai risinātu augsto sākotnējo ieguldījumu izmaksu problēmu. Šie alternatīvie instrumenti paredz, ka atbalsta saņēmēja uzkrātais nodokļa atskaitījums t</w:t>
      </w:r>
      <w:r>
        <w:rPr>
          <w:noProof/>
        </w:rPr>
        <w:t xml:space="preserve">iek veikts par vienādu summu: </w:t>
      </w:r>
    </w:p>
    <w:p w14:paraId="38AC15D3" w14:textId="77777777" w:rsidR="00C972CB" w:rsidRDefault="002457F6">
      <w:pPr>
        <w:spacing w:before="120" w:after="120"/>
        <w:jc w:val="both"/>
        <w:rPr>
          <w:noProof/>
        </w:rPr>
      </w:pPr>
      <w:r>
        <w:rPr>
          <w:noProof/>
        </w:rPr>
        <w:t>1. iemaksa, kas izpaužas kā priekšapmaksas cenas atlaide no piegādātāja (t. i., būvniecības uzņēmumiem, dizaineriem vai, vispārīgāk, no galvenā darbuzņēmēja), kurš to tieši atlaiž rēķinā un atgūst kā nodokļu kredītu, kas sama</w:t>
      </w:r>
      <w:r>
        <w:rPr>
          <w:noProof/>
        </w:rPr>
        <w:t xml:space="preserve">zina sākotnējā ieguldījuma izmaksas; </w:t>
      </w:r>
    </w:p>
    <w:p w14:paraId="3CCE1AC4" w14:textId="79A6106B" w:rsidR="00C972CB" w:rsidRDefault="002457F6">
      <w:pPr>
        <w:spacing w:before="120" w:after="120"/>
        <w:jc w:val="both"/>
        <w:rPr>
          <w:noProof/>
        </w:rPr>
      </w:pPr>
      <w:r>
        <w:rPr>
          <w:noProof/>
        </w:rPr>
        <w:t>2. nodokļu kredīts, ko nodod finanšu iestādei, kura iepriekš apmaksā nepieciešamo kapitālu. Šis mehānisms kompensē iespējamo atturošo stimulu veikt renovāciju augsto sākotnējo ieguldījumu izmaksu dēļ. Galvenā darbuzņēm</w:t>
      </w:r>
      <w:r>
        <w:rPr>
          <w:noProof/>
        </w:rPr>
        <w:t>ēja vai finanšu iestādes izvēli atstāj saņēmēja ziņā.</w:t>
      </w:r>
    </w:p>
    <w:p w14:paraId="49E5A63F" w14:textId="77777777" w:rsidR="00C972CB" w:rsidRDefault="002457F6">
      <w:pPr>
        <w:spacing w:before="120" w:after="120"/>
        <w:jc w:val="both"/>
        <w:rPr>
          <w:noProof/>
        </w:rPr>
      </w:pPr>
      <w:r>
        <w:rPr>
          <w:noProof/>
        </w:rPr>
        <w:t>Šo nodokļu atvieglojumu var izmantot kondominimes, vienģimenes ēkas, nedalīti mājokļu kooperatīvi, bezpeļņas organizācijas un brīvprātīgo apvienības, sporta amatieru apvienības un klubi un sociālie mājokļi. Lai renovācija būtu atbilstīga, tā ir jāklasificē</w:t>
      </w:r>
      <w:r>
        <w:rPr>
          <w:noProof/>
        </w:rPr>
        <w:t xml:space="preserve"> kā “padziļināta renovācija” (t. i., vidēja renovācija saskaņā ar Komisijas Ieteikumu (ES) 2019/786), tādējādi uzlabojot vismaz divas energoklases (kas atbilst vidēji 40 % primārās enerģijas ietaupījumam). Atbalsttiesīgo intervenču, uz kurām attiecas šis p</w:t>
      </w:r>
      <w:r>
        <w:rPr>
          <w:noProof/>
        </w:rPr>
        <w:t>asākums, tvērums ir plašs, tostarp, piemēram, braukšanas intervencēm, velkamām intervencēm, necaurspīdīgu virsmu siltumizolāciju un iejaukšanos gaisa kondicionēšanas sistēmās (kondensācijas katli; siltumsūkņi; pieslēgums efektīviem centralizētās siltumapgā</w:t>
      </w:r>
      <w:r>
        <w:rPr>
          <w:noProof/>
        </w:rPr>
        <w:t>des tīkliem īpašos apstākļos; saules siltumenerģija; biomasas katli īpašos apstākļos), FE sistēmas ar saistītām uzglabāšanas sistēmām vai infrastruktūru elektrotransportlīdzekļu uzlādei. Divos ministrijas 2020. gada 6. augusta dekrētos jau ir noteiktas int</w:t>
      </w:r>
      <w:r>
        <w:rPr>
          <w:noProof/>
        </w:rPr>
        <w:t xml:space="preserve">ervences tehniskās prasības un procedūras, lai apliecinātu atbilstību konkrētajām maksimālajām prasībām un izmaksām. </w:t>
      </w:r>
    </w:p>
    <w:p w14:paraId="0A279EF3" w14:textId="77777777" w:rsidR="00C972CB" w:rsidRDefault="002457F6">
      <w:pPr>
        <w:spacing w:before="120" w:after="120"/>
        <w:jc w:val="both"/>
        <w:rPr>
          <w:noProof/>
        </w:rPr>
      </w:pPr>
      <w:r>
        <w:rPr>
          <w:noProof/>
        </w:rPr>
        <w:t>Superbonus jau darbojas kopš 2020. gada 1. jūlija un paliek spēkā līdz 2022. gada 30. jūnijam (attiecībā uz sociālajiem mājokļiem līdz 202</w:t>
      </w:r>
      <w:r>
        <w:rPr>
          <w:noProof/>
        </w:rPr>
        <w:t>2. gada 31. decembrim). Piekļuvi pabalstam var pieprasīt vēl sešus mēnešus attiecībā uz darbiem kondominijos vai sociālajos mājokļos, ja vismaz 60 % darbu ir veikti pirms iepriekš minētajiem datumiem. Lai dotu vairāk laika sarežģītākām intervencēm, ir plān</w:t>
      </w:r>
      <w:r>
        <w:rPr>
          <w:noProof/>
        </w:rPr>
        <w:t xml:space="preserve">ots pagarināt pasākuma piemērošanu kondominijām līdz 2022. gada 31. decembrim un sociālajiem mājokļiem līdz 2023. gada 30. jūnijam neatkarīgi no tā, vai ir pabeigti vismaz 60 % darbu. </w:t>
      </w:r>
    </w:p>
    <w:p w14:paraId="2D097E82" w14:textId="77777777" w:rsidR="00C972CB" w:rsidRDefault="002457F6">
      <w:pPr>
        <w:spacing w:before="120" w:after="120"/>
        <w:jc w:val="both"/>
        <w:rPr>
          <w:noProof/>
        </w:rPr>
      </w:pPr>
      <w:r>
        <w:rPr>
          <w:noProof/>
        </w:rPr>
        <w:t>Paredzams, ka šis pasākums neradīs būtisku kaitējumu vides mērķiem Regu</w:t>
      </w:r>
      <w:r>
        <w:rPr>
          <w:noProof/>
        </w:rPr>
        <w:t>las (ES) 2020/852 17. panta nozīmē, ņemot vērā pasākuma aprakstu un atveseļošanas un noturības plānā izklāstītos riska mazināšanas pasākumus saskaņā ar DNSH tehniskajiem norādījumiem (2021/C58/01). Jo īpaši gāzes kondensācijas katlu uzstādīšanas izmaksas v</w:t>
      </w:r>
      <w:r>
        <w:rPr>
          <w:noProof/>
        </w:rPr>
        <w:t>eido ne vairāk kā 20 % no kopējām renovācijas programmas izmaksām. Gadījumos, kad gāzes kondensācijas katli ir uzstādīti kā izvēlēts esošo neefektīvo gāzes, ogļu un naftas katlu aizstājējs, tiem ir A veiktspēja. Turklāt dabasgāzes katlu uzstādīšanai jāatbi</w:t>
      </w:r>
      <w:r>
        <w:rPr>
          <w:noProof/>
        </w:rPr>
        <w:t>lst nosacījumiem, kas izklāstīti NBK tehniskajos norādījumos (2021/C58/01).</w:t>
      </w:r>
    </w:p>
    <w:p w14:paraId="60471DD6" w14:textId="77777777" w:rsidR="00C972CB" w:rsidRDefault="002457F6">
      <w:pPr>
        <w:pStyle w:val="P68B1DB1-Normal2"/>
        <w:spacing w:before="120" w:after="120" w:line="257" w:lineRule="auto"/>
        <w:jc w:val="both"/>
        <w:rPr>
          <w:noProof/>
        </w:rPr>
      </w:pPr>
      <w:r>
        <w:rPr>
          <w:noProof/>
        </w:rPr>
        <w:t>Reforma. Energoefektivitātes intervences procedūru vienkāršošana un paātrināšana</w:t>
      </w:r>
    </w:p>
    <w:p w14:paraId="23508811" w14:textId="77777777" w:rsidR="00C972CB" w:rsidRDefault="002457F6">
      <w:pPr>
        <w:spacing w:before="120" w:after="120"/>
        <w:jc w:val="both"/>
        <w:rPr>
          <w:noProof/>
        </w:rPr>
      </w:pPr>
      <w:r>
        <w:rPr>
          <w:noProof/>
        </w:rPr>
        <w:t>Šīs reformas mērķis ir vienkāršot un paātrināt procedūras ar energoefektivitāti saistītu intervence</w:t>
      </w:r>
      <w:r>
        <w:rPr>
          <w:noProof/>
        </w:rPr>
        <w:t>s pasākumu īstenošanai. To veido četras galvenās darbības:</w:t>
      </w:r>
    </w:p>
    <w:p w14:paraId="6380A82D" w14:textId="77777777" w:rsidR="00C972CB" w:rsidRDefault="002457F6">
      <w:pPr>
        <w:numPr>
          <w:ilvl w:val="0"/>
          <w:numId w:val="71"/>
        </w:numPr>
        <w:spacing w:before="120" w:after="120"/>
        <w:ind w:left="357" w:hanging="357"/>
        <w:contextualSpacing/>
        <w:jc w:val="both"/>
        <w:rPr>
          <w:noProof/>
        </w:rPr>
      </w:pPr>
      <w:r>
        <w:rPr>
          <w:b/>
          <w:noProof/>
        </w:rPr>
        <w:t xml:space="preserve">Ēku energoefektivitātes valsts portāla izveide: </w:t>
      </w:r>
      <w:r>
        <w:rPr>
          <w:noProof/>
        </w:rPr>
        <w:t>Portāls atbalsta iedzīvotājus un operatorus energoefektivitātes projektu pārvaldībā, un tas ir viegls informācijas piekļuves avots lēmumu pieņēmējiem</w:t>
      </w:r>
      <w:r>
        <w:rPr>
          <w:noProof/>
        </w:rPr>
        <w:t>. Tajā ietver informāciju par nacionālā ēku fonda energoefektivitāti, kas, paredzams, palīdzēs uzņēmumiem un iedzīvotājiem pieņemt lēmumus par sava īpašuma energoefektivitātes uzlabošanu. Izveido vienas pieturas aģentūru, lai iedzīvotājiem un uzņēmumiem sn</w:t>
      </w:r>
      <w:r>
        <w:rPr>
          <w:noProof/>
        </w:rPr>
        <w:t>iegtu palīdzību un visu lietderīgo informāciju par ēku enerģijas kartēšanu, nozares noteikumu ievērošanu, efektivitātes potenciāla novērtēšanu un rīcības prioritāšu izvēli, tostarp pārbūves plāniem pa posmiem, šim nolūkam vispiemērotāko veicināšanas instru</w:t>
      </w:r>
      <w:r>
        <w:rPr>
          <w:noProof/>
        </w:rPr>
        <w:t xml:space="preserve">mentu izvēli un profesionālo prasmju apmācību. </w:t>
      </w:r>
    </w:p>
    <w:p w14:paraId="59C0A26F" w14:textId="77777777" w:rsidR="00C972CB" w:rsidRDefault="002457F6">
      <w:pPr>
        <w:numPr>
          <w:ilvl w:val="0"/>
          <w:numId w:val="71"/>
        </w:numPr>
        <w:spacing w:before="120" w:after="120"/>
        <w:ind w:left="357" w:hanging="357"/>
        <w:contextualSpacing/>
        <w:jc w:val="both"/>
        <w:rPr>
          <w:b/>
          <w:noProof/>
        </w:rPr>
      </w:pPr>
      <w:r>
        <w:rPr>
          <w:noProof/>
        </w:rPr>
        <w:t>Civilajam</w:t>
      </w:r>
      <w:r>
        <w:rPr>
          <w:b/>
          <w:noProof/>
        </w:rPr>
        <w:t xml:space="preserve">sektoram paredzētā informācijas un apmācības plāna pasākumu stiprināšana — </w:t>
      </w:r>
      <w:r>
        <w:rPr>
          <w:noProof/>
        </w:rPr>
        <w:t>Informācijas un apmācības plānā ņem vērā vajadzību izstrādāt gan īpašas iniciatīvas, kuru mērķis ir novērst informācijas trū</w:t>
      </w:r>
      <w:r>
        <w:rPr>
          <w:noProof/>
        </w:rPr>
        <w:t xml:space="preserve">kumu iedzīvotājiem dzīvojamo ēku sektorā, gan atbilstīgus apmācības pasākumus par stimuliem un visefektīvākajiem intervences pasākumiem uzņēmumiem, kas piedāvā energopakalpojumus, un kondomitāna administratoriem. Plānu izstrādā, ņemot vērā vajadzības, kas </w:t>
      </w:r>
      <w:r>
        <w:rPr>
          <w:noProof/>
        </w:rPr>
        <w:t>izriet no Superbonus pasākuma, lai maksimāli palielinātu tā efektivitāti un liktu pamatus noturīgai efektivitātes kultūrai būvniecībā.</w:t>
      </w:r>
      <w:r>
        <w:rPr>
          <w:b/>
          <w:noProof/>
        </w:rPr>
        <w:t xml:space="preserve"> </w:t>
      </w:r>
    </w:p>
    <w:p w14:paraId="4E245F3B" w14:textId="77777777" w:rsidR="00C972CB" w:rsidRDefault="002457F6">
      <w:pPr>
        <w:numPr>
          <w:ilvl w:val="0"/>
          <w:numId w:val="71"/>
        </w:numPr>
        <w:spacing w:before="120" w:after="120"/>
        <w:ind w:left="357" w:hanging="357"/>
        <w:contextualSpacing/>
        <w:jc w:val="both"/>
        <w:rPr>
          <w:noProof/>
        </w:rPr>
      </w:pPr>
      <w:r>
        <w:rPr>
          <w:noProof/>
        </w:rPr>
        <w:t>Valsts energoefektivitātes fonda</w:t>
      </w:r>
      <w:r>
        <w:rPr>
          <w:b/>
          <w:noProof/>
        </w:rPr>
        <w:t xml:space="preserve">atjaunināšana un stiprināšana: </w:t>
      </w:r>
      <w:r>
        <w:rPr>
          <w:noProof/>
        </w:rPr>
        <w:t>Pārskatot noteikumus par Valsts energoefektivitātes fonda</w:t>
      </w:r>
      <w:r>
        <w:rPr>
          <w:noProof/>
        </w:rPr>
        <w:t xml:space="preserve"> izveidi un pārvaldību (Likumdošanas dekrēta Nr. 102/2014 15. pants un 2017. gada 22. decembra starpministriju dekrēts), stājas spēkā grozījumi, lai veicinātu pieejamo resursu uzlabošanu un plašāku izmantošanu. </w:t>
      </w:r>
    </w:p>
    <w:p w14:paraId="64662B48" w14:textId="77777777" w:rsidR="00C972CB" w:rsidRDefault="002457F6">
      <w:pPr>
        <w:numPr>
          <w:ilvl w:val="0"/>
          <w:numId w:val="71"/>
        </w:numPr>
        <w:spacing w:before="120" w:after="120"/>
        <w:ind w:left="357" w:hanging="357"/>
        <w:contextualSpacing/>
        <w:jc w:val="both"/>
        <w:rPr>
          <w:noProof/>
        </w:rPr>
      </w:pPr>
      <w:r>
        <w:rPr>
          <w:noProof/>
        </w:rPr>
        <w:t>Centrālās publiskās rekonstrukcijas programm</w:t>
      </w:r>
      <w:r>
        <w:rPr>
          <w:noProof/>
        </w:rPr>
        <w:t>as finansēto projektu īstenošanas posma</w:t>
      </w:r>
      <w:r>
        <w:rPr>
          <w:b/>
          <w:noProof/>
        </w:rPr>
        <w:t xml:space="preserve">paātrināšana: </w:t>
      </w:r>
      <w:r>
        <w:rPr>
          <w:noProof/>
        </w:rPr>
        <w:t>Veic regulatīvu pārskatīšanu, kuras mērķis ir veicināt efektīvāku to resursu pārvaldību, kas īpaši piešķirti centrālās valsts pārvaldes ēku pārkvalifikācijas programmai (PREPAC).</w:t>
      </w:r>
    </w:p>
    <w:p w14:paraId="3E97429F" w14:textId="77777777" w:rsidR="00C972CB" w:rsidRDefault="002457F6">
      <w:pPr>
        <w:pStyle w:val="Heading3"/>
        <w:numPr>
          <w:ilvl w:val="0"/>
          <w:numId w:val="0"/>
        </w:numPr>
        <w:ind w:left="850" w:hanging="850"/>
        <w:rPr>
          <w:b/>
          <w:i w:val="0"/>
          <w:noProof/>
          <w:u w:val="single"/>
        </w:rPr>
      </w:pPr>
      <w:r>
        <w:rPr>
          <w:b/>
          <w:i w:val="0"/>
          <w:noProof/>
          <w:u w:val="single"/>
        </w:rPr>
        <w:t xml:space="preserve">F.2. </w:t>
      </w:r>
      <w:r>
        <w:rPr>
          <w:noProof/>
        </w:rPr>
        <w:tab/>
      </w:r>
      <w:r>
        <w:rPr>
          <w:b/>
          <w:i w:val="0"/>
          <w:noProof/>
          <w:u w:val="single"/>
        </w:rPr>
        <w:t xml:space="preserve">Atskaites punkti, </w:t>
      </w:r>
      <w:r>
        <w:rPr>
          <w:b/>
          <w:i w:val="0"/>
          <w:noProof/>
          <w:u w:val="single"/>
        </w:rPr>
        <w:t>mērķrādītāji, citi rādītāji un neatmaksājamā finansiālā atbalsta uzraudzības un īstenošanas grafiks</w:t>
      </w:r>
    </w:p>
    <w:p w14:paraId="4BE3A2F4" w14:textId="77777777" w:rsidR="00C972CB" w:rsidRDefault="00C972CB">
      <w:pPr>
        <w:spacing w:before="120" w:after="120"/>
        <w:ind w:left="709"/>
        <w:jc w:val="both"/>
        <w:rPr>
          <w:noProof/>
        </w:rPr>
        <w:sectPr w:rsidR="00C972CB">
          <w:headerReference w:type="even" r:id="rId140"/>
          <w:headerReference w:type="default" r:id="rId141"/>
          <w:footerReference w:type="even" r:id="rId142"/>
          <w:footerReference w:type="default" r:id="rId143"/>
          <w:headerReference w:type="first" r:id="rId144"/>
          <w:footerReference w:type="first" r:id="rId145"/>
          <w:pgSz w:w="11907" w:h="16839"/>
          <w:pgMar w:top="1440" w:right="1440" w:bottom="1440" w:left="1440" w:header="567" w:footer="567" w:gutter="0"/>
          <w:cols w:space="720"/>
          <w:docGrid w:linePitch="360"/>
        </w:sectPr>
      </w:pPr>
    </w:p>
    <w:tbl>
      <w:tblPr>
        <w:tblpPr w:leftFromText="180" w:rightFromText="180" w:horzAnchor="margin" w:tblpXSpec="center" w:tblpY="-720"/>
        <w:tblW w:w="5122" w:type="pct"/>
        <w:tblLook w:val="04A0" w:firstRow="1" w:lastRow="0" w:firstColumn="1" w:lastColumn="0" w:noHBand="0" w:noVBand="1"/>
      </w:tblPr>
      <w:tblGrid>
        <w:gridCol w:w="1130"/>
        <w:gridCol w:w="1612"/>
        <w:gridCol w:w="1775"/>
        <w:gridCol w:w="1612"/>
        <w:gridCol w:w="1609"/>
        <w:gridCol w:w="1201"/>
        <w:gridCol w:w="1420"/>
        <w:gridCol w:w="1219"/>
        <w:gridCol w:w="1027"/>
        <w:gridCol w:w="704"/>
        <w:gridCol w:w="2647"/>
      </w:tblGrid>
      <w:tr w:rsidR="00C972CB" w14:paraId="64C1D58C" w14:textId="77777777">
        <w:trPr>
          <w:trHeight w:val="927"/>
          <w:tblHead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EF58A2" w14:textId="77777777" w:rsidR="00C972CB" w:rsidRDefault="002457F6">
            <w:pPr>
              <w:pStyle w:val="P68B1DB1-Normal9"/>
              <w:jc w:val="center"/>
              <w:rPr>
                <w:noProof/>
              </w:rPr>
            </w:pPr>
            <w:r>
              <w:rPr>
                <w:noProof/>
              </w:rPr>
              <w:t>Kārtas numurs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7283191" w14:textId="77777777" w:rsidR="00C972CB" w:rsidRDefault="002457F6">
            <w:pPr>
              <w:pStyle w:val="P68B1DB1-Normal9"/>
              <w:jc w:val="center"/>
              <w:rPr>
                <w:noProof/>
              </w:rPr>
            </w:pPr>
            <w:r>
              <w:rPr>
                <w:noProof/>
              </w:rPr>
              <w:t>Pasākums (reforma vai investīcija)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02651D" w14:textId="77777777" w:rsidR="00C972CB" w:rsidRDefault="002457F6">
            <w:pPr>
              <w:pStyle w:val="P68B1DB1-Normal9"/>
              <w:jc w:val="center"/>
              <w:rPr>
                <w:noProof/>
              </w:rPr>
            </w:pPr>
            <w:r>
              <w:rPr>
                <w:noProof/>
              </w:rPr>
              <w:t>Atskaites punkts/mērķrādītājs</w:t>
            </w:r>
          </w:p>
        </w:tc>
        <w:tc>
          <w:tcPr>
            <w:tcW w:w="1559" w:type="dxa"/>
            <w:vMerge w:val="restart"/>
            <w:tcBorders>
              <w:top w:val="single" w:sz="4" w:space="0" w:color="auto"/>
              <w:left w:val="nil"/>
              <w:bottom w:val="single" w:sz="4" w:space="0" w:color="auto"/>
              <w:right w:val="single" w:sz="4" w:space="0" w:color="auto"/>
            </w:tcBorders>
            <w:shd w:val="clear" w:color="auto" w:fill="BDD7EE"/>
            <w:vAlign w:val="center"/>
            <w:hideMark/>
          </w:tcPr>
          <w:p w14:paraId="42EDD06B" w14:textId="77777777" w:rsidR="00C972CB" w:rsidRDefault="002457F6">
            <w:pPr>
              <w:pStyle w:val="P68B1DB1-Normal9"/>
              <w:jc w:val="center"/>
              <w:rPr>
                <w:noProof/>
              </w:rPr>
            </w:pPr>
            <w:r>
              <w:rPr>
                <w:noProof/>
              </w:rPr>
              <w:t>Uzvārds</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8616C44"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579" w:type="dxa"/>
            <w:gridSpan w:val="3"/>
            <w:tcBorders>
              <w:top w:val="single" w:sz="4" w:space="0" w:color="auto"/>
              <w:left w:val="nil"/>
              <w:bottom w:val="single" w:sz="4" w:space="0" w:color="auto"/>
              <w:right w:val="single" w:sz="4" w:space="0" w:color="auto"/>
            </w:tcBorders>
            <w:shd w:val="clear" w:color="auto" w:fill="BDD7EE"/>
            <w:vAlign w:val="center"/>
            <w:hideMark/>
          </w:tcPr>
          <w:p w14:paraId="0C834CEA"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699" w:type="dxa"/>
            <w:gridSpan w:val="2"/>
            <w:tcBorders>
              <w:top w:val="single" w:sz="4" w:space="0" w:color="auto"/>
              <w:left w:val="nil"/>
              <w:bottom w:val="single" w:sz="4" w:space="0" w:color="auto"/>
              <w:right w:val="single" w:sz="4" w:space="0" w:color="auto"/>
            </w:tcBorders>
            <w:shd w:val="clear" w:color="auto" w:fill="BDD7EE"/>
            <w:vAlign w:val="center"/>
            <w:hideMark/>
          </w:tcPr>
          <w:p w14:paraId="242A692D" w14:textId="77777777" w:rsidR="00C972CB" w:rsidRDefault="002457F6">
            <w:pPr>
              <w:pStyle w:val="P68B1DB1-Normal9"/>
              <w:jc w:val="center"/>
              <w:rPr>
                <w:noProof/>
              </w:rPr>
            </w:pPr>
            <w:r>
              <w:rPr>
                <w:noProof/>
              </w:rPr>
              <w:t xml:space="preserve">Orientējošs pabeigšanas termiņš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11B7B8" w14:textId="77777777" w:rsidR="00C972CB" w:rsidRDefault="002457F6">
            <w:pPr>
              <w:pStyle w:val="P68B1DB1-Normal9"/>
              <w:rPr>
                <w:noProof/>
              </w:rPr>
            </w:pPr>
            <w:r>
              <w:rPr>
                <w:noProof/>
              </w:rPr>
              <w:t>Apraksts par katru atskaites punktu un mērķrādītāju</w:t>
            </w:r>
          </w:p>
        </w:tc>
      </w:tr>
      <w:tr w:rsidR="00C972CB" w14:paraId="435DBB89" w14:textId="77777777">
        <w:trPr>
          <w:trHeight w:val="751"/>
          <w:tblHead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7B2A558A" w14:textId="77777777" w:rsidR="00C972CB" w:rsidRDefault="00C972CB">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208EBD" w14:textId="77777777" w:rsidR="00C972CB" w:rsidRDefault="00C972CB">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10A906" w14:textId="77777777" w:rsidR="00C972CB" w:rsidRDefault="00C972CB">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8312624" w14:textId="77777777" w:rsidR="00C972CB" w:rsidRDefault="00C972CB">
            <w:pPr>
              <w:rPr>
                <w:rFonts w:ascii="Arial Narrow" w:hAnsi="Arial Narrow"/>
                <w:b/>
                <w:noProof/>
                <w:sz w:val="20"/>
              </w:rPr>
            </w:pPr>
          </w:p>
        </w:tc>
        <w:tc>
          <w:tcPr>
            <w:tcW w:w="1609" w:type="dxa"/>
            <w:vMerge/>
            <w:tcBorders>
              <w:top w:val="single" w:sz="4" w:space="0" w:color="auto"/>
              <w:left w:val="single" w:sz="4" w:space="0" w:color="auto"/>
              <w:bottom w:val="single" w:sz="4" w:space="0" w:color="auto"/>
            </w:tcBorders>
            <w:vAlign w:val="center"/>
            <w:hideMark/>
          </w:tcPr>
          <w:p w14:paraId="7091208C" w14:textId="77777777" w:rsidR="00C972CB" w:rsidRDefault="00C972CB">
            <w:pPr>
              <w:rPr>
                <w:rFonts w:ascii="Arial Narrow" w:hAnsi="Arial Narrow"/>
                <w:b/>
                <w:noProof/>
                <w:sz w:val="20"/>
              </w:rPr>
            </w:pPr>
          </w:p>
        </w:tc>
        <w:tc>
          <w:tcPr>
            <w:tcW w:w="1084" w:type="dxa"/>
            <w:tcBorders>
              <w:top w:val="nil"/>
              <w:left w:val="single" w:sz="4" w:space="0" w:color="auto"/>
              <w:bottom w:val="single" w:sz="4" w:space="0" w:color="auto"/>
              <w:right w:val="single" w:sz="4" w:space="0" w:color="auto"/>
            </w:tcBorders>
            <w:shd w:val="clear" w:color="auto" w:fill="BDD7EE"/>
            <w:vAlign w:val="center"/>
            <w:hideMark/>
          </w:tcPr>
          <w:p w14:paraId="0A9A832A" w14:textId="77777777" w:rsidR="00C972CB" w:rsidRDefault="002457F6">
            <w:pPr>
              <w:pStyle w:val="P68B1DB1-Normal9"/>
              <w:jc w:val="center"/>
              <w:rPr>
                <w:noProof/>
              </w:rPr>
            </w:pPr>
            <w:r>
              <w:rPr>
                <w:noProof/>
              </w:rPr>
              <w:t>Mēra vienība</w:t>
            </w:r>
          </w:p>
        </w:tc>
        <w:tc>
          <w:tcPr>
            <w:tcW w:w="1276" w:type="dxa"/>
            <w:tcBorders>
              <w:top w:val="nil"/>
              <w:left w:val="nil"/>
              <w:bottom w:val="single" w:sz="4" w:space="0" w:color="auto"/>
              <w:right w:val="single" w:sz="4" w:space="0" w:color="auto"/>
            </w:tcBorders>
            <w:shd w:val="clear" w:color="auto" w:fill="BDD7EE"/>
            <w:vAlign w:val="center"/>
            <w:hideMark/>
          </w:tcPr>
          <w:p w14:paraId="64A68FBD" w14:textId="77777777" w:rsidR="00C972CB" w:rsidRDefault="002457F6">
            <w:pPr>
              <w:pStyle w:val="P68B1DB1-Normal9"/>
              <w:jc w:val="center"/>
              <w:rPr>
                <w:noProof/>
              </w:rPr>
            </w:pPr>
            <w:r>
              <w:rPr>
                <w:noProof/>
              </w:rPr>
              <w:t xml:space="preserve">Pamatscenārijs </w:t>
            </w:r>
          </w:p>
        </w:tc>
        <w:tc>
          <w:tcPr>
            <w:tcW w:w="1219" w:type="dxa"/>
            <w:tcBorders>
              <w:top w:val="nil"/>
              <w:left w:val="nil"/>
              <w:bottom w:val="single" w:sz="4" w:space="0" w:color="auto"/>
              <w:right w:val="single" w:sz="4" w:space="0" w:color="auto"/>
            </w:tcBorders>
            <w:shd w:val="clear" w:color="auto" w:fill="BDD7EE"/>
            <w:vAlign w:val="center"/>
            <w:hideMark/>
          </w:tcPr>
          <w:p w14:paraId="64E52950" w14:textId="77777777" w:rsidR="00C972CB" w:rsidRDefault="002457F6">
            <w:pPr>
              <w:pStyle w:val="P68B1DB1-Normal9"/>
              <w:jc w:val="center"/>
              <w:rPr>
                <w:noProof/>
              </w:rPr>
            </w:pPr>
            <w:r>
              <w:rPr>
                <w:noProof/>
              </w:rPr>
              <w:t xml:space="preserve">Mērķis </w:t>
            </w:r>
          </w:p>
        </w:tc>
        <w:tc>
          <w:tcPr>
            <w:tcW w:w="995" w:type="dxa"/>
            <w:tcBorders>
              <w:top w:val="nil"/>
              <w:left w:val="nil"/>
              <w:bottom w:val="single" w:sz="4" w:space="0" w:color="auto"/>
              <w:right w:val="single" w:sz="4" w:space="0" w:color="auto"/>
            </w:tcBorders>
            <w:shd w:val="clear" w:color="auto" w:fill="BDD7EE"/>
            <w:vAlign w:val="center"/>
            <w:hideMark/>
          </w:tcPr>
          <w:p w14:paraId="466ED23B" w14:textId="77777777" w:rsidR="00C972CB" w:rsidRDefault="002457F6">
            <w:pPr>
              <w:pStyle w:val="P68B1DB1-Normal9"/>
              <w:jc w:val="center"/>
              <w:rPr>
                <w:noProof/>
              </w:rPr>
            </w:pPr>
            <w:r>
              <w:rPr>
                <w:noProof/>
              </w:rPr>
              <w:t>Ceturtdaļa</w:t>
            </w:r>
          </w:p>
        </w:tc>
        <w:tc>
          <w:tcPr>
            <w:tcW w:w="704" w:type="dxa"/>
            <w:tcBorders>
              <w:top w:val="nil"/>
              <w:left w:val="nil"/>
              <w:bottom w:val="single" w:sz="4" w:space="0" w:color="auto"/>
              <w:right w:val="single" w:sz="4" w:space="0" w:color="auto"/>
            </w:tcBorders>
            <w:shd w:val="clear" w:color="auto" w:fill="BDD7EE"/>
            <w:vAlign w:val="center"/>
            <w:hideMark/>
          </w:tcPr>
          <w:p w14:paraId="2483F80D" w14:textId="77777777" w:rsidR="00C972CB" w:rsidRDefault="002457F6">
            <w:pPr>
              <w:pStyle w:val="P68B1DB1-Normal9"/>
              <w:jc w:val="center"/>
              <w:rPr>
                <w:noProof/>
              </w:rPr>
            </w:pPr>
            <w:r>
              <w:rPr>
                <w:noProof/>
              </w:rPr>
              <w:t>Gadā</w:t>
            </w:r>
          </w:p>
        </w:tc>
        <w:tc>
          <w:tcPr>
            <w:tcW w:w="2647" w:type="dxa"/>
            <w:vMerge/>
            <w:tcBorders>
              <w:top w:val="single" w:sz="4" w:space="0" w:color="auto"/>
              <w:bottom w:val="single" w:sz="4" w:space="0" w:color="auto"/>
              <w:right w:val="single" w:sz="4" w:space="0" w:color="auto"/>
            </w:tcBorders>
            <w:vAlign w:val="center"/>
            <w:hideMark/>
          </w:tcPr>
          <w:p w14:paraId="75CFE3A9" w14:textId="77777777" w:rsidR="00C972CB" w:rsidRDefault="00C972CB">
            <w:pPr>
              <w:rPr>
                <w:rFonts w:ascii="Arial Narrow" w:hAnsi="Arial Narrow"/>
                <w:b/>
                <w:noProof/>
                <w:sz w:val="20"/>
              </w:rPr>
            </w:pPr>
          </w:p>
        </w:tc>
      </w:tr>
      <w:tr w:rsidR="00C972CB" w14:paraId="2B1D2EB9" w14:textId="77777777">
        <w:trPr>
          <w:trHeight w:val="309"/>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DF05B65" w14:textId="77777777" w:rsidR="00C972CB" w:rsidRDefault="002457F6">
            <w:pPr>
              <w:pStyle w:val="P68B1DB1-Normal11"/>
              <w:spacing w:line="276" w:lineRule="auto"/>
              <w:jc w:val="center"/>
              <w:rPr>
                <w:noProof/>
              </w:rPr>
            </w:pPr>
            <w:r>
              <w:rPr>
                <w:noProof/>
              </w:rPr>
              <w:t>M2C3–1</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8EF2FB9" w14:textId="5D2DB18C" w:rsidR="00C972CB" w:rsidRDefault="002457F6">
            <w:pPr>
              <w:pStyle w:val="P68B1DB1-Normal11"/>
              <w:spacing w:line="276" w:lineRule="auto"/>
              <w:jc w:val="center"/>
              <w:rPr>
                <w:noProof/>
              </w:rPr>
            </w:pPr>
            <w:r>
              <w:rPr>
                <w:noProof/>
              </w:rPr>
              <w:t xml:space="preserve">Ieguldījums 2.1.– Energoefektivitātes ekobona stiprināšana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B0693C3" w14:textId="77777777" w:rsidR="00C972CB" w:rsidRDefault="002457F6">
            <w:pPr>
              <w:pStyle w:val="P68B1DB1-Normal11"/>
              <w:spacing w:line="276" w:lineRule="auto"/>
              <w:jc w:val="center"/>
              <w:rPr>
                <w:noProof/>
              </w:rPr>
            </w:pPr>
            <w:r>
              <w:rPr>
                <w:noProof/>
              </w:rPr>
              <w:t>Starpposma mērķis</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3C36C76" w14:textId="06479835" w:rsidR="00C972CB" w:rsidRDefault="002457F6">
            <w:pPr>
              <w:pStyle w:val="P68B1DB1-Normal11"/>
              <w:spacing w:line="276" w:lineRule="auto"/>
              <w:jc w:val="center"/>
              <w:rPr>
                <w:noProof/>
              </w:rPr>
            </w:pPr>
            <w:r>
              <w:rPr>
                <w:noProof/>
              </w:rPr>
              <w:t>Superbonus pagarinājuma stāšanās spēkā</w:t>
            </w:r>
          </w:p>
        </w:tc>
        <w:tc>
          <w:tcPr>
            <w:tcW w:w="1609" w:type="dxa"/>
            <w:tcBorders>
              <w:top w:val="single" w:sz="4" w:space="0" w:color="auto"/>
              <w:left w:val="nil"/>
              <w:bottom w:val="single" w:sz="4" w:space="0" w:color="auto"/>
              <w:right w:val="single" w:sz="4" w:space="0" w:color="auto"/>
            </w:tcBorders>
            <w:shd w:val="clear" w:color="auto" w:fill="C6EFCE"/>
            <w:noWrap/>
            <w:vAlign w:val="center"/>
          </w:tcPr>
          <w:p w14:paraId="6B24B8F1" w14:textId="77777777" w:rsidR="00C972CB" w:rsidRDefault="002457F6">
            <w:pPr>
              <w:pStyle w:val="P68B1DB1-Normal11"/>
              <w:spacing w:line="276" w:lineRule="auto"/>
              <w:jc w:val="center"/>
              <w:rPr>
                <w:noProof/>
              </w:rPr>
            </w:pPr>
            <w:r>
              <w:rPr>
                <w:noProof/>
              </w:rPr>
              <w:t>Tiesību akta(-u) noteikums, kas norāda stāšanos spēkā</w:t>
            </w:r>
          </w:p>
        </w:tc>
        <w:tc>
          <w:tcPr>
            <w:tcW w:w="1084" w:type="dxa"/>
            <w:tcBorders>
              <w:top w:val="nil"/>
              <w:left w:val="nil"/>
              <w:bottom w:val="single" w:sz="4" w:space="0" w:color="auto"/>
              <w:right w:val="single" w:sz="4" w:space="0" w:color="auto"/>
            </w:tcBorders>
            <w:shd w:val="clear" w:color="auto" w:fill="C6EFCE"/>
            <w:noWrap/>
            <w:vAlign w:val="center"/>
          </w:tcPr>
          <w:p w14:paraId="7AD7D9BA" w14:textId="77777777" w:rsidR="00C972CB" w:rsidRDefault="002457F6">
            <w:pPr>
              <w:pStyle w:val="P68B1DB1-Normal11"/>
              <w:spacing w:line="276" w:lineRule="auto"/>
              <w:jc w:val="center"/>
              <w:rPr>
                <w:noProof/>
              </w:rPr>
            </w:pPr>
            <w:r>
              <w:rPr>
                <w:noProof/>
              </w:rPr>
              <w:t>NEPIEMĒRO</w:t>
            </w:r>
          </w:p>
        </w:tc>
        <w:tc>
          <w:tcPr>
            <w:tcW w:w="1276" w:type="dxa"/>
            <w:tcBorders>
              <w:top w:val="nil"/>
              <w:left w:val="nil"/>
              <w:bottom w:val="single" w:sz="4" w:space="0" w:color="auto"/>
              <w:right w:val="single" w:sz="4" w:space="0" w:color="auto"/>
            </w:tcBorders>
            <w:shd w:val="clear" w:color="auto" w:fill="C6EFCE"/>
            <w:noWrap/>
            <w:vAlign w:val="center"/>
          </w:tcPr>
          <w:p w14:paraId="45C8AF3A" w14:textId="77777777" w:rsidR="00C972CB" w:rsidRDefault="002457F6">
            <w:pPr>
              <w:pStyle w:val="P68B1DB1-Normal11"/>
              <w:spacing w:line="276" w:lineRule="auto"/>
              <w:jc w:val="center"/>
              <w:rPr>
                <w:noProof/>
              </w:rPr>
            </w:pPr>
            <w:r>
              <w:rPr>
                <w:noProof/>
              </w:rPr>
              <w:t>NEPIEMĒRO</w:t>
            </w:r>
          </w:p>
        </w:tc>
        <w:tc>
          <w:tcPr>
            <w:tcW w:w="1219" w:type="dxa"/>
            <w:tcBorders>
              <w:top w:val="nil"/>
              <w:left w:val="nil"/>
              <w:bottom w:val="single" w:sz="4" w:space="0" w:color="auto"/>
              <w:right w:val="single" w:sz="4" w:space="0" w:color="auto"/>
            </w:tcBorders>
            <w:shd w:val="clear" w:color="auto" w:fill="C6EFCE"/>
            <w:noWrap/>
            <w:vAlign w:val="center"/>
          </w:tcPr>
          <w:p w14:paraId="3EF72B3F" w14:textId="77777777" w:rsidR="00C972CB" w:rsidRDefault="002457F6">
            <w:pPr>
              <w:pStyle w:val="P68B1DB1-Normal11"/>
              <w:spacing w:line="276" w:lineRule="auto"/>
              <w:jc w:val="center"/>
              <w:rPr>
                <w:noProof/>
              </w:rPr>
            </w:pPr>
            <w:r>
              <w:rPr>
                <w:noProof/>
              </w:rPr>
              <w:t>NEPIEMĒRO</w:t>
            </w:r>
          </w:p>
        </w:tc>
        <w:tc>
          <w:tcPr>
            <w:tcW w:w="995" w:type="dxa"/>
            <w:tcBorders>
              <w:top w:val="nil"/>
              <w:left w:val="nil"/>
              <w:bottom w:val="single" w:sz="4" w:space="0" w:color="auto"/>
              <w:right w:val="single" w:sz="4" w:space="0" w:color="auto"/>
            </w:tcBorders>
            <w:shd w:val="clear" w:color="auto" w:fill="C6EFCE"/>
            <w:noWrap/>
            <w:vAlign w:val="center"/>
          </w:tcPr>
          <w:p w14:paraId="2B42EE4C" w14:textId="77777777" w:rsidR="00C972CB" w:rsidRDefault="002457F6">
            <w:pPr>
              <w:pStyle w:val="P68B1DB1-Normal11"/>
              <w:spacing w:line="276" w:lineRule="auto"/>
              <w:jc w:val="center"/>
              <w:rPr>
                <w:noProof/>
              </w:rPr>
            </w:pPr>
            <w:r>
              <w:rPr>
                <w:noProof/>
              </w:rPr>
              <w:t>4. CET.</w:t>
            </w:r>
          </w:p>
        </w:tc>
        <w:tc>
          <w:tcPr>
            <w:tcW w:w="704" w:type="dxa"/>
            <w:tcBorders>
              <w:top w:val="nil"/>
              <w:left w:val="nil"/>
              <w:bottom w:val="single" w:sz="4" w:space="0" w:color="auto"/>
              <w:right w:val="single" w:sz="4" w:space="0" w:color="auto"/>
            </w:tcBorders>
            <w:shd w:val="clear" w:color="auto" w:fill="C6EFCE"/>
            <w:noWrap/>
            <w:vAlign w:val="center"/>
          </w:tcPr>
          <w:p w14:paraId="41BCAE5A" w14:textId="77777777" w:rsidR="00C972CB" w:rsidRDefault="002457F6">
            <w:pPr>
              <w:pStyle w:val="P68B1DB1-Normal11"/>
              <w:spacing w:line="276" w:lineRule="auto"/>
              <w:jc w:val="center"/>
              <w:rPr>
                <w:noProof/>
              </w:rPr>
            </w:pPr>
            <w:r>
              <w:rPr>
                <w:noProof/>
              </w:rPr>
              <w:t>2021</w:t>
            </w:r>
          </w:p>
        </w:tc>
        <w:tc>
          <w:tcPr>
            <w:tcW w:w="2647" w:type="dxa"/>
            <w:tcBorders>
              <w:top w:val="single" w:sz="4" w:space="0" w:color="auto"/>
              <w:left w:val="nil"/>
              <w:bottom w:val="single" w:sz="4" w:space="0" w:color="auto"/>
              <w:right w:val="single" w:sz="4" w:space="0" w:color="auto"/>
            </w:tcBorders>
            <w:shd w:val="clear" w:color="auto" w:fill="C6EFCE"/>
            <w:noWrap/>
            <w:vAlign w:val="center"/>
          </w:tcPr>
          <w:p w14:paraId="7E799D3D" w14:textId="77777777" w:rsidR="00C972CB" w:rsidRDefault="002457F6">
            <w:pPr>
              <w:pStyle w:val="P68B1DB1-Normal11"/>
              <w:spacing w:line="276" w:lineRule="auto"/>
              <w:rPr>
                <w:noProof/>
              </w:rPr>
            </w:pPr>
            <w:r>
              <w:rPr>
                <w:noProof/>
              </w:rPr>
              <w:t>Tiesību akts(-i)</w:t>
            </w:r>
          </w:p>
          <w:p w14:paraId="1A92389B" w14:textId="77777777" w:rsidR="00C972CB" w:rsidRDefault="002457F6">
            <w:pPr>
              <w:pStyle w:val="P68B1DB1-Normal11"/>
              <w:spacing w:line="276" w:lineRule="auto"/>
              <w:rPr>
                <w:noProof/>
              </w:rPr>
            </w:pPr>
            <w:r>
              <w:rPr>
                <w:noProof/>
              </w:rPr>
              <w:t xml:space="preserve">pagarināt </w:t>
            </w:r>
            <w:r>
              <w:rPr>
                <w:noProof/>
              </w:rPr>
              <w:t>Ecobonus un Sismabonus ieguvumu līdz 2022. gada 31. decembrim</w:t>
            </w:r>
          </w:p>
          <w:p w14:paraId="76924721" w14:textId="77777777" w:rsidR="00C972CB" w:rsidRDefault="002457F6">
            <w:pPr>
              <w:pStyle w:val="P68B1DB1-Normal11"/>
              <w:spacing w:line="276" w:lineRule="auto"/>
              <w:rPr>
                <w:noProof/>
              </w:rPr>
            </w:pPr>
            <w:r>
              <w:rPr>
                <w:noProof/>
              </w:rPr>
              <w:t>kondominijiem un 2023. gada 30. jūnijā — sociālajā jomā</w:t>
            </w:r>
          </w:p>
          <w:p w14:paraId="64BFBF5D" w14:textId="273D3668" w:rsidR="00C972CB" w:rsidRDefault="002457F6">
            <w:pPr>
              <w:pStyle w:val="P68B1DB1-Normal11"/>
              <w:spacing w:line="276" w:lineRule="auto"/>
              <w:rPr>
                <w:noProof/>
              </w:rPr>
            </w:pPr>
            <w:r>
              <w:rPr>
                <w:noProof/>
              </w:rPr>
              <w:t>mājokļi (IACP).</w:t>
            </w:r>
          </w:p>
        </w:tc>
      </w:tr>
      <w:tr w:rsidR="00C972CB" w14:paraId="18DDDD17"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996442E" w14:textId="77777777" w:rsidR="00C972CB" w:rsidRDefault="002457F6">
            <w:pPr>
              <w:pStyle w:val="P68B1DB1-Normal11"/>
              <w:spacing w:line="276" w:lineRule="auto"/>
              <w:jc w:val="center"/>
              <w:rPr>
                <w:noProof/>
              </w:rPr>
            </w:pPr>
            <w:r>
              <w:rPr>
                <w:noProof/>
              </w:rPr>
              <w:t>M2C3–2</w:t>
            </w:r>
          </w:p>
        </w:tc>
        <w:tc>
          <w:tcPr>
            <w:tcW w:w="1559" w:type="dxa"/>
            <w:tcBorders>
              <w:top w:val="nil"/>
              <w:left w:val="nil"/>
              <w:bottom w:val="single" w:sz="4" w:space="0" w:color="auto"/>
              <w:right w:val="single" w:sz="4" w:space="0" w:color="auto"/>
            </w:tcBorders>
            <w:shd w:val="clear" w:color="auto" w:fill="C6EFCE"/>
            <w:noWrap/>
            <w:vAlign w:val="center"/>
          </w:tcPr>
          <w:p w14:paraId="34C24B70" w14:textId="6B036587" w:rsidR="00C972CB" w:rsidRDefault="002457F6">
            <w:pPr>
              <w:pStyle w:val="P68B1DB1-Normal11"/>
              <w:spacing w:line="276" w:lineRule="auto"/>
              <w:jc w:val="center"/>
              <w:rPr>
                <w:noProof/>
              </w:rPr>
            </w:pPr>
            <w:r>
              <w:rPr>
                <w:noProof/>
              </w:rPr>
              <w:t>Ieguldījums 2.1.– Energoefektivitātes ekobona stiprināšana</w:t>
            </w:r>
          </w:p>
        </w:tc>
        <w:tc>
          <w:tcPr>
            <w:tcW w:w="1134" w:type="dxa"/>
            <w:tcBorders>
              <w:top w:val="nil"/>
              <w:left w:val="nil"/>
              <w:bottom w:val="single" w:sz="4" w:space="0" w:color="auto"/>
              <w:right w:val="single" w:sz="4" w:space="0" w:color="auto"/>
            </w:tcBorders>
            <w:shd w:val="clear" w:color="auto" w:fill="C6EFCE"/>
            <w:noWrap/>
            <w:vAlign w:val="center"/>
          </w:tcPr>
          <w:p w14:paraId="1CD4E068" w14:textId="77777777" w:rsidR="00C972CB" w:rsidRDefault="002457F6">
            <w:pPr>
              <w:pStyle w:val="P68B1DB1-Normal11"/>
              <w:spacing w:line="276" w:lineRule="auto"/>
              <w:jc w:val="center"/>
              <w:rPr>
                <w:noProof/>
              </w:rPr>
            </w:pPr>
            <w:r>
              <w:rPr>
                <w:noProof/>
              </w:rPr>
              <w:t>Mērķa</w:t>
            </w:r>
          </w:p>
        </w:tc>
        <w:tc>
          <w:tcPr>
            <w:tcW w:w="1559" w:type="dxa"/>
            <w:tcBorders>
              <w:top w:val="nil"/>
              <w:left w:val="nil"/>
              <w:bottom w:val="single" w:sz="4" w:space="0" w:color="auto"/>
              <w:right w:val="single" w:sz="4" w:space="0" w:color="auto"/>
            </w:tcBorders>
            <w:shd w:val="clear" w:color="auto" w:fill="C6EFCE"/>
            <w:noWrap/>
            <w:vAlign w:val="center"/>
          </w:tcPr>
          <w:p w14:paraId="2DB1ABA8" w14:textId="77777777" w:rsidR="00C972CB" w:rsidRDefault="002457F6">
            <w:pPr>
              <w:pStyle w:val="P68B1DB1-Normal11"/>
              <w:spacing w:line="276" w:lineRule="auto"/>
              <w:jc w:val="center"/>
              <w:rPr>
                <w:noProof/>
              </w:rPr>
            </w:pPr>
            <w:r>
              <w:rPr>
                <w:noProof/>
              </w:rPr>
              <w:t>Ēku renovācija Superbonus T1</w:t>
            </w:r>
          </w:p>
        </w:tc>
        <w:tc>
          <w:tcPr>
            <w:tcW w:w="1609" w:type="dxa"/>
            <w:tcBorders>
              <w:top w:val="nil"/>
              <w:left w:val="nil"/>
              <w:bottom w:val="single" w:sz="4" w:space="0" w:color="auto"/>
              <w:right w:val="single" w:sz="4" w:space="0" w:color="auto"/>
            </w:tcBorders>
            <w:shd w:val="clear" w:color="auto" w:fill="C6EFCE"/>
            <w:noWrap/>
            <w:vAlign w:val="center"/>
          </w:tcPr>
          <w:p w14:paraId="14131683" w14:textId="77777777" w:rsidR="00C972CB" w:rsidRDefault="002457F6">
            <w:pPr>
              <w:pStyle w:val="P68B1DB1-Normal11"/>
              <w:spacing w:line="276" w:lineRule="auto"/>
              <w:jc w:val="center"/>
              <w:rPr>
                <w:noProof/>
              </w:rPr>
            </w:pPr>
            <w:r>
              <w:rPr>
                <w:noProof/>
              </w:rPr>
              <w:t>NEPIEMĒRO</w:t>
            </w:r>
          </w:p>
        </w:tc>
        <w:tc>
          <w:tcPr>
            <w:tcW w:w="1084" w:type="dxa"/>
            <w:tcBorders>
              <w:top w:val="nil"/>
              <w:left w:val="nil"/>
              <w:bottom w:val="single" w:sz="4" w:space="0" w:color="auto"/>
              <w:right w:val="single" w:sz="4" w:space="0" w:color="auto"/>
            </w:tcBorders>
            <w:shd w:val="clear" w:color="auto" w:fill="C6EFCE"/>
            <w:noWrap/>
            <w:vAlign w:val="center"/>
          </w:tcPr>
          <w:p w14:paraId="3B536832" w14:textId="77777777" w:rsidR="00C972CB" w:rsidRDefault="002457F6">
            <w:pPr>
              <w:pStyle w:val="P68B1DB1-Normal11"/>
              <w:spacing w:line="276" w:lineRule="auto"/>
              <w:jc w:val="center"/>
              <w:rPr>
                <w:noProof/>
              </w:rPr>
            </w:pPr>
            <w:r>
              <w:rPr>
                <w:noProof/>
              </w:rPr>
              <w:t xml:space="preserve">Skaits </w:t>
            </w:r>
          </w:p>
        </w:tc>
        <w:tc>
          <w:tcPr>
            <w:tcW w:w="1276" w:type="dxa"/>
            <w:tcBorders>
              <w:top w:val="nil"/>
              <w:left w:val="nil"/>
              <w:bottom w:val="single" w:sz="4" w:space="0" w:color="auto"/>
              <w:right w:val="single" w:sz="4" w:space="0" w:color="auto"/>
            </w:tcBorders>
            <w:shd w:val="clear" w:color="auto" w:fill="C6EFCE"/>
            <w:noWrap/>
            <w:vAlign w:val="center"/>
          </w:tcPr>
          <w:p w14:paraId="09D12062" w14:textId="77777777" w:rsidR="00C972CB" w:rsidRDefault="002457F6">
            <w:pPr>
              <w:pStyle w:val="P68B1DB1-Normal11"/>
              <w:spacing w:line="276" w:lineRule="auto"/>
              <w:jc w:val="center"/>
              <w:rPr>
                <w:noProof/>
              </w:rPr>
            </w:pPr>
            <w:r>
              <w:rPr>
                <w:noProof/>
              </w:rPr>
              <w:t>0</w:t>
            </w:r>
          </w:p>
        </w:tc>
        <w:tc>
          <w:tcPr>
            <w:tcW w:w="1219" w:type="dxa"/>
            <w:tcBorders>
              <w:top w:val="nil"/>
              <w:left w:val="nil"/>
              <w:bottom w:val="single" w:sz="4" w:space="0" w:color="auto"/>
              <w:right w:val="single" w:sz="4" w:space="0" w:color="auto"/>
            </w:tcBorders>
            <w:shd w:val="clear" w:color="auto" w:fill="C6EFCE"/>
            <w:noWrap/>
            <w:vAlign w:val="center"/>
          </w:tcPr>
          <w:p w14:paraId="7CC67C1C" w14:textId="2FAC4328" w:rsidR="00C972CB" w:rsidRDefault="002457F6">
            <w:pPr>
              <w:pStyle w:val="P68B1DB1-Normal11"/>
              <w:spacing w:line="276" w:lineRule="auto"/>
              <w:jc w:val="center"/>
              <w:rPr>
                <w:noProof/>
              </w:rPr>
            </w:pPr>
            <w:r>
              <w:rPr>
                <w:noProof/>
              </w:rPr>
              <w:t>17 000 000</w:t>
            </w:r>
          </w:p>
        </w:tc>
        <w:tc>
          <w:tcPr>
            <w:tcW w:w="995" w:type="dxa"/>
            <w:tcBorders>
              <w:top w:val="nil"/>
              <w:left w:val="nil"/>
              <w:bottom w:val="single" w:sz="4" w:space="0" w:color="auto"/>
              <w:right w:val="single" w:sz="4" w:space="0" w:color="auto"/>
            </w:tcBorders>
            <w:shd w:val="clear" w:color="auto" w:fill="C6EFCE"/>
            <w:noWrap/>
            <w:vAlign w:val="center"/>
          </w:tcPr>
          <w:p w14:paraId="659434A2" w14:textId="77777777" w:rsidR="00C972CB" w:rsidRDefault="002457F6">
            <w:pPr>
              <w:pStyle w:val="P68B1DB1-Normal11"/>
              <w:spacing w:line="276" w:lineRule="auto"/>
              <w:jc w:val="center"/>
              <w:rPr>
                <w:noProof/>
              </w:rPr>
            </w:pPr>
            <w:r>
              <w:rPr>
                <w:noProof/>
              </w:rPr>
              <w:t>2. CET.</w:t>
            </w:r>
          </w:p>
        </w:tc>
        <w:tc>
          <w:tcPr>
            <w:tcW w:w="704" w:type="dxa"/>
            <w:tcBorders>
              <w:top w:val="nil"/>
              <w:left w:val="nil"/>
              <w:bottom w:val="single" w:sz="4" w:space="0" w:color="auto"/>
              <w:right w:val="single" w:sz="4" w:space="0" w:color="auto"/>
            </w:tcBorders>
            <w:shd w:val="clear" w:color="auto" w:fill="C6EFCE"/>
            <w:noWrap/>
            <w:vAlign w:val="center"/>
          </w:tcPr>
          <w:p w14:paraId="01B40B70" w14:textId="77777777" w:rsidR="00C972CB" w:rsidRDefault="002457F6">
            <w:pPr>
              <w:pStyle w:val="P68B1DB1-Normal11"/>
              <w:spacing w:line="276" w:lineRule="auto"/>
              <w:jc w:val="center"/>
              <w:rPr>
                <w:noProof/>
              </w:rPr>
            </w:pPr>
            <w:r>
              <w:rPr>
                <w:noProof/>
              </w:rPr>
              <w:t>2023</w:t>
            </w:r>
          </w:p>
        </w:tc>
        <w:tc>
          <w:tcPr>
            <w:tcW w:w="2647" w:type="dxa"/>
            <w:tcBorders>
              <w:top w:val="nil"/>
              <w:left w:val="nil"/>
              <w:bottom w:val="single" w:sz="4" w:space="0" w:color="auto"/>
              <w:right w:val="single" w:sz="4" w:space="0" w:color="auto"/>
            </w:tcBorders>
            <w:shd w:val="clear" w:color="auto" w:fill="C6EFCE"/>
            <w:noWrap/>
            <w:vAlign w:val="center"/>
          </w:tcPr>
          <w:p w14:paraId="5810D590" w14:textId="0AE2E5AA" w:rsidR="00C972CB" w:rsidRDefault="002457F6">
            <w:pPr>
              <w:pStyle w:val="P68B1DB1-Normal12"/>
              <w:spacing w:line="276" w:lineRule="auto"/>
              <w:rPr>
                <w:rFonts w:ascii="Arial Narrow" w:hAnsi="Arial Narrow"/>
                <w:noProof/>
              </w:rPr>
            </w:pPr>
            <w:r>
              <w:rPr>
                <w:rFonts w:ascii="Arial Narrow" w:hAnsi="Arial Narrow"/>
                <w:noProof/>
              </w:rPr>
              <w:t>Ēku pilnīga renovācija (vismaz 17000000 kvadrātmetri),kas nodrošina primārās enerģijas ietaupījumu vismaz 40 % apmērā un palielina vismaz divas energoefektivitātes sertifikāta kategorijas.</w:t>
            </w:r>
          </w:p>
        </w:tc>
      </w:tr>
      <w:tr w:rsidR="00C972CB" w14:paraId="002058A2"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27784CA" w14:textId="77777777" w:rsidR="00C972CB" w:rsidRDefault="002457F6">
            <w:pPr>
              <w:pStyle w:val="P68B1DB1-Normal11"/>
              <w:spacing w:line="276" w:lineRule="auto"/>
              <w:jc w:val="center"/>
              <w:rPr>
                <w:noProof/>
              </w:rPr>
            </w:pPr>
            <w:r>
              <w:rPr>
                <w:noProof/>
              </w:rPr>
              <w:t>M2C3–3</w:t>
            </w:r>
          </w:p>
        </w:tc>
        <w:tc>
          <w:tcPr>
            <w:tcW w:w="1559" w:type="dxa"/>
            <w:tcBorders>
              <w:top w:val="nil"/>
              <w:left w:val="nil"/>
              <w:bottom w:val="single" w:sz="4" w:space="0" w:color="auto"/>
              <w:right w:val="single" w:sz="4" w:space="0" w:color="auto"/>
            </w:tcBorders>
            <w:shd w:val="clear" w:color="auto" w:fill="C6EFCE"/>
            <w:noWrap/>
            <w:vAlign w:val="center"/>
          </w:tcPr>
          <w:p w14:paraId="0E2DED29" w14:textId="7C5AC97A" w:rsidR="00C972CB" w:rsidRDefault="002457F6">
            <w:pPr>
              <w:pStyle w:val="P68B1DB1-Normal11"/>
              <w:spacing w:line="276" w:lineRule="auto"/>
              <w:jc w:val="center"/>
              <w:rPr>
                <w:noProof/>
              </w:rPr>
            </w:pPr>
            <w:r>
              <w:rPr>
                <w:noProof/>
              </w:rPr>
              <w:t xml:space="preserve">Ieguldījums 2.1.– </w:t>
            </w:r>
            <w:r>
              <w:rPr>
                <w:noProof/>
              </w:rPr>
              <w:t>Energoefektivitātes ekobona stiprināšana</w:t>
            </w:r>
          </w:p>
        </w:tc>
        <w:tc>
          <w:tcPr>
            <w:tcW w:w="1134" w:type="dxa"/>
            <w:tcBorders>
              <w:top w:val="nil"/>
              <w:left w:val="nil"/>
              <w:bottom w:val="single" w:sz="4" w:space="0" w:color="auto"/>
              <w:right w:val="single" w:sz="4" w:space="0" w:color="auto"/>
            </w:tcBorders>
            <w:shd w:val="clear" w:color="auto" w:fill="C6EFCE"/>
            <w:noWrap/>
            <w:vAlign w:val="center"/>
          </w:tcPr>
          <w:p w14:paraId="12F00514" w14:textId="77777777" w:rsidR="00C972CB" w:rsidRDefault="002457F6">
            <w:pPr>
              <w:pStyle w:val="P68B1DB1-Normal11"/>
              <w:spacing w:line="276" w:lineRule="auto"/>
              <w:jc w:val="center"/>
              <w:rPr>
                <w:noProof/>
              </w:rPr>
            </w:pPr>
            <w:r>
              <w:rPr>
                <w:noProof/>
              </w:rPr>
              <w:t>Mērķa</w:t>
            </w:r>
          </w:p>
        </w:tc>
        <w:tc>
          <w:tcPr>
            <w:tcW w:w="1559" w:type="dxa"/>
            <w:tcBorders>
              <w:top w:val="nil"/>
              <w:left w:val="nil"/>
              <w:bottom w:val="single" w:sz="4" w:space="0" w:color="auto"/>
              <w:right w:val="single" w:sz="4" w:space="0" w:color="auto"/>
            </w:tcBorders>
            <w:shd w:val="clear" w:color="auto" w:fill="C6EFCE"/>
            <w:noWrap/>
            <w:vAlign w:val="center"/>
          </w:tcPr>
          <w:p w14:paraId="1CFF992C" w14:textId="77777777" w:rsidR="00C972CB" w:rsidRDefault="002457F6">
            <w:pPr>
              <w:pStyle w:val="P68B1DB1-Normal11"/>
              <w:spacing w:line="276" w:lineRule="auto"/>
              <w:jc w:val="center"/>
              <w:rPr>
                <w:noProof/>
              </w:rPr>
            </w:pPr>
            <w:r>
              <w:rPr>
                <w:noProof/>
              </w:rPr>
              <w:t>Ēku renovācija “Superbonus T2”</w:t>
            </w:r>
          </w:p>
        </w:tc>
        <w:tc>
          <w:tcPr>
            <w:tcW w:w="1609" w:type="dxa"/>
            <w:tcBorders>
              <w:top w:val="nil"/>
              <w:left w:val="nil"/>
              <w:bottom w:val="single" w:sz="4" w:space="0" w:color="auto"/>
              <w:right w:val="single" w:sz="4" w:space="0" w:color="auto"/>
            </w:tcBorders>
            <w:shd w:val="clear" w:color="auto" w:fill="C6EFCE"/>
            <w:noWrap/>
            <w:vAlign w:val="center"/>
          </w:tcPr>
          <w:p w14:paraId="14A3FCB6" w14:textId="77777777" w:rsidR="00C972CB" w:rsidRDefault="002457F6">
            <w:pPr>
              <w:pStyle w:val="P68B1DB1-Normal11"/>
              <w:spacing w:line="276" w:lineRule="auto"/>
              <w:jc w:val="center"/>
              <w:rPr>
                <w:noProof/>
              </w:rPr>
            </w:pPr>
            <w:r>
              <w:rPr>
                <w:noProof/>
              </w:rPr>
              <w:t>NEPIEMĒRO</w:t>
            </w:r>
          </w:p>
        </w:tc>
        <w:tc>
          <w:tcPr>
            <w:tcW w:w="1084" w:type="dxa"/>
            <w:tcBorders>
              <w:top w:val="nil"/>
              <w:left w:val="nil"/>
              <w:bottom w:val="single" w:sz="4" w:space="0" w:color="auto"/>
              <w:right w:val="single" w:sz="4" w:space="0" w:color="auto"/>
            </w:tcBorders>
            <w:shd w:val="clear" w:color="auto" w:fill="C6EFCE"/>
            <w:noWrap/>
            <w:vAlign w:val="center"/>
          </w:tcPr>
          <w:p w14:paraId="72228FC8" w14:textId="77777777" w:rsidR="00C972CB" w:rsidRDefault="002457F6">
            <w:pPr>
              <w:pStyle w:val="P68B1DB1-Normal11"/>
              <w:spacing w:line="276" w:lineRule="auto"/>
              <w:jc w:val="center"/>
              <w:rPr>
                <w:noProof/>
              </w:rPr>
            </w:pPr>
            <w:r>
              <w:rPr>
                <w:noProof/>
              </w:rPr>
              <w:t xml:space="preserve">Skaits </w:t>
            </w:r>
          </w:p>
        </w:tc>
        <w:tc>
          <w:tcPr>
            <w:tcW w:w="1276" w:type="dxa"/>
            <w:tcBorders>
              <w:top w:val="nil"/>
              <w:left w:val="nil"/>
              <w:bottom w:val="single" w:sz="4" w:space="0" w:color="auto"/>
              <w:right w:val="single" w:sz="4" w:space="0" w:color="auto"/>
            </w:tcBorders>
            <w:shd w:val="clear" w:color="auto" w:fill="C6EFCE"/>
            <w:noWrap/>
            <w:vAlign w:val="center"/>
          </w:tcPr>
          <w:p w14:paraId="32F2D84E" w14:textId="76BC08A6" w:rsidR="00C972CB" w:rsidRDefault="002457F6">
            <w:pPr>
              <w:pStyle w:val="P68B1DB1-Normal12"/>
              <w:spacing w:line="276" w:lineRule="auto"/>
              <w:jc w:val="center"/>
              <w:rPr>
                <w:rFonts w:ascii="Arial Narrow" w:hAnsi="Arial Narrow"/>
                <w:noProof/>
              </w:rPr>
            </w:pPr>
            <w:r>
              <w:rPr>
                <w:rFonts w:ascii="Arial Narrow" w:hAnsi="Arial Narrow"/>
                <w:noProof/>
              </w:rPr>
              <w:t>17</w:t>
            </w:r>
            <w:r>
              <w:rPr>
                <w:noProof/>
              </w:rPr>
              <w:t xml:space="preserve"> </w:t>
            </w:r>
            <w:r>
              <w:rPr>
                <w:rFonts w:ascii="Arial Narrow" w:hAnsi="Arial Narrow"/>
                <w:noProof/>
              </w:rPr>
              <w:t>000</w:t>
            </w:r>
            <w:r>
              <w:rPr>
                <w:noProof/>
              </w:rPr>
              <w:t xml:space="preserve"> </w:t>
            </w:r>
            <w:r>
              <w:rPr>
                <w:rFonts w:ascii="Arial Narrow" w:hAnsi="Arial Narrow"/>
                <w:noProof/>
              </w:rPr>
              <w:t>000</w:t>
            </w:r>
          </w:p>
        </w:tc>
        <w:tc>
          <w:tcPr>
            <w:tcW w:w="1219" w:type="dxa"/>
            <w:tcBorders>
              <w:top w:val="nil"/>
              <w:left w:val="nil"/>
              <w:bottom w:val="single" w:sz="4" w:space="0" w:color="auto"/>
              <w:right w:val="single" w:sz="4" w:space="0" w:color="auto"/>
            </w:tcBorders>
            <w:shd w:val="clear" w:color="auto" w:fill="C6EFCE"/>
            <w:noWrap/>
            <w:vAlign w:val="center"/>
          </w:tcPr>
          <w:p w14:paraId="0610F2E4" w14:textId="6F4ABD30" w:rsidR="00C972CB" w:rsidRDefault="002457F6">
            <w:pPr>
              <w:pStyle w:val="P68B1DB1-Normal12"/>
              <w:spacing w:line="276" w:lineRule="auto"/>
              <w:jc w:val="center"/>
              <w:rPr>
                <w:rFonts w:ascii="Arial Narrow" w:hAnsi="Arial Narrow"/>
                <w:noProof/>
              </w:rPr>
            </w:pPr>
            <w:r>
              <w:rPr>
                <w:rFonts w:ascii="Arial Narrow" w:hAnsi="Arial Narrow"/>
                <w:noProof/>
              </w:rPr>
              <w:t>35</w:t>
            </w:r>
            <w:r>
              <w:rPr>
                <w:noProof/>
              </w:rPr>
              <w:t xml:space="preserve"> </w:t>
            </w:r>
            <w:r>
              <w:rPr>
                <w:rFonts w:ascii="Arial Narrow" w:hAnsi="Arial Narrow"/>
                <w:noProof/>
              </w:rPr>
              <w:t>800</w:t>
            </w:r>
            <w:r>
              <w:rPr>
                <w:noProof/>
              </w:rPr>
              <w:t xml:space="preserve"> </w:t>
            </w:r>
            <w:r>
              <w:rPr>
                <w:rFonts w:ascii="Arial Narrow" w:hAnsi="Arial Narrow"/>
                <w:noProof/>
              </w:rPr>
              <w:t>000</w:t>
            </w:r>
          </w:p>
        </w:tc>
        <w:tc>
          <w:tcPr>
            <w:tcW w:w="995" w:type="dxa"/>
            <w:tcBorders>
              <w:top w:val="nil"/>
              <w:left w:val="nil"/>
              <w:bottom w:val="single" w:sz="4" w:space="0" w:color="auto"/>
              <w:right w:val="single" w:sz="4" w:space="0" w:color="auto"/>
            </w:tcBorders>
            <w:shd w:val="clear" w:color="auto" w:fill="C6EFCE"/>
            <w:noWrap/>
            <w:vAlign w:val="center"/>
          </w:tcPr>
          <w:p w14:paraId="5342C5C1" w14:textId="77777777" w:rsidR="00C972CB" w:rsidRDefault="002457F6">
            <w:pPr>
              <w:pStyle w:val="P68B1DB1-Normal11"/>
              <w:spacing w:line="276" w:lineRule="auto"/>
              <w:jc w:val="center"/>
              <w:rPr>
                <w:noProof/>
              </w:rPr>
            </w:pPr>
            <w:r>
              <w:rPr>
                <w:noProof/>
              </w:rPr>
              <w:t>4. CET.</w:t>
            </w:r>
          </w:p>
        </w:tc>
        <w:tc>
          <w:tcPr>
            <w:tcW w:w="704" w:type="dxa"/>
            <w:tcBorders>
              <w:top w:val="nil"/>
              <w:left w:val="nil"/>
              <w:bottom w:val="single" w:sz="4" w:space="0" w:color="auto"/>
              <w:right w:val="single" w:sz="4" w:space="0" w:color="auto"/>
            </w:tcBorders>
            <w:shd w:val="clear" w:color="auto" w:fill="C6EFCE"/>
            <w:noWrap/>
            <w:vAlign w:val="center"/>
          </w:tcPr>
          <w:p w14:paraId="43A96E68" w14:textId="77777777" w:rsidR="00C972CB" w:rsidRDefault="002457F6">
            <w:pPr>
              <w:pStyle w:val="P68B1DB1-Normal11"/>
              <w:spacing w:line="276" w:lineRule="auto"/>
              <w:jc w:val="center"/>
              <w:rPr>
                <w:noProof/>
              </w:rPr>
            </w:pPr>
            <w:r>
              <w:rPr>
                <w:noProof/>
              </w:rPr>
              <w:t>2025</w:t>
            </w:r>
          </w:p>
        </w:tc>
        <w:tc>
          <w:tcPr>
            <w:tcW w:w="2647" w:type="dxa"/>
            <w:tcBorders>
              <w:top w:val="nil"/>
              <w:left w:val="nil"/>
              <w:bottom w:val="single" w:sz="4" w:space="0" w:color="auto"/>
              <w:right w:val="single" w:sz="4" w:space="0" w:color="auto"/>
            </w:tcBorders>
            <w:shd w:val="clear" w:color="auto" w:fill="C6EFCE"/>
            <w:noWrap/>
            <w:vAlign w:val="center"/>
          </w:tcPr>
          <w:p w14:paraId="656C204F" w14:textId="4420C366" w:rsidR="00C972CB" w:rsidRDefault="002457F6">
            <w:pPr>
              <w:pStyle w:val="P68B1DB1-Normal12"/>
              <w:spacing w:line="276" w:lineRule="auto"/>
              <w:rPr>
                <w:rFonts w:ascii="Arial Narrow" w:hAnsi="Arial Narrow"/>
                <w:noProof/>
              </w:rPr>
            </w:pPr>
            <w:r>
              <w:rPr>
                <w:rFonts w:ascii="Arial Narrow" w:hAnsi="Arial Narrow"/>
                <w:noProof/>
              </w:rPr>
              <w:t>Ēku pilnīga renovācija vismaz 35800000</w:t>
            </w:r>
            <w:r>
              <w:rPr>
                <w:noProof/>
              </w:rPr>
              <w:t xml:space="preserve"> </w:t>
            </w:r>
            <w:r>
              <w:rPr>
                <w:rFonts w:ascii="Arial Narrow" w:hAnsi="Arial Narrow"/>
                <w:noProof/>
              </w:rPr>
              <w:t>kvadrātmetru</w:t>
            </w:r>
            <w:r>
              <w:rPr>
                <w:noProof/>
              </w:rPr>
              <w:t xml:space="preserve"> </w:t>
            </w:r>
            <w:r>
              <w:rPr>
                <w:rFonts w:ascii="Arial Narrow" w:hAnsi="Arial Narrow"/>
                <w:noProof/>
              </w:rPr>
              <w:t xml:space="preserve">apmērā, kas nodrošina primārās enerģijas ietaupījumu vismaz par 40 %, </w:t>
            </w:r>
            <w:r>
              <w:rPr>
                <w:rFonts w:ascii="Arial Narrow" w:hAnsi="Arial Narrow"/>
                <w:noProof/>
              </w:rPr>
              <w:t>palielinot vismaz divas energoefektivitātes sertifikāta kategorijas.</w:t>
            </w:r>
          </w:p>
        </w:tc>
      </w:tr>
      <w:tr w:rsidR="00C972CB" w14:paraId="77102CB9"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73F501D6" w14:textId="77777777" w:rsidR="00C972CB" w:rsidRDefault="002457F6">
            <w:pPr>
              <w:pStyle w:val="P68B1DB1-Normal11"/>
              <w:spacing w:line="276" w:lineRule="auto"/>
              <w:jc w:val="center"/>
              <w:rPr>
                <w:noProof/>
              </w:rPr>
            </w:pPr>
            <w:r>
              <w:rPr>
                <w:noProof/>
              </w:rPr>
              <w:t>M2C3–4</w:t>
            </w:r>
          </w:p>
        </w:tc>
        <w:tc>
          <w:tcPr>
            <w:tcW w:w="1559" w:type="dxa"/>
            <w:tcBorders>
              <w:top w:val="nil"/>
              <w:left w:val="nil"/>
              <w:bottom w:val="single" w:sz="4" w:space="0" w:color="auto"/>
              <w:right w:val="single" w:sz="4" w:space="0" w:color="auto"/>
            </w:tcBorders>
            <w:shd w:val="clear" w:color="auto" w:fill="C6EFCE"/>
            <w:noWrap/>
            <w:vAlign w:val="center"/>
          </w:tcPr>
          <w:p w14:paraId="1954576C" w14:textId="77777777" w:rsidR="00C972CB" w:rsidRDefault="002457F6">
            <w:pPr>
              <w:pStyle w:val="P68B1DB1-Normal11"/>
              <w:spacing w:line="276" w:lineRule="auto"/>
              <w:jc w:val="center"/>
              <w:rPr>
                <w:noProof/>
              </w:rPr>
            </w:pPr>
            <w:r>
              <w:rPr>
                <w:noProof/>
              </w:rPr>
              <w:t>Reforma. Energoefektivitātes intervences procedūru vienkāršošana un paātrināšana</w:t>
            </w:r>
          </w:p>
        </w:tc>
        <w:tc>
          <w:tcPr>
            <w:tcW w:w="1134" w:type="dxa"/>
            <w:tcBorders>
              <w:top w:val="nil"/>
              <w:left w:val="nil"/>
              <w:bottom w:val="single" w:sz="4" w:space="0" w:color="auto"/>
              <w:right w:val="single" w:sz="4" w:space="0" w:color="auto"/>
            </w:tcBorders>
            <w:shd w:val="clear" w:color="auto" w:fill="C6EFCE"/>
            <w:noWrap/>
            <w:vAlign w:val="center"/>
          </w:tcPr>
          <w:p w14:paraId="53AA82A8" w14:textId="77777777" w:rsidR="00C972CB" w:rsidRDefault="002457F6">
            <w:pPr>
              <w:pStyle w:val="P68B1DB1-Normal11"/>
              <w:spacing w:line="276" w:lineRule="auto"/>
              <w:jc w:val="center"/>
              <w:rPr>
                <w:noProof/>
              </w:rPr>
            </w:pPr>
            <w:r>
              <w:rPr>
                <w:noProof/>
              </w:rPr>
              <w:t>Starpposma mērķis</w:t>
            </w:r>
          </w:p>
        </w:tc>
        <w:tc>
          <w:tcPr>
            <w:tcW w:w="1559" w:type="dxa"/>
            <w:tcBorders>
              <w:top w:val="nil"/>
              <w:left w:val="nil"/>
              <w:bottom w:val="single" w:sz="4" w:space="0" w:color="auto"/>
              <w:right w:val="single" w:sz="4" w:space="0" w:color="auto"/>
            </w:tcBorders>
            <w:shd w:val="clear" w:color="auto" w:fill="C6EFCE"/>
            <w:noWrap/>
            <w:vAlign w:val="center"/>
          </w:tcPr>
          <w:p w14:paraId="4F633841" w14:textId="77777777" w:rsidR="00C972CB" w:rsidRDefault="002457F6">
            <w:pPr>
              <w:pStyle w:val="P68B1DB1-Normal11"/>
              <w:spacing w:line="276" w:lineRule="auto"/>
              <w:jc w:val="center"/>
              <w:rPr>
                <w:noProof/>
              </w:rPr>
            </w:pPr>
            <w:r>
              <w:rPr>
                <w:noProof/>
              </w:rPr>
              <w:t>Energoefektivitātes intervences procedūru vienkāršošana un paātrināšana</w:t>
            </w:r>
          </w:p>
        </w:tc>
        <w:tc>
          <w:tcPr>
            <w:tcW w:w="1609" w:type="dxa"/>
            <w:tcBorders>
              <w:top w:val="nil"/>
              <w:left w:val="nil"/>
              <w:bottom w:val="single" w:sz="4" w:space="0" w:color="auto"/>
              <w:right w:val="single" w:sz="4" w:space="0" w:color="auto"/>
            </w:tcBorders>
            <w:shd w:val="clear" w:color="auto" w:fill="C6EFCE"/>
            <w:noWrap/>
            <w:vAlign w:val="center"/>
          </w:tcPr>
          <w:p w14:paraId="2C71EB8F" w14:textId="77777777" w:rsidR="00C972CB" w:rsidRDefault="002457F6">
            <w:pPr>
              <w:pStyle w:val="P68B1DB1-Normal11"/>
              <w:spacing w:line="276" w:lineRule="auto"/>
              <w:jc w:val="center"/>
              <w:rPr>
                <w:noProof/>
              </w:rPr>
            </w:pPr>
            <w:r>
              <w:rPr>
                <w:noProof/>
              </w:rPr>
              <w:t xml:space="preserve">Tiesību akta(-u) noteikums, kas norāda stāšanos spēkā </w:t>
            </w:r>
          </w:p>
        </w:tc>
        <w:tc>
          <w:tcPr>
            <w:tcW w:w="1084" w:type="dxa"/>
            <w:tcBorders>
              <w:top w:val="nil"/>
              <w:left w:val="nil"/>
              <w:bottom w:val="single" w:sz="4" w:space="0" w:color="auto"/>
              <w:right w:val="single" w:sz="4" w:space="0" w:color="auto"/>
            </w:tcBorders>
            <w:shd w:val="clear" w:color="auto" w:fill="C6EFCE"/>
            <w:noWrap/>
            <w:vAlign w:val="center"/>
          </w:tcPr>
          <w:p w14:paraId="29668D8A" w14:textId="77777777" w:rsidR="00C972CB" w:rsidRDefault="002457F6">
            <w:pPr>
              <w:pStyle w:val="P68B1DB1-Normal11"/>
              <w:spacing w:line="276" w:lineRule="auto"/>
              <w:jc w:val="center"/>
              <w:rPr>
                <w:noProof/>
              </w:rPr>
            </w:pPr>
            <w:r>
              <w:rPr>
                <w:noProof/>
              </w:rPr>
              <w:t>NEPIEMĒRO</w:t>
            </w:r>
          </w:p>
        </w:tc>
        <w:tc>
          <w:tcPr>
            <w:tcW w:w="1276" w:type="dxa"/>
            <w:tcBorders>
              <w:top w:val="nil"/>
              <w:left w:val="nil"/>
              <w:bottom w:val="single" w:sz="4" w:space="0" w:color="auto"/>
              <w:right w:val="single" w:sz="4" w:space="0" w:color="auto"/>
            </w:tcBorders>
            <w:shd w:val="clear" w:color="auto" w:fill="C6EFCE"/>
            <w:noWrap/>
            <w:vAlign w:val="center"/>
          </w:tcPr>
          <w:p w14:paraId="5E50B0A3" w14:textId="77777777" w:rsidR="00C972CB" w:rsidRDefault="002457F6">
            <w:pPr>
              <w:pStyle w:val="P68B1DB1-Normal11"/>
              <w:spacing w:line="276" w:lineRule="auto"/>
              <w:jc w:val="center"/>
              <w:rPr>
                <w:noProof/>
              </w:rPr>
            </w:pPr>
            <w:r>
              <w:rPr>
                <w:noProof/>
              </w:rPr>
              <w:t>NEPIEMĒRO</w:t>
            </w:r>
          </w:p>
        </w:tc>
        <w:tc>
          <w:tcPr>
            <w:tcW w:w="1219" w:type="dxa"/>
            <w:tcBorders>
              <w:top w:val="nil"/>
              <w:left w:val="nil"/>
              <w:bottom w:val="single" w:sz="4" w:space="0" w:color="auto"/>
              <w:right w:val="single" w:sz="4" w:space="0" w:color="auto"/>
            </w:tcBorders>
            <w:shd w:val="clear" w:color="auto" w:fill="C6EFCE"/>
            <w:noWrap/>
            <w:vAlign w:val="center"/>
          </w:tcPr>
          <w:p w14:paraId="58953E52" w14:textId="77777777" w:rsidR="00C972CB" w:rsidRDefault="002457F6">
            <w:pPr>
              <w:pStyle w:val="P68B1DB1-Normal11"/>
              <w:spacing w:line="276" w:lineRule="auto"/>
              <w:jc w:val="center"/>
              <w:rPr>
                <w:noProof/>
              </w:rPr>
            </w:pPr>
            <w:r>
              <w:rPr>
                <w:noProof/>
              </w:rPr>
              <w:t>NEPIEMĒRO</w:t>
            </w:r>
          </w:p>
        </w:tc>
        <w:tc>
          <w:tcPr>
            <w:tcW w:w="995" w:type="dxa"/>
            <w:tcBorders>
              <w:top w:val="nil"/>
              <w:left w:val="nil"/>
              <w:bottom w:val="single" w:sz="4" w:space="0" w:color="auto"/>
              <w:right w:val="single" w:sz="4" w:space="0" w:color="auto"/>
            </w:tcBorders>
            <w:shd w:val="clear" w:color="auto" w:fill="C6EFCE"/>
            <w:noWrap/>
            <w:vAlign w:val="center"/>
          </w:tcPr>
          <w:p w14:paraId="7084B936" w14:textId="77777777" w:rsidR="00C972CB" w:rsidRDefault="002457F6">
            <w:pPr>
              <w:pStyle w:val="P68B1DB1-Normal11"/>
              <w:spacing w:line="276" w:lineRule="auto"/>
              <w:jc w:val="center"/>
              <w:rPr>
                <w:noProof/>
              </w:rPr>
            </w:pPr>
            <w:r>
              <w:rPr>
                <w:noProof/>
              </w:rPr>
              <w:t>2. CET.</w:t>
            </w:r>
          </w:p>
        </w:tc>
        <w:tc>
          <w:tcPr>
            <w:tcW w:w="704" w:type="dxa"/>
            <w:tcBorders>
              <w:top w:val="nil"/>
              <w:left w:val="nil"/>
              <w:bottom w:val="single" w:sz="4" w:space="0" w:color="auto"/>
              <w:right w:val="single" w:sz="4" w:space="0" w:color="auto"/>
            </w:tcBorders>
            <w:shd w:val="clear" w:color="auto" w:fill="C6EFCE"/>
            <w:noWrap/>
            <w:vAlign w:val="center"/>
          </w:tcPr>
          <w:p w14:paraId="2EC23C43" w14:textId="77777777" w:rsidR="00C972CB" w:rsidRDefault="002457F6">
            <w:pPr>
              <w:pStyle w:val="P68B1DB1-Normal11"/>
              <w:spacing w:line="276" w:lineRule="auto"/>
              <w:jc w:val="center"/>
              <w:rPr>
                <w:noProof/>
              </w:rPr>
            </w:pPr>
            <w:r>
              <w:rPr>
                <w:noProof/>
              </w:rPr>
              <w:t>2022</w:t>
            </w:r>
          </w:p>
        </w:tc>
        <w:tc>
          <w:tcPr>
            <w:tcW w:w="2647" w:type="dxa"/>
            <w:tcBorders>
              <w:top w:val="nil"/>
              <w:left w:val="nil"/>
              <w:bottom w:val="single" w:sz="4" w:space="0" w:color="auto"/>
              <w:right w:val="single" w:sz="4" w:space="0" w:color="auto"/>
            </w:tcBorders>
            <w:shd w:val="clear" w:color="auto" w:fill="C6EFCE"/>
            <w:noWrap/>
            <w:vAlign w:val="center"/>
          </w:tcPr>
          <w:p w14:paraId="38BE62D3" w14:textId="70EE8D92" w:rsidR="00C972CB" w:rsidRDefault="002457F6">
            <w:pPr>
              <w:pStyle w:val="P68B1DB1-Normal11"/>
              <w:spacing w:line="276" w:lineRule="auto"/>
              <w:rPr>
                <w:noProof/>
              </w:rPr>
            </w:pPr>
            <w:r>
              <w:rPr>
                <w:noProof/>
              </w:rPr>
              <w:t>Tiesību akts(-i) vienkāršo un paātrina energoefektivitātes intervences procedūras:</w:t>
            </w:r>
          </w:p>
          <w:p w14:paraId="7AE1F7BD" w14:textId="77777777" w:rsidR="00C972CB" w:rsidRDefault="002457F6">
            <w:pPr>
              <w:pStyle w:val="P68B1DB1-ListParagraph13"/>
              <w:numPr>
                <w:ilvl w:val="0"/>
                <w:numId w:val="90"/>
              </w:numPr>
              <w:spacing w:line="276" w:lineRule="auto"/>
              <w:jc w:val="left"/>
              <w:rPr>
                <w:noProof/>
              </w:rPr>
            </w:pPr>
            <w:r>
              <w:rPr>
                <w:noProof/>
              </w:rPr>
              <w:t>Ēku energoefektivitātes valsts portāla izveide</w:t>
            </w:r>
          </w:p>
          <w:p w14:paraId="49EA0B9D" w14:textId="77777777" w:rsidR="00C972CB" w:rsidRDefault="002457F6">
            <w:pPr>
              <w:pStyle w:val="P68B1DB1-ListParagraph13"/>
              <w:numPr>
                <w:ilvl w:val="0"/>
                <w:numId w:val="90"/>
              </w:numPr>
              <w:spacing w:line="276" w:lineRule="auto"/>
              <w:jc w:val="left"/>
              <w:rPr>
                <w:noProof/>
              </w:rPr>
            </w:pPr>
            <w:r>
              <w:rPr>
                <w:noProof/>
              </w:rPr>
              <w:t>Civilajā sektorā paredzētā i</w:t>
            </w:r>
            <w:r>
              <w:rPr>
                <w:noProof/>
              </w:rPr>
              <w:t>nformācijas un apmācības plāna pasākumu stiprināšana</w:t>
            </w:r>
          </w:p>
          <w:p w14:paraId="32CC6CEA" w14:textId="77777777" w:rsidR="00C972CB" w:rsidRDefault="002457F6">
            <w:pPr>
              <w:pStyle w:val="P68B1DB1-ListParagraph13"/>
              <w:numPr>
                <w:ilvl w:val="0"/>
                <w:numId w:val="90"/>
              </w:numPr>
              <w:spacing w:line="276" w:lineRule="auto"/>
              <w:jc w:val="left"/>
              <w:rPr>
                <w:noProof/>
              </w:rPr>
            </w:pPr>
            <w:r>
              <w:rPr>
                <w:noProof/>
              </w:rPr>
              <w:t>Valsts energoefektivitātes fonda atjaunināšana un stiprināšana</w:t>
            </w:r>
          </w:p>
          <w:p w14:paraId="677B0F8B" w14:textId="295C1FE2" w:rsidR="00C972CB" w:rsidRDefault="002457F6">
            <w:pPr>
              <w:pStyle w:val="P68B1DB1-ListParagraph13"/>
              <w:numPr>
                <w:ilvl w:val="0"/>
                <w:numId w:val="90"/>
              </w:numPr>
              <w:spacing w:line="276" w:lineRule="auto"/>
              <w:jc w:val="left"/>
              <w:rPr>
                <w:noProof/>
              </w:rPr>
            </w:pPr>
            <w:r>
              <w:rPr>
                <w:noProof/>
              </w:rPr>
              <w:t>Programmas PREPAC finansēto projektu īstenošanas posma paātrināšana</w:t>
            </w:r>
          </w:p>
        </w:tc>
      </w:tr>
    </w:tbl>
    <w:p w14:paraId="42909E42" w14:textId="77777777" w:rsidR="00C972CB" w:rsidRDefault="00C972CB">
      <w:pPr>
        <w:spacing w:before="120" w:after="120"/>
        <w:ind w:left="709"/>
        <w:jc w:val="both"/>
        <w:rPr>
          <w:noProof/>
        </w:rPr>
        <w:sectPr w:rsidR="00C972CB" w:rsidSect="001354D1">
          <w:headerReference w:type="even" r:id="rId146"/>
          <w:headerReference w:type="default" r:id="rId147"/>
          <w:footerReference w:type="even" r:id="rId148"/>
          <w:footerReference w:type="default" r:id="rId149"/>
          <w:headerReference w:type="first" r:id="rId150"/>
          <w:footerReference w:type="first" r:id="rId151"/>
          <w:pgSz w:w="16839" w:h="11907" w:orient="landscape"/>
          <w:pgMar w:top="1134" w:right="1134" w:bottom="1134" w:left="1134" w:header="567" w:footer="567" w:gutter="0"/>
          <w:cols w:space="720"/>
          <w:docGrid w:linePitch="360"/>
        </w:sectPr>
      </w:pPr>
    </w:p>
    <w:p w14:paraId="411416EE"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F.3. </w:t>
      </w:r>
      <w:r>
        <w:rPr>
          <w:noProof/>
        </w:rPr>
        <w:tab/>
      </w:r>
      <w:r>
        <w:rPr>
          <w:b/>
          <w:i w:val="0"/>
          <w:noProof/>
          <w:u w:val="single"/>
        </w:rPr>
        <w:t xml:space="preserve">Aizdevumam pieteikto reformu un investīciju apraksts </w:t>
      </w:r>
    </w:p>
    <w:p w14:paraId="3AC070D8" w14:textId="77777777" w:rsidR="00C972CB" w:rsidRDefault="002457F6">
      <w:pPr>
        <w:pStyle w:val="P68B1DB1-Normal29"/>
        <w:spacing w:before="120" w:after="120"/>
        <w:jc w:val="both"/>
        <w:rPr>
          <w:rFonts w:eastAsia="Calibri"/>
          <w:noProof/>
          <w:color w:val="4F81BD" w:themeColor="accent1"/>
        </w:rPr>
      </w:pPr>
      <w:r>
        <w:rPr>
          <w:noProof/>
        </w:rPr>
        <w:t xml:space="preserve">Ieguldījums 1.1: Jaunu skolu būvniecība ar ēku nomaiņu </w:t>
      </w:r>
    </w:p>
    <w:p w14:paraId="03B5D3C8" w14:textId="77777777" w:rsidR="00C972CB" w:rsidRDefault="002457F6">
      <w:pPr>
        <w:spacing w:before="120" w:after="120"/>
        <w:jc w:val="both"/>
        <w:rPr>
          <w:noProof/>
        </w:rPr>
      </w:pPr>
      <w:r>
        <w:rPr>
          <w:noProof/>
        </w:rPr>
        <w:t>Šis pasākums ir vērsts uz to, lai pakāpeniski aizstātu daļu no valsts skolu ēku fonda ar mērķi izveidot modernas un ilgtspējīgas struktūras.</w:t>
      </w:r>
    </w:p>
    <w:p w14:paraId="718A53CE" w14:textId="35FBBE45" w:rsidR="00C972CB" w:rsidRDefault="002457F6">
      <w:pPr>
        <w:spacing w:before="120" w:after="120"/>
        <w:jc w:val="both"/>
        <w:rPr>
          <w:noProof/>
        </w:rPr>
      </w:pPr>
      <w:r>
        <w:rPr>
          <w:noProof/>
        </w:rPr>
        <w:t>Inter</w:t>
      </w:r>
      <w:r>
        <w:rPr>
          <w:noProof/>
        </w:rPr>
        <w:t>vences pasākumu mērķi ir samazināt enerģijas patēriņu, palielināt ēku seismisko drošību un attīstīt zaļās zonas.</w:t>
      </w:r>
    </w:p>
    <w:p w14:paraId="62BDEFDC" w14:textId="77777777" w:rsidR="00C972CB" w:rsidRDefault="002457F6">
      <w:pPr>
        <w:spacing w:before="120" w:after="120"/>
        <w:jc w:val="both"/>
        <w:rPr>
          <w:noProof/>
        </w:rPr>
      </w:pPr>
      <w:r>
        <w:rPr>
          <w:noProof/>
        </w:rPr>
        <w:t xml:space="preserve">Paredzams, ka plāns būs vērsts uz 166 skolu ēkām, kuru kopējā platība ir 400 tūkstoši m². </w:t>
      </w:r>
    </w:p>
    <w:p w14:paraId="2BA7A5A9" w14:textId="77777777" w:rsidR="00C972CB" w:rsidRDefault="002457F6">
      <w:pPr>
        <w:pStyle w:val="P68B1DB1-Normal2"/>
        <w:spacing w:before="120" w:after="120"/>
        <w:jc w:val="both"/>
        <w:rPr>
          <w:rFonts w:eastAsia="Calibri"/>
          <w:noProof/>
        </w:rPr>
      </w:pPr>
      <w:r>
        <w:rPr>
          <w:noProof/>
        </w:rPr>
        <w:t xml:space="preserve">Ieguldījums 1.2.- Ēku būvniecība, nekustamā īpašuma </w:t>
      </w:r>
      <w:r>
        <w:rPr>
          <w:noProof/>
        </w:rPr>
        <w:t>aktīvu pārkvalificēšana un nostiprināšana tiesvedības jomā</w:t>
      </w:r>
    </w:p>
    <w:p w14:paraId="598B1CF5" w14:textId="77777777" w:rsidR="00C972CB" w:rsidRDefault="002457F6">
      <w:pPr>
        <w:spacing w:before="120" w:after="120"/>
        <w:jc w:val="both"/>
        <w:rPr>
          <w:rFonts w:eastAsia="Calibri"/>
          <w:noProof/>
        </w:rPr>
      </w:pPr>
      <w:r>
        <w:rPr>
          <w:noProof/>
        </w:rPr>
        <w:t xml:space="preserve">Šā pasākuma mērķis ir atjaunot un pārkvalificēt neatbilstīgas tiesvedības struktūras. </w:t>
      </w:r>
    </w:p>
    <w:p w14:paraId="48E2D7AB" w14:textId="77777777" w:rsidR="00C972CB" w:rsidRDefault="002457F6">
      <w:pPr>
        <w:spacing w:before="120" w:after="120"/>
        <w:jc w:val="both"/>
        <w:rPr>
          <w:b/>
          <w:noProof/>
          <w:u w:val="single"/>
        </w:rPr>
      </w:pPr>
      <w:r>
        <w:rPr>
          <w:noProof/>
        </w:rPr>
        <w:t>Intervence ir vērsta uz esošo aktīvu saglabāšanu, kas ļauj aizsargāt, valorizēt un atjaunot vēsturisko mantoju</w:t>
      </w:r>
      <w:r>
        <w:rPr>
          <w:noProof/>
        </w:rPr>
        <w:t>mu, kas bieži vien raksturo Itālijas tiesu sistēmas administrācijas birojus. Papildus energoefektivitātei programmas mērķis ir arī nodrošināt intervenču ekonomisko, vides un sociālo ilgtspēju, izmantojot ilgtspējīgus materiālus un izmantojot pašražotu elek</w:t>
      </w:r>
      <w:r>
        <w:rPr>
          <w:noProof/>
        </w:rPr>
        <w:t>troenerģiju no atjaunojamiem energoresursiem. Intervences var arī pielāgot struktūras, lai samazinātu ēku seismisko neaizsargātību.</w:t>
      </w:r>
    </w:p>
    <w:p w14:paraId="41788DD8" w14:textId="77777777" w:rsidR="00C972CB" w:rsidRDefault="002457F6">
      <w:pPr>
        <w:spacing w:before="120" w:after="120"/>
        <w:jc w:val="both"/>
        <w:rPr>
          <w:noProof/>
        </w:rPr>
      </w:pPr>
      <w:r>
        <w:rPr>
          <w:noProof/>
        </w:rPr>
        <w:t>Indikatīvs to pašvaldību saraksts, kurās notiek intervences, ir šāds: Bari, Bergamo, Boloņa, Kaljāri, Florence, Dženova, Lat</w:t>
      </w:r>
      <w:r>
        <w:rPr>
          <w:noProof/>
        </w:rPr>
        <w:t>ina, Mesina, Milāna, Monza, Neapole, Palermo, Perudža, Reggio Calabria, Roma, Trani, Turīna, Velletri un Venēcija.</w:t>
      </w:r>
    </w:p>
    <w:p w14:paraId="48E65F53" w14:textId="77777777" w:rsidR="00C972CB" w:rsidRDefault="002457F6">
      <w:pPr>
        <w:spacing w:before="120" w:after="120"/>
        <w:jc w:val="both"/>
        <w:rPr>
          <w:noProof/>
        </w:rPr>
      </w:pPr>
      <w:r>
        <w:rPr>
          <w:noProof/>
        </w:rPr>
        <w:t>Intervence neietver dabasgāzes katlus.</w:t>
      </w:r>
    </w:p>
    <w:p w14:paraId="48E3D469" w14:textId="77777777" w:rsidR="00C972CB" w:rsidRDefault="002457F6">
      <w:pPr>
        <w:pStyle w:val="P68B1DB1-Normal2"/>
        <w:spacing w:before="120" w:after="120"/>
        <w:jc w:val="both"/>
        <w:rPr>
          <w:rFonts w:eastAsia="Calibri"/>
          <w:noProof/>
        </w:rPr>
      </w:pPr>
      <w:r>
        <w:rPr>
          <w:noProof/>
        </w:rPr>
        <w:t>Ieguldījums 3.1.: Efektīvas centralizētās siltumapgādes veicināšana</w:t>
      </w:r>
    </w:p>
    <w:p w14:paraId="67589124" w14:textId="77777777" w:rsidR="00C972CB" w:rsidRDefault="002457F6">
      <w:pPr>
        <w:spacing w:before="120" w:after="120"/>
        <w:jc w:val="both"/>
        <w:rPr>
          <w:rFonts w:eastAsia="Calibri"/>
          <w:noProof/>
        </w:rPr>
      </w:pPr>
      <w:r>
        <w:rPr>
          <w:noProof/>
        </w:rPr>
        <w:t>Centralizētajai siltumapgādei ir s</w:t>
      </w:r>
      <w:r>
        <w:rPr>
          <w:noProof/>
        </w:rPr>
        <w:t>varīga nozīme siltumapgādes un aukstumapgādes nozares vides mērķu sasniegšanā, jo īpaši lielās pilsētu teritorijās, kur problēma ir vēl akūtāka.</w:t>
      </w:r>
    </w:p>
    <w:p w14:paraId="4BC4F97B" w14:textId="77777777" w:rsidR="00C972CB" w:rsidRDefault="002457F6">
      <w:pPr>
        <w:spacing w:before="120" w:after="120"/>
        <w:jc w:val="both"/>
        <w:rPr>
          <w:rFonts w:eastAsia="Calibri"/>
          <w:noProof/>
        </w:rPr>
      </w:pPr>
      <w:r>
        <w:rPr>
          <w:noProof/>
        </w:rPr>
        <w:t>Pasākums attīsta efektīvu centralizēto siltumapgādi, kuras pamatā ir siltuma sadale, kas saražota no atjaunojam</w:t>
      </w:r>
      <w:r>
        <w:rPr>
          <w:noProof/>
        </w:rPr>
        <w:t>iem energoresursiem, no atlikumsiltuma vai koģenerēta augstas veiktspējas stacijās. Ar šo pasākumu finansē projektus, kas atlasāmi 2022. gadā izsludinātā konkursā un kas saistīti ar jaunu tīklu būvniecību vai esošo centralizētās siltumapgādes tīklu paplaši</w:t>
      </w:r>
      <w:r>
        <w:rPr>
          <w:noProof/>
        </w:rPr>
        <w:t xml:space="preserve">nāšanu. Nākamo konkursu var izsludināt 2023. gadā. Prioritāti piešķir projektiem, kas nodrošina vislielākos neatjaunojamās primārās enerģijas ietaupījumus. </w:t>
      </w:r>
    </w:p>
    <w:p w14:paraId="5EA3B0A2" w14:textId="77777777" w:rsidR="00C972CB" w:rsidRDefault="002457F6">
      <w:pPr>
        <w:spacing w:before="120" w:after="120"/>
        <w:jc w:val="both"/>
        <w:rPr>
          <w:rFonts w:eastAsia="Calibri"/>
          <w:noProof/>
        </w:rPr>
      </w:pPr>
      <w:r>
        <w:rPr>
          <w:noProof/>
        </w:rPr>
        <w:t>Paredzams, ka katru gadu tiks sasniegti ieguvumi enerģētikas un vides jomā, kas ir 20 ktoe primārās</w:t>
      </w:r>
      <w:r>
        <w:rPr>
          <w:noProof/>
        </w:rPr>
        <w:t xml:space="preserve"> fosilās enerģijas gadā, un 40 kt CO2 no siltumnīcefekta gāzu emisijām ETS neaptvertajos sektoros. </w:t>
      </w:r>
    </w:p>
    <w:p w14:paraId="48BC2598" w14:textId="77777777" w:rsidR="00C972CB" w:rsidRDefault="002457F6">
      <w:pPr>
        <w:spacing w:before="120" w:after="120"/>
        <w:jc w:val="both"/>
        <w:rPr>
          <w:rFonts w:eastAsia="Calibri"/>
          <w:noProof/>
        </w:rPr>
      </w:pPr>
      <w:r>
        <w:rPr>
          <w:noProof/>
        </w:rPr>
        <w:t xml:space="preserve">Paredzams, ka šis pasākums neradīs būtisku kaitējumu vides mērķiem Regulas (ES) 2020/852 17. panta nozīmē, ņemot vērā pasākuma aprakstu un atveseļošanas un </w:t>
      </w:r>
      <w:r>
        <w:rPr>
          <w:noProof/>
        </w:rPr>
        <w:t>noturības plānā izklāstītos riska mazināšanas pasākumus saskaņā ar DNSH tehniskajiem norādījumiem (2021/C58/01). Jo īpaši efektīvas centralizētās siltumapgādes sistēmas ēkā kā siltuma avotu neizmanto fosilo kurināmo, bet gan paļaujas tikai uz siltumenerģij</w:t>
      </w:r>
      <w:r>
        <w:rPr>
          <w:noProof/>
        </w:rPr>
        <w:t>u, kas iegūts no atjaunīgajiem energoresursiem, no atlikumsiltuma vai koģenerāciju augstas veiktspējas stacijās. Ar to saistītā infrastruktūra centralizētajai siltumapgādei atbilst Eiropas Parlamenta un Padomes Direktīvai 2012/27/ES (2012. gada 25. oktobri</w:t>
      </w:r>
      <w:r>
        <w:rPr>
          <w:noProof/>
        </w:rPr>
        <w:t>s) par energoefektivitāti, ar ko groza Direktīvas 2009/125/EK un 2010/30/ES un atceļ Direktīvas 2004/8/EK un 2006/32/EK (OV L 315, 14.11.2012., 1. lpp.), un paredzams, ka tā nodrošinās samazinājumu 0,04 MtCO2/gadā.</w:t>
      </w:r>
    </w:p>
    <w:p w14:paraId="74FB23E3" w14:textId="77777777" w:rsidR="00C972CB" w:rsidRDefault="002457F6">
      <w:pPr>
        <w:pStyle w:val="Heading3"/>
        <w:numPr>
          <w:ilvl w:val="0"/>
          <w:numId w:val="0"/>
        </w:numPr>
        <w:ind w:left="850" w:hanging="850"/>
        <w:rPr>
          <w:b/>
          <w:i w:val="0"/>
          <w:noProof/>
          <w:u w:val="single"/>
        </w:rPr>
      </w:pPr>
      <w:r>
        <w:rPr>
          <w:b/>
          <w:i w:val="0"/>
          <w:noProof/>
          <w:u w:val="single"/>
        </w:rPr>
        <w:t xml:space="preserve">F.4. </w:t>
      </w:r>
      <w:r>
        <w:rPr>
          <w:noProof/>
        </w:rPr>
        <w:tab/>
      </w:r>
      <w:r>
        <w:rPr>
          <w:b/>
          <w:i w:val="0"/>
          <w:noProof/>
          <w:u w:val="single"/>
        </w:rPr>
        <w:t>Atskaites punkti, mērķrādītāji, cit</w:t>
      </w:r>
      <w:r>
        <w:rPr>
          <w:b/>
          <w:i w:val="0"/>
          <w:noProof/>
          <w:u w:val="single"/>
        </w:rPr>
        <w:t xml:space="preserve">i rādītāji un aizdevuma uzraudzības un īstenošanas grafiks </w:t>
      </w:r>
    </w:p>
    <w:p w14:paraId="619CBC57" w14:textId="77777777" w:rsidR="00C972CB" w:rsidRDefault="00C972CB">
      <w:pPr>
        <w:spacing w:before="120" w:after="120"/>
        <w:ind w:left="709"/>
        <w:contextualSpacing/>
        <w:jc w:val="both"/>
        <w:rPr>
          <w:noProof/>
        </w:rPr>
        <w:sectPr w:rsidR="00C972CB" w:rsidSect="001354D1">
          <w:headerReference w:type="even" r:id="rId152"/>
          <w:headerReference w:type="default" r:id="rId153"/>
          <w:footerReference w:type="even" r:id="rId154"/>
          <w:footerReference w:type="default" r:id="rId155"/>
          <w:headerReference w:type="first" r:id="rId156"/>
          <w:footerReference w:type="first" r:id="rId157"/>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559"/>
        <w:gridCol w:w="1775"/>
        <w:gridCol w:w="1985"/>
        <w:gridCol w:w="1701"/>
        <w:gridCol w:w="1276"/>
        <w:gridCol w:w="1420"/>
        <w:gridCol w:w="1201"/>
        <w:gridCol w:w="1027"/>
        <w:gridCol w:w="653"/>
        <w:gridCol w:w="2461"/>
      </w:tblGrid>
      <w:tr w:rsidR="00C972CB" w14:paraId="51B53195" w14:textId="77777777">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F23FA1" w14:textId="77777777" w:rsidR="00C972CB" w:rsidRDefault="002457F6">
            <w:pPr>
              <w:pStyle w:val="P68B1DB1-Normal9"/>
              <w:jc w:val="center"/>
              <w:rPr>
                <w:noProof/>
              </w:rPr>
            </w:pPr>
            <w:r>
              <w:rPr>
                <w:noProof/>
              </w:rPr>
              <w:t>Kārtas numurs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C7FDE26" w14:textId="77777777" w:rsidR="00C972CB" w:rsidRDefault="002457F6">
            <w:pPr>
              <w:pStyle w:val="P68B1DB1-Normal9"/>
              <w:jc w:val="center"/>
              <w:rPr>
                <w:noProof/>
              </w:rPr>
            </w:pPr>
            <w:r>
              <w:rPr>
                <w:noProof/>
              </w:rPr>
              <w:t>Pasākums (reforma vai investīcija)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7A4FC5" w14:textId="77777777" w:rsidR="00C972CB" w:rsidRDefault="002457F6">
            <w:pPr>
              <w:pStyle w:val="P68B1DB1-Normal9"/>
              <w:jc w:val="center"/>
              <w:rPr>
                <w:noProof/>
              </w:rPr>
            </w:pPr>
            <w:r>
              <w:rPr>
                <w:noProof/>
              </w:rPr>
              <w:t>Atskaites punkts/mērķrādītājs</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6F52E4B2" w14:textId="77777777" w:rsidR="00C972CB" w:rsidRDefault="002457F6">
            <w:pPr>
              <w:pStyle w:val="P68B1DB1-Normal9"/>
              <w:jc w:val="center"/>
              <w:rPr>
                <w:noProof/>
              </w:rPr>
            </w:pPr>
            <w:r>
              <w:rPr>
                <w:noProof/>
              </w:rPr>
              <w:t>Uzvārds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1C8057"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 xml:space="preserve">(attiecībā uz starpposma </w:t>
            </w:r>
            <w:r>
              <w:rPr>
                <w:b/>
                <w:noProof/>
                <w:sz w:val="20"/>
              </w:rPr>
              <w:t>mērķiem)</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127482C5"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1AC96808" w14:textId="77777777" w:rsidR="00C972CB" w:rsidRDefault="002457F6">
            <w:pPr>
              <w:pStyle w:val="P68B1DB1-Normal9"/>
              <w:jc w:val="center"/>
              <w:rPr>
                <w:noProof/>
              </w:rPr>
            </w:pPr>
            <w:r>
              <w:rPr>
                <w:noProof/>
              </w:rPr>
              <w:t xml:space="preserve">Orientējošs pabeigšanas termiņš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A8B1AE" w14:textId="77777777" w:rsidR="00C972CB" w:rsidRDefault="002457F6">
            <w:pPr>
              <w:pStyle w:val="P68B1DB1-Normal9"/>
              <w:jc w:val="center"/>
              <w:rPr>
                <w:noProof/>
              </w:rPr>
            </w:pPr>
            <w:r>
              <w:rPr>
                <w:noProof/>
              </w:rPr>
              <w:t>Apraksts par katru atskaites punktu un mērķrādītāju</w:t>
            </w:r>
          </w:p>
        </w:tc>
      </w:tr>
      <w:tr w:rsidR="00C972CB" w14:paraId="7A19B21C" w14:textId="77777777">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F3C0502" w14:textId="77777777" w:rsidR="00C972CB" w:rsidRDefault="00C972CB">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98FC70" w14:textId="77777777" w:rsidR="00C972CB" w:rsidRDefault="00C972CB">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191EF2" w14:textId="77777777" w:rsidR="00C972CB" w:rsidRDefault="00C972CB">
            <w:pP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2C4DD9D" w14:textId="77777777" w:rsidR="00C972CB" w:rsidRDefault="00C972CB">
            <w:pP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76B69C" w14:textId="77777777" w:rsidR="00C972CB" w:rsidRDefault="00C972CB">
            <w:pPr>
              <w:rPr>
                <w:rFonts w:ascii="Arial Narrow" w:hAnsi="Arial Narrow"/>
                <w:b/>
                <w:noProof/>
                <w:sz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487210" w14:textId="77777777" w:rsidR="00C972CB" w:rsidRDefault="002457F6">
            <w:pPr>
              <w:pStyle w:val="P68B1DB1-Normal9"/>
              <w:jc w:val="center"/>
              <w:rPr>
                <w:noProof/>
              </w:rPr>
            </w:pPr>
            <w:r>
              <w:rPr>
                <w:noProof/>
              </w:rPr>
              <w:t>Mēra vienība</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C9F29" w14:textId="77777777" w:rsidR="00C972CB" w:rsidRDefault="002457F6">
            <w:pPr>
              <w:pStyle w:val="P68B1DB1-Normal9"/>
              <w:jc w:val="center"/>
              <w:rPr>
                <w:noProof/>
              </w:rPr>
            </w:pPr>
            <w:r>
              <w:rPr>
                <w:noProof/>
              </w:rPr>
              <w:t xml:space="preserve">Pamatscenārijs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82CF72" w14:textId="77777777" w:rsidR="00C972CB" w:rsidRDefault="002457F6">
            <w:pPr>
              <w:pStyle w:val="P68B1DB1-Normal9"/>
              <w:jc w:val="center"/>
              <w:rPr>
                <w:noProof/>
              </w:rPr>
            </w:pPr>
            <w:r>
              <w:rPr>
                <w:noProof/>
              </w:rPr>
              <w:t xml:space="preserve">Mērķis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5D2374" w14:textId="77777777" w:rsidR="00C972CB" w:rsidRDefault="002457F6">
            <w:pPr>
              <w:pStyle w:val="P68B1DB1-Normal9"/>
              <w:jc w:val="center"/>
              <w:rPr>
                <w:noProof/>
              </w:rPr>
            </w:pPr>
            <w:r>
              <w:rPr>
                <w:noProof/>
              </w:rPr>
              <w:t>Ceturtdaļa</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25E737" w14:textId="77777777" w:rsidR="00C972CB" w:rsidRDefault="002457F6">
            <w:pPr>
              <w:pStyle w:val="P68B1DB1-Normal9"/>
              <w:jc w:val="center"/>
              <w:rPr>
                <w:noProof/>
              </w:rPr>
            </w:pPr>
            <w:r>
              <w:rPr>
                <w:noProof/>
              </w:rPr>
              <w:t>Gadā</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58240D29" w14:textId="77777777" w:rsidR="00C972CB" w:rsidRDefault="00C972CB">
            <w:pPr>
              <w:rPr>
                <w:rFonts w:ascii="Arial Narrow" w:hAnsi="Arial Narrow"/>
                <w:b/>
                <w:noProof/>
                <w:sz w:val="20"/>
              </w:rPr>
            </w:pPr>
          </w:p>
        </w:tc>
      </w:tr>
      <w:tr w:rsidR="00C972CB" w14:paraId="4F30D508"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2E2AB" w14:textId="77777777" w:rsidR="00C972CB" w:rsidRDefault="002457F6">
            <w:pPr>
              <w:pStyle w:val="P68B1DB1-Normal11"/>
              <w:spacing w:line="276" w:lineRule="auto"/>
              <w:jc w:val="center"/>
              <w:rPr>
                <w:noProof/>
              </w:rPr>
            </w:pPr>
            <w:r>
              <w:rPr>
                <w:noProof/>
              </w:rPr>
              <w:t>M2C3–5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4E95C3" w14:textId="77777777" w:rsidR="00C972CB" w:rsidRDefault="002457F6">
            <w:pPr>
              <w:pStyle w:val="P68B1DB1-Normal11"/>
              <w:spacing w:line="276" w:lineRule="auto"/>
              <w:jc w:val="center"/>
              <w:rPr>
                <w:noProof/>
              </w:rPr>
            </w:pPr>
            <w:r>
              <w:rPr>
                <w:noProof/>
              </w:rPr>
              <w:t xml:space="preserve">Ieguldījums 1.1: Jaunu skolu būvniecība ar ēku nomaiņu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8D412F0" w14:textId="77777777" w:rsidR="00C972CB" w:rsidRDefault="002457F6">
            <w:pPr>
              <w:pStyle w:val="P68B1DB1-Normal11"/>
              <w:spacing w:line="276" w:lineRule="auto"/>
              <w:jc w:val="center"/>
              <w:rPr>
                <w:noProof/>
              </w:rPr>
            </w:pPr>
            <w:r>
              <w:rPr>
                <w:noProof/>
              </w:rPr>
              <w:t>Starpposma mērķis</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AE74467" w14:textId="77777777" w:rsidR="00C972CB" w:rsidRDefault="002457F6">
            <w:pPr>
              <w:pStyle w:val="P68B1DB1-Normal11"/>
              <w:spacing w:line="276" w:lineRule="auto"/>
              <w:jc w:val="center"/>
              <w:rPr>
                <w:noProof/>
              </w:rPr>
            </w:pPr>
            <w:r>
              <w:rPr>
                <w:noProof/>
              </w:rPr>
              <w:t xml:space="preserve">Visu publiskā iepirkuma līgumu slēgšanas tiesību piešķiršana jaunu skolu būvniecībai, aizstājot ēku, lai modernizētu skolu ēku enerģiju, publiskā iepirkuma procedūrā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537D446" w14:textId="77777777" w:rsidR="00C972CB" w:rsidRDefault="002457F6">
            <w:pPr>
              <w:pStyle w:val="P68B1DB1-Normal11"/>
              <w:spacing w:line="276" w:lineRule="auto"/>
              <w:jc w:val="center"/>
              <w:rPr>
                <w:noProof/>
              </w:rPr>
            </w:pPr>
            <w:r>
              <w:rPr>
                <w:noProof/>
              </w:rPr>
              <w:t xml:space="preserve">Paziņojums par visu publiskā iepirkuma līgumu slēgšanas tiesību </w:t>
            </w:r>
            <w:r>
              <w:rPr>
                <w:noProof/>
              </w:rPr>
              <w:t>piešķiršanu pēc publiskā iepirkuma procedūras</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9D74564" w14:textId="77777777" w:rsidR="00C972CB" w:rsidRDefault="002457F6">
            <w:pPr>
              <w:pStyle w:val="P68B1DB1-Normal11"/>
              <w:spacing w:line="276" w:lineRule="auto"/>
              <w:jc w:val="center"/>
              <w:rPr>
                <w:noProof/>
              </w:rPr>
            </w:pPr>
            <w:r>
              <w:rPr>
                <w:noProof/>
              </w:rPr>
              <w:t>NEPIEMĒRO</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28DDD81" w14:textId="77777777" w:rsidR="00C972CB" w:rsidRDefault="002457F6">
            <w:pPr>
              <w:pStyle w:val="P68B1DB1-Normal11"/>
              <w:spacing w:line="276" w:lineRule="auto"/>
              <w:jc w:val="center"/>
              <w:rPr>
                <w:noProof/>
              </w:rPr>
            </w:pPr>
            <w:r>
              <w:rPr>
                <w:noProof/>
              </w:rPr>
              <w:t>NEPIEMĒRO</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7775EF9" w14:textId="77777777" w:rsidR="00C972CB" w:rsidRDefault="002457F6">
            <w:pPr>
              <w:pStyle w:val="P68B1DB1-Normal11"/>
              <w:spacing w:line="276" w:lineRule="auto"/>
              <w:jc w:val="center"/>
              <w:rPr>
                <w:noProof/>
              </w:rPr>
            </w:pPr>
            <w:r>
              <w:rPr>
                <w:noProof/>
              </w:rPr>
              <w:t>NEPIEMĒRO</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98370BD" w14:textId="77777777" w:rsidR="00C972CB" w:rsidRDefault="002457F6">
            <w:pPr>
              <w:pStyle w:val="P68B1DB1-Normal11"/>
              <w:spacing w:line="276" w:lineRule="auto"/>
              <w:jc w:val="center"/>
              <w:rPr>
                <w:noProof/>
              </w:rPr>
            </w:pPr>
            <w:r>
              <w:rPr>
                <w:noProof/>
              </w:rPr>
              <w:t>3. CET.</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88ED48" w14:textId="77777777" w:rsidR="00C972CB" w:rsidRDefault="002457F6">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0A03CF35" w14:textId="5B334371" w:rsidR="00C972CB" w:rsidRDefault="002457F6">
            <w:pPr>
              <w:pStyle w:val="P68B1DB1-Normal12"/>
              <w:spacing w:after="120"/>
              <w:rPr>
                <w:rFonts w:ascii="Arial Narrow" w:hAnsi="Arial Narrow"/>
                <w:noProof/>
              </w:rPr>
            </w:pPr>
            <w:r>
              <w:rPr>
                <w:rFonts w:ascii="Arial Narrow" w:hAnsi="Arial Narrow"/>
                <w:noProof/>
              </w:rPr>
              <w:t>Paziņojums par visu publiskā iepirkuma līgumu slēgšanas tiesību piešķiršanu par jaunu skolu ēku nomaiņu, kas ir tiesīga saņemt vietējo iestāžu oficiālu finansējumu, ku</w:t>
            </w:r>
            <w:r>
              <w:rPr>
                <w:rFonts w:ascii="Arial Narrow" w:hAnsi="Arial Narrow"/>
                <w:noProof/>
              </w:rPr>
              <w:t>ra kopējā platība ir vismaz</w:t>
            </w:r>
            <w:r>
              <w:rPr>
                <w:noProof/>
              </w:rPr>
              <w:t xml:space="preserve"> </w:t>
            </w:r>
            <w:r>
              <w:rPr>
                <w:rFonts w:ascii="Arial Narrow" w:hAnsi="Arial Narrow"/>
                <w:noProof/>
              </w:rPr>
              <w:t>400000 kvadrātmetri</w:t>
            </w:r>
          </w:p>
        </w:tc>
      </w:tr>
      <w:tr w:rsidR="00C972CB" w14:paraId="092606FA"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97743" w14:textId="77777777" w:rsidR="00C972CB" w:rsidRDefault="002457F6">
            <w:pPr>
              <w:pStyle w:val="P68B1DB1-Normal11"/>
              <w:spacing w:line="276" w:lineRule="auto"/>
              <w:jc w:val="center"/>
              <w:rPr>
                <w:noProof/>
              </w:rPr>
            </w:pPr>
            <w:r>
              <w:rPr>
                <w:noProof/>
              </w:rPr>
              <w:t>M2C3–6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C1119A3" w14:textId="77777777" w:rsidR="00C972CB" w:rsidRDefault="002457F6">
            <w:pPr>
              <w:pStyle w:val="P68B1DB1-Normal11"/>
              <w:spacing w:line="276" w:lineRule="auto"/>
              <w:jc w:val="center"/>
              <w:rPr>
                <w:noProof/>
              </w:rPr>
            </w:pPr>
            <w:r>
              <w:rPr>
                <w:noProof/>
              </w:rPr>
              <w:t>Ieguldījums 1.1: Jaunu skolu būvniecība ar ēku nomaiņu</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1142F4" w14:textId="77777777" w:rsidR="00C972CB" w:rsidRDefault="002457F6">
            <w:pPr>
              <w:pStyle w:val="P68B1DB1-Normal11"/>
              <w:spacing w:line="276" w:lineRule="auto"/>
              <w:jc w:val="center"/>
              <w:rPr>
                <w:noProof/>
              </w:rPr>
            </w:pPr>
            <w:r>
              <w:rPr>
                <w:noProof/>
              </w:rPr>
              <w:t>Mērķa</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C426215" w14:textId="10421F2F" w:rsidR="00C972CB" w:rsidRDefault="002457F6">
            <w:pPr>
              <w:pStyle w:val="P68B1DB1-Normal12"/>
              <w:spacing w:line="276" w:lineRule="auto"/>
              <w:jc w:val="center"/>
              <w:rPr>
                <w:rFonts w:ascii="Arial Narrow" w:hAnsi="Arial Narrow"/>
                <w:noProof/>
              </w:rPr>
            </w:pPr>
            <w:r>
              <w:rPr>
                <w:rFonts w:ascii="Arial Narrow" w:hAnsi="Arial Narrow"/>
                <w:noProof/>
              </w:rPr>
              <w:t>Ēkunomaiņas ceļā tiek uzbūvēti vismaz 400000 kvadrātmetru jaunu skolu.</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9B9987E" w14:textId="77777777" w:rsidR="00C972CB" w:rsidRDefault="002457F6">
            <w:pPr>
              <w:pStyle w:val="P68B1DB1-Normal11"/>
              <w:spacing w:line="276" w:lineRule="auto"/>
              <w:jc w:val="center"/>
              <w:rPr>
                <w:noProof/>
              </w:rPr>
            </w:pPr>
            <w:r>
              <w:rPr>
                <w:noProof/>
              </w:rPr>
              <w:t>NEPIEMĒRO</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01C03F2" w14:textId="77777777" w:rsidR="00C972CB" w:rsidRDefault="002457F6">
            <w:pPr>
              <w:pStyle w:val="P68B1DB1-Normal11"/>
              <w:spacing w:line="276" w:lineRule="auto"/>
              <w:jc w:val="center"/>
              <w:rPr>
                <w:noProof/>
              </w:rPr>
            </w:pPr>
            <w:r>
              <w:rPr>
                <w:noProof/>
              </w:rPr>
              <w:t>Skaits</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2DD04397" w14:textId="77777777" w:rsidR="00C972CB" w:rsidRDefault="002457F6">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9BDC82E" w14:textId="51F9D8E7" w:rsidR="00C972CB" w:rsidRDefault="002457F6">
            <w:pPr>
              <w:pStyle w:val="P68B1DB1-Normal12"/>
              <w:spacing w:line="276" w:lineRule="auto"/>
              <w:jc w:val="center"/>
              <w:rPr>
                <w:rFonts w:ascii="Arial Narrow" w:hAnsi="Arial Narrow"/>
                <w:noProof/>
              </w:rPr>
            </w:pPr>
            <w:r>
              <w:rPr>
                <w:rFonts w:ascii="Arial Narrow" w:hAnsi="Arial Narrow"/>
                <w:noProof/>
              </w:rPr>
              <w:t>400</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0B55BC2" w14:textId="77777777" w:rsidR="00C972CB" w:rsidRDefault="002457F6">
            <w:pPr>
              <w:pStyle w:val="P68B1DB1-Normal11"/>
              <w:spacing w:line="276" w:lineRule="auto"/>
              <w:jc w:val="center"/>
              <w:rPr>
                <w:noProof/>
              </w:rPr>
            </w:pPr>
            <w:r>
              <w:rPr>
                <w:noProof/>
              </w:rPr>
              <w:t>1. CET.</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88E1384" w14:textId="77777777" w:rsidR="00C972CB" w:rsidRDefault="002457F6">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7D8F9A79" w14:textId="03A2F566" w:rsidR="00C972CB" w:rsidRDefault="002457F6">
            <w:pPr>
              <w:pStyle w:val="P68B1DB1-Normal12"/>
              <w:spacing w:after="120"/>
              <w:rPr>
                <w:rFonts w:ascii="Arial Narrow" w:hAnsi="Arial Narrow"/>
                <w:noProof/>
              </w:rPr>
            </w:pPr>
            <w:r>
              <w:rPr>
                <w:rFonts w:ascii="Arial Narrow" w:hAnsi="Arial Narrow"/>
                <w:noProof/>
              </w:rPr>
              <w:t xml:space="preserve">Vismaz 400000 kvadrātmetru </w:t>
            </w:r>
            <w:r>
              <w:rPr>
                <w:rFonts w:ascii="Arial Narrow" w:hAnsi="Arial Narrow"/>
                <w:noProof/>
              </w:rPr>
              <w:t>jaunu skolu būvniecības pabeigšana, aizstājot ēkas, kā rezultātā primārās enerģijas patēriņš ir vismaz par 20 % mazāks nekā prasība par gandrīz nulles enerģijas ēkām</w:t>
            </w:r>
          </w:p>
        </w:tc>
      </w:tr>
      <w:tr w:rsidR="00C972CB" w14:paraId="3B06412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65168" w14:textId="77777777" w:rsidR="00C972CB" w:rsidRDefault="002457F6">
            <w:pPr>
              <w:pStyle w:val="P68B1DB1-Normal11"/>
              <w:spacing w:line="276" w:lineRule="auto"/>
              <w:jc w:val="center"/>
              <w:rPr>
                <w:noProof/>
              </w:rPr>
            </w:pPr>
            <w:r>
              <w:rPr>
                <w:noProof/>
              </w:rPr>
              <w:t>M2C3–7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8CDB92E" w14:textId="77777777" w:rsidR="00C972CB" w:rsidRDefault="002457F6">
            <w:pPr>
              <w:pStyle w:val="P68B1DB1-Normal11"/>
              <w:spacing w:line="276" w:lineRule="auto"/>
              <w:jc w:val="center"/>
              <w:rPr>
                <w:noProof/>
              </w:rPr>
            </w:pPr>
            <w:r>
              <w:rPr>
                <w:noProof/>
              </w:rPr>
              <w:t xml:space="preserve">Ieguldījums 1.2.- Ēku būvniecība, nekustamā īpašuma aktīvu pārkvalificēšana un </w:t>
            </w:r>
            <w:r>
              <w:rPr>
                <w:noProof/>
              </w:rPr>
              <w:t>nostiprināšana tiesvedības jomā</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45EE9A" w14:textId="77777777" w:rsidR="00C972CB" w:rsidRDefault="002457F6">
            <w:pPr>
              <w:pStyle w:val="P68B1DB1-Normal11"/>
              <w:spacing w:line="276" w:lineRule="auto"/>
              <w:jc w:val="center"/>
              <w:rPr>
                <w:noProof/>
              </w:rPr>
            </w:pPr>
            <w:r>
              <w:rPr>
                <w:noProof/>
              </w:rPr>
              <w:t>Starpposma mērķis</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0DF826E" w14:textId="53B31747" w:rsidR="00C972CB" w:rsidRDefault="002457F6">
            <w:pPr>
              <w:pStyle w:val="P68B1DB1-Normal11"/>
              <w:spacing w:line="276" w:lineRule="auto"/>
              <w:jc w:val="center"/>
              <w:rPr>
                <w:noProof/>
              </w:rPr>
            </w:pPr>
            <w:r>
              <w:rPr>
                <w:noProof/>
              </w:rPr>
              <w:t xml:space="preserve">Līgumslēdzēja iestāde pēc publiskā iepirkuma procedūras paraksta visu publisko līgumu slēgšanas tiesību piešķiršanu par jaunu ēku būvniecību, pārkvalificēšanu un nostiprināšanu, kas saistīti ar tiesas </w:t>
            </w:r>
            <w:r>
              <w:rPr>
                <w:noProof/>
              </w:rPr>
              <w:t>spriešanu.</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99B92CC" w14:textId="77777777" w:rsidR="00C972CB" w:rsidRDefault="002457F6">
            <w:pPr>
              <w:pStyle w:val="P68B1DB1-Normal11"/>
              <w:spacing w:line="276" w:lineRule="auto"/>
              <w:jc w:val="center"/>
              <w:rPr>
                <w:noProof/>
              </w:rPr>
            </w:pPr>
            <w:r>
              <w:rPr>
                <w:noProof/>
              </w:rPr>
              <w:t>Paziņojums par visu publiskā iepirkuma līgumu slēgšanas tiesību piešķiršanu pēc publiskā iepirkuma procedūras</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05B77F9" w14:textId="77777777" w:rsidR="00C972CB" w:rsidRDefault="002457F6">
            <w:pPr>
              <w:pStyle w:val="P68B1DB1-Normal11"/>
              <w:spacing w:line="276" w:lineRule="auto"/>
              <w:jc w:val="center"/>
              <w:rPr>
                <w:noProof/>
              </w:rPr>
            </w:pPr>
            <w:r>
              <w:rPr>
                <w:noProof/>
              </w:rPr>
              <w:t>NEPIEMĒRO</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0165975" w14:textId="77777777" w:rsidR="00C972CB" w:rsidRDefault="002457F6">
            <w:pPr>
              <w:pStyle w:val="P68B1DB1-Normal11"/>
              <w:spacing w:line="276" w:lineRule="auto"/>
              <w:jc w:val="center"/>
              <w:rPr>
                <w:noProof/>
              </w:rPr>
            </w:pPr>
            <w:r>
              <w:rPr>
                <w:noProof/>
              </w:rPr>
              <w:t>NEPIEMĒRO</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72BAB7" w14:textId="77777777" w:rsidR="00C972CB" w:rsidRDefault="002457F6">
            <w:pPr>
              <w:pStyle w:val="P68B1DB1-Normal11"/>
              <w:spacing w:line="276" w:lineRule="auto"/>
              <w:jc w:val="center"/>
              <w:rPr>
                <w:noProof/>
              </w:rPr>
            </w:pPr>
            <w:r>
              <w:rPr>
                <w:noProof/>
              </w:rPr>
              <w:t>NEPIEMĒRO</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071D6D2" w14:textId="77777777" w:rsidR="00C972CB" w:rsidRDefault="002457F6">
            <w:pPr>
              <w:pStyle w:val="P68B1DB1-Normal11"/>
              <w:spacing w:line="276" w:lineRule="auto"/>
              <w:jc w:val="center"/>
              <w:rPr>
                <w:noProof/>
              </w:rPr>
            </w:pPr>
            <w:r>
              <w:rPr>
                <w:noProof/>
              </w:rPr>
              <w:t>4. CET.</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A4B160C" w14:textId="77777777" w:rsidR="00C972CB" w:rsidRDefault="002457F6">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D99A971" w14:textId="77777777" w:rsidR="00C972CB" w:rsidRDefault="002457F6">
            <w:pPr>
              <w:pStyle w:val="P68B1DB1-Normal11"/>
              <w:spacing w:after="120"/>
              <w:rPr>
                <w:noProof/>
              </w:rPr>
            </w:pPr>
            <w:r>
              <w:rPr>
                <w:noProof/>
              </w:rPr>
              <w:t>Paziņojums par visu publisko līgumu slēgšanas tiesību piešķiršanu par ēku celtniecību, pārkv</w:t>
            </w:r>
            <w:r>
              <w:rPr>
                <w:noProof/>
              </w:rPr>
              <w:t>alificēšanu un nekustamā īpašuma aktīvu stiprināšanu tiesas spriešanā.</w:t>
            </w:r>
          </w:p>
        </w:tc>
      </w:tr>
      <w:tr w:rsidR="00C972CB" w14:paraId="0EA6615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E1443" w14:textId="77777777" w:rsidR="00C972CB" w:rsidRDefault="002457F6">
            <w:pPr>
              <w:pStyle w:val="P68B1DB1-Normal11"/>
              <w:spacing w:line="276" w:lineRule="auto"/>
              <w:jc w:val="center"/>
              <w:rPr>
                <w:noProof/>
              </w:rPr>
            </w:pPr>
            <w:r>
              <w:rPr>
                <w:noProof/>
              </w:rPr>
              <w:t>M2C3–8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5C36CB" w14:textId="77777777" w:rsidR="00C972CB" w:rsidRDefault="002457F6">
            <w:pPr>
              <w:pStyle w:val="P68B1DB1-Normal11"/>
              <w:spacing w:line="276" w:lineRule="auto"/>
              <w:jc w:val="center"/>
              <w:rPr>
                <w:noProof/>
              </w:rPr>
            </w:pPr>
            <w:r>
              <w:rPr>
                <w:noProof/>
              </w:rPr>
              <w:t>Ieguldījums 1.2.- Ēku būvniecība, nekustamā īpašuma aktīvu pārkvalificēšana un nostiprināšana tiesvedības jomā</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3AEC551" w14:textId="77777777" w:rsidR="00C972CB" w:rsidRDefault="002457F6">
            <w:pPr>
              <w:pStyle w:val="P68B1DB1-Normal11"/>
              <w:spacing w:line="276" w:lineRule="auto"/>
              <w:jc w:val="center"/>
              <w:rPr>
                <w:noProof/>
              </w:rPr>
            </w:pPr>
            <w:r>
              <w:rPr>
                <w:noProof/>
              </w:rPr>
              <w:t>Mērķa</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2D4776A" w14:textId="77777777" w:rsidR="00C972CB" w:rsidRDefault="002457F6">
            <w:pPr>
              <w:pStyle w:val="P68B1DB1-Normal11"/>
              <w:spacing w:line="276" w:lineRule="auto"/>
              <w:jc w:val="center"/>
              <w:rPr>
                <w:noProof/>
              </w:rPr>
            </w:pPr>
            <w:r>
              <w:rPr>
                <w:noProof/>
              </w:rPr>
              <w:t>Ēku būvniecība, nekustamā īpašuma aktīvu pārkvalificēšana un</w:t>
            </w:r>
            <w:r>
              <w:rPr>
                <w:noProof/>
              </w:rPr>
              <w:t xml:space="preserve"> nostiprināšana tiesvedības jomā</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BF5DFD2" w14:textId="77777777" w:rsidR="00C972CB" w:rsidRDefault="002457F6">
            <w:pPr>
              <w:pStyle w:val="P68B1DB1-Normal11"/>
              <w:spacing w:line="276" w:lineRule="auto"/>
              <w:jc w:val="center"/>
              <w:rPr>
                <w:noProof/>
              </w:rPr>
            </w:pPr>
            <w:r>
              <w:rPr>
                <w:noProof/>
              </w:rPr>
              <w:t>NEPIEMĒRO</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12984B9E" w14:textId="77777777" w:rsidR="00C972CB" w:rsidRDefault="002457F6">
            <w:pPr>
              <w:pStyle w:val="P68B1DB1-Normal11"/>
              <w:spacing w:line="276" w:lineRule="auto"/>
              <w:jc w:val="center"/>
              <w:rPr>
                <w:noProof/>
              </w:rPr>
            </w:pPr>
            <w:r>
              <w:rPr>
                <w:noProof/>
              </w:rPr>
              <w:t>Skaits</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7799AC16" w14:textId="77777777" w:rsidR="00C972CB" w:rsidRDefault="002457F6">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D6BB0F7" w14:textId="0A7CD1E0" w:rsidR="00C972CB" w:rsidRDefault="002457F6">
            <w:pPr>
              <w:pStyle w:val="P68B1DB1-Normal12"/>
              <w:spacing w:line="276" w:lineRule="auto"/>
              <w:jc w:val="center"/>
              <w:rPr>
                <w:rFonts w:ascii="Arial Narrow" w:hAnsi="Arial Narrow"/>
                <w:noProof/>
              </w:rPr>
            </w:pPr>
            <w:r>
              <w:rPr>
                <w:rFonts w:ascii="Arial Narrow" w:hAnsi="Arial Narrow"/>
                <w:noProof/>
              </w:rPr>
              <w:t>289</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770E001" w14:textId="77777777" w:rsidR="00C972CB" w:rsidRDefault="002457F6">
            <w:pPr>
              <w:pStyle w:val="P68B1DB1-Normal11"/>
              <w:spacing w:line="276" w:lineRule="auto"/>
              <w:jc w:val="center"/>
              <w:rPr>
                <w:noProof/>
              </w:rPr>
            </w:pPr>
            <w:r>
              <w:rPr>
                <w:noProof/>
              </w:rPr>
              <w:t>1. CET.</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104E4BE6" w14:textId="77777777" w:rsidR="00C972CB" w:rsidRDefault="002457F6">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6C27F9D" w14:textId="2D6C46D2" w:rsidR="00C972CB" w:rsidRDefault="002457F6">
            <w:pPr>
              <w:pStyle w:val="P68B1DB1-Normal12"/>
              <w:spacing w:after="120"/>
              <w:rPr>
                <w:rFonts w:ascii="Arial Narrow" w:hAnsi="Arial Narrow"/>
                <w:noProof/>
              </w:rPr>
            </w:pPr>
            <w:r>
              <w:rPr>
                <w:rFonts w:ascii="Arial Narrow" w:hAnsi="Arial Narrow"/>
                <w:noProof/>
              </w:rPr>
              <w:t>Ēku būvniecība, nekustamā īpašuma aktīvu pārkvalificēšana un nostiprināšana tiesas spriešanā par vismaz</w:t>
            </w:r>
            <w:r>
              <w:rPr>
                <w:noProof/>
              </w:rPr>
              <w:t xml:space="preserve"> </w:t>
            </w:r>
            <w:r>
              <w:rPr>
                <w:rFonts w:ascii="Arial Narrow" w:hAnsi="Arial Narrow"/>
                <w:noProof/>
              </w:rPr>
              <w:t>289000 kvadrātmetriem</w:t>
            </w:r>
          </w:p>
        </w:tc>
      </w:tr>
      <w:tr w:rsidR="00C972CB" w14:paraId="74D59750"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0D5AB" w14:textId="77777777" w:rsidR="00C972CB" w:rsidRDefault="002457F6">
            <w:pPr>
              <w:pStyle w:val="P68B1DB1-Normal11"/>
              <w:spacing w:line="276" w:lineRule="auto"/>
              <w:jc w:val="center"/>
              <w:rPr>
                <w:noProof/>
              </w:rPr>
            </w:pPr>
            <w:r>
              <w:rPr>
                <w:noProof/>
              </w:rPr>
              <w:t>M2C3–9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7541C826" w14:textId="77777777" w:rsidR="00C972CB" w:rsidRDefault="002457F6">
            <w:pPr>
              <w:pStyle w:val="P68B1DB1-Normal11"/>
              <w:spacing w:line="276" w:lineRule="auto"/>
              <w:jc w:val="center"/>
              <w:rPr>
                <w:noProof/>
              </w:rPr>
            </w:pPr>
            <w:r>
              <w:rPr>
                <w:noProof/>
              </w:rPr>
              <w:t xml:space="preserve">Ieguldījums 3.1.: Efektīvas centralizētās </w:t>
            </w:r>
            <w:r>
              <w:rPr>
                <w:noProof/>
              </w:rPr>
              <w:t>siltumapgādes veicināšana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A8617F" w14:textId="77777777" w:rsidR="00C972CB" w:rsidRDefault="002457F6">
            <w:pPr>
              <w:pStyle w:val="P68B1DB1-Normal11"/>
              <w:spacing w:line="276" w:lineRule="auto"/>
              <w:jc w:val="center"/>
              <w:rPr>
                <w:noProof/>
              </w:rPr>
            </w:pPr>
            <w:r>
              <w:rPr>
                <w:noProof/>
              </w:rPr>
              <w:t>Starpposma mērķis</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32872BAE" w14:textId="36CEF506" w:rsidR="00C972CB" w:rsidRDefault="002457F6">
            <w:pPr>
              <w:pStyle w:val="P68B1DB1-Normal11"/>
              <w:spacing w:line="276" w:lineRule="auto"/>
              <w:jc w:val="center"/>
              <w:rPr>
                <w:noProof/>
              </w:rPr>
            </w:pPr>
            <w:r>
              <w:rPr>
                <w:noProof/>
              </w:rPr>
              <w:t>Līgumus par siltumapgādes tīklu uzlabošanu piešķir Ekoloģiskās pārejas ministrija pēc atklāta konkursa procedūras.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6A37354" w14:textId="77777777" w:rsidR="00C972CB" w:rsidRDefault="002457F6">
            <w:pPr>
              <w:pStyle w:val="P68B1DB1-Normal11"/>
              <w:spacing w:line="276" w:lineRule="auto"/>
              <w:jc w:val="center"/>
              <w:rPr>
                <w:noProof/>
              </w:rPr>
            </w:pPr>
            <w:r>
              <w:rPr>
                <w:noProof/>
              </w:rPr>
              <w:t xml:space="preserve">Paziņojums par visu publiskā iepirkuma līgumu slēgšanas tiesību piešķiršanu pēc publiskā </w:t>
            </w:r>
            <w:r>
              <w:rPr>
                <w:noProof/>
              </w:rPr>
              <w:t>iepirkuma procedūras</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78C0B12" w14:textId="77777777" w:rsidR="00C972CB" w:rsidRDefault="002457F6">
            <w:pPr>
              <w:pStyle w:val="P68B1DB1-Normal11"/>
              <w:spacing w:line="276" w:lineRule="auto"/>
              <w:jc w:val="center"/>
              <w:rPr>
                <w:noProof/>
              </w:rPr>
            </w:pPr>
            <w:r>
              <w:rPr>
                <w:noProof/>
              </w:rPr>
              <w:t>NEPIEMĒRO</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919C29" w14:textId="77777777" w:rsidR="00C972CB" w:rsidRDefault="002457F6">
            <w:pPr>
              <w:pStyle w:val="P68B1DB1-Normal11"/>
              <w:spacing w:line="276" w:lineRule="auto"/>
              <w:jc w:val="center"/>
              <w:rPr>
                <w:noProof/>
              </w:rPr>
            </w:pPr>
            <w:r>
              <w:rPr>
                <w:noProof/>
              </w:rPr>
              <w:t>NEPIEMĒRO</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0720BCF2" w14:textId="77777777" w:rsidR="00C972CB" w:rsidRDefault="002457F6">
            <w:pPr>
              <w:pStyle w:val="P68B1DB1-Normal11"/>
              <w:spacing w:line="276" w:lineRule="auto"/>
              <w:jc w:val="center"/>
              <w:rPr>
                <w:noProof/>
              </w:rPr>
            </w:pPr>
            <w:r>
              <w:rPr>
                <w:noProof/>
              </w:rPr>
              <w:t>NEPIEMĒRO</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DFD408C" w14:textId="77777777" w:rsidR="00C972CB" w:rsidRDefault="002457F6">
            <w:pPr>
              <w:pStyle w:val="P68B1DB1-Normal11"/>
              <w:spacing w:line="276" w:lineRule="auto"/>
              <w:jc w:val="center"/>
              <w:rPr>
                <w:noProof/>
              </w:rPr>
            </w:pPr>
            <w:r>
              <w:rPr>
                <w:noProof/>
              </w:rPr>
              <w:t>4. CET.</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47A1E9EA" w14:textId="77777777" w:rsidR="00C972CB" w:rsidRDefault="002457F6">
            <w:pPr>
              <w:pStyle w:val="P68B1DB1-Normal11"/>
              <w:spacing w:line="276" w:lineRule="auto"/>
              <w:jc w:val="center"/>
              <w:rPr>
                <w:noProof/>
              </w:rPr>
            </w:pPr>
            <w:r>
              <w:rPr>
                <w:noProof/>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997928C" w14:textId="77777777" w:rsidR="00C972CB" w:rsidRDefault="002457F6">
            <w:pPr>
              <w:pStyle w:val="P68B1DB1-Normal11"/>
              <w:spacing w:after="120"/>
              <w:rPr>
                <w:noProof/>
              </w:rPr>
            </w:pPr>
            <w:r>
              <w:rPr>
                <w:noProof/>
              </w:rPr>
              <w:t>Visu publisko līgumu slēgšanas tiesību piešķiršana par jaunu centralizētās siltumapgādes tīklu būvniecību vai esošo centralizētās siltumapgādes tīklu paplašināšanu, kuros būtu jāiekļauj prasīb</w:t>
            </w:r>
            <w:r>
              <w:rPr>
                <w:noProof/>
              </w:rPr>
              <w:t>a samazināt enerģijas patēriņu.</w:t>
            </w:r>
          </w:p>
          <w:p w14:paraId="36DDC4D9" w14:textId="77777777" w:rsidR="00C972CB" w:rsidRDefault="002457F6">
            <w:pPr>
              <w:pStyle w:val="P68B1DB1-Normal11"/>
              <w:spacing w:after="120"/>
              <w:rPr>
                <w:noProof/>
              </w:rPr>
            </w:pPr>
            <w:r>
              <w:rPr>
                <w:noProof/>
              </w:rPr>
              <w:t>Līgumu slēgšanas tiesību piešķiršana projektiem, kas atlasīti konkursa uzaicinājumos iesniegt priekšlikumus saskaņā ar Tehniskajiem norādījumiem “Nenodarīt būtisku kaitējumu” (2021/C58/01), izmantojot izslēgšanas sarakstu un</w:t>
            </w:r>
            <w:r>
              <w:rPr>
                <w:noProof/>
              </w:rPr>
              <w:t xml:space="preserve"> prasību par atbilstību attiecīgajiem ES un valsts tiesību aktiem vides jomā.</w:t>
            </w:r>
          </w:p>
        </w:tc>
      </w:tr>
      <w:tr w:rsidR="00C972CB" w14:paraId="6653A12C"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1ADA23" w14:textId="77777777" w:rsidR="00C972CB" w:rsidRDefault="002457F6">
            <w:pPr>
              <w:pStyle w:val="P68B1DB1-Normal11"/>
              <w:spacing w:line="276" w:lineRule="auto"/>
              <w:jc w:val="center"/>
              <w:rPr>
                <w:noProof/>
              </w:rPr>
            </w:pPr>
            <w:r>
              <w:rPr>
                <w:noProof/>
              </w:rPr>
              <w:t>M2C3–10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E2F5724" w14:textId="77777777" w:rsidR="00C972CB" w:rsidRDefault="002457F6">
            <w:pPr>
              <w:pStyle w:val="P68B1DB1-Normal11"/>
              <w:spacing w:line="276" w:lineRule="auto"/>
              <w:jc w:val="center"/>
              <w:rPr>
                <w:noProof/>
              </w:rPr>
            </w:pPr>
            <w:r>
              <w:rPr>
                <w:noProof/>
              </w:rPr>
              <w:t>Ieguldījums 3.1.: Efektīvas centralizētās siltumapgādes veicināšana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92EE588" w14:textId="77777777" w:rsidR="00C972CB" w:rsidRDefault="002457F6">
            <w:pPr>
              <w:pStyle w:val="P68B1DB1-Normal11"/>
              <w:spacing w:line="276" w:lineRule="auto"/>
              <w:jc w:val="center"/>
              <w:rPr>
                <w:noProof/>
              </w:rPr>
            </w:pPr>
            <w:r>
              <w:rPr>
                <w:noProof/>
              </w:rPr>
              <w:t>Mērķa</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72869FF" w14:textId="77777777" w:rsidR="00C972CB" w:rsidRDefault="002457F6">
            <w:pPr>
              <w:pStyle w:val="P68B1DB1-Normal11"/>
              <w:spacing w:line="276" w:lineRule="auto"/>
              <w:jc w:val="center"/>
              <w:rPr>
                <w:noProof/>
              </w:rPr>
            </w:pPr>
            <w:r>
              <w:rPr>
                <w:noProof/>
              </w:rPr>
              <w:t>Centralizētās siltumapgādes tīklu būvniecība vai paplašināšana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4774270" w14:textId="77777777" w:rsidR="00C972CB" w:rsidRDefault="002457F6">
            <w:pPr>
              <w:pStyle w:val="P68B1DB1-Normal11"/>
              <w:spacing w:line="276" w:lineRule="auto"/>
              <w:jc w:val="center"/>
              <w:rPr>
                <w:noProof/>
              </w:rPr>
            </w:pPr>
            <w:r>
              <w:rPr>
                <w:noProof/>
              </w:rPr>
              <w:t>NEPIEMĒRO</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2E3CA49F" w14:textId="77777777" w:rsidR="00C972CB" w:rsidRDefault="002457F6">
            <w:pPr>
              <w:pStyle w:val="P68B1DB1-Normal11"/>
              <w:spacing w:line="276" w:lineRule="auto"/>
              <w:jc w:val="center"/>
              <w:rPr>
                <w:noProof/>
              </w:rPr>
            </w:pPr>
            <w:r>
              <w:rPr>
                <w:noProof/>
              </w:rPr>
              <w:t>Skaits</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7842ABF" w14:textId="77777777" w:rsidR="00C972CB" w:rsidRDefault="002457F6">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68CA10" w14:textId="77777777" w:rsidR="00C972CB" w:rsidRDefault="002457F6">
            <w:pPr>
              <w:pStyle w:val="P68B1DB1-Normal11"/>
              <w:spacing w:line="276" w:lineRule="auto"/>
              <w:jc w:val="center"/>
              <w:rPr>
                <w:noProof/>
              </w:rPr>
            </w:pPr>
            <w:r>
              <w:rPr>
                <w:noProof/>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31C9823" w14:textId="77777777" w:rsidR="00C972CB" w:rsidRDefault="002457F6">
            <w:pPr>
              <w:pStyle w:val="P68B1DB1-Normal11"/>
              <w:spacing w:line="276" w:lineRule="auto"/>
              <w:jc w:val="center"/>
              <w:rPr>
                <w:noProof/>
              </w:rPr>
            </w:pPr>
            <w:r>
              <w:rPr>
                <w:noProof/>
              </w:rPr>
              <w:t>1. CET.</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B0545C5" w14:textId="77777777" w:rsidR="00C972CB" w:rsidRDefault="002457F6">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4523BE1" w14:textId="77777777" w:rsidR="00C972CB" w:rsidRDefault="002457F6">
            <w:pPr>
              <w:pStyle w:val="P68B1DB1-Normal11"/>
              <w:spacing w:after="120"/>
              <w:rPr>
                <w:noProof/>
              </w:rPr>
            </w:pPr>
            <w:r>
              <w:rPr>
                <w:noProof/>
              </w:rPr>
              <w:t>Jaunu centralizētās siltumapgādes tīklu būvniecības pabeigšana vai esošo tīklu paplašināšana, lai samazinātu enerģijas patēriņu vismaz par 20 KTOE gadā.</w:t>
            </w:r>
          </w:p>
          <w:p w14:paraId="41D0121C" w14:textId="77777777" w:rsidR="00C972CB" w:rsidRDefault="002457F6">
            <w:pPr>
              <w:pStyle w:val="P68B1DB1-Normal11"/>
              <w:spacing w:after="120"/>
              <w:rPr>
                <w:noProof/>
              </w:rPr>
            </w:pPr>
            <w:r>
              <w:rPr>
                <w:noProof/>
              </w:rPr>
              <w:t>Ieguldījums atbilst nosacījumiem, kas izklāstīti Regulas 241/2021/ES par Atveseļošanas un noturība</w:t>
            </w:r>
            <w:r>
              <w:rPr>
                <w:noProof/>
              </w:rPr>
              <w:t>s mehānismu VI pielikuma 9. zemsvītras piezīmē.</w:t>
            </w:r>
          </w:p>
        </w:tc>
      </w:tr>
    </w:tbl>
    <w:p w14:paraId="315B0F7E" w14:textId="77777777" w:rsidR="00C972CB" w:rsidRDefault="00C972CB">
      <w:pPr>
        <w:keepNext/>
        <w:tabs>
          <w:tab w:val="left" w:pos="4252"/>
        </w:tabs>
        <w:spacing w:before="720"/>
        <w:jc w:val="both"/>
        <w:rPr>
          <w:i/>
          <w:noProof/>
        </w:rPr>
        <w:sectPr w:rsidR="00C972CB" w:rsidSect="001354D1">
          <w:headerReference w:type="even" r:id="rId158"/>
          <w:headerReference w:type="default" r:id="rId159"/>
          <w:footerReference w:type="even" r:id="rId160"/>
          <w:footerReference w:type="default" r:id="rId161"/>
          <w:headerReference w:type="first" r:id="rId162"/>
          <w:footerReference w:type="first" r:id="rId163"/>
          <w:pgSz w:w="16839" w:h="11907" w:orient="landscape"/>
          <w:pgMar w:top="1134" w:right="1134" w:bottom="1134" w:left="1134" w:header="567" w:footer="567" w:gutter="0"/>
          <w:cols w:space="720"/>
          <w:docGrid w:linePitch="360"/>
        </w:sectPr>
      </w:pPr>
    </w:p>
    <w:p w14:paraId="411BB39C" w14:textId="6EB11690" w:rsidR="00C972CB" w:rsidRDefault="002457F6">
      <w:pPr>
        <w:pStyle w:val="Heading2"/>
        <w:numPr>
          <w:ilvl w:val="0"/>
          <w:numId w:val="0"/>
        </w:numPr>
        <w:ind w:left="850" w:hanging="850"/>
        <w:rPr>
          <w:noProof/>
        </w:rPr>
      </w:pPr>
      <w:r>
        <w:rPr>
          <w:noProof/>
        </w:rPr>
        <w:t>G. MISSION 2 COMPONENT 4 — Teritoriālā plānošana un ūdens resursi</w:t>
      </w:r>
    </w:p>
    <w:p w14:paraId="5EC64CFA" w14:textId="77777777" w:rsidR="00C972CB" w:rsidRDefault="002457F6">
      <w:pPr>
        <w:spacing w:before="120" w:after="120"/>
        <w:jc w:val="both"/>
        <w:rPr>
          <w:noProof/>
        </w:rPr>
      </w:pPr>
      <w:r>
        <w:rPr>
          <w:noProof/>
        </w:rPr>
        <w:t xml:space="preserve">Šā Itālijas atveseļošanas un noturības plāna komponenta mērķis ir novērst </w:t>
      </w:r>
      <w:r>
        <w:rPr>
          <w:noProof/>
        </w:rPr>
        <w:t>vairākas ilgstošas nepilnības, kas saistītas ar ūdens resursu pārvaldību un hidroģeoloģiskajiem riskiem Itālijā, un pieņemt vairākus pasākumus, kuru mērķis ir saglabāt biodaudzveidību. Tas jāpanāk ar nozīmīgu un līdzsvarotu reformu un investīciju kombināci</w:t>
      </w:r>
      <w:r>
        <w:rPr>
          <w:noProof/>
        </w:rPr>
        <w:t>ju šajās dažādajās dimensijās.</w:t>
      </w:r>
    </w:p>
    <w:p w14:paraId="7883EADC" w14:textId="77777777" w:rsidR="00C972CB" w:rsidRDefault="002457F6">
      <w:pPr>
        <w:spacing w:before="120" w:after="120"/>
        <w:jc w:val="both"/>
        <w:rPr>
          <w:noProof/>
        </w:rPr>
      </w:pPr>
      <w:r>
        <w:rPr>
          <w:noProof/>
        </w:rPr>
        <w:t>Attiecībā uz reformām komponents ierosina pasākumu kopumu, kura galvenais mērķis ir uzlabot ūdens resursu apsaimniekošanas efektivitāti, samazinot nozares sadrumstalotību, izveidojot atbilstīgu cenu politiku un nosakot vairāk</w:t>
      </w:r>
      <w:r>
        <w:rPr>
          <w:noProof/>
        </w:rPr>
        <w:t>us stimulus, lai risinātu pašreizējās problēmas, kas saistītas ar notekūdeņu apsaimniekošanu. Reformas šajā komponentā ietver arī pasākumu kopumu, lai vienkāršotu tādu projektu izstrādi un īstenošanu, kas saistīti ar ūdens infrastruktūru un hidroloģisko ri</w:t>
      </w:r>
      <w:r>
        <w:rPr>
          <w:noProof/>
        </w:rPr>
        <w:t xml:space="preserve">sku pārvaldību un samazināšanu.  </w:t>
      </w:r>
    </w:p>
    <w:p w14:paraId="77D5E42B" w14:textId="77777777" w:rsidR="00C972CB" w:rsidRDefault="002457F6">
      <w:pPr>
        <w:spacing w:before="120" w:after="120"/>
        <w:jc w:val="both"/>
        <w:rPr>
          <w:noProof/>
        </w:rPr>
      </w:pPr>
      <w:r>
        <w:rPr>
          <w:noProof/>
        </w:rPr>
        <w:t xml:space="preserve">Ar šo komponentu saistītie ieguldījumi palīdz mazināt un labāk pārvaldīt hidroģeoloģisko risku Itālijā gan no profilakses, gan pielāgošanās viedokļa, un to mērķis ir ar ūdeni saistīto infrastruktūru padarīt noturīgāku. </w:t>
      </w:r>
      <w:r>
        <w:rPr>
          <w:noProof/>
        </w:rPr>
        <w:t>Turklāt to mērķis ir ievērojami uzlabot ūdens resursu apsaimniekošanu, uzlabojot notekūdeņu apsaimniekošanu un ievērojami samazinot ūdens noplūdes, tostarp lauksaimniecības nozarē. Investīcijas stiprina minēto nozaru digitalizāciju un padara tās energoefek</w:t>
      </w:r>
      <w:r>
        <w:rPr>
          <w:noProof/>
        </w:rPr>
        <w:t>tīvākas un labāk pielāgotas klimata pārmaiņām. Šajā komponentā ir iekļauts arī pasākumu kopums, kuru mērķis ir saglabāt bioloģisko daudzveidību un zaļās zonas saskaņā ar ES bioloģiskās daudzveidības stratēģiju 2030. gadam.</w:t>
      </w:r>
    </w:p>
    <w:p w14:paraId="639F3556" w14:textId="77777777" w:rsidR="00C972CB" w:rsidRDefault="002457F6">
      <w:pPr>
        <w:spacing w:before="120" w:after="120"/>
        <w:jc w:val="both"/>
        <w:rPr>
          <w:noProof/>
        </w:rPr>
      </w:pPr>
      <w:r>
        <w:rPr>
          <w:noProof/>
        </w:rPr>
        <w:t>Šis komponents attiecas uz daļu n</w:t>
      </w:r>
      <w:r>
        <w:rPr>
          <w:noProof/>
        </w:rPr>
        <w:t>o 2020. gada valstij adresētā ieteikuma Nr. 3, ar kuru Eiropas Savienības Padome ieteica Itālijai rīkoties, lai “koncentrētos investīcijas uz zaļo un digitālo pārkārtošanos, jo īpaši attiecībā uz [...] ūdens apsaimniekošanu, kā arī pastiprinātu digitālo in</w:t>
      </w:r>
      <w:r>
        <w:rPr>
          <w:noProof/>
        </w:rPr>
        <w:t>frastruktūru, lai nodrošinātu pamatpakalpojumu sniegšanu”. Tajā ir aplūkota arī daļa no 2019. gada valstij adresētā ieteikuma Nr. 3 (“Ar ieguldījumiem saistīta ekonomikas politika par infrastruktūras kvalitāti, ņemot vērā reģionālās atšķirības”. [...] un u</w:t>
      </w:r>
      <w:r>
        <w:rPr>
          <w:noProof/>
        </w:rPr>
        <w:t>zlabot valsts pārvaldes efektivitāti [...], paātrinot digitalizāciju un palielinot vietējo sabiedrisko pakalpojumu efektivitāti un kvalitāti).</w:t>
      </w:r>
    </w:p>
    <w:p w14:paraId="6DCE1DD9" w14:textId="77777777" w:rsidR="00C972CB" w:rsidRDefault="002457F6">
      <w:pPr>
        <w:spacing w:before="120" w:after="120"/>
        <w:jc w:val="both"/>
        <w:rPr>
          <w:noProof/>
        </w:rPr>
      </w:pPr>
      <w:r>
        <w:rPr>
          <w:noProof/>
        </w:rPr>
        <w:t>Paredzams, ka neviens pasākums šajā komponentā būtiski nekaitēs vides mērķiem Regulas (ES) 2020/852 17. panta noz</w:t>
      </w:r>
      <w:r>
        <w:rPr>
          <w:noProof/>
        </w:rPr>
        <w:t>īmē, ņemot vērā atveseļošanas un noturības plānā izklāstīto pasākumu aprakstu un mazināšanas pasākumus saskaņā ar DNSH tehniskajiem norādījumiem (2021/C58/01).</w:t>
      </w:r>
    </w:p>
    <w:p w14:paraId="175C0678"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G.1. </w:t>
      </w:r>
      <w:r>
        <w:rPr>
          <w:noProof/>
        </w:rPr>
        <w:tab/>
      </w:r>
      <w:r>
        <w:rPr>
          <w:b/>
          <w:i w:val="0"/>
          <w:noProof/>
          <w:u w:val="single"/>
        </w:rPr>
        <w:t>Neatmaksājamam finansiālajam atbalstam pieteikto reformu un investīciju apraksts</w:t>
      </w:r>
    </w:p>
    <w:p w14:paraId="4070EE27" w14:textId="77777777" w:rsidR="00C972CB" w:rsidRDefault="002457F6">
      <w:pPr>
        <w:pStyle w:val="P68B1DB1-Normal2"/>
        <w:spacing w:before="120" w:after="120" w:line="257" w:lineRule="auto"/>
        <w:jc w:val="both"/>
        <w:rPr>
          <w:noProof/>
        </w:rPr>
      </w:pPr>
      <w:r>
        <w:rPr>
          <w:noProof/>
        </w:rPr>
        <w:t xml:space="preserve">Reforma. </w:t>
      </w:r>
      <w:r>
        <w:rPr>
          <w:noProof/>
        </w:rPr>
        <w:t xml:space="preserve">Procedūru vienkāršošana un paātrināšana hidroģeoloģiskās nestabilitātes novēršanai </w:t>
      </w:r>
    </w:p>
    <w:p w14:paraId="476D2FB9" w14:textId="77777777" w:rsidR="00C972CB" w:rsidRDefault="002457F6">
      <w:pPr>
        <w:spacing w:before="120" w:after="120"/>
        <w:jc w:val="both"/>
        <w:rPr>
          <w:noProof/>
        </w:rPr>
      </w:pPr>
      <w:r>
        <w:rPr>
          <w:noProof/>
        </w:rPr>
        <w:t>Šīs reformas mērķis ir novērst pastāvošos trūkumus hidroģeoloģisko risku pārvaldībā, uz kuriem norādījusi Itālijas Revīzijas palāta. Tā ietver projektu īstenošanas procedūr</w:t>
      </w:r>
      <w:r>
        <w:rPr>
          <w:noProof/>
        </w:rPr>
        <w:t>u vienkāršošanu un paātrināšanu šajā jomā, tostarp nosakot maksimālos termiņus katram posmam; par prioritāti noteikt intervences pasākumus saskaņā ar valsts riska novērtējumu un Lēmuma 1313/2013 ES 6. pantu un riska pārvaldības spēju novērtējumu un princip</w:t>
      </w:r>
      <w:r>
        <w:rPr>
          <w:noProof/>
        </w:rPr>
        <w:t>u “nenodari būtisku kaitējumu”; plāna izstrāde, lai palielinātu par šo projektu īstenošanu atbildīgo struktūru administratīvās spējas un pastiprinātu koordināciju starp dažādiem iesaistītajiem pārvaldes līmeņiem, tostarp racionalizējot informācijas plūsmas</w:t>
      </w:r>
      <w:r>
        <w:rPr>
          <w:noProof/>
        </w:rPr>
        <w:t>.</w:t>
      </w:r>
    </w:p>
    <w:p w14:paraId="42CCB914" w14:textId="77777777" w:rsidR="00C972CB" w:rsidRDefault="002457F6">
      <w:pPr>
        <w:pStyle w:val="P68B1DB1-Normal2"/>
        <w:spacing w:before="120" w:after="120" w:line="257" w:lineRule="auto"/>
        <w:jc w:val="both"/>
        <w:rPr>
          <w:noProof/>
        </w:rPr>
      </w:pPr>
      <w:r>
        <w:rPr>
          <w:noProof/>
        </w:rPr>
        <w:t xml:space="preserve">Reforma — tiesiskā regulējuma reforma labākai ūdens apsaimniekošanai un ilgtspējīgai izmantošanai </w:t>
      </w:r>
    </w:p>
    <w:p w14:paraId="42E50B2F" w14:textId="77777777" w:rsidR="00C972CB" w:rsidRDefault="002457F6">
      <w:pPr>
        <w:spacing w:before="120" w:after="120"/>
        <w:jc w:val="both"/>
        <w:rPr>
          <w:noProof/>
        </w:rPr>
      </w:pPr>
      <w:r>
        <w:rPr>
          <w:noProof/>
        </w:rPr>
        <w:t>Šīs reformas mērķis ir risināt ieilgušās problēmas ūdensapgādes nozarē Itālijā, kas atspoguļotas daudzās pašreizējās pienākumu neizpildes procedūrās par ne</w:t>
      </w:r>
      <w:r>
        <w:rPr>
          <w:noProof/>
        </w:rPr>
        <w:t>atbilstību Padomes Direktīvai 91/271/EEK, nozares pārmērīgas sadrumstalotības apstākļos un atbilstošu stimulu un cenu politikas trūkuma dēļ. Paredzams, ka paredzētie pasākumi ievērojami samazinās nozares sadrumstalotību, samazinot operatoru skaitu un veici</w:t>
      </w:r>
      <w:r>
        <w:rPr>
          <w:noProof/>
        </w:rPr>
        <w:t xml:space="preserve">not apjomradītus ietaupījumus, radot stimulus samazināt ūdens noplūdi un pārmērīgu ūdens patēriņu lauksaimniecības nozarē un izveidojot atbilstošu cenu politiku ilgtspējīgākam ūdens patēriņam. </w:t>
      </w:r>
    </w:p>
    <w:p w14:paraId="67EAD886" w14:textId="61564BAD" w:rsidR="00C972CB" w:rsidRDefault="002457F6">
      <w:pPr>
        <w:spacing w:before="120" w:after="120"/>
        <w:jc w:val="both"/>
        <w:rPr>
          <w:noProof/>
        </w:rPr>
      </w:pPr>
      <w:r>
        <w:rPr>
          <w:noProof/>
        </w:rPr>
        <w:t>Ar Kampānijas, Kalabrijas, Molīzes un Sicīlijas reģioniem para</w:t>
      </w:r>
      <w:r>
        <w:rPr>
          <w:noProof/>
        </w:rPr>
        <w:t>ksta saprašanās memorandu kopumu, lai samazinātu ūdensapgādes pakalpojumu sniedzēju skaita sadrumstalotību. SM nosaka mērķus attiecībā uz vietējo pašvaldību struktūru izveidi, operatoru skaita samazināšanu un apjomradītu ietaupījumu panākšanu, lai divu gad</w:t>
      </w:r>
      <w:r>
        <w:rPr>
          <w:noProof/>
        </w:rPr>
        <w:t>u laikā pēc SM parakstīšanas izveidotu vienotus operatorus vismaz uz katriem 40000</w:t>
      </w:r>
      <w:r>
        <w:rPr>
          <w:noProof/>
          <w:color w:val="006100"/>
          <w:sz w:val="20"/>
        </w:rPr>
        <w:t xml:space="preserve"> </w:t>
      </w:r>
      <w:r>
        <w:rPr>
          <w:noProof/>
        </w:rPr>
        <w:t xml:space="preserve">iedzīvotājiem.   </w:t>
      </w:r>
    </w:p>
    <w:p w14:paraId="37816D57" w14:textId="77777777" w:rsidR="00C972CB" w:rsidRDefault="002457F6">
      <w:pPr>
        <w:pStyle w:val="P68B1DB1-Normal2"/>
        <w:spacing w:before="120" w:after="120" w:line="257" w:lineRule="auto"/>
        <w:jc w:val="both"/>
        <w:rPr>
          <w:noProof/>
        </w:rPr>
      </w:pPr>
      <w:r>
        <w:rPr>
          <w:noProof/>
        </w:rPr>
        <w:t>Reforma “Pasākumi integrētu ūdensapgādes pakalpojumu pilnīgas vadības nodrošināšanai”</w:t>
      </w:r>
    </w:p>
    <w:p w14:paraId="7B4C6237" w14:textId="77777777" w:rsidR="00C972CB" w:rsidRDefault="002457F6">
      <w:pPr>
        <w:spacing w:before="120" w:after="120"/>
        <w:jc w:val="both"/>
        <w:rPr>
          <w:noProof/>
        </w:rPr>
      </w:pPr>
      <w:r>
        <w:rPr>
          <w:noProof/>
        </w:rPr>
        <w:t>Šīs reformas mērķis ir risināt galvenās problēmas ūdens resursu apsai</w:t>
      </w:r>
      <w:r>
        <w:rPr>
          <w:noProof/>
        </w:rPr>
        <w:t xml:space="preserve">mniekošanā un padarīt sistēmu efektīvāku. </w:t>
      </w:r>
    </w:p>
    <w:p w14:paraId="3C60E05A" w14:textId="5903C6B2" w:rsidR="00C972CB" w:rsidRDefault="002457F6">
      <w:pPr>
        <w:spacing w:before="120" w:after="120"/>
        <w:jc w:val="both"/>
        <w:rPr>
          <w:noProof/>
        </w:rPr>
      </w:pPr>
      <w:r>
        <w:rPr>
          <w:noProof/>
        </w:rPr>
        <w:t xml:space="preserve">Paredzams, ka sistēma samazinās operatoru skaita pašreizējo sadrumstalotību, kas pašlaik kavē ūdens resursu efektīvu izmantošanu dažās valsts daļās. Paredzams, ka reforma arī radīs pareizos stimulus labākai ūdens </w:t>
      </w:r>
      <w:r>
        <w:rPr>
          <w:noProof/>
        </w:rPr>
        <w:t>resursu izmantošanai lauksaimniecības nozarē, ieviesīs sankciju sistēmu par nelikumīgu ūdens ieguvi un ieviesīs cenu sistēmu, kas labāk atspoguļo un vairāk atbilst principam “piesārņotājs maksā”, vienlaikus izvairoties no esošo apūdeņošanas sistēmu paplaši</w:t>
      </w:r>
      <w:r>
        <w:rPr>
          <w:noProof/>
        </w:rPr>
        <w:t>nāšanas. Pasākumus pieņem sadarbībā ar reģioniem, kuros ūdens resursu apsaimniekošana pašlaik ir problemātiskāka.</w:t>
      </w:r>
    </w:p>
    <w:p w14:paraId="6B8BA6A6" w14:textId="77777777" w:rsidR="00C972CB" w:rsidRDefault="002457F6">
      <w:pPr>
        <w:pStyle w:val="P68B1DB1-Normal2"/>
        <w:spacing w:before="120" w:after="120" w:line="257" w:lineRule="auto"/>
        <w:jc w:val="both"/>
        <w:rPr>
          <w:noProof/>
        </w:rPr>
      </w:pPr>
      <w:r>
        <w:rPr>
          <w:noProof/>
        </w:rPr>
        <w:t>Ieguldījums 3.2. — Nacionālo parku un aizsargājamo jūras teritoriju digitalizācija</w:t>
      </w:r>
    </w:p>
    <w:p w14:paraId="678512DB" w14:textId="77777777" w:rsidR="00C972CB" w:rsidRDefault="002457F6">
      <w:pPr>
        <w:spacing w:before="120" w:after="120"/>
        <w:jc w:val="both"/>
        <w:rPr>
          <w:noProof/>
        </w:rPr>
      </w:pPr>
      <w:r>
        <w:rPr>
          <w:noProof/>
        </w:rPr>
        <w:t>Ar šo pasākumu nosaka standartizētas un digitalizētas proce</w:t>
      </w:r>
      <w:r>
        <w:rPr>
          <w:noProof/>
        </w:rPr>
        <w:t>dūras aizsargājamo teritoriju modernizācijai, efektivitātei un efektīvai darbībai to dažādajos aspektos, piemēram, dabas aizsardzībai, procedūru un pakalpojumu administratīvai vienkāršošanai nacionālo parku un aizsargājamo jūras teritoriju apmeklētājiem. P</w:t>
      </w:r>
      <w:r>
        <w:rPr>
          <w:noProof/>
        </w:rPr>
        <w:t>aredzams, ka pēc intervences dabas resursu monitorings būs uzlabojies, lai vajadzības gadījumā veiktu nepieciešamos preventīvos un korektīvos pasākumus bioloģiskās daudzveidības aizsardzībai. Paredzams, ka tas arī nodrošinās labākus pakalpojumus un izpratn</w:t>
      </w:r>
      <w:r>
        <w:rPr>
          <w:noProof/>
        </w:rPr>
        <w:t>i par bioloģisko daudzveidību nacionālo parku un aizsargājamo jūras teritoriju apmeklētājiem, lai panāktu ilgtspējīgāku tūrismu un dabas resursu atbildīgu patēriņu.</w:t>
      </w:r>
    </w:p>
    <w:p w14:paraId="773152C4" w14:textId="77777777" w:rsidR="00C972CB" w:rsidRDefault="002457F6">
      <w:pPr>
        <w:pStyle w:val="Heading3"/>
        <w:numPr>
          <w:ilvl w:val="0"/>
          <w:numId w:val="0"/>
        </w:numPr>
        <w:ind w:left="850" w:hanging="850"/>
        <w:rPr>
          <w:b/>
          <w:i w:val="0"/>
          <w:noProof/>
          <w:u w:val="single"/>
        </w:rPr>
      </w:pPr>
      <w:r>
        <w:rPr>
          <w:b/>
          <w:i w:val="0"/>
          <w:noProof/>
          <w:u w:val="single"/>
        </w:rPr>
        <w:t xml:space="preserve">G.2. </w:t>
      </w:r>
      <w:r>
        <w:rPr>
          <w:noProof/>
        </w:rPr>
        <w:tab/>
      </w:r>
      <w:r>
        <w:rPr>
          <w:b/>
          <w:i w:val="0"/>
          <w:noProof/>
          <w:u w:val="single"/>
        </w:rPr>
        <w:t>Atskaites punkti, mērķrādītāji, citi rādītāji un neatmaksājamā finansiālā atbalsta uz</w:t>
      </w:r>
      <w:r>
        <w:rPr>
          <w:b/>
          <w:i w:val="0"/>
          <w:noProof/>
          <w:u w:val="single"/>
        </w:rPr>
        <w:t>raudzības un īstenošanas grafiks</w:t>
      </w:r>
    </w:p>
    <w:p w14:paraId="3A412908" w14:textId="77777777" w:rsidR="00C972CB" w:rsidRDefault="00C972CB">
      <w:pPr>
        <w:spacing w:before="120" w:after="120"/>
        <w:ind w:left="709"/>
        <w:jc w:val="both"/>
        <w:rPr>
          <w:noProof/>
        </w:rPr>
        <w:sectPr w:rsidR="00C972CB">
          <w:headerReference w:type="even" r:id="rId164"/>
          <w:headerReference w:type="default" r:id="rId165"/>
          <w:footerReference w:type="even" r:id="rId166"/>
          <w:footerReference w:type="default" r:id="rId167"/>
          <w:headerReference w:type="first" r:id="rId168"/>
          <w:footerReference w:type="first" r:id="rId169"/>
          <w:pgSz w:w="11907" w:h="16839"/>
          <w:pgMar w:top="1440" w:right="1440" w:bottom="1440" w:left="1440" w:header="567" w:footer="567" w:gutter="0"/>
          <w:cols w:space="720"/>
          <w:docGrid w:linePitch="360"/>
        </w:sectPr>
      </w:pPr>
    </w:p>
    <w:tbl>
      <w:tblPr>
        <w:tblW w:w="14560" w:type="dxa"/>
        <w:jc w:val="center"/>
        <w:tblLook w:val="04A0" w:firstRow="1" w:lastRow="0" w:firstColumn="1" w:lastColumn="0" w:noHBand="0" w:noVBand="1"/>
      </w:tblPr>
      <w:tblGrid>
        <w:gridCol w:w="1213"/>
        <w:gridCol w:w="1342"/>
        <w:gridCol w:w="1589"/>
        <w:gridCol w:w="1372"/>
        <w:gridCol w:w="1271"/>
        <w:gridCol w:w="1268"/>
        <w:gridCol w:w="1276"/>
        <w:gridCol w:w="1083"/>
        <w:gridCol w:w="930"/>
        <w:gridCol w:w="725"/>
        <w:gridCol w:w="2491"/>
      </w:tblGrid>
      <w:tr w:rsidR="00C972CB" w14:paraId="10947D4D" w14:textId="77777777">
        <w:trPr>
          <w:trHeight w:val="927"/>
          <w:tblHeader/>
          <w:jc w:val="center"/>
        </w:trPr>
        <w:tc>
          <w:tcPr>
            <w:tcW w:w="13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CFED3F" w14:textId="77777777" w:rsidR="00C972CB" w:rsidRDefault="002457F6">
            <w:pPr>
              <w:pStyle w:val="P68B1DB1-Normal9"/>
              <w:jc w:val="center"/>
              <w:rPr>
                <w:noProof/>
              </w:rPr>
            </w:pPr>
            <w:r>
              <w:rPr>
                <w:noProof/>
              </w:rPr>
              <w:t>Kārtas numurs</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CD85D1" w14:textId="77777777" w:rsidR="00C972CB" w:rsidRDefault="002457F6">
            <w:pPr>
              <w:pStyle w:val="P68B1DB1-Normal9"/>
              <w:jc w:val="center"/>
              <w:rPr>
                <w:noProof/>
              </w:rPr>
            </w:pPr>
            <w:r>
              <w:rPr>
                <w:noProof/>
              </w:rPr>
              <w:t>Pasākums (reforma vai investīcija)</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938D8D" w14:textId="77777777" w:rsidR="00C972CB" w:rsidRDefault="002457F6">
            <w:pPr>
              <w:pStyle w:val="P68B1DB1-Normal9"/>
              <w:jc w:val="center"/>
              <w:rPr>
                <w:noProof/>
              </w:rPr>
            </w:pPr>
            <w:r>
              <w:rPr>
                <w:noProof/>
              </w:rPr>
              <w:t>Atskaites punkts/mērķrādītājs</w:t>
            </w:r>
          </w:p>
        </w:tc>
        <w:tc>
          <w:tcPr>
            <w:tcW w:w="1460" w:type="dxa"/>
            <w:vMerge w:val="restart"/>
            <w:tcBorders>
              <w:top w:val="single" w:sz="4" w:space="0" w:color="auto"/>
              <w:left w:val="nil"/>
              <w:bottom w:val="single" w:sz="4" w:space="0" w:color="auto"/>
              <w:right w:val="single" w:sz="4" w:space="0" w:color="auto"/>
            </w:tcBorders>
            <w:shd w:val="clear" w:color="auto" w:fill="BDD7EE"/>
            <w:vAlign w:val="center"/>
            <w:hideMark/>
          </w:tcPr>
          <w:p w14:paraId="6DAA1FFA" w14:textId="77777777" w:rsidR="00C972CB" w:rsidRDefault="002457F6">
            <w:pPr>
              <w:pStyle w:val="P68B1DB1-Normal9"/>
              <w:jc w:val="center"/>
              <w:rPr>
                <w:noProof/>
              </w:rPr>
            </w:pPr>
            <w:r>
              <w:rPr>
                <w:noProof/>
              </w:rPr>
              <w:t>Uzvārds</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99BE25"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176" w:type="dxa"/>
            <w:gridSpan w:val="3"/>
            <w:tcBorders>
              <w:top w:val="single" w:sz="4" w:space="0" w:color="auto"/>
              <w:left w:val="nil"/>
              <w:bottom w:val="single" w:sz="4" w:space="0" w:color="auto"/>
              <w:right w:val="single" w:sz="4" w:space="0" w:color="auto"/>
            </w:tcBorders>
            <w:shd w:val="clear" w:color="auto" w:fill="BDD7EE"/>
            <w:vAlign w:val="center"/>
            <w:hideMark/>
          </w:tcPr>
          <w:p w14:paraId="4F2062E3"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603" w:type="dxa"/>
            <w:gridSpan w:val="2"/>
            <w:tcBorders>
              <w:top w:val="single" w:sz="4" w:space="0" w:color="auto"/>
              <w:left w:val="nil"/>
              <w:bottom w:val="single" w:sz="4" w:space="0" w:color="auto"/>
              <w:right w:val="single" w:sz="4" w:space="0" w:color="auto"/>
            </w:tcBorders>
            <w:shd w:val="clear" w:color="auto" w:fill="BDD7EE"/>
            <w:vAlign w:val="center"/>
            <w:hideMark/>
          </w:tcPr>
          <w:p w14:paraId="287E8950" w14:textId="77777777" w:rsidR="00C972CB" w:rsidRDefault="002457F6">
            <w:pPr>
              <w:pStyle w:val="P68B1DB1-Normal9"/>
              <w:jc w:val="center"/>
              <w:rPr>
                <w:noProof/>
              </w:rPr>
            </w:pPr>
            <w:r>
              <w:rPr>
                <w:noProof/>
              </w:rPr>
              <w:t>Orientējošs pabeigšanas termiņš</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669CA7" w14:textId="77777777" w:rsidR="00C972CB" w:rsidRDefault="002457F6">
            <w:pPr>
              <w:pStyle w:val="P68B1DB1-Normal9"/>
              <w:jc w:val="center"/>
              <w:rPr>
                <w:noProof/>
              </w:rPr>
            </w:pPr>
            <w:r>
              <w:rPr>
                <w:noProof/>
              </w:rPr>
              <w:t>Apraksts par katru atskaites punktu un mērķrādītāju</w:t>
            </w:r>
          </w:p>
        </w:tc>
      </w:tr>
      <w:tr w:rsidR="00C972CB" w14:paraId="34BB7FF9" w14:textId="77777777">
        <w:trPr>
          <w:trHeight w:val="1013"/>
          <w:tblHeader/>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14:paraId="2B97A327" w14:textId="77777777" w:rsidR="00C972CB" w:rsidRDefault="00C972CB">
            <w:pPr>
              <w:jc w:val="center"/>
              <w:rPr>
                <w:rFonts w:ascii="Arial Narrow" w:hAnsi="Arial Narrow"/>
                <w:b/>
                <w:noProof/>
                <w:sz w:val="20"/>
              </w:rPr>
            </w:pPr>
          </w:p>
        </w:tc>
        <w:tc>
          <w:tcPr>
            <w:tcW w:w="1495" w:type="dxa"/>
            <w:vMerge/>
            <w:tcBorders>
              <w:left w:val="single" w:sz="4" w:space="0" w:color="auto"/>
              <w:right w:val="single" w:sz="4" w:space="0" w:color="auto"/>
            </w:tcBorders>
            <w:vAlign w:val="center"/>
            <w:hideMark/>
          </w:tcPr>
          <w:p w14:paraId="735AE123" w14:textId="77777777" w:rsidR="00C972CB" w:rsidRDefault="00C972CB">
            <w:pPr>
              <w:jc w:val="center"/>
              <w:rPr>
                <w:rFonts w:ascii="Arial Narrow" w:hAnsi="Arial Narrow"/>
                <w:b/>
                <w:noProof/>
                <w:sz w:val="20"/>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07BF0FB" w14:textId="77777777" w:rsidR="00C972CB" w:rsidRDefault="00C972CB">
            <w:pPr>
              <w:jc w:val="center"/>
              <w:rPr>
                <w:rFonts w:ascii="Arial Narrow" w:hAnsi="Arial Narrow"/>
                <w:b/>
                <w:noProof/>
                <w:sz w:val="20"/>
              </w:rPr>
            </w:pPr>
          </w:p>
        </w:tc>
        <w:tc>
          <w:tcPr>
            <w:tcW w:w="1460" w:type="dxa"/>
            <w:vMerge/>
            <w:tcBorders>
              <w:left w:val="single" w:sz="4" w:space="0" w:color="auto"/>
              <w:right w:val="single" w:sz="4" w:space="0" w:color="auto"/>
            </w:tcBorders>
            <w:vAlign w:val="center"/>
            <w:hideMark/>
          </w:tcPr>
          <w:p w14:paraId="2DD88B00" w14:textId="77777777" w:rsidR="00C972CB" w:rsidRDefault="00C972CB">
            <w:pPr>
              <w:jc w:val="center"/>
              <w:rPr>
                <w:rFonts w:ascii="Arial Narrow" w:hAnsi="Arial Narrow"/>
                <w:b/>
                <w:noProof/>
                <w:sz w:val="20"/>
              </w:rPr>
            </w:pPr>
          </w:p>
        </w:tc>
        <w:tc>
          <w:tcPr>
            <w:tcW w:w="1414" w:type="dxa"/>
            <w:vMerge/>
            <w:tcBorders>
              <w:top w:val="single" w:sz="4" w:space="0" w:color="auto"/>
              <w:left w:val="single" w:sz="4" w:space="0" w:color="auto"/>
              <w:bottom w:val="single" w:sz="4" w:space="0" w:color="auto"/>
            </w:tcBorders>
            <w:vAlign w:val="center"/>
            <w:hideMark/>
          </w:tcPr>
          <w:p w14:paraId="67595338" w14:textId="77777777" w:rsidR="00C972CB" w:rsidRDefault="00C972CB">
            <w:pPr>
              <w:jc w:val="center"/>
              <w:rPr>
                <w:rFonts w:ascii="Arial Narrow" w:hAnsi="Arial Narrow"/>
                <w:b/>
                <w:noProof/>
                <w:sz w:val="20"/>
              </w:rPr>
            </w:pPr>
          </w:p>
        </w:tc>
        <w:tc>
          <w:tcPr>
            <w:tcW w:w="1410" w:type="dxa"/>
            <w:tcBorders>
              <w:top w:val="nil"/>
              <w:left w:val="single" w:sz="4" w:space="0" w:color="auto"/>
              <w:bottom w:val="single" w:sz="4" w:space="0" w:color="auto"/>
              <w:right w:val="single" w:sz="4" w:space="0" w:color="auto"/>
            </w:tcBorders>
            <w:shd w:val="clear" w:color="auto" w:fill="BDD7EE"/>
            <w:vAlign w:val="center"/>
            <w:hideMark/>
          </w:tcPr>
          <w:p w14:paraId="68DA76FA" w14:textId="77777777" w:rsidR="00C972CB" w:rsidRDefault="002457F6">
            <w:pPr>
              <w:pStyle w:val="P68B1DB1-Normal9"/>
              <w:jc w:val="center"/>
              <w:rPr>
                <w:noProof/>
              </w:rPr>
            </w:pPr>
            <w:r>
              <w:rPr>
                <w:noProof/>
              </w:rPr>
              <w:t>Mēra vienība</w:t>
            </w:r>
          </w:p>
        </w:tc>
        <w:tc>
          <w:tcPr>
            <w:tcW w:w="1047" w:type="dxa"/>
            <w:tcBorders>
              <w:top w:val="nil"/>
              <w:left w:val="nil"/>
              <w:bottom w:val="single" w:sz="4" w:space="0" w:color="auto"/>
              <w:right w:val="single" w:sz="4" w:space="0" w:color="auto"/>
            </w:tcBorders>
            <w:shd w:val="clear" w:color="auto" w:fill="BDD7EE"/>
            <w:vAlign w:val="center"/>
            <w:hideMark/>
          </w:tcPr>
          <w:p w14:paraId="20133F12" w14:textId="77777777" w:rsidR="00C972CB" w:rsidRDefault="002457F6">
            <w:pPr>
              <w:pStyle w:val="P68B1DB1-Normal9"/>
              <w:jc w:val="center"/>
              <w:rPr>
                <w:noProof/>
              </w:rPr>
            </w:pPr>
            <w:r>
              <w:rPr>
                <w:noProof/>
              </w:rPr>
              <w:t>Pamatscenārijs</w:t>
            </w:r>
          </w:p>
        </w:tc>
        <w:tc>
          <w:tcPr>
            <w:tcW w:w="719" w:type="dxa"/>
            <w:tcBorders>
              <w:top w:val="nil"/>
              <w:left w:val="nil"/>
              <w:bottom w:val="single" w:sz="4" w:space="0" w:color="auto"/>
              <w:right w:val="single" w:sz="4" w:space="0" w:color="auto"/>
            </w:tcBorders>
            <w:shd w:val="clear" w:color="auto" w:fill="BDD7EE"/>
            <w:vAlign w:val="center"/>
            <w:hideMark/>
          </w:tcPr>
          <w:p w14:paraId="1D675EBF" w14:textId="77777777" w:rsidR="00C972CB" w:rsidRDefault="002457F6">
            <w:pPr>
              <w:pStyle w:val="P68B1DB1-Normal9"/>
              <w:jc w:val="center"/>
              <w:rPr>
                <w:noProof/>
              </w:rPr>
            </w:pPr>
            <w:r>
              <w:rPr>
                <w:noProof/>
              </w:rPr>
              <w:t>Mērķis</w:t>
            </w:r>
          </w:p>
        </w:tc>
        <w:tc>
          <w:tcPr>
            <w:tcW w:w="809" w:type="dxa"/>
            <w:tcBorders>
              <w:top w:val="nil"/>
              <w:left w:val="nil"/>
              <w:bottom w:val="single" w:sz="4" w:space="0" w:color="auto"/>
              <w:right w:val="single" w:sz="4" w:space="0" w:color="auto"/>
            </w:tcBorders>
            <w:shd w:val="clear" w:color="auto" w:fill="BDD7EE"/>
            <w:vAlign w:val="center"/>
            <w:hideMark/>
          </w:tcPr>
          <w:p w14:paraId="21AA8A9F" w14:textId="77777777" w:rsidR="00C972CB" w:rsidRDefault="002457F6">
            <w:pPr>
              <w:pStyle w:val="P68B1DB1-Normal9"/>
              <w:jc w:val="center"/>
              <w:rPr>
                <w:noProof/>
              </w:rPr>
            </w:pPr>
            <w:r>
              <w:rPr>
                <w:noProof/>
              </w:rPr>
              <w:t>Ceturtdaļa</w:t>
            </w:r>
          </w:p>
        </w:tc>
        <w:tc>
          <w:tcPr>
            <w:tcW w:w="794" w:type="dxa"/>
            <w:tcBorders>
              <w:top w:val="nil"/>
              <w:left w:val="nil"/>
              <w:bottom w:val="single" w:sz="4" w:space="0" w:color="auto"/>
              <w:right w:val="single" w:sz="4" w:space="0" w:color="auto"/>
            </w:tcBorders>
            <w:shd w:val="clear" w:color="auto" w:fill="BDD7EE"/>
            <w:vAlign w:val="center"/>
            <w:hideMark/>
          </w:tcPr>
          <w:p w14:paraId="2694C94F" w14:textId="77777777" w:rsidR="00C972CB" w:rsidRDefault="002457F6">
            <w:pPr>
              <w:pStyle w:val="P68B1DB1-Normal9"/>
              <w:jc w:val="center"/>
              <w:rPr>
                <w:noProof/>
              </w:rPr>
            </w:pPr>
            <w:r>
              <w:rPr>
                <w:noProof/>
              </w:rPr>
              <w:t>Gadā</w:t>
            </w:r>
          </w:p>
        </w:tc>
        <w:tc>
          <w:tcPr>
            <w:tcW w:w="2799" w:type="dxa"/>
            <w:vMerge/>
            <w:tcBorders>
              <w:top w:val="single" w:sz="4" w:space="0" w:color="auto"/>
              <w:bottom w:val="single" w:sz="4" w:space="0" w:color="auto"/>
              <w:right w:val="single" w:sz="4" w:space="0" w:color="auto"/>
            </w:tcBorders>
            <w:vAlign w:val="center"/>
            <w:hideMark/>
          </w:tcPr>
          <w:p w14:paraId="34FBA37B" w14:textId="77777777" w:rsidR="00C972CB" w:rsidRDefault="00C972CB">
            <w:pPr>
              <w:rPr>
                <w:rFonts w:ascii="Arial Narrow" w:hAnsi="Arial Narrow"/>
                <w:b/>
                <w:noProof/>
                <w:sz w:val="20"/>
              </w:rPr>
            </w:pPr>
          </w:p>
        </w:tc>
      </w:tr>
      <w:tr w:rsidR="00C972CB" w14:paraId="382CAC5C" w14:textId="77777777">
        <w:trPr>
          <w:trHeight w:val="170"/>
          <w:jc w:val="center"/>
        </w:trPr>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8294894" w14:textId="77777777" w:rsidR="00C972CB" w:rsidRDefault="002457F6">
            <w:pPr>
              <w:pStyle w:val="P68B1DB1-Normal11"/>
              <w:spacing w:line="276" w:lineRule="auto"/>
              <w:jc w:val="center"/>
              <w:rPr>
                <w:noProof/>
              </w:rPr>
            </w:pPr>
            <w:r>
              <w:rPr>
                <w:noProof/>
              </w:rPr>
              <w:t>M2C4–1</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2D2166F" w14:textId="77777777" w:rsidR="00C972CB" w:rsidRDefault="002457F6">
            <w:pPr>
              <w:pStyle w:val="P68B1DB1-Normal11"/>
              <w:spacing w:line="276" w:lineRule="auto"/>
              <w:jc w:val="center"/>
              <w:rPr>
                <w:noProof/>
              </w:rPr>
            </w:pPr>
            <w:r>
              <w:rPr>
                <w:noProof/>
              </w:rPr>
              <w:t>Reforma. Procedūru vienkāršošana un paātrināšana hidroģeoloģiskās nestabilitātes novēršanai</w:t>
            </w:r>
          </w:p>
        </w:tc>
        <w:tc>
          <w:tcPr>
            <w:tcW w:w="1266" w:type="dxa"/>
            <w:tcBorders>
              <w:top w:val="single" w:sz="4" w:space="0" w:color="auto"/>
              <w:left w:val="nil"/>
              <w:bottom w:val="single" w:sz="4" w:space="0" w:color="auto"/>
              <w:right w:val="single" w:sz="4" w:space="0" w:color="auto"/>
            </w:tcBorders>
            <w:shd w:val="clear" w:color="auto" w:fill="C6EFCE"/>
            <w:noWrap/>
            <w:vAlign w:val="center"/>
            <w:hideMark/>
          </w:tcPr>
          <w:p w14:paraId="50B34A6F" w14:textId="77777777" w:rsidR="00C972CB" w:rsidRDefault="002457F6">
            <w:pPr>
              <w:pStyle w:val="P68B1DB1-Normal11"/>
              <w:spacing w:line="276" w:lineRule="auto"/>
              <w:jc w:val="center"/>
              <w:rPr>
                <w:noProof/>
              </w:rPr>
            </w:pPr>
            <w:r>
              <w:rPr>
                <w:noProof/>
              </w:rPr>
              <w:t>Starpposma mērķis</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093B6151" w14:textId="77777777" w:rsidR="00C972CB" w:rsidRDefault="002457F6">
            <w:pPr>
              <w:pStyle w:val="P68B1DB1-Normal11"/>
              <w:spacing w:line="276" w:lineRule="auto"/>
              <w:jc w:val="center"/>
              <w:rPr>
                <w:noProof/>
              </w:rPr>
            </w:pPr>
            <w:r>
              <w:rPr>
                <w:noProof/>
              </w:rPr>
              <w:t>Stājas spēkā tiesiskā regulējuma vienkāršošana labākai hidroloģisko risku pārvaldībai</w:t>
            </w:r>
          </w:p>
        </w:tc>
        <w:tc>
          <w:tcPr>
            <w:tcW w:w="1414" w:type="dxa"/>
            <w:tcBorders>
              <w:top w:val="single" w:sz="4" w:space="0" w:color="auto"/>
              <w:left w:val="nil"/>
              <w:bottom w:val="single" w:sz="4" w:space="0" w:color="auto"/>
              <w:right w:val="single" w:sz="4" w:space="0" w:color="auto"/>
            </w:tcBorders>
            <w:shd w:val="clear" w:color="auto" w:fill="C6EFCE"/>
            <w:noWrap/>
            <w:vAlign w:val="center"/>
            <w:hideMark/>
          </w:tcPr>
          <w:p w14:paraId="46111480" w14:textId="77777777" w:rsidR="00C972CB" w:rsidRDefault="002457F6">
            <w:pPr>
              <w:pStyle w:val="P68B1DB1-Normal11"/>
              <w:spacing w:line="276" w:lineRule="auto"/>
              <w:jc w:val="center"/>
              <w:rPr>
                <w:noProof/>
              </w:rPr>
            </w:pPr>
            <w:r>
              <w:rPr>
                <w:noProof/>
              </w:rPr>
              <w:t>Noteikums attiecīgajā(-</w:t>
            </w:r>
            <w:r>
              <w:rPr>
                <w:noProof/>
              </w:rPr>
              <w:t>os) tiesību aktā(-os), kas norāda stāšanos spēkā</w:t>
            </w:r>
          </w:p>
        </w:tc>
        <w:tc>
          <w:tcPr>
            <w:tcW w:w="1410" w:type="dxa"/>
            <w:tcBorders>
              <w:top w:val="nil"/>
              <w:left w:val="nil"/>
              <w:bottom w:val="single" w:sz="4" w:space="0" w:color="auto"/>
              <w:right w:val="single" w:sz="4" w:space="0" w:color="auto"/>
            </w:tcBorders>
            <w:shd w:val="clear" w:color="auto" w:fill="C6EFCE"/>
            <w:noWrap/>
            <w:vAlign w:val="center"/>
            <w:hideMark/>
          </w:tcPr>
          <w:p w14:paraId="184C558F" w14:textId="77777777" w:rsidR="00C972CB" w:rsidRDefault="002457F6">
            <w:pPr>
              <w:pStyle w:val="P68B1DB1-Normal11"/>
              <w:spacing w:line="276" w:lineRule="auto"/>
              <w:jc w:val="center"/>
              <w:rPr>
                <w:noProof/>
              </w:rPr>
            </w:pPr>
            <w:r>
              <w:rPr>
                <w:noProof/>
              </w:rPr>
              <w:t>NEPIEMĒRO</w:t>
            </w:r>
          </w:p>
        </w:tc>
        <w:tc>
          <w:tcPr>
            <w:tcW w:w="1047" w:type="dxa"/>
            <w:tcBorders>
              <w:top w:val="nil"/>
              <w:left w:val="nil"/>
              <w:bottom w:val="single" w:sz="4" w:space="0" w:color="auto"/>
              <w:right w:val="single" w:sz="4" w:space="0" w:color="auto"/>
            </w:tcBorders>
            <w:shd w:val="clear" w:color="auto" w:fill="C6EFCE"/>
            <w:noWrap/>
            <w:vAlign w:val="center"/>
            <w:hideMark/>
          </w:tcPr>
          <w:p w14:paraId="437B075F" w14:textId="77777777" w:rsidR="00C972CB" w:rsidRDefault="002457F6">
            <w:pPr>
              <w:pStyle w:val="P68B1DB1-Normal11"/>
              <w:spacing w:line="276" w:lineRule="auto"/>
              <w:jc w:val="center"/>
              <w:rPr>
                <w:noProof/>
              </w:rPr>
            </w:pPr>
            <w:r>
              <w:rPr>
                <w:noProof/>
              </w:rPr>
              <w:t>NEPIEMĒRO</w:t>
            </w:r>
          </w:p>
        </w:tc>
        <w:tc>
          <w:tcPr>
            <w:tcW w:w="719" w:type="dxa"/>
            <w:tcBorders>
              <w:top w:val="nil"/>
              <w:left w:val="nil"/>
              <w:bottom w:val="single" w:sz="4" w:space="0" w:color="auto"/>
              <w:right w:val="single" w:sz="4" w:space="0" w:color="auto"/>
            </w:tcBorders>
            <w:shd w:val="clear" w:color="auto" w:fill="C6EFCE"/>
            <w:noWrap/>
            <w:vAlign w:val="center"/>
            <w:hideMark/>
          </w:tcPr>
          <w:p w14:paraId="61D698BB" w14:textId="77777777" w:rsidR="00C972CB" w:rsidRDefault="002457F6">
            <w:pPr>
              <w:pStyle w:val="P68B1DB1-Normal11"/>
              <w:spacing w:line="276" w:lineRule="auto"/>
              <w:jc w:val="center"/>
              <w:rPr>
                <w:noProof/>
              </w:rPr>
            </w:pPr>
            <w:r>
              <w:rPr>
                <w:noProof/>
              </w:rPr>
              <w:t>NEPIEMĒRO</w:t>
            </w:r>
          </w:p>
        </w:tc>
        <w:tc>
          <w:tcPr>
            <w:tcW w:w="809" w:type="dxa"/>
            <w:tcBorders>
              <w:top w:val="nil"/>
              <w:left w:val="nil"/>
              <w:bottom w:val="single" w:sz="4" w:space="0" w:color="auto"/>
              <w:right w:val="single" w:sz="4" w:space="0" w:color="auto"/>
            </w:tcBorders>
            <w:shd w:val="clear" w:color="auto" w:fill="C6EFCE"/>
            <w:noWrap/>
            <w:vAlign w:val="center"/>
            <w:hideMark/>
          </w:tcPr>
          <w:p w14:paraId="00AE3A3E" w14:textId="77777777" w:rsidR="00C972CB" w:rsidRDefault="002457F6">
            <w:pPr>
              <w:pStyle w:val="P68B1DB1-Normal11"/>
              <w:spacing w:line="276" w:lineRule="auto"/>
              <w:jc w:val="center"/>
              <w:rPr>
                <w:noProof/>
              </w:rPr>
            </w:pPr>
            <w:r>
              <w:rPr>
                <w:noProof/>
              </w:rPr>
              <w:t>2. CET.</w:t>
            </w:r>
          </w:p>
        </w:tc>
        <w:tc>
          <w:tcPr>
            <w:tcW w:w="794" w:type="dxa"/>
            <w:tcBorders>
              <w:top w:val="nil"/>
              <w:left w:val="nil"/>
              <w:bottom w:val="single" w:sz="4" w:space="0" w:color="auto"/>
              <w:right w:val="single" w:sz="4" w:space="0" w:color="auto"/>
            </w:tcBorders>
            <w:shd w:val="clear" w:color="auto" w:fill="C6EFCE"/>
            <w:noWrap/>
            <w:vAlign w:val="center"/>
            <w:hideMark/>
          </w:tcPr>
          <w:p w14:paraId="36FD1D1D" w14:textId="77777777" w:rsidR="00C972CB" w:rsidRDefault="002457F6">
            <w:pPr>
              <w:pStyle w:val="P68B1DB1-Normal11"/>
              <w:spacing w:line="276" w:lineRule="auto"/>
              <w:jc w:val="center"/>
              <w:rPr>
                <w:noProof/>
              </w:rPr>
            </w:pPr>
            <w:r>
              <w:rPr>
                <w:noProof/>
              </w:rPr>
              <w:t>2022</w:t>
            </w:r>
          </w:p>
        </w:tc>
        <w:tc>
          <w:tcPr>
            <w:tcW w:w="2799" w:type="dxa"/>
            <w:tcBorders>
              <w:top w:val="single" w:sz="4" w:space="0" w:color="auto"/>
              <w:left w:val="nil"/>
              <w:bottom w:val="single" w:sz="4" w:space="0" w:color="auto"/>
              <w:right w:val="single" w:sz="4" w:space="0" w:color="auto"/>
            </w:tcBorders>
            <w:shd w:val="clear" w:color="auto" w:fill="C6EFCE"/>
            <w:noWrap/>
            <w:vAlign w:val="center"/>
          </w:tcPr>
          <w:p w14:paraId="29788B35" w14:textId="77777777" w:rsidR="00C972CB" w:rsidRDefault="002457F6">
            <w:pPr>
              <w:pStyle w:val="P68B1DB1-Normal11"/>
              <w:spacing w:line="276" w:lineRule="auto"/>
              <w:rPr>
                <w:noProof/>
              </w:rPr>
            </w:pPr>
            <w:r>
              <w:rPr>
                <w:noProof/>
              </w:rPr>
              <w:t>Jaunais tiesiskais regulējums (vismaz):</w:t>
            </w:r>
          </w:p>
          <w:p w14:paraId="10812B4D" w14:textId="77777777" w:rsidR="00C972CB" w:rsidRDefault="00C972CB">
            <w:pPr>
              <w:spacing w:line="276" w:lineRule="auto"/>
              <w:rPr>
                <w:rFonts w:ascii="Arial Narrow" w:hAnsi="Arial Narrow"/>
                <w:noProof/>
                <w:color w:val="006100"/>
                <w:sz w:val="20"/>
              </w:rPr>
            </w:pPr>
          </w:p>
          <w:p w14:paraId="4666E18B" w14:textId="77777777" w:rsidR="00C972CB" w:rsidRDefault="002457F6">
            <w:pPr>
              <w:pStyle w:val="P68B1DB1-ListParagraph13"/>
              <w:spacing w:after="0" w:line="276" w:lineRule="auto"/>
              <w:ind w:left="0"/>
              <w:jc w:val="left"/>
              <w:rPr>
                <w:noProof/>
              </w:rPr>
            </w:pPr>
            <w:r>
              <w:rPr>
                <w:noProof/>
              </w:rPr>
              <w:t xml:space="preserve">Par prioritāti noteikt preventīvos intervences pasākumus saskaņā ar valsts riska novērtējumu un Lēmuma 1313/2013/ES 6. </w:t>
            </w:r>
            <w:r>
              <w:rPr>
                <w:noProof/>
              </w:rPr>
              <w:t>pantu un riska pārvaldības spēju novērtējumu un principu “nenodari būtisku kaitējumu”;</w:t>
            </w:r>
          </w:p>
          <w:p w14:paraId="73E770A7" w14:textId="77777777" w:rsidR="00C972CB" w:rsidRDefault="00C972CB">
            <w:pPr>
              <w:spacing w:line="276" w:lineRule="auto"/>
              <w:rPr>
                <w:rFonts w:ascii="Arial Narrow" w:hAnsi="Arial Narrow"/>
                <w:noProof/>
                <w:color w:val="006100"/>
                <w:sz w:val="20"/>
              </w:rPr>
            </w:pPr>
          </w:p>
          <w:p w14:paraId="10D9AABC" w14:textId="77777777" w:rsidR="00C972CB" w:rsidRDefault="002457F6">
            <w:pPr>
              <w:pStyle w:val="P68B1DB1-ListParagraph13"/>
              <w:numPr>
                <w:ilvl w:val="0"/>
                <w:numId w:val="69"/>
              </w:numPr>
              <w:spacing w:after="0" w:line="276" w:lineRule="auto"/>
              <w:ind w:left="0"/>
              <w:jc w:val="left"/>
              <w:rPr>
                <w:noProof/>
              </w:rPr>
            </w:pPr>
            <w:r>
              <w:rPr>
                <w:noProof/>
              </w:rPr>
              <w:t>Paātrināt projektu izstrādes procedūras un noteikt vispārīgus principus, lai vienkāršotu projektu īstenošanu un finansēšanas procedūras un hidroloģiskā riska projektus;</w:t>
            </w:r>
          </w:p>
          <w:p w14:paraId="0977AFB7" w14:textId="77777777" w:rsidR="00C972CB" w:rsidRDefault="00C972CB">
            <w:pPr>
              <w:spacing w:line="276" w:lineRule="auto"/>
              <w:rPr>
                <w:rFonts w:ascii="Arial Narrow" w:hAnsi="Arial Narrow"/>
                <w:noProof/>
                <w:color w:val="006100"/>
                <w:sz w:val="20"/>
              </w:rPr>
            </w:pPr>
          </w:p>
          <w:p w14:paraId="4F9CA28C" w14:textId="1E91BC12" w:rsidR="00C972CB" w:rsidRDefault="002457F6">
            <w:pPr>
              <w:pStyle w:val="P68B1DB1-ListParagraph13"/>
              <w:numPr>
                <w:ilvl w:val="0"/>
                <w:numId w:val="69"/>
              </w:numPr>
              <w:spacing w:after="0" w:line="276" w:lineRule="auto"/>
              <w:ind w:left="0"/>
              <w:jc w:val="left"/>
              <w:rPr>
                <w:noProof/>
              </w:rPr>
            </w:pPr>
            <w:r>
              <w:rPr>
                <w:noProof/>
              </w:rPr>
              <w:t>Saskaņot un racionalizēt informācijas plūsmas, lai samazinātu dublēšanos ziņošanā starp dažādām valsts informācijas sistēmām, un izstrādāt rādītāju sistēmu labākai hidroloģisko risku identificēšanai saskaņā ar Itālijas Revīzijas palātas ieteikumiem.</w:t>
            </w:r>
          </w:p>
          <w:p w14:paraId="79B285FA" w14:textId="77777777" w:rsidR="00C972CB" w:rsidRDefault="002457F6">
            <w:pPr>
              <w:pStyle w:val="P68B1DB1-ListParagraph13"/>
              <w:numPr>
                <w:ilvl w:val="0"/>
                <w:numId w:val="69"/>
              </w:numPr>
              <w:spacing w:after="0" w:line="276" w:lineRule="auto"/>
              <w:ind w:left="0"/>
              <w:jc w:val="left"/>
              <w:rPr>
                <w:noProof/>
              </w:rPr>
            </w:pPr>
            <w:r>
              <w:rPr>
                <w:noProof/>
              </w:rPr>
              <w:t>Past</w:t>
            </w:r>
            <w:r>
              <w:rPr>
                <w:noProof/>
              </w:rPr>
              <w:t>iprināt intervences pasākumu koordināciju starp dažādiem valdības līmeņiem saskaņā ar Itālijas Revīzijas palātas ieteikumiem;</w:t>
            </w:r>
          </w:p>
          <w:p w14:paraId="50CABDFB" w14:textId="77777777" w:rsidR="00C972CB" w:rsidRDefault="00C972CB">
            <w:pPr>
              <w:spacing w:line="276" w:lineRule="auto"/>
              <w:rPr>
                <w:rFonts w:ascii="Arial Narrow" w:hAnsi="Arial Narrow"/>
                <w:noProof/>
                <w:color w:val="006100"/>
                <w:sz w:val="20"/>
              </w:rPr>
            </w:pPr>
          </w:p>
          <w:p w14:paraId="0CE73142" w14:textId="77777777" w:rsidR="00C972CB" w:rsidRDefault="002457F6">
            <w:pPr>
              <w:pStyle w:val="P68B1DB1-ListParagraph13"/>
              <w:numPr>
                <w:ilvl w:val="0"/>
                <w:numId w:val="69"/>
              </w:numPr>
              <w:spacing w:after="0" w:line="276" w:lineRule="auto"/>
              <w:ind w:left="0"/>
              <w:jc w:val="left"/>
              <w:rPr>
                <w:noProof/>
              </w:rPr>
            </w:pPr>
            <w:r>
              <w:rPr>
                <w:noProof/>
              </w:rPr>
              <w:t>Izveidot kopīgas datubāzes par incidentiem (“dissesto”) saskaņā ar Itālijas Revīzijas palātas ieteikumiem;</w:t>
            </w:r>
          </w:p>
          <w:p w14:paraId="1C597A1C" w14:textId="77777777" w:rsidR="00C972CB" w:rsidRDefault="00C972CB">
            <w:pPr>
              <w:spacing w:line="276" w:lineRule="auto"/>
              <w:rPr>
                <w:rFonts w:ascii="Arial Narrow" w:hAnsi="Arial Narrow"/>
                <w:noProof/>
                <w:color w:val="006100"/>
                <w:sz w:val="20"/>
              </w:rPr>
            </w:pPr>
          </w:p>
          <w:p w14:paraId="2FAE4270" w14:textId="77777777" w:rsidR="00C972CB" w:rsidRDefault="002457F6">
            <w:pPr>
              <w:pStyle w:val="P68B1DB1-ListParagraph13"/>
              <w:numPr>
                <w:ilvl w:val="0"/>
                <w:numId w:val="69"/>
              </w:numPr>
              <w:spacing w:after="0" w:line="276" w:lineRule="auto"/>
              <w:ind w:left="0"/>
              <w:jc w:val="left"/>
              <w:rPr>
                <w:noProof/>
              </w:rPr>
            </w:pPr>
            <w:r>
              <w:rPr>
                <w:noProof/>
              </w:rPr>
              <w:t>Noteikt maksimālos te</w:t>
            </w:r>
            <w:r>
              <w:rPr>
                <w:noProof/>
              </w:rPr>
              <w:t>rmiņus katram posmam.</w:t>
            </w:r>
          </w:p>
          <w:p w14:paraId="4B379A5A" w14:textId="77777777" w:rsidR="00C972CB" w:rsidRDefault="00C972CB">
            <w:pPr>
              <w:spacing w:line="276" w:lineRule="auto"/>
              <w:rPr>
                <w:rFonts w:ascii="Arial Narrow" w:hAnsi="Arial Narrow"/>
                <w:noProof/>
                <w:color w:val="006100"/>
                <w:sz w:val="20"/>
              </w:rPr>
            </w:pPr>
          </w:p>
          <w:p w14:paraId="2F295C77" w14:textId="77777777" w:rsidR="00C972CB" w:rsidRDefault="002457F6">
            <w:pPr>
              <w:pStyle w:val="P68B1DB1-ListParagraph13"/>
              <w:numPr>
                <w:ilvl w:val="0"/>
                <w:numId w:val="69"/>
              </w:numPr>
              <w:spacing w:after="0" w:line="276" w:lineRule="auto"/>
              <w:ind w:left="0"/>
              <w:jc w:val="left"/>
              <w:rPr>
                <w:noProof/>
              </w:rPr>
            </w:pPr>
            <w:r>
              <w:rPr>
                <w:noProof/>
              </w:rPr>
              <w:t>Izstrādāt plānu attiecīgo struktūru spēju stiprināšanai.</w:t>
            </w:r>
          </w:p>
          <w:p w14:paraId="60CD1F0A" w14:textId="77777777" w:rsidR="00C972CB" w:rsidRDefault="00C972CB">
            <w:pPr>
              <w:spacing w:line="276" w:lineRule="auto"/>
              <w:rPr>
                <w:rFonts w:ascii="Arial Narrow" w:hAnsi="Arial Narrow"/>
                <w:noProof/>
                <w:color w:val="006100"/>
                <w:sz w:val="20"/>
              </w:rPr>
            </w:pPr>
          </w:p>
        </w:tc>
      </w:tr>
      <w:tr w:rsidR="00C972CB" w14:paraId="722284F8"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24DD0437" w14:textId="77777777" w:rsidR="00C972CB" w:rsidRDefault="002457F6">
            <w:pPr>
              <w:pStyle w:val="P68B1DB1-Normal11"/>
              <w:spacing w:line="276" w:lineRule="auto"/>
              <w:jc w:val="center"/>
              <w:rPr>
                <w:noProof/>
              </w:rPr>
            </w:pPr>
            <w:r>
              <w:rPr>
                <w:noProof/>
              </w:rPr>
              <w:t>M2C4–2</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DF76DB3" w14:textId="77777777" w:rsidR="00C972CB" w:rsidRDefault="002457F6">
            <w:pPr>
              <w:pStyle w:val="P68B1DB1-Normal11"/>
              <w:spacing w:line="276" w:lineRule="auto"/>
              <w:jc w:val="center"/>
              <w:rPr>
                <w:noProof/>
              </w:rPr>
            </w:pPr>
            <w:r>
              <w:rPr>
                <w:noProof/>
              </w:rPr>
              <w:t>Reforma “Pasākumi integrētu ūdensapgādes pakalpojumu pilnīgas vadības nodrošināšanai”</w:t>
            </w:r>
          </w:p>
        </w:tc>
        <w:tc>
          <w:tcPr>
            <w:tcW w:w="1266" w:type="dxa"/>
            <w:tcBorders>
              <w:top w:val="nil"/>
              <w:left w:val="nil"/>
              <w:bottom w:val="single" w:sz="4" w:space="0" w:color="auto"/>
              <w:right w:val="single" w:sz="4" w:space="0" w:color="auto"/>
            </w:tcBorders>
            <w:shd w:val="clear" w:color="auto" w:fill="C6EFCE"/>
            <w:noWrap/>
            <w:vAlign w:val="center"/>
            <w:hideMark/>
          </w:tcPr>
          <w:p w14:paraId="28383CF4" w14:textId="77777777" w:rsidR="00C972CB" w:rsidRDefault="002457F6">
            <w:pPr>
              <w:pStyle w:val="P68B1DB1-Normal11"/>
              <w:spacing w:line="276" w:lineRule="auto"/>
              <w:jc w:val="center"/>
              <w:rPr>
                <w:noProof/>
              </w:rPr>
            </w:pPr>
            <w:r>
              <w:rPr>
                <w:noProof/>
              </w:rPr>
              <w:t>Starpposma mērķis</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297F1531" w14:textId="59933DEE" w:rsidR="00C972CB" w:rsidRDefault="002457F6">
            <w:pPr>
              <w:pStyle w:val="P68B1DB1-Normal11"/>
              <w:spacing w:line="276" w:lineRule="auto"/>
              <w:jc w:val="center"/>
              <w:rPr>
                <w:noProof/>
              </w:rPr>
            </w:pPr>
            <w:r>
              <w:rPr>
                <w:noProof/>
              </w:rPr>
              <w:t>Reformas stāšanās spēkā, lai nodrošinātu integrētu ūdensapgādes</w:t>
            </w:r>
            <w:r>
              <w:rPr>
                <w:noProof/>
              </w:rPr>
              <w:t xml:space="preserve"> pakalpojumu pilnīgas pārvaldības spējas</w:t>
            </w:r>
          </w:p>
        </w:tc>
        <w:tc>
          <w:tcPr>
            <w:tcW w:w="1414" w:type="dxa"/>
            <w:tcBorders>
              <w:top w:val="nil"/>
              <w:left w:val="nil"/>
              <w:bottom w:val="single" w:sz="4" w:space="0" w:color="auto"/>
              <w:right w:val="single" w:sz="4" w:space="0" w:color="auto"/>
            </w:tcBorders>
            <w:shd w:val="clear" w:color="auto" w:fill="C6EFCE"/>
            <w:noWrap/>
            <w:vAlign w:val="center"/>
            <w:hideMark/>
          </w:tcPr>
          <w:p w14:paraId="0B5CC0CF" w14:textId="77777777" w:rsidR="00C972CB" w:rsidRDefault="002457F6">
            <w:pPr>
              <w:pStyle w:val="P68B1DB1-Normal11"/>
              <w:spacing w:line="276" w:lineRule="auto"/>
              <w:jc w:val="center"/>
              <w:rPr>
                <w:noProof/>
              </w:rPr>
            </w:pPr>
            <w:r>
              <w:rPr>
                <w:noProof/>
              </w:rPr>
              <w:t>Noteikums attiecīgajā(-os) tiesību aktā(-os), kas norāda stāšanos spēkā</w:t>
            </w:r>
          </w:p>
        </w:tc>
        <w:tc>
          <w:tcPr>
            <w:tcW w:w="1410" w:type="dxa"/>
            <w:tcBorders>
              <w:top w:val="nil"/>
              <w:left w:val="nil"/>
              <w:bottom w:val="single" w:sz="4" w:space="0" w:color="auto"/>
              <w:right w:val="single" w:sz="4" w:space="0" w:color="auto"/>
            </w:tcBorders>
            <w:shd w:val="clear" w:color="auto" w:fill="C6EFCE"/>
            <w:noWrap/>
            <w:vAlign w:val="center"/>
            <w:hideMark/>
          </w:tcPr>
          <w:p w14:paraId="005D8E09" w14:textId="77777777" w:rsidR="00C972CB" w:rsidRDefault="002457F6">
            <w:pPr>
              <w:pStyle w:val="P68B1DB1-Normal11"/>
              <w:spacing w:line="276" w:lineRule="auto"/>
              <w:jc w:val="center"/>
              <w:rPr>
                <w:noProof/>
              </w:rPr>
            </w:pPr>
            <w:r>
              <w:rPr>
                <w:noProof/>
              </w:rPr>
              <w:t>NEPIEMĒRO</w:t>
            </w:r>
          </w:p>
        </w:tc>
        <w:tc>
          <w:tcPr>
            <w:tcW w:w="1047" w:type="dxa"/>
            <w:tcBorders>
              <w:top w:val="nil"/>
              <w:left w:val="nil"/>
              <w:bottom w:val="single" w:sz="4" w:space="0" w:color="auto"/>
              <w:right w:val="single" w:sz="4" w:space="0" w:color="auto"/>
            </w:tcBorders>
            <w:shd w:val="clear" w:color="auto" w:fill="C6EFCE"/>
            <w:noWrap/>
            <w:vAlign w:val="center"/>
            <w:hideMark/>
          </w:tcPr>
          <w:p w14:paraId="201E91AA" w14:textId="77777777" w:rsidR="00C972CB" w:rsidRDefault="002457F6">
            <w:pPr>
              <w:pStyle w:val="P68B1DB1-Normal11"/>
              <w:spacing w:line="276" w:lineRule="auto"/>
              <w:jc w:val="center"/>
              <w:rPr>
                <w:noProof/>
              </w:rPr>
            </w:pPr>
            <w:r>
              <w:rPr>
                <w:noProof/>
              </w:rPr>
              <w:t>NEPIEMĒRO</w:t>
            </w:r>
          </w:p>
        </w:tc>
        <w:tc>
          <w:tcPr>
            <w:tcW w:w="719" w:type="dxa"/>
            <w:tcBorders>
              <w:top w:val="nil"/>
              <w:left w:val="nil"/>
              <w:bottom w:val="single" w:sz="4" w:space="0" w:color="auto"/>
              <w:right w:val="single" w:sz="4" w:space="0" w:color="auto"/>
            </w:tcBorders>
            <w:shd w:val="clear" w:color="auto" w:fill="C6EFCE"/>
            <w:noWrap/>
            <w:vAlign w:val="center"/>
            <w:hideMark/>
          </w:tcPr>
          <w:p w14:paraId="4FC6E88C" w14:textId="77777777" w:rsidR="00C972CB" w:rsidRDefault="002457F6">
            <w:pPr>
              <w:pStyle w:val="P68B1DB1-Normal11"/>
              <w:spacing w:line="276" w:lineRule="auto"/>
              <w:jc w:val="center"/>
              <w:rPr>
                <w:noProof/>
              </w:rPr>
            </w:pPr>
            <w:r>
              <w:rPr>
                <w:noProof/>
              </w:rPr>
              <w:t>NEPIEMĒRO</w:t>
            </w:r>
          </w:p>
        </w:tc>
        <w:tc>
          <w:tcPr>
            <w:tcW w:w="809" w:type="dxa"/>
            <w:tcBorders>
              <w:top w:val="nil"/>
              <w:left w:val="nil"/>
              <w:bottom w:val="single" w:sz="4" w:space="0" w:color="auto"/>
              <w:right w:val="single" w:sz="4" w:space="0" w:color="auto"/>
            </w:tcBorders>
            <w:shd w:val="clear" w:color="auto" w:fill="C6EFCE"/>
            <w:noWrap/>
            <w:vAlign w:val="center"/>
            <w:hideMark/>
          </w:tcPr>
          <w:p w14:paraId="1CD41728" w14:textId="77777777" w:rsidR="00C972CB" w:rsidRDefault="002457F6">
            <w:pPr>
              <w:pStyle w:val="P68B1DB1-Normal11"/>
              <w:spacing w:line="276" w:lineRule="auto"/>
              <w:jc w:val="center"/>
              <w:rPr>
                <w:noProof/>
              </w:rPr>
            </w:pPr>
            <w:r>
              <w:rPr>
                <w:noProof/>
              </w:rPr>
              <w:t>3. CET.</w:t>
            </w:r>
          </w:p>
        </w:tc>
        <w:tc>
          <w:tcPr>
            <w:tcW w:w="794" w:type="dxa"/>
            <w:tcBorders>
              <w:top w:val="nil"/>
              <w:left w:val="nil"/>
              <w:bottom w:val="single" w:sz="4" w:space="0" w:color="auto"/>
              <w:right w:val="single" w:sz="4" w:space="0" w:color="auto"/>
            </w:tcBorders>
            <w:shd w:val="clear" w:color="auto" w:fill="C6EFCE"/>
            <w:noWrap/>
            <w:vAlign w:val="center"/>
            <w:hideMark/>
          </w:tcPr>
          <w:p w14:paraId="0F891A46" w14:textId="77777777" w:rsidR="00C972CB" w:rsidRDefault="002457F6">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19C1A083" w14:textId="77777777" w:rsidR="00C972CB" w:rsidRDefault="002457F6">
            <w:pPr>
              <w:pStyle w:val="P68B1DB1-Normal11"/>
              <w:spacing w:line="276" w:lineRule="auto"/>
              <w:rPr>
                <w:noProof/>
              </w:rPr>
            </w:pPr>
            <w:r>
              <w:rPr>
                <w:noProof/>
              </w:rPr>
              <w:t xml:space="preserve">Vispārīgais likums/noteikumi par ūdensapgādes pakalpojumiem to ilgtspējīgai izmantošanai un stimulē </w:t>
            </w:r>
            <w:r>
              <w:rPr>
                <w:noProof/>
              </w:rPr>
              <w:t>investīcijas ūdens infrastruktūrā, kas vismaz:</w:t>
            </w:r>
          </w:p>
          <w:p w14:paraId="34377418" w14:textId="77777777" w:rsidR="00C972CB" w:rsidRDefault="00C972CB">
            <w:pPr>
              <w:spacing w:line="276" w:lineRule="auto"/>
              <w:rPr>
                <w:rFonts w:ascii="Arial Narrow" w:hAnsi="Arial Narrow"/>
                <w:noProof/>
                <w:color w:val="006100"/>
                <w:sz w:val="20"/>
              </w:rPr>
            </w:pPr>
          </w:p>
          <w:p w14:paraId="4E6D8087" w14:textId="77777777" w:rsidR="00C972CB" w:rsidRDefault="002457F6">
            <w:pPr>
              <w:pStyle w:val="P68B1DB1-ListParagraph13"/>
              <w:numPr>
                <w:ilvl w:val="0"/>
                <w:numId w:val="69"/>
              </w:numPr>
              <w:spacing w:after="0" w:line="276" w:lineRule="auto"/>
              <w:ind w:left="0"/>
              <w:jc w:val="left"/>
              <w:rPr>
                <w:noProof/>
              </w:rPr>
            </w:pPr>
            <w:r>
              <w:rPr>
                <w:noProof/>
              </w:rPr>
              <w:t>Samazināt vienību sadrumstalotību, izmantojot noteikumus un apvienošanas mehānismus, lai stimulētu pašlaik autonomus pārvaldības operatorus integrēt unikālā operatora darbībā attiecībā uz visu Ambito Territor</w:t>
            </w:r>
            <w:r>
              <w:rPr>
                <w:noProof/>
              </w:rPr>
              <w:t>iale Ottimale;</w:t>
            </w:r>
          </w:p>
          <w:p w14:paraId="59E8A3A4" w14:textId="77777777" w:rsidR="00C972CB" w:rsidRDefault="00C972CB">
            <w:pPr>
              <w:pStyle w:val="ListParagraph"/>
              <w:spacing w:after="0" w:line="276" w:lineRule="auto"/>
              <w:ind w:left="0"/>
              <w:jc w:val="left"/>
              <w:rPr>
                <w:rFonts w:ascii="Arial Narrow" w:hAnsi="Arial Narrow"/>
                <w:noProof/>
                <w:color w:val="006100"/>
                <w:sz w:val="20"/>
              </w:rPr>
            </w:pPr>
          </w:p>
          <w:p w14:paraId="4CDABA4C" w14:textId="77777777" w:rsidR="00C972CB" w:rsidRDefault="002457F6">
            <w:pPr>
              <w:pStyle w:val="P68B1DB1-ListParagraph13"/>
              <w:numPr>
                <w:ilvl w:val="0"/>
                <w:numId w:val="69"/>
              </w:numPr>
              <w:spacing w:after="0" w:line="276" w:lineRule="auto"/>
              <w:ind w:left="0"/>
              <w:jc w:val="left"/>
              <w:rPr>
                <w:noProof/>
              </w:rPr>
            </w:pPr>
            <w:r>
              <w:rPr>
                <w:noProof/>
              </w:rPr>
              <w:t>Nodrošināt stimulus ilgtspējīgai ūdens izmantošanai lauksaimniecībā, jo īpaši, lai atbalstītu kopējās ūdens izmantošanas monitoringa sistēmas (SIGRIAN) izmantošanu kolektīviem un pašapgādes apūdeņošanas lietojumiem;</w:t>
            </w:r>
          </w:p>
          <w:p w14:paraId="7E29C8C7" w14:textId="77777777" w:rsidR="00C972CB" w:rsidRDefault="00C972CB">
            <w:pPr>
              <w:spacing w:line="276" w:lineRule="auto"/>
              <w:rPr>
                <w:rFonts w:ascii="Arial Narrow" w:hAnsi="Arial Narrow"/>
                <w:noProof/>
                <w:color w:val="006100"/>
                <w:sz w:val="20"/>
              </w:rPr>
            </w:pPr>
          </w:p>
          <w:p w14:paraId="24086BF6" w14:textId="77777777" w:rsidR="00C972CB" w:rsidRDefault="002457F6">
            <w:pPr>
              <w:pStyle w:val="P68B1DB1-ListParagraph13"/>
              <w:numPr>
                <w:ilvl w:val="0"/>
                <w:numId w:val="69"/>
              </w:numPr>
              <w:spacing w:after="0" w:line="276" w:lineRule="auto"/>
              <w:ind w:left="0"/>
              <w:jc w:val="left"/>
              <w:rPr>
                <w:noProof/>
              </w:rPr>
            </w:pPr>
            <w:r>
              <w:rPr>
                <w:noProof/>
              </w:rPr>
              <w:t xml:space="preserve">Izveidot regulētu cenu </w:t>
            </w:r>
            <w:r>
              <w:rPr>
                <w:noProof/>
              </w:rPr>
              <w:t>sistēmu, kurā pienācīgi ņem vērā vides resursu izmantošanu un piesārņojumu saskaņā ar principu “piesārņotājs maksā”.</w:t>
            </w:r>
          </w:p>
        </w:tc>
      </w:tr>
      <w:tr w:rsidR="00C972CB" w14:paraId="5AC2D420"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31541EAC" w14:textId="77777777" w:rsidR="00C972CB" w:rsidRDefault="002457F6">
            <w:pPr>
              <w:pStyle w:val="P68B1DB1-Normal11"/>
              <w:spacing w:line="276" w:lineRule="auto"/>
              <w:jc w:val="center"/>
              <w:rPr>
                <w:noProof/>
              </w:rPr>
            </w:pPr>
            <w:r>
              <w:rPr>
                <w:noProof/>
              </w:rPr>
              <w:t>M2C4–3</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3297AA3" w14:textId="77777777" w:rsidR="00C972CB" w:rsidRDefault="002457F6">
            <w:pPr>
              <w:pStyle w:val="P68B1DB1-Normal11"/>
              <w:spacing w:line="276" w:lineRule="auto"/>
              <w:jc w:val="center"/>
              <w:rPr>
                <w:noProof/>
              </w:rPr>
            </w:pPr>
            <w:r>
              <w:rPr>
                <w:noProof/>
              </w:rPr>
              <w:t>Reforma “Pasākumi integrētu ūdensapgādes pakalpojumu pilnīgas vadības nodrošināšanai”</w:t>
            </w:r>
          </w:p>
        </w:tc>
        <w:tc>
          <w:tcPr>
            <w:tcW w:w="1266" w:type="dxa"/>
            <w:tcBorders>
              <w:top w:val="nil"/>
              <w:left w:val="nil"/>
              <w:bottom w:val="single" w:sz="4" w:space="0" w:color="auto"/>
              <w:right w:val="single" w:sz="4" w:space="0" w:color="auto"/>
            </w:tcBorders>
            <w:shd w:val="clear" w:color="auto" w:fill="C6EFCE"/>
            <w:noWrap/>
            <w:vAlign w:val="center"/>
            <w:hideMark/>
          </w:tcPr>
          <w:p w14:paraId="695283FF" w14:textId="77777777" w:rsidR="00C972CB" w:rsidRDefault="002457F6">
            <w:pPr>
              <w:pStyle w:val="P68B1DB1-Normal11"/>
              <w:spacing w:line="276" w:lineRule="auto"/>
              <w:jc w:val="center"/>
              <w:rPr>
                <w:noProof/>
              </w:rPr>
            </w:pPr>
            <w:r>
              <w:rPr>
                <w:noProof/>
              </w:rPr>
              <w:t>Starpposma mērķis</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1D9EC41A" w14:textId="77777777" w:rsidR="00C972CB" w:rsidRDefault="002457F6">
            <w:pPr>
              <w:pStyle w:val="P68B1DB1-Normal11"/>
              <w:spacing w:line="276" w:lineRule="auto"/>
              <w:jc w:val="center"/>
              <w:rPr>
                <w:noProof/>
              </w:rPr>
            </w:pPr>
            <w:r>
              <w:rPr>
                <w:noProof/>
              </w:rPr>
              <w:t xml:space="preserve">Tiesiskā regulējuma reforma labākai </w:t>
            </w:r>
            <w:r>
              <w:rPr>
                <w:noProof/>
              </w:rPr>
              <w:t>ūdens apsaimniekošanai un ilgtspējīgai izmantošanai</w:t>
            </w:r>
          </w:p>
        </w:tc>
        <w:tc>
          <w:tcPr>
            <w:tcW w:w="1414" w:type="dxa"/>
            <w:tcBorders>
              <w:top w:val="nil"/>
              <w:left w:val="nil"/>
              <w:bottom w:val="single" w:sz="4" w:space="0" w:color="auto"/>
              <w:right w:val="single" w:sz="4" w:space="0" w:color="auto"/>
            </w:tcBorders>
            <w:shd w:val="clear" w:color="auto" w:fill="C6EFCE"/>
            <w:noWrap/>
            <w:vAlign w:val="center"/>
            <w:hideMark/>
          </w:tcPr>
          <w:p w14:paraId="6ED5EA97" w14:textId="77777777" w:rsidR="00C972CB" w:rsidRDefault="002457F6">
            <w:pPr>
              <w:pStyle w:val="P68B1DB1-Normal11"/>
              <w:spacing w:line="276" w:lineRule="auto"/>
              <w:jc w:val="center"/>
              <w:rPr>
                <w:noProof/>
              </w:rPr>
            </w:pPr>
            <w:r>
              <w:rPr>
                <w:noProof/>
              </w:rPr>
              <w:t>Saprašanās memorandu stāšanās spēkā</w:t>
            </w:r>
          </w:p>
        </w:tc>
        <w:tc>
          <w:tcPr>
            <w:tcW w:w="1410" w:type="dxa"/>
            <w:tcBorders>
              <w:top w:val="nil"/>
              <w:left w:val="nil"/>
              <w:bottom w:val="single" w:sz="4" w:space="0" w:color="auto"/>
              <w:right w:val="single" w:sz="4" w:space="0" w:color="auto"/>
            </w:tcBorders>
            <w:shd w:val="clear" w:color="auto" w:fill="C6EFCE"/>
            <w:noWrap/>
            <w:vAlign w:val="center"/>
            <w:hideMark/>
          </w:tcPr>
          <w:p w14:paraId="1F959832" w14:textId="77777777" w:rsidR="00C972CB" w:rsidRDefault="002457F6">
            <w:pPr>
              <w:pStyle w:val="P68B1DB1-Normal11"/>
              <w:spacing w:line="276" w:lineRule="auto"/>
              <w:jc w:val="center"/>
              <w:rPr>
                <w:noProof/>
              </w:rPr>
            </w:pPr>
            <w:r>
              <w:rPr>
                <w:noProof/>
              </w:rPr>
              <w:t>NEPIEMĒRO</w:t>
            </w:r>
          </w:p>
        </w:tc>
        <w:tc>
          <w:tcPr>
            <w:tcW w:w="1047" w:type="dxa"/>
            <w:tcBorders>
              <w:top w:val="nil"/>
              <w:left w:val="nil"/>
              <w:bottom w:val="single" w:sz="4" w:space="0" w:color="auto"/>
              <w:right w:val="single" w:sz="4" w:space="0" w:color="auto"/>
            </w:tcBorders>
            <w:shd w:val="clear" w:color="auto" w:fill="C6EFCE"/>
            <w:noWrap/>
            <w:vAlign w:val="center"/>
            <w:hideMark/>
          </w:tcPr>
          <w:p w14:paraId="48FC7B06" w14:textId="77777777" w:rsidR="00C972CB" w:rsidRDefault="002457F6">
            <w:pPr>
              <w:pStyle w:val="P68B1DB1-Normal11"/>
              <w:spacing w:line="276" w:lineRule="auto"/>
              <w:jc w:val="center"/>
              <w:rPr>
                <w:noProof/>
              </w:rPr>
            </w:pPr>
            <w:r>
              <w:rPr>
                <w:noProof/>
              </w:rPr>
              <w:t>NEPIEMĒRO</w:t>
            </w:r>
          </w:p>
        </w:tc>
        <w:tc>
          <w:tcPr>
            <w:tcW w:w="719" w:type="dxa"/>
            <w:tcBorders>
              <w:top w:val="nil"/>
              <w:left w:val="nil"/>
              <w:bottom w:val="single" w:sz="4" w:space="0" w:color="auto"/>
              <w:right w:val="single" w:sz="4" w:space="0" w:color="auto"/>
            </w:tcBorders>
            <w:shd w:val="clear" w:color="auto" w:fill="C6EFCE"/>
            <w:noWrap/>
            <w:vAlign w:val="center"/>
            <w:hideMark/>
          </w:tcPr>
          <w:p w14:paraId="19086C40" w14:textId="77777777" w:rsidR="00C972CB" w:rsidRDefault="002457F6">
            <w:pPr>
              <w:pStyle w:val="P68B1DB1-Normal11"/>
              <w:spacing w:line="276" w:lineRule="auto"/>
              <w:jc w:val="center"/>
              <w:rPr>
                <w:noProof/>
              </w:rPr>
            </w:pPr>
            <w:r>
              <w:rPr>
                <w:noProof/>
              </w:rPr>
              <w:t>NEPIEMĒRO</w:t>
            </w:r>
          </w:p>
        </w:tc>
        <w:tc>
          <w:tcPr>
            <w:tcW w:w="809" w:type="dxa"/>
            <w:tcBorders>
              <w:top w:val="nil"/>
              <w:left w:val="nil"/>
              <w:bottom w:val="single" w:sz="4" w:space="0" w:color="auto"/>
              <w:right w:val="single" w:sz="4" w:space="0" w:color="auto"/>
            </w:tcBorders>
            <w:shd w:val="clear" w:color="auto" w:fill="C6EFCE"/>
            <w:noWrap/>
            <w:vAlign w:val="center"/>
            <w:hideMark/>
          </w:tcPr>
          <w:p w14:paraId="732D8945" w14:textId="77777777" w:rsidR="00C972CB" w:rsidRDefault="002457F6">
            <w:pPr>
              <w:pStyle w:val="P68B1DB1-Normal11"/>
              <w:spacing w:line="276" w:lineRule="auto"/>
              <w:jc w:val="center"/>
              <w:rPr>
                <w:noProof/>
              </w:rPr>
            </w:pPr>
            <w:r>
              <w:rPr>
                <w:noProof/>
              </w:rPr>
              <w:t>4. CET.</w:t>
            </w:r>
          </w:p>
        </w:tc>
        <w:tc>
          <w:tcPr>
            <w:tcW w:w="794" w:type="dxa"/>
            <w:tcBorders>
              <w:top w:val="nil"/>
              <w:left w:val="nil"/>
              <w:bottom w:val="single" w:sz="4" w:space="0" w:color="auto"/>
              <w:right w:val="single" w:sz="4" w:space="0" w:color="auto"/>
            </w:tcBorders>
            <w:shd w:val="clear" w:color="auto" w:fill="C6EFCE"/>
            <w:noWrap/>
            <w:vAlign w:val="center"/>
            <w:hideMark/>
          </w:tcPr>
          <w:p w14:paraId="34F81AD9" w14:textId="77777777" w:rsidR="00C972CB" w:rsidRDefault="002457F6">
            <w:pPr>
              <w:pStyle w:val="P68B1DB1-Normal11"/>
              <w:spacing w:line="276" w:lineRule="auto"/>
              <w:jc w:val="center"/>
              <w:rPr>
                <w:noProof/>
              </w:rPr>
            </w:pPr>
            <w:r>
              <w:rPr>
                <w:noProof/>
              </w:rPr>
              <w:t>2021</w:t>
            </w:r>
          </w:p>
        </w:tc>
        <w:tc>
          <w:tcPr>
            <w:tcW w:w="2799" w:type="dxa"/>
            <w:tcBorders>
              <w:top w:val="nil"/>
              <w:left w:val="nil"/>
              <w:bottom w:val="single" w:sz="4" w:space="0" w:color="auto"/>
              <w:right w:val="single" w:sz="4" w:space="0" w:color="auto"/>
            </w:tcBorders>
            <w:shd w:val="clear" w:color="auto" w:fill="C6EFCE"/>
            <w:noWrap/>
            <w:vAlign w:val="center"/>
            <w:hideMark/>
          </w:tcPr>
          <w:p w14:paraId="2D2AB732" w14:textId="18C229EF" w:rsidR="00C972CB" w:rsidRDefault="002457F6">
            <w:pPr>
              <w:pStyle w:val="P68B1DB1-Normal12"/>
              <w:spacing w:line="276" w:lineRule="auto"/>
              <w:rPr>
                <w:rFonts w:ascii="Arial Narrow" w:hAnsi="Arial Narrow"/>
                <w:noProof/>
              </w:rPr>
            </w:pPr>
            <w:r>
              <w:rPr>
                <w:noProof/>
              </w:rPr>
              <w:t>Ekoloģiskās pārkārtošanās ministrija ar Kampānijas, Kalabrijas, Molīzes un Sicīlijas reģionu parakstīja Instading</w:t>
            </w:r>
            <w:r>
              <w:rPr>
                <w:rFonts w:ascii="Arial Narrow" w:hAnsi="Arial Narrow"/>
                <w:noProof/>
              </w:rPr>
              <w:t>memorandi (M</w:t>
            </w:r>
            <w:r>
              <w:rPr>
                <w:rFonts w:ascii="Arial Narrow" w:hAnsi="Arial Narrow"/>
                <w:noProof/>
              </w:rPr>
              <w:t>oU), lai samazinātu ūdensapgādes pakalpojumu sniedzēju skaita sadrumstalotību. Saprašanās memorandā būtu jānosaka mērķi attiecībā uz vietējo pašvaldību struktūru izveidi, operatoru skaita samazināšanu un apjomradītu ietaupījumu panākšanu, lai izveidotu vie</w:t>
            </w:r>
            <w:r>
              <w:rPr>
                <w:rFonts w:ascii="Arial Narrow" w:hAnsi="Arial Narrow"/>
                <w:noProof/>
              </w:rPr>
              <w:t>notus operatorus vismaz uz katriem 40000</w:t>
            </w:r>
            <w:r>
              <w:rPr>
                <w:noProof/>
              </w:rPr>
              <w:t xml:space="preserve"> </w:t>
            </w:r>
            <w:r>
              <w:rPr>
                <w:rFonts w:ascii="Arial Narrow" w:hAnsi="Arial Narrow"/>
                <w:noProof/>
              </w:rPr>
              <w:t>iedzīvotājiem</w:t>
            </w:r>
            <w:r>
              <w:rPr>
                <w:noProof/>
              </w:rPr>
              <w:t>.</w:t>
            </w:r>
          </w:p>
        </w:tc>
      </w:tr>
      <w:tr w:rsidR="00C972CB" w14:paraId="2FBA1F3D"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7F50BD17" w14:textId="77777777" w:rsidR="00C972CB" w:rsidRDefault="002457F6">
            <w:pPr>
              <w:pStyle w:val="P68B1DB1-Normal11"/>
              <w:spacing w:line="276" w:lineRule="auto"/>
              <w:jc w:val="center"/>
              <w:rPr>
                <w:noProof/>
              </w:rPr>
            </w:pPr>
            <w:r>
              <w:rPr>
                <w:noProof/>
              </w:rPr>
              <w:t>M2C4–4</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57732A05" w14:textId="77777777" w:rsidR="00C972CB" w:rsidRDefault="002457F6">
            <w:pPr>
              <w:pStyle w:val="P68B1DB1-Normal11"/>
              <w:spacing w:line="276" w:lineRule="auto"/>
              <w:jc w:val="center"/>
              <w:rPr>
                <w:noProof/>
              </w:rPr>
            </w:pPr>
            <w:r>
              <w:rPr>
                <w:noProof/>
              </w:rPr>
              <w:t>Reforma “Pasākumi integrētu ūdensapgādes pakalpojumu pilnīgas vadības nodrošināšanai”</w:t>
            </w:r>
          </w:p>
        </w:tc>
        <w:tc>
          <w:tcPr>
            <w:tcW w:w="1266" w:type="dxa"/>
            <w:tcBorders>
              <w:top w:val="nil"/>
              <w:left w:val="nil"/>
              <w:bottom w:val="single" w:sz="4" w:space="0" w:color="auto"/>
              <w:right w:val="single" w:sz="4" w:space="0" w:color="auto"/>
            </w:tcBorders>
            <w:shd w:val="clear" w:color="auto" w:fill="C6EFCE"/>
            <w:noWrap/>
            <w:vAlign w:val="center"/>
            <w:hideMark/>
          </w:tcPr>
          <w:p w14:paraId="781FD5A8" w14:textId="77777777" w:rsidR="00C972CB" w:rsidRDefault="002457F6">
            <w:pPr>
              <w:pStyle w:val="P68B1DB1-Normal11"/>
              <w:spacing w:line="276" w:lineRule="auto"/>
              <w:jc w:val="center"/>
              <w:rPr>
                <w:noProof/>
              </w:rPr>
            </w:pPr>
            <w:r>
              <w:rPr>
                <w:noProof/>
              </w:rPr>
              <w:t>Starpposma mērķis</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7854980C" w14:textId="77777777" w:rsidR="00C972CB" w:rsidRDefault="002457F6">
            <w:pPr>
              <w:pStyle w:val="P68B1DB1-Normal11"/>
              <w:spacing w:line="276" w:lineRule="auto"/>
              <w:jc w:val="center"/>
              <w:rPr>
                <w:noProof/>
              </w:rPr>
            </w:pPr>
            <w:r>
              <w:rPr>
                <w:noProof/>
              </w:rPr>
              <w:t>Jaunā tiesiskā regulējuma attiecībā uz apūdeņošanu stāšanās spēkā</w:t>
            </w:r>
          </w:p>
        </w:tc>
        <w:tc>
          <w:tcPr>
            <w:tcW w:w="1414" w:type="dxa"/>
            <w:tcBorders>
              <w:top w:val="nil"/>
              <w:left w:val="nil"/>
              <w:bottom w:val="single" w:sz="4" w:space="0" w:color="auto"/>
              <w:right w:val="single" w:sz="4" w:space="0" w:color="auto"/>
            </w:tcBorders>
            <w:shd w:val="clear" w:color="auto" w:fill="C6EFCE"/>
            <w:noWrap/>
            <w:vAlign w:val="center"/>
            <w:hideMark/>
          </w:tcPr>
          <w:p w14:paraId="6059F4AD" w14:textId="77777777" w:rsidR="00C972CB" w:rsidRDefault="002457F6">
            <w:pPr>
              <w:pStyle w:val="P68B1DB1-Normal11"/>
              <w:spacing w:line="276" w:lineRule="auto"/>
              <w:jc w:val="center"/>
              <w:rPr>
                <w:noProof/>
              </w:rPr>
            </w:pPr>
            <w:r>
              <w:rPr>
                <w:noProof/>
              </w:rPr>
              <w:t>Attiecīgā tiesību akta noteikum</w:t>
            </w:r>
            <w:r>
              <w:rPr>
                <w:noProof/>
              </w:rPr>
              <w:t>s, kas norāda uz stāšanos spēkā</w:t>
            </w:r>
          </w:p>
        </w:tc>
        <w:tc>
          <w:tcPr>
            <w:tcW w:w="1410" w:type="dxa"/>
            <w:tcBorders>
              <w:top w:val="nil"/>
              <w:left w:val="nil"/>
              <w:bottom w:val="single" w:sz="4" w:space="0" w:color="auto"/>
              <w:right w:val="single" w:sz="4" w:space="0" w:color="auto"/>
            </w:tcBorders>
            <w:shd w:val="clear" w:color="auto" w:fill="C6EFCE"/>
            <w:noWrap/>
            <w:vAlign w:val="center"/>
            <w:hideMark/>
          </w:tcPr>
          <w:p w14:paraId="760C7579" w14:textId="77777777" w:rsidR="00C972CB" w:rsidRDefault="002457F6">
            <w:pPr>
              <w:pStyle w:val="P68B1DB1-Normal11"/>
              <w:spacing w:line="276" w:lineRule="auto"/>
              <w:jc w:val="center"/>
              <w:rPr>
                <w:noProof/>
              </w:rPr>
            </w:pPr>
            <w:r>
              <w:rPr>
                <w:noProof/>
              </w:rPr>
              <w:t>NEPIEMĒRO</w:t>
            </w:r>
          </w:p>
        </w:tc>
        <w:tc>
          <w:tcPr>
            <w:tcW w:w="1047" w:type="dxa"/>
            <w:tcBorders>
              <w:top w:val="nil"/>
              <w:left w:val="nil"/>
              <w:bottom w:val="single" w:sz="4" w:space="0" w:color="auto"/>
              <w:right w:val="single" w:sz="4" w:space="0" w:color="auto"/>
            </w:tcBorders>
            <w:shd w:val="clear" w:color="auto" w:fill="C6EFCE"/>
            <w:noWrap/>
            <w:vAlign w:val="center"/>
            <w:hideMark/>
          </w:tcPr>
          <w:p w14:paraId="5703A0FC" w14:textId="77777777" w:rsidR="00C972CB" w:rsidRDefault="002457F6">
            <w:pPr>
              <w:pStyle w:val="P68B1DB1-Normal11"/>
              <w:spacing w:line="276" w:lineRule="auto"/>
              <w:jc w:val="center"/>
              <w:rPr>
                <w:noProof/>
              </w:rPr>
            </w:pPr>
            <w:r>
              <w:rPr>
                <w:noProof/>
              </w:rPr>
              <w:t>NEPIEMĒRO</w:t>
            </w:r>
          </w:p>
        </w:tc>
        <w:tc>
          <w:tcPr>
            <w:tcW w:w="719" w:type="dxa"/>
            <w:tcBorders>
              <w:top w:val="nil"/>
              <w:left w:val="nil"/>
              <w:bottom w:val="single" w:sz="4" w:space="0" w:color="auto"/>
              <w:right w:val="single" w:sz="4" w:space="0" w:color="auto"/>
            </w:tcBorders>
            <w:shd w:val="clear" w:color="auto" w:fill="C6EFCE"/>
            <w:noWrap/>
            <w:vAlign w:val="center"/>
            <w:hideMark/>
          </w:tcPr>
          <w:p w14:paraId="4143D178" w14:textId="77777777" w:rsidR="00C972CB" w:rsidRDefault="002457F6">
            <w:pPr>
              <w:pStyle w:val="P68B1DB1-Normal11"/>
              <w:spacing w:line="276" w:lineRule="auto"/>
              <w:jc w:val="center"/>
              <w:rPr>
                <w:noProof/>
              </w:rPr>
            </w:pPr>
            <w:r>
              <w:rPr>
                <w:noProof/>
              </w:rPr>
              <w:t>NEPIEMĒRO</w:t>
            </w:r>
          </w:p>
        </w:tc>
        <w:tc>
          <w:tcPr>
            <w:tcW w:w="809" w:type="dxa"/>
            <w:tcBorders>
              <w:top w:val="nil"/>
              <w:left w:val="nil"/>
              <w:bottom w:val="single" w:sz="4" w:space="0" w:color="auto"/>
              <w:right w:val="single" w:sz="4" w:space="0" w:color="auto"/>
            </w:tcBorders>
            <w:shd w:val="clear" w:color="auto" w:fill="C6EFCE"/>
            <w:noWrap/>
            <w:vAlign w:val="center"/>
            <w:hideMark/>
          </w:tcPr>
          <w:p w14:paraId="61C7ADFA" w14:textId="77777777" w:rsidR="00C972CB" w:rsidRDefault="002457F6">
            <w:pPr>
              <w:pStyle w:val="P68B1DB1-Normal11"/>
              <w:spacing w:line="276" w:lineRule="auto"/>
              <w:jc w:val="center"/>
              <w:rPr>
                <w:noProof/>
              </w:rPr>
            </w:pPr>
            <w:r>
              <w:rPr>
                <w:noProof/>
              </w:rPr>
              <w:t>2. CET.</w:t>
            </w:r>
          </w:p>
        </w:tc>
        <w:tc>
          <w:tcPr>
            <w:tcW w:w="794" w:type="dxa"/>
            <w:tcBorders>
              <w:top w:val="nil"/>
              <w:left w:val="nil"/>
              <w:bottom w:val="single" w:sz="4" w:space="0" w:color="auto"/>
              <w:right w:val="single" w:sz="4" w:space="0" w:color="auto"/>
            </w:tcBorders>
            <w:shd w:val="clear" w:color="auto" w:fill="C6EFCE"/>
            <w:noWrap/>
            <w:vAlign w:val="center"/>
            <w:hideMark/>
          </w:tcPr>
          <w:p w14:paraId="446A314D" w14:textId="77777777" w:rsidR="00C972CB" w:rsidRDefault="002457F6">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38F23CE0" w14:textId="77777777" w:rsidR="00C972CB" w:rsidRDefault="002457F6">
            <w:pPr>
              <w:pStyle w:val="P68B1DB1-Normal11"/>
              <w:spacing w:line="276" w:lineRule="auto"/>
              <w:rPr>
                <w:noProof/>
              </w:rPr>
            </w:pPr>
            <w:r>
              <w:rPr>
                <w:noProof/>
              </w:rPr>
              <w:t>Pārskatītais tiesiskais regulējums ir vismaz:</w:t>
            </w:r>
          </w:p>
          <w:p w14:paraId="4016386A" w14:textId="77777777" w:rsidR="00C972CB" w:rsidRDefault="00C972CB">
            <w:pPr>
              <w:spacing w:line="276" w:lineRule="auto"/>
              <w:rPr>
                <w:rFonts w:ascii="Arial Narrow" w:hAnsi="Arial Narrow"/>
                <w:noProof/>
                <w:color w:val="006100"/>
                <w:sz w:val="20"/>
              </w:rPr>
            </w:pPr>
          </w:p>
          <w:p w14:paraId="2F7F0896" w14:textId="77777777" w:rsidR="00C972CB" w:rsidRDefault="002457F6">
            <w:pPr>
              <w:pStyle w:val="P68B1DB1-Normal11"/>
              <w:spacing w:line="276" w:lineRule="auto"/>
              <w:rPr>
                <w:noProof/>
              </w:rPr>
            </w:pPr>
            <w:r>
              <w:rPr>
                <w:noProof/>
              </w:rPr>
              <w:t>Izveidot sankciju sistēmu par nelikumīgu ūdens ieguvi</w:t>
            </w:r>
          </w:p>
          <w:p w14:paraId="3779204F" w14:textId="77777777" w:rsidR="00C972CB" w:rsidRDefault="002457F6">
            <w:pPr>
              <w:pStyle w:val="P68B1DB1-Normal11"/>
              <w:spacing w:line="276" w:lineRule="auto"/>
              <w:rPr>
                <w:noProof/>
              </w:rPr>
            </w:pPr>
            <w:r>
              <w:rPr>
                <w:noProof/>
              </w:rPr>
              <w:t xml:space="preserve">Pieprasīt ietekmes novērtējumu saskaņā ar Ūdens pamatdirektīvas 4. panta 7. </w:t>
            </w:r>
            <w:r>
              <w:rPr>
                <w:noProof/>
              </w:rPr>
              <w:t>punktu, lai novērtētu (iespējams, kumulatīvo) ietekmi uz visām potenciāli skartajām ūdenstilpēm.</w:t>
            </w:r>
          </w:p>
          <w:p w14:paraId="3CD94AEB" w14:textId="77777777" w:rsidR="00C972CB" w:rsidRDefault="002457F6">
            <w:pPr>
              <w:pStyle w:val="P68B1DB1-Normal11"/>
              <w:spacing w:line="276" w:lineRule="auto"/>
              <w:rPr>
                <w:noProof/>
              </w:rPr>
            </w:pPr>
            <w:r>
              <w:rPr>
                <w:noProof/>
              </w:rPr>
              <w:t>—Nodrošināt, ka tiek novērsta esošās apūdeņošanas sistēmas paplašināšana (tostarp palielinot ūdens izmantošanu, t. i., ne tikai fizisku izplešanos) pat ar efek</w:t>
            </w:r>
            <w:r>
              <w:rPr>
                <w:noProof/>
              </w:rPr>
              <w:t>tīvākām metodēm, ja attiecīgo ūdensobjektu (virszemes vai pazemes ūdeņu) stāvoklis ir sliktāks par labu vai potenciāli labu stāvokli (saistībā ar klimata pārmaiņu pastiprināšanos).</w:t>
            </w:r>
          </w:p>
          <w:p w14:paraId="771BF980" w14:textId="77777777" w:rsidR="00C972CB" w:rsidRDefault="00C972CB">
            <w:pPr>
              <w:spacing w:line="276" w:lineRule="auto"/>
              <w:rPr>
                <w:rFonts w:ascii="Arial Narrow" w:hAnsi="Arial Narrow"/>
                <w:noProof/>
                <w:color w:val="006100"/>
                <w:sz w:val="20"/>
              </w:rPr>
            </w:pPr>
          </w:p>
          <w:p w14:paraId="073FA56E" w14:textId="77777777" w:rsidR="00C972CB" w:rsidRDefault="00C972CB">
            <w:pPr>
              <w:spacing w:line="276" w:lineRule="auto"/>
              <w:rPr>
                <w:rFonts w:ascii="Arial Narrow" w:hAnsi="Arial Narrow"/>
                <w:noProof/>
                <w:color w:val="006100"/>
                <w:sz w:val="20"/>
              </w:rPr>
            </w:pPr>
          </w:p>
        </w:tc>
      </w:tr>
      <w:tr w:rsidR="00C972CB" w14:paraId="6A898A22"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124D3C6F" w14:textId="77777777" w:rsidR="00C972CB" w:rsidRDefault="002457F6">
            <w:pPr>
              <w:pStyle w:val="P68B1DB1-Normal11"/>
              <w:spacing w:line="276" w:lineRule="auto"/>
              <w:jc w:val="center"/>
              <w:rPr>
                <w:noProof/>
              </w:rPr>
            </w:pPr>
            <w:r>
              <w:rPr>
                <w:noProof/>
              </w:rPr>
              <w:t>M2C4–5</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38141690" w14:textId="77777777" w:rsidR="00C972CB" w:rsidRDefault="002457F6">
            <w:pPr>
              <w:pStyle w:val="P68B1DB1-Normal11"/>
              <w:spacing w:line="276" w:lineRule="auto"/>
              <w:jc w:val="center"/>
              <w:rPr>
                <w:noProof/>
              </w:rPr>
            </w:pPr>
            <w:r>
              <w:rPr>
                <w:noProof/>
              </w:rPr>
              <w:t>Ieguldījums 3.2.: Nacionālo parku digitalizācija</w:t>
            </w:r>
          </w:p>
        </w:tc>
        <w:tc>
          <w:tcPr>
            <w:tcW w:w="1266" w:type="dxa"/>
            <w:tcBorders>
              <w:top w:val="nil"/>
              <w:left w:val="nil"/>
              <w:bottom w:val="single" w:sz="4" w:space="0" w:color="auto"/>
              <w:right w:val="single" w:sz="4" w:space="0" w:color="auto"/>
            </w:tcBorders>
            <w:shd w:val="clear" w:color="auto" w:fill="C6EFCE"/>
            <w:noWrap/>
            <w:vAlign w:val="center"/>
            <w:hideMark/>
          </w:tcPr>
          <w:p w14:paraId="75B25A8A" w14:textId="77777777" w:rsidR="00C972CB" w:rsidRDefault="002457F6">
            <w:pPr>
              <w:pStyle w:val="P68B1DB1-Normal11"/>
              <w:spacing w:line="276" w:lineRule="auto"/>
              <w:jc w:val="center"/>
              <w:rPr>
                <w:noProof/>
              </w:rPr>
            </w:pPr>
            <w:r>
              <w:rPr>
                <w:noProof/>
              </w:rPr>
              <w:t>Starpposma mērķis</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5648643B" w14:textId="77777777" w:rsidR="00C972CB" w:rsidRDefault="002457F6">
            <w:pPr>
              <w:pStyle w:val="P68B1DB1-Normal11"/>
              <w:spacing w:line="276" w:lineRule="auto"/>
              <w:jc w:val="center"/>
              <w:rPr>
                <w:noProof/>
              </w:rPr>
            </w:pPr>
            <w:r>
              <w:rPr>
                <w:noProof/>
              </w:rPr>
              <w:t xml:space="preserve">Stājas </w:t>
            </w:r>
            <w:r>
              <w:rPr>
                <w:noProof/>
              </w:rPr>
              <w:t>spēkā administratīvā vienkāršošana un digitālo pakalpojumu izstrāde nacionālo parku un aizsargājamo jūras teritoriju apmeklētājiem</w:t>
            </w:r>
          </w:p>
        </w:tc>
        <w:tc>
          <w:tcPr>
            <w:tcW w:w="1414" w:type="dxa"/>
            <w:tcBorders>
              <w:top w:val="nil"/>
              <w:left w:val="nil"/>
              <w:bottom w:val="single" w:sz="4" w:space="0" w:color="auto"/>
              <w:right w:val="single" w:sz="4" w:space="0" w:color="auto"/>
            </w:tcBorders>
            <w:shd w:val="clear" w:color="auto" w:fill="C6EFCE"/>
            <w:noWrap/>
            <w:vAlign w:val="center"/>
            <w:hideMark/>
          </w:tcPr>
          <w:p w14:paraId="323A0E44" w14:textId="77777777" w:rsidR="00C972CB" w:rsidRDefault="002457F6">
            <w:pPr>
              <w:pStyle w:val="P68B1DB1-Normal11"/>
              <w:spacing w:line="276" w:lineRule="auto"/>
              <w:jc w:val="center"/>
              <w:rPr>
                <w:noProof/>
              </w:rPr>
            </w:pPr>
            <w:r>
              <w:rPr>
                <w:noProof/>
              </w:rPr>
              <w:t>Noteikums ministrijas dekrētā par stāšanos spēkā</w:t>
            </w:r>
          </w:p>
        </w:tc>
        <w:tc>
          <w:tcPr>
            <w:tcW w:w="1410" w:type="dxa"/>
            <w:tcBorders>
              <w:top w:val="nil"/>
              <w:left w:val="nil"/>
              <w:bottom w:val="single" w:sz="4" w:space="0" w:color="auto"/>
              <w:right w:val="single" w:sz="4" w:space="0" w:color="auto"/>
            </w:tcBorders>
            <w:shd w:val="clear" w:color="auto" w:fill="C6EFCE"/>
            <w:noWrap/>
            <w:vAlign w:val="center"/>
            <w:hideMark/>
          </w:tcPr>
          <w:p w14:paraId="78421094" w14:textId="77777777" w:rsidR="00C972CB" w:rsidRDefault="002457F6">
            <w:pPr>
              <w:pStyle w:val="P68B1DB1-Normal11"/>
              <w:spacing w:line="276" w:lineRule="auto"/>
              <w:jc w:val="center"/>
              <w:rPr>
                <w:noProof/>
              </w:rPr>
            </w:pPr>
            <w:r>
              <w:rPr>
                <w:noProof/>
              </w:rPr>
              <w:t>NEPIEMĒRO</w:t>
            </w:r>
          </w:p>
        </w:tc>
        <w:tc>
          <w:tcPr>
            <w:tcW w:w="1047" w:type="dxa"/>
            <w:tcBorders>
              <w:top w:val="nil"/>
              <w:left w:val="nil"/>
              <w:bottom w:val="single" w:sz="4" w:space="0" w:color="auto"/>
              <w:right w:val="single" w:sz="4" w:space="0" w:color="auto"/>
            </w:tcBorders>
            <w:shd w:val="clear" w:color="auto" w:fill="C6EFCE"/>
            <w:noWrap/>
            <w:vAlign w:val="center"/>
            <w:hideMark/>
          </w:tcPr>
          <w:p w14:paraId="198301B8" w14:textId="77777777" w:rsidR="00C972CB" w:rsidRDefault="002457F6">
            <w:pPr>
              <w:pStyle w:val="P68B1DB1-Normal11"/>
              <w:spacing w:line="276" w:lineRule="auto"/>
              <w:jc w:val="center"/>
              <w:rPr>
                <w:noProof/>
              </w:rPr>
            </w:pPr>
            <w:r>
              <w:rPr>
                <w:noProof/>
              </w:rPr>
              <w:t>NEPIEMĒRO</w:t>
            </w:r>
          </w:p>
        </w:tc>
        <w:tc>
          <w:tcPr>
            <w:tcW w:w="719" w:type="dxa"/>
            <w:tcBorders>
              <w:top w:val="nil"/>
              <w:left w:val="nil"/>
              <w:bottom w:val="single" w:sz="4" w:space="0" w:color="auto"/>
              <w:right w:val="single" w:sz="4" w:space="0" w:color="auto"/>
            </w:tcBorders>
            <w:shd w:val="clear" w:color="auto" w:fill="C6EFCE"/>
            <w:noWrap/>
            <w:vAlign w:val="center"/>
            <w:hideMark/>
          </w:tcPr>
          <w:p w14:paraId="51E59E60" w14:textId="77777777" w:rsidR="00C972CB" w:rsidRDefault="002457F6">
            <w:pPr>
              <w:pStyle w:val="P68B1DB1-Normal11"/>
              <w:spacing w:line="276" w:lineRule="auto"/>
              <w:jc w:val="center"/>
              <w:rPr>
                <w:noProof/>
              </w:rPr>
            </w:pPr>
            <w:r>
              <w:rPr>
                <w:noProof/>
              </w:rPr>
              <w:t>NEPIEMĒRO</w:t>
            </w:r>
          </w:p>
        </w:tc>
        <w:tc>
          <w:tcPr>
            <w:tcW w:w="809" w:type="dxa"/>
            <w:tcBorders>
              <w:top w:val="nil"/>
              <w:left w:val="nil"/>
              <w:bottom w:val="single" w:sz="4" w:space="0" w:color="auto"/>
              <w:right w:val="single" w:sz="4" w:space="0" w:color="auto"/>
            </w:tcBorders>
            <w:shd w:val="clear" w:color="auto" w:fill="C6EFCE"/>
            <w:noWrap/>
            <w:vAlign w:val="center"/>
            <w:hideMark/>
          </w:tcPr>
          <w:p w14:paraId="70F99AFE" w14:textId="77777777" w:rsidR="00C972CB" w:rsidRDefault="002457F6">
            <w:pPr>
              <w:pStyle w:val="P68B1DB1-Normal11"/>
              <w:spacing w:line="276" w:lineRule="auto"/>
              <w:jc w:val="center"/>
              <w:rPr>
                <w:noProof/>
              </w:rPr>
            </w:pPr>
            <w:r>
              <w:rPr>
                <w:noProof/>
              </w:rPr>
              <w:t>1. CET.</w:t>
            </w:r>
          </w:p>
        </w:tc>
        <w:tc>
          <w:tcPr>
            <w:tcW w:w="794" w:type="dxa"/>
            <w:tcBorders>
              <w:top w:val="nil"/>
              <w:left w:val="nil"/>
              <w:bottom w:val="single" w:sz="4" w:space="0" w:color="auto"/>
              <w:right w:val="single" w:sz="4" w:space="0" w:color="auto"/>
            </w:tcBorders>
            <w:shd w:val="clear" w:color="auto" w:fill="C6EFCE"/>
            <w:noWrap/>
            <w:vAlign w:val="center"/>
            <w:hideMark/>
          </w:tcPr>
          <w:p w14:paraId="32BC0579" w14:textId="77777777" w:rsidR="00C972CB" w:rsidRDefault="002457F6">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722ACEE4" w14:textId="77777777" w:rsidR="00C972CB" w:rsidRDefault="002457F6">
            <w:pPr>
              <w:pStyle w:val="P68B1DB1-Normal11"/>
              <w:spacing w:line="276" w:lineRule="auto"/>
              <w:rPr>
                <w:noProof/>
              </w:rPr>
            </w:pPr>
            <w:r>
              <w:rPr>
                <w:noProof/>
              </w:rPr>
              <w:t>Ministrijas dekrēts pilnvaro izst</w:t>
            </w:r>
            <w:r>
              <w:rPr>
                <w:noProof/>
              </w:rPr>
              <w:t>rādāt digitālos pakalpojumus nacionālo parku un aizsargājamo jūras teritoriju apmeklētājiem.</w:t>
            </w:r>
          </w:p>
          <w:p w14:paraId="6F4FFC28" w14:textId="77777777" w:rsidR="00C972CB" w:rsidRDefault="00C972CB">
            <w:pPr>
              <w:spacing w:line="276" w:lineRule="auto"/>
              <w:rPr>
                <w:rFonts w:ascii="Arial Narrow" w:hAnsi="Arial Narrow"/>
                <w:noProof/>
                <w:color w:val="006100"/>
                <w:sz w:val="20"/>
              </w:rPr>
            </w:pPr>
          </w:p>
        </w:tc>
      </w:tr>
    </w:tbl>
    <w:p w14:paraId="47207066" w14:textId="77777777" w:rsidR="00C972CB" w:rsidRDefault="00C972CB">
      <w:pPr>
        <w:spacing w:before="120" w:after="120"/>
        <w:ind w:left="709"/>
        <w:jc w:val="both"/>
        <w:rPr>
          <w:noProof/>
        </w:rPr>
      </w:pPr>
    </w:p>
    <w:p w14:paraId="4284E2DB" w14:textId="77777777" w:rsidR="00C972CB" w:rsidRDefault="00C972CB">
      <w:pPr>
        <w:spacing w:before="120" w:after="120"/>
        <w:ind w:left="709"/>
        <w:jc w:val="both"/>
        <w:rPr>
          <w:noProof/>
        </w:rPr>
        <w:sectPr w:rsidR="00C972CB" w:rsidSect="001354D1">
          <w:headerReference w:type="even" r:id="rId170"/>
          <w:headerReference w:type="default" r:id="rId171"/>
          <w:footerReference w:type="even" r:id="rId172"/>
          <w:footerReference w:type="default" r:id="rId173"/>
          <w:headerReference w:type="first" r:id="rId174"/>
          <w:footerReference w:type="first" r:id="rId175"/>
          <w:pgSz w:w="16838" w:h="11906" w:orient="landscape" w:code="9"/>
          <w:pgMar w:top="1134" w:right="1134" w:bottom="1134" w:left="1134" w:header="567" w:footer="567" w:gutter="0"/>
          <w:cols w:space="720"/>
          <w:docGrid w:linePitch="360"/>
        </w:sectPr>
      </w:pPr>
    </w:p>
    <w:p w14:paraId="7EFFC851"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G.3. </w:t>
      </w:r>
      <w:r>
        <w:rPr>
          <w:noProof/>
        </w:rPr>
        <w:tab/>
      </w:r>
      <w:r>
        <w:rPr>
          <w:b/>
          <w:i w:val="0"/>
          <w:noProof/>
          <w:u w:val="single"/>
        </w:rPr>
        <w:t xml:space="preserve">Aizdevumam pieteikto reformu un investīciju apraksts </w:t>
      </w:r>
    </w:p>
    <w:p w14:paraId="35B4C6AF" w14:textId="77777777" w:rsidR="00C972CB" w:rsidRDefault="002457F6">
      <w:pPr>
        <w:pStyle w:val="P68B1DB1-Normal2"/>
        <w:spacing w:before="120" w:after="120" w:line="257" w:lineRule="auto"/>
        <w:jc w:val="both"/>
        <w:rPr>
          <w:noProof/>
        </w:rPr>
      </w:pPr>
      <w:r>
        <w:rPr>
          <w:noProof/>
        </w:rPr>
        <w:t xml:space="preserve">Reforma. Valsts programmu pieņemšana gaisa piesārņojuma kontroles jomā </w:t>
      </w:r>
    </w:p>
    <w:p w14:paraId="7336F9C5" w14:textId="77777777" w:rsidR="00C972CB" w:rsidRDefault="002457F6">
      <w:pPr>
        <w:spacing w:before="120" w:after="120"/>
        <w:jc w:val="both"/>
        <w:rPr>
          <w:noProof/>
        </w:rPr>
      </w:pPr>
      <w:r>
        <w:rPr>
          <w:noProof/>
        </w:rPr>
        <w:t>Reformas mērķis ir saskaņot valstu un reģionālos tiesību aktus un ieviest saistītus pasākumus gaisa piesārņotāju emisiju samazināšanai (saskaņā ar mērķrādītājiem, kas noteikti Direktīv</w:t>
      </w:r>
      <w:r>
        <w:rPr>
          <w:noProof/>
        </w:rPr>
        <w:t>ā 2016/2284 par valstīm noteikto maksimāli pieļaujamo emisiju un klimata gāzu izmaiņām).</w:t>
      </w:r>
    </w:p>
    <w:p w14:paraId="1F18DE60" w14:textId="77777777" w:rsidR="00C972CB" w:rsidRDefault="002457F6">
      <w:pPr>
        <w:pStyle w:val="P68B1DB1-Normal2"/>
        <w:spacing w:before="120" w:after="120" w:line="257" w:lineRule="auto"/>
        <w:jc w:val="both"/>
        <w:rPr>
          <w:noProof/>
        </w:rPr>
      </w:pPr>
      <w:r>
        <w:rPr>
          <w:noProof/>
        </w:rPr>
        <w:t>Ieguldījums 1.1: Progresīvas un integrētas uzraudzības un prognozēšanas sistēmas īstenošana</w:t>
      </w:r>
    </w:p>
    <w:p w14:paraId="1817BA41" w14:textId="77777777" w:rsidR="00C972CB" w:rsidRDefault="002457F6">
      <w:pPr>
        <w:spacing w:before="120" w:after="120"/>
        <w:jc w:val="both"/>
        <w:rPr>
          <w:noProof/>
        </w:rPr>
      </w:pPr>
      <w:r>
        <w:rPr>
          <w:noProof/>
        </w:rPr>
        <w:t>Ar ieguldījumu izstrādā uzraudzības sistēmu, lai noteiktu un prognozētu ris</w:t>
      </w:r>
      <w:r>
        <w:rPr>
          <w:noProof/>
        </w:rPr>
        <w:t>kus, ko rada klimata pārmaiņas un neatbilstīga telpiskā plānošana, izmantojot progresīvas tehnoloģijas. Šīs tehnoloģijas ļauj veikt lielu teritoriālo joslu tālvadību, radot pamatu riska novēršanas plānu izstrādei, tostarp esošās infrastruktūras nostiprināš</w:t>
      </w:r>
      <w:r>
        <w:rPr>
          <w:noProof/>
        </w:rPr>
        <w:t>anai, un atkritumu nelikumīgas apglabāšanas identificēšanai. Galvenie instrumenti, ko izstrādā šo mērķu sasniegšanai, ir telpisko datu vākšana, izmantojot satelītnovērošanas sistēmas, dronus, attālinātus sensorus un informācijas sistēmu integrāciju; teleko</w:t>
      </w:r>
      <w:r>
        <w:rPr>
          <w:noProof/>
        </w:rPr>
        <w:t>munikāciju tīkli ar visprogresīvākajām drošības prasībām; centrālo un reģionālo kontroles telpu izveide, lai piekļūtu uz vietas savāktajai informācijai; un kiberdrošības sistēmas un pakalpojumi aizsardzībai pret kiberuzbrukumiem. Intervences galvenokārt no</w:t>
      </w:r>
      <w:r>
        <w:rPr>
          <w:noProof/>
        </w:rPr>
        <w:t>tiek astoņos dienvidu reģionos.</w:t>
      </w:r>
    </w:p>
    <w:p w14:paraId="61511DFD" w14:textId="77777777" w:rsidR="00C972CB" w:rsidRDefault="002457F6">
      <w:pPr>
        <w:pStyle w:val="P68B1DB1-Normal2"/>
        <w:spacing w:before="120" w:after="120" w:line="257" w:lineRule="auto"/>
        <w:jc w:val="both"/>
        <w:rPr>
          <w:noProof/>
        </w:rPr>
      </w:pPr>
      <w:r>
        <w:rPr>
          <w:noProof/>
        </w:rPr>
        <w:t>Ieguldījums 2.1.: Plūdu un hidroģeoloģiskā riska mazināšanas pasākumi</w:t>
      </w:r>
    </w:p>
    <w:p w14:paraId="7FF84C99" w14:textId="77777777" w:rsidR="00C972CB" w:rsidRDefault="002457F6">
      <w:pPr>
        <w:spacing w:after="120"/>
        <w:jc w:val="both"/>
        <w:rPr>
          <w:noProof/>
        </w:rPr>
      </w:pPr>
      <w:r>
        <w:rPr>
          <w:noProof/>
        </w:rPr>
        <w:t>Itālijas teritorijai ir raksturīga ievērojama hidroģeoloģiskā nestabilitāte, ko pastiprina klimata pārmaiņu ietekme. Šim riskam ir negatīva ietekme ne tik</w:t>
      </w:r>
      <w:r>
        <w:rPr>
          <w:noProof/>
        </w:rPr>
        <w:t>ai uz dzīves kvalitāti, bet arī uz saimniecisko darbību apgabalos, kas visvairāk pakļauti šim riskam.</w:t>
      </w:r>
    </w:p>
    <w:p w14:paraId="739F73AD" w14:textId="60F9CB55" w:rsidR="00C972CB" w:rsidRDefault="002457F6">
      <w:pPr>
        <w:spacing w:after="120"/>
        <w:jc w:val="both"/>
        <w:rPr>
          <w:noProof/>
        </w:rPr>
      </w:pPr>
      <w:r>
        <w:rPr>
          <w:noProof/>
        </w:rPr>
        <w:t xml:space="preserve">Šis pasākums ir sadalīts divos darbības virzienos: atbildīgā administrācija ir attiecīgi </w:t>
      </w:r>
      <w:r>
        <w:rPr>
          <w:i/>
          <w:noProof/>
        </w:rPr>
        <w:t>Protezione Civile</w:t>
      </w:r>
      <w:r>
        <w:rPr>
          <w:noProof/>
        </w:rPr>
        <w:t xml:space="preserve"> un ārkārtas</w:t>
      </w:r>
      <w:r>
        <w:rPr>
          <w:i/>
          <w:noProof/>
        </w:rPr>
        <w:t xml:space="preserve"> </w:t>
      </w:r>
      <w:r>
        <w:rPr>
          <w:noProof/>
        </w:rPr>
        <w:t>komisārs Emīlijas-Romanjas, Toskāna</w:t>
      </w:r>
      <w:r>
        <w:rPr>
          <w:noProof/>
        </w:rPr>
        <w:t>s un Markes teritorijās</w:t>
      </w:r>
      <w:r>
        <w:rPr>
          <w:i/>
          <w:noProof/>
        </w:rPr>
        <w:t xml:space="preserve"> (Commissario per la ricostruzione nel territorio della regione Emilia Romagna, Toscana e Marche)</w:t>
      </w:r>
      <w:r>
        <w:rPr>
          <w:noProof/>
        </w:rPr>
        <w:t xml:space="preserve">. </w:t>
      </w:r>
    </w:p>
    <w:p w14:paraId="4725BBD8" w14:textId="7A5AA131" w:rsidR="00C972CB" w:rsidRDefault="002457F6">
      <w:pPr>
        <w:spacing w:after="120"/>
        <w:jc w:val="both"/>
        <w:rPr>
          <w:noProof/>
        </w:rPr>
      </w:pPr>
      <w:r>
        <w:rPr>
          <w:noProof/>
        </w:rPr>
        <w:t>Attiecībā uz pirmo darbības virzienu ir jāveic plašs un visaptverošs intervences pasākumu kopums, lai atjaunotu bojātās publiskās str</w:t>
      </w:r>
      <w:r>
        <w:rPr>
          <w:noProof/>
        </w:rPr>
        <w:t>uktūras un infrastruktūru (E tipa intervences) un samazinātu atlikušo risku, kas ir cieši saistīts ar notikumu un galvenokārt vērsts uz sabiedriskās un privātās drošības aizsardzību (D tipa intervences).</w:t>
      </w:r>
    </w:p>
    <w:p w14:paraId="0DA41B06" w14:textId="3E03F363" w:rsidR="00C972CB" w:rsidRDefault="002457F6">
      <w:pPr>
        <w:spacing w:after="120"/>
        <w:jc w:val="both"/>
        <w:rPr>
          <w:noProof/>
        </w:rPr>
      </w:pPr>
      <w:r>
        <w:rPr>
          <w:noProof/>
        </w:rPr>
        <w:t xml:space="preserve">Otrajā darbības virzienā ietilpst ārkārtas komisāra </w:t>
      </w:r>
      <w:r>
        <w:rPr>
          <w:noProof/>
        </w:rPr>
        <w:t xml:space="preserve">noteiktie intervences pasākumi, jo īpaši Ascoli Piceno, Boloņa, Ferrara, Fermo, Firenze, Forli-Cesena, Modena, Pesaro-Urbino, Ravenna, Reggio-Emilia, Rimini provinces. </w:t>
      </w:r>
    </w:p>
    <w:p w14:paraId="6BAD6894" w14:textId="77777777" w:rsidR="00C972CB" w:rsidRDefault="002457F6">
      <w:pPr>
        <w:spacing w:after="120"/>
        <w:jc w:val="both"/>
        <w:rPr>
          <w:noProof/>
        </w:rPr>
      </w:pPr>
      <w:r>
        <w:rPr>
          <w:noProof/>
        </w:rPr>
        <w:t>Intervences attiecas uz:</w:t>
      </w:r>
    </w:p>
    <w:p w14:paraId="7691E6D4" w14:textId="36704C00" w:rsidR="00C972CB" w:rsidRDefault="002457F6">
      <w:pPr>
        <w:pStyle w:val="ListParagraph"/>
        <w:numPr>
          <w:ilvl w:val="0"/>
          <w:numId w:val="96"/>
        </w:numPr>
        <w:spacing w:before="0"/>
        <w:rPr>
          <w:noProof/>
        </w:rPr>
      </w:pPr>
      <w:r>
        <w:rPr>
          <w:noProof/>
        </w:rPr>
        <w:t xml:space="preserve">Pasākumi, lai atjaunotu ūdensceļus un palielinātu aizsardzību </w:t>
      </w:r>
      <w:r>
        <w:rPr>
          <w:noProof/>
        </w:rPr>
        <w:t>pret plūdiem. Intervencēs pēc iespējas iekļauj dabā balstītus risinājumus. Intervencēm būtu arī pēc iespējas jāveicina ilgtspējīgas augsnes un zemes apsaimniekošanas prakses ieviešana, lai atbalstītu augsnes ilgtermiņa noturību, apturētu augsnes degradācij</w:t>
      </w:r>
      <w:r>
        <w:rPr>
          <w:noProof/>
        </w:rPr>
        <w:t>u un mazinātu klimata pārmaiņu ietekmi;</w:t>
      </w:r>
    </w:p>
    <w:p w14:paraId="565156F7" w14:textId="77777777" w:rsidR="00C972CB" w:rsidRDefault="002457F6">
      <w:pPr>
        <w:pStyle w:val="ListParagraph"/>
        <w:numPr>
          <w:ilvl w:val="0"/>
          <w:numId w:val="96"/>
        </w:numPr>
        <w:spacing w:before="0"/>
        <w:contextualSpacing w:val="0"/>
        <w:rPr>
          <w:noProof/>
        </w:rPr>
      </w:pPr>
      <w:r>
        <w:rPr>
          <w:noProof/>
        </w:rPr>
        <w:t>Vietējā un provinces autoceļu tīkla rehabilitācijas pasākumi. Intervences var ietvert tehniskus darbus papildu infrastruktūrām (tostarp tiltiem), kam nodarīts kaitējums un kas ir jālabo;</w:t>
      </w:r>
    </w:p>
    <w:p w14:paraId="098216A1" w14:textId="40871CC8" w:rsidR="00C972CB" w:rsidRDefault="002457F6">
      <w:pPr>
        <w:pStyle w:val="ListParagraph"/>
        <w:numPr>
          <w:ilvl w:val="0"/>
          <w:numId w:val="96"/>
        </w:numPr>
        <w:spacing w:before="0"/>
        <w:rPr>
          <w:noProof/>
        </w:rPr>
      </w:pPr>
      <w:r>
        <w:rPr>
          <w:noProof/>
        </w:rPr>
        <w:t xml:space="preserve">Pasākumi sabiedrisko ēku, </w:t>
      </w:r>
      <w:r>
        <w:rPr>
          <w:noProof/>
        </w:rPr>
        <w:t>tostarp valsts ēku un veselības centru, atjaunošanai.</w:t>
      </w:r>
    </w:p>
    <w:p w14:paraId="5EAACA3F" w14:textId="5F5A5F44" w:rsidR="00C972CB" w:rsidRDefault="002457F6">
      <w:pPr>
        <w:spacing w:after="120"/>
        <w:jc w:val="both"/>
        <w:rPr>
          <w:noProof/>
        </w:rPr>
      </w:pPr>
      <w:r>
        <w:rPr>
          <w:noProof/>
        </w:rPr>
        <w:t>Paredzams, ka šis pasākums nenodarīs būtisku kaitējumu vides mērķiem Regulas (ES) 2020/852 17. panta nozīmē, ņemot vērā pasākuma aprakstu un mazināšanas pasākumus, kas izklāstīti atveseļošanas un noturī</w:t>
      </w:r>
      <w:r>
        <w:rPr>
          <w:noProof/>
        </w:rPr>
        <w:t>bas plānā saskaņā ar Tehniskajiem norādījumiem “nenodari būtisku kaitējumu” (2021/C58/01). Ieguldījums neparedz gāzes katlu uzstādīšanu vai nomaiņu vai transportlīdzekļu iegādi.</w:t>
      </w:r>
    </w:p>
    <w:p w14:paraId="591DAFB9" w14:textId="77777777" w:rsidR="00C972CB" w:rsidRDefault="002457F6">
      <w:pPr>
        <w:pStyle w:val="P68B1DB1-Normal2"/>
        <w:spacing w:before="120" w:after="120" w:line="257" w:lineRule="auto"/>
        <w:jc w:val="both"/>
        <w:rPr>
          <w:noProof/>
        </w:rPr>
      </w:pPr>
      <w:r>
        <w:rPr>
          <w:noProof/>
        </w:rPr>
        <w:t xml:space="preserve">Ieguldījums 3.1.: Pilsētu un piepilsētu mežu aizsardzība un uzlabošana </w:t>
      </w:r>
    </w:p>
    <w:p w14:paraId="62EB2811" w14:textId="6419A415" w:rsidR="00C972CB" w:rsidRDefault="002457F6">
      <w:pPr>
        <w:spacing w:before="120" w:after="120"/>
        <w:jc w:val="both"/>
        <w:rPr>
          <w:noProof/>
        </w:rPr>
      </w:pPr>
      <w:r>
        <w:rPr>
          <w:noProof/>
        </w:rPr>
        <w:t>Šā pas</w:t>
      </w:r>
      <w:r>
        <w:rPr>
          <w:noProof/>
        </w:rPr>
        <w:t>ākuma mērķis ir aizsargāt zaļās zonas un palielināt to skaitu, lai saglabātu un uzlabotu bioloģisko daudzveidību un uzlabotu šo teritoriju iedzīvotāju dzīves kvalitāti. Pasākumus vērš uz Itālijas 14 lielpilsētām, kuras visvairāk pakļautas tādām vides probl</w:t>
      </w:r>
      <w:r>
        <w:rPr>
          <w:noProof/>
        </w:rPr>
        <w:t>ēmām kā gaisa piesārņojums, bioloģiskās daudzveidības zudums vai klimata pārmaiņu ietekme. Meža reproduktīvo materiālu (sēklas vai augus) šajās platībās stāda vismaz</w:t>
      </w:r>
      <w:r>
        <w:rPr>
          <w:noProof/>
          <w:color w:val="006100"/>
          <w:sz w:val="20"/>
        </w:rPr>
        <w:t xml:space="preserve"> </w:t>
      </w:r>
      <w:r>
        <w:rPr>
          <w:noProof/>
        </w:rPr>
        <w:t>4500000</w:t>
      </w:r>
      <w:r>
        <w:rPr>
          <w:noProof/>
          <w:color w:val="006100"/>
          <w:sz w:val="20"/>
        </w:rPr>
        <w:t xml:space="preserve"> </w:t>
      </w:r>
      <w:r>
        <w:rPr>
          <w:noProof/>
        </w:rPr>
        <w:t>koku un krūmu (4500 hektāros), un vismaz 3,5 miljonus koku pārstādī to galamērķī.</w:t>
      </w:r>
    </w:p>
    <w:p w14:paraId="726D0889" w14:textId="77777777" w:rsidR="00C972CB" w:rsidRDefault="002457F6">
      <w:pPr>
        <w:spacing w:before="120" w:after="120"/>
        <w:jc w:val="both"/>
        <w:rPr>
          <w:noProof/>
        </w:rPr>
      </w:pPr>
      <w:r>
        <w:rPr>
          <w:noProof/>
        </w:rPr>
        <w:t>Intervences notiek pēc tam, kad ir pieņemts pilsētvides apmežošanas plāns, kura mērķis ir saglabāt un uzlabot bioloģisko daudzveidību saskaņā ar Eiropas bioloģiskās daudzveidības stratēģiju, samazināt gaisa piesārņojumu lielpilsētu teritorijās un samazināt</w:t>
      </w:r>
      <w:r>
        <w:rPr>
          <w:noProof/>
        </w:rPr>
        <w:t xml:space="preserve"> gaisa kvalitātes pārkāpumu procedūru skaitu. </w:t>
      </w:r>
    </w:p>
    <w:p w14:paraId="5BED7358" w14:textId="77777777" w:rsidR="00C972CB" w:rsidRDefault="002457F6">
      <w:pPr>
        <w:pStyle w:val="P68B1DB1-Normal2"/>
        <w:spacing w:before="120" w:after="120" w:line="257" w:lineRule="auto"/>
        <w:jc w:val="both"/>
        <w:rPr>
          <w:noProof/>
        </w:rPr>
      </w:pPr>
      <w:r>
        <w:rPr>
          <w:noProof/>
        </w:rPr>
        <w:t>Ieguldījums 3.3. — Po zonas atjaunošana</w:t>
      </w:r>
    </w:p>
    <w:p w14:paraId="3F6ECF4F" w14:textId="77777777" w:rsidR="00C972CB" w:rsidRDefault="002457F6">
      <w:pPr>
        <w:spacing w:before="120" w:after="120"/>
        <w:jc w:val="both"/>
        <w:rPr>
          <w:noProof/>
        </w:rPr>
      </w:pPr>
      <w:r>
        <w:rPr>
          <w:noProof/>
        </w:rPr>
        <w:t>Po apgabalam ir raksturīgs pārmērīgs ūdens piesārņojums, augsnes patēriņš un izrakumi upes gultnē kopš 1970. gada. Visas šīs problēmas ir negatīvi ietekmējušas dažas tās</w:t>
      </w:r>
      <w:r>
        <w:rPr>
          <w:noProof/>
        </w:rPr>
        <w:t xml:space="preserve"> dabiskās dzīvotnes un palielinājušas hidroģeoloģisko risku.</w:t>
      </w:r>
    </w:p>
    <w:p w14:paraId="1913E976" w14:textId="77777777" w:rsidR="00C972CB" w:rsidRDefault="002457F6">
      <w:pPr>
        <w:spacing w:before="120" w:after="120"/>
        <w:jc w:val="both"/>
        <w:rPr>
          <w:noProof/>
        </w:rPr>
      </w:pPr>
      <w:r>
        <w:rPr>
          <w:noProof/>
        </w:rPr>
        <w:t>Šā pasākuma mērķis ir atjaunot dabiskos procesus un veicināt bioloģiskās daudzveidības atjaunošanos. Tas nodrošinātu upes atjaunošanu un efektīvāku, ilgtspējīgu un efektīvāku ūdens resursu izmant</w:t>
      </w:r>
      <w:r>
        <w:rPr>
          <w:noProof/>
        </w:rPr>
        <w:t xml:space="preserve">ošanu.  </w:t>
      </w:r>
    </w:p>
    <w:p w14:paraId="2BF00C97" w14:textId="77777777" w:rsidR="00C972CB" w:rsidRDefault="002457F6">
      <w:pPr>
        <w:pStyle w:val="P68B1DB1-Normal2"/>
        <w:spacing w:before="120" w:after="120" w:line="257" w:lineRule="auto"/>
        <w:jc w:val="both"/>
        <w:rPr>
          <w:noProof/>
        </w:rPr>
      </w:pPr>
      <w:r>
        <w:rPr>
          <w:noProof/>
        </w:rPr>
        <w:t>Ieguldījums 3.4. Nezināmu vietu sanācija</w:t>
      </w:r>
    </w:p>
    <w:p w14:paraId="331FC397" w14:textId="77777777" w:rsidR="00C972CB" w:rsidRDefault="002457F6">
      <w:pPr>
        <w:spacing w:before="120" w:after="120"/>
        <w:jc w:val="both"/>
        <w:rPr>
          <w:noProof/>
        </w:rPr>
      </w:pPr>
      <w:r>
        <w:rPr>
          <w:noProof/>
        </w:rPr>
        <w:t xml:space="preserve">Rūpnieciskais piesārņojums ir radījis daudzas tā dēvētās reti sastopamu sugu teritorijas, kas rada būtisku risku veselībai, nopietni ietekmējot attiecīgo iedzīvotāju dzīves kvalitāti. </w:t>
      </w:r>
    </w:p>
    <w:p w14:paraId="649F3D50" w14:textId="77777777" w:rsidR="00C972CB" w:rsidRDefault="002457F6">
      <w:pPr>
        <w:spacing w:before="120" w:after="120"/>
        <w:jc w:val="both"/>
        <w:rPr>
          <w:noProof/>
        </w:rPr>
      </w:pPr>
      <w:r>
        <w:rPr>
          <w:noProof/>
        </w:rPr>
        <w:t>Šīs intervences mērķi</w:t>
      </w:r>
      <w:r>
        <w:rPr>
          <w:noProof/>
        </w:rPr>
        <w:t>s ir atjaunot šo zemi, samazinot ietekmi uz vidi un veicinot aprites ekonomiku. Projektā izmanto labākās pieejamās inovatīvās izpētes tehnoloģijas, lai noteiktu reālās sanācijas vajadzības un ļautu attīstīt šīs teritorijas, tostarp mājokļus.</w:t>
      </w:r>
    </w:p>
    <w:p w14:paraId="4C000E83" w14:textId="77777777" w:rsidR="00C972CB" w:rsidRDefault="002457F6">
      <w:pPr>
        <w:spacing w:before="120" w:after="120"/>
        <w:jc w:val="both"/>
        <w:rPr>
          <w:noProof/>
        </w:rPr>
      </w:pPr>
      <w:r>
        <w:rPr>
          <w:noProof/>
        </w:rPr>
        <w:t>Šis pasākums v</w:t>
      </w:r>
      <w:r>
        <w:rPr>
          <w:noProof/>
        </w:rPr>
        <w:t>ispirms ietver rīcības plāna pieņemšanu pamestu teritoriju atdzīvināšanai, lai samazinātu zemes platību aizņemšanu un veicinātu pilsētvides atjaunošanu. Plānā nosaka nenosakāmās teritorijas visos 21 reģionā un autonomajās provincēs un nosaka konkrētās veic</w:t>
      </w:r>
      <w:r>
        <w:rPr>
          <w:noProof/>
        </w:rPr>
        <w:t>amās intervences.</w:t>
      </w:r>
    </w:p>
    <w:p w14:paraId="3939995F" w14:textId="77777777" w:rsidR="00C972CB" w:rsidRDefault="002457F6">
      <w:pPr>
        <w:pStyle w:val="P68B1DB1-Normal2"/>
        <w:spacing w:before="120" w:after="120" w:line="257" w:lineRule="auto"/>
        <w:jc w:val="both"/>
        <w:rPr>
          <w:noProof/>
        </w:rPr>
      </w:pPr>
      <w:r>
        <w:rPr>
          <w:noProof/>
        </w:rPr>
        <w:t>Ieguldījums 3.5. Jūras gultnes un jūras dzīvotņu atjaunošana un aizsardzība</w:t>
      </w:r>
    </w:p>
    <w:p w14:paraId="71BDACEC" w14:textId="77777777" w:rsidR="00C972CB" w:rsidRDefault="002457F6">
      <w:pPr>
        <w:spacing w:before="120" w:after="120"/>
        <w:jc w:val="both"/>
        <w:rPr>
          <w:noProof/>
        </w:rPr>
      </w:pPr>
      <w:r>
        <w:rPr>
          <w:noProof/>
        </w:rPr>
        <w:t>Šis pasākums ietver plaša mēroga darbības jūras gultnes un jūras dzīvotņu atjaunošanai un aizsardzībai, kuru mērķis ir novērst šo ekosistēmu pašreizējo degradācij</w:t>
      </w:r>
      <w:r>
        <w:rPr>
          <w:noProof/>
        </w:rPr>
        <w:t xml:space="preserve">u. </w:t>
      </w:r>
    </w:p>
    <w:p w14:paraId="149FCAA7" w14:textId="1502CBC4" w:rsidR="00C972CB" w:rsidRDefault="002457F6">
      <w:pPr>
        <w:spacing w:before="120" w:after="120"/>
        <w:jc w:val="both"/>
        <w:rPr>
          <w:noProof/>
        </w:rPr>
      </w:pPr>
      <w:r>
        <w:rPr>
          <w:noProof/>
        </w:rPr>
        <w:t>Konkrētās īstenojamās darbības ietver jūras gultnes dzīvotņu pienācīgas kartēšanas izstrādi un vides monitoringu. Lai nodrošinātu plaša mēroga atjaunošanas un aizsardzības pasākumu pienācīgu plānošanu un īstenošanu, tiek stiprināta nacionālā jūras un p</w:t>
      </w:r>
      <w:r>
        <w:rPr>
          <w:noProof/>
        </w:rPr>
        <w:t>iekrastes ekosistēmu pētniecības un novērošanas sistēma. Turklāt uzlabo jūras novērošanas platformas, lai palielinātu tehnisko un zinātnisko spēju uzraudzīt jūras vidi un jo īpaši lai novērtētu aizsardzības un pārvaldības pasākumu efektivitāti saskaņā ar k</w:t>
      </w:r>
      <w:r>
        <w:rPr>
          <w:noProof/>
        </w:rPr>
        <w:t>limata pārmaiņu scenāriju. Šādi ieguldījumi ļaus sistemātiski un visaptveroši kartēt jutīgās dzīvotnes Itālijas jūras ūdeņos, lai īstenotu vides atjaunošanu un aizsargājamo teritoriju noteikšanu saskaņā ar 2013. gada ES bioloģiskās daudzveidības stratēģiju</w:t>
      </w:r>
      <w:r>
        <w:rPr>
          <w:noProof/>
        </w:rPr>
        <w:t xml:space="preserve"> un Jūras stratēģijas pamatdirektīvu. </w:t>
      </w:r>
    </w:p>
    <w:p w14:paraId="512E3851" w14:textId="77777777" w:rsidR="00C972CB" w:rsidRDefault="002457F6">
      <w:pPr>
        <w:spacing w:before="120" w:after="120"/>
        <w:jc w:val="both"/>
        <w:rPr>
          <w:noProof/>
        </w:rPr>
      </w:pPr>
      <w:r>
        <w:rPr>
          <w:noProof/>
        </w:rPr>
        <w:t>Paredzams, ka šis pasākums neradīs būtisku kaitējumu vides mērķiem Regulas (ES) 2020/852 17. panta nozīmē, ņemot vērā pasākuma aprakstu un atveseļošanas un noturības plānā izklāstītos riska mazināšanas pasākumus saska</w:t>
      </w:r>
      <w:r>
        <w:rPr>
          <w:noProof/>
        </w:rPr>
        <w:t>ņā ar DNSH tehniskajiem norādījumiem (2021/C58/01). Veicot pētījumus par jūras ekosistēmām, pasākums var ietvert zinātniskā aprīkojuma un/vai kuģu iegādi. Jo īpaši jaunizbūvētie kuģi izmantos vismodernākās pieejamās tehnoloģijas, pēc iespējas nodrošinot pi</w:t>
      </w:r>
      <w:r>
        <w:rPr>
          <w:noProof/>
        </w:rPr>
        <w:t>esārņojuma novēršanu un kontroli.</w:t>
      </w:r>
    </w:p>
    <w:p w14:paraId="7533587C" w14:textId="77777777" w:rsidR="00C972CB" w:rsidRDefault="002457F6">
      <w:pPr>
        <w:pStyle w:val="P68B1DB1-Normal2"/>
        <w:spacing w:before="120" w:after="120" w:line="257" w:lineRule="auto"/>
        <w:jc w:val="both"/>
        <w:rPr>
          <w:rFonts w:eastAsia="Calibri"/>
          <w:noProof/>
        </w:rPr>
      </w:pPr>
      <w:r>
        <w:rPr>
          <w:noProof/>
        </w:rPr>
        <w:t>Reforma. Tiesību aktu vienkāršošana un pārvaldības stiprināšana, lai īstenotu ieguldījumus ūdensapgādes infrastruktūrās</w:t>
      </w:r>
    </w:p>
    <w:p w14:paraId="4DD67DD0" w14:textId="77777777" w:rsidR="00C972CB" w:rsidRDefault="002457F6">
      <w:pPr>
        <w:pStyle w:val="P68B1DB1-Paragrafoelenco130"/>
        <w:spacing w:after="120" w:line="240" w:lineRule="auto"/>
        <w:ind w:left="0"/>
        <w:jc w:val="both"/>
        <w:rPr>
          <w:noProof/>
        </w:rPr>
      </w:pPr>
      <w:r>
        <w:rPr>
          <w:noProof/>
        </w:rPr>
        <w:t>Pašreizējais tiesiskais regulējums un pašreizējā pārvaldības sadrumstalotība negatīvi ietekmē spēju pl</w:t>
      </w:r>
      <w:r>
        <w:rPr>
          <w:noProof/>
        </w:rPr>
        <w:t xml:space="preserve">ānot un īstenot ieguldījumus ūdensapgādes infrastruktūrās. </w:t>
      </w:r>
    </w:p>
    <w:p w14:paraId="38A57CA3" w14:textId="77777777" w:rsidR="00C972CB" w:rsidRDefault="002457F6">
      <w:pPr>
        <w:suppressAutoHyphens/>
        <w:jc w:val="both"/>
        <w:rPr>
          <w:noProof/>
        </w:rPr>
      </w:pPr>
      <w:r>
        <w:rPr>
          <w:noProof/>
        </w:rPr>
        <w:t>Šīs reformas mērķis ir vienkāršot un padarīt efektīvāku tiesisko regulējumu un vajadzības gadījumā sniegt palīdzību īstenošanas struktūrām, kurām nav pietiekamu spēju veikt un pabeigt šos ieguldīj</w:t>
      </w:r>
      <w:r>
        <w:rPr>
          <w:noProof/>
        </w:rPr>
        <w:t>umus sākotnēji noteiktajā termiņā.</w:t>
      </w:r>
    </w:p>
    <w:p w14:paraId="3FAB5E85" w14:textId="77777777" w:rsidR="00C972CB" w:rsidRDefault="00C972CB">
      <w:pPr>
        <w:pStyle w:val="Paragrafoelenco1"/>
        <w:spacing w:after="120" w:line="240" w:lineRule="auto"/>
        <w:ind w:left="0"/>
        <w:jc w:val="both"/>
        <w:rPr>
          <w:noProof/>
          <w:color w:val="auto"/>
          <w:sz w:val="24"/>
        </w:rPr>
      </w:pPr>
    </w:p>
    <w:p w14:paraId="2C55DDF9" w14:textId="77777777" w:rsidR="00C972CB" w:rsidRDefault="002457F6">
      <w:pPr>
        <w:pStyle w:val="P68B1DB1-Paragrafoelenco130"/>
        <w:spacing w:after="120" w:line="240" w:lineRule="auto"/>
        <w:ind w:left="0"/>
        <w:jc w:val="both"/>
        <w:rPr>
          <w:noProof/>
        </w:rPr>
      </w:pPr>
      <w:r>
        <w:rPr>
          <w:noProof/>
        </w:rPr>
        <w:t xml:space="preserve">Galvenie pasākumi, kas plānoti šo mērķu sasniegšanai, galvenokārt ir i) izveidojot centrālu publiskā finansējuma instrumentu ieguldījumiem ūdensapgādes nozarē, kas apvieno resursus, kuri pašlaik ir diezgan izkliedēti; </w:t>
      </w:r>
      <w:r>
        <w:rPr>
          <w:noProof/>
        </w:rPr>
        <w:t>vienkāršot procedūras ziņošanai par finansētajiem ieguldījumiem un to uzraudzībai, iii) regulatora turpmāka iesaistīšana veicamo ieguldījumu plānošanā un iespējamā plāna pārskatīšanā.</w:t>
      </w:r>
    </w:p>
    <w:p w14:paraId="75316222" w14:textId="77777777" w:rsidR="00C972CB" w:rsidRDefault="002457F6">
      <w:pPr>
        <w:pStyle w:val="P68B1DB1-Paragrafoelenco130"/>
        <w:spacing w:after="120" w:line="240" w:lineRule="auto"/>
        <w:ind w:left="0"/>
        <w:jc w:val="both"/>
        <w:rPr>
          <w:rFonts w:eastAsia="SimSun"/>
          <w:i/>
          <w:noProof/>
          <w:u w:val="single"/>
        </w:rPr>
      </w:pPr>
      <w:r>
        <w:rPr>
          <w:noProof/>
        </w:rPr>
        <w:t xml:space="preserve">Infrastruktūras un transporta ministrija iesniedz reformas priekšlikumu attiecībā uz ūdensapgādes nozari. </w:t>
      </w:r>
    </w:p>
    <w:p w14:paraId="028EB9E7" w14:textId="77777777" w:rsidR="00C972CB" w:rsidRDefault="002457F6">
      <w:pPr>
        <w:pStyle w:val="P68B1DB1-Normal2"/>
        <w:spacing w:before="120" w:after="120" w:line="257" w:lineRule="auto"/>
        <w:jc w:val="both"/>
        <w:rPr>
          <w:noProof/>
        </w:rPr>
      </w:pPr>
      <w:r>
        <w:rPr>
          <w:noProof/>
        </w:rPr>
        <w:t>Ieguldījums. Pamatūdens infrastruktūra ūdensapgādes drošībai</w:t>
      </w:r>
    </w:p>
    <w:p w14:paraId="387E76A9" w14:textId="77777777" w:rsidR="00C972CB" w:rsidRDefault="002457F6">
      <w:pPr>
        <w:spacing w:before="120" w:after="120"/>
        <w:jc w:val="both"/>
        <w:rPr>
          <w:noProof/>
        </w:rPr>
      </w:pPr>
      <w:r>
        <w:rPr>
          <w:noProof/>
        </w:rPr>
        <w:t>Šā pasākuma mērķis ir nodrošināt ūdensapgādes drošību svarīgās pilsētu teritorijās un li</w:t>
      </w:r>
      <w:r>
        <w:rPr>
          <w:noProof/>
        </w:rPr>
        <w:t>elās apūdeņotās teritorijās, palielināt tīkla drošumu un noturību un uzlabot ūdens transportēšanas jaudu. Pasākumi aptver visu valsts teritoriju, īpašu uzmanību pievēršot lielākām iekārtām valsts dienvidos.</w:t>
      </w:r>
    </w:p>
    <w:p w14:paraId="669AFD86" w14:textId="77777777" w:rsidR="00C972CB" w:rsidRDefault="002457F6">
      <w:pPr>
        <w:spacing w:before="120" w:after="120"/>
        <w:jc w:val="both"/>
        <w:rPr>
          <w:noProof/>
        </w:rPr>
      </w:pPr>
      <w:r>
        <w:rPr>
          <w:noProof/>
        </w:rPr>
        <w:t>Paredzams, ka šis pasākums nenodarīs būtisku kait</w:t>
      </w:r>
      <w:r>
        <w:rPr>
          <w:noProof/>
        </w:rPr>
        <w:t>ējumu vides mērķiem Regulas (ES) 2020/852 17. panta nozīmē, ņemot vērā pasākuma aprakstu un mazināšanas pasākumus, kas izklāstīti atveseļošanas un noturības plānā saskaņā ar Tehniskajiem norādījumiem “nenodari būtisku kaitējumu” (2021/C58/01). Jo īpaši att</w:t>
      </w:r>
      <w:r>
        <w:rPr>
          <w:noProof/>
        </w:rPr>
        <w:t xml:space="preserve">iecībā uz katru apakšieguldījumu nodrošina pilnīgu atbilstību ES tiesību aktu prasībām, tostarp Ūdens pamatdirektīvai, pirms būvdarbu sākšanas, tās laikā un pēc tās. Turklāt uz apakšpasākumiem attiecīgā gadījumā attiecas ietekmes uz vidi novērtējums (IVN) </w:t>
      </w:r>
      <w:r>
        <w:rPr>
          <w:noProof/>
        </w:rPr>
        <w:t>saskaņā ar Direktīvu 2011/92/ES, kā arī attiecīgie novērtējumi saistībā ar Direktīvu 2000/60/EK un Direktīvu 92/43/EEK, tostarp nepieciešamo ietekmes mazināšanas pasākumu īstenošana. Pasākums neietver jaunu dambju būvniecību, bet tikai esošo dambju uzlaboš</w:t>
      </w:r>
      <w:r>
        <w:rPr>
          <w:noProof/>
        </w:rPr>
        <w:t>anu; plānoto intervenču ietekmē uz esošajiem darbiem ir ņemti vērā scenāriji, kuros attiecīgā upe paliek dabiskā stāvoklī, kas mainīts būvdarbu būvniecības laikā. Visām plānotajām apakšintervencēm, tostarp tām, kas attiecas uz esošajiem dambjiem, ir jāatbi</w:t>
      </w:r>
      <w:r>
        <w:rPr>
          <w:noProof/>
        </w:rPr>
        <w:t>lst vides atļauju piešķiršanas procesam, kas paredzēts valsts un Savienības tiesību aktos.</w:t>
      </w:r>
    </w:p>
    <w:p w14:paraId="62FCDD23" w14:textId="77777777" w:rsidR="00C972CB" w:rsidRDefault="002457F6">
      <w:pPr>
        <w:pStyle w:val="P68B1DB1-Normal2"/>
        <w:spacing w:before="120" w:after="120" w:line="257" w:lineRule="auto"/>
        <w:jc w:val="both"/>
        <w:rPr>
          <w:noProof/>
        </w:rPr>
      </w:pPr>
      <w:r>
        <w:rPr>
          <w:noProof/>
        </w:rPr>
        <w:t>Ieguldījums 4.2. Zudumu samazināšana ūdens sadales tīklos, tostarp tīklu digitalizācija un monitorings</w:t>
      </w:r>
    </w:p>
    <w:p w14:paraId="19BC714B" w14:textId="77777777" w:rsidR="00C972CB" w:rsidRDefault="002457F6">
      <w:pPr>
        <w:spacing w:before="120" w:after="120"/>
        <w:jc w:val="both"/>
        <w:rPr>
          <w:noProof/>
        </w:rPr>
      </w:pPr>
      <w:r>
        <w:rPr>
          <w:noProof/>
        </w:rPr>
        <w:t>Sadrumstalotā un neefektīva ūdens resursu apsaimniekošana ir i</w:t>
      </w:r>
      <w:r>
        <w:rPr>
          <w:noProof/>
        </w:rPr>
        <w:t>zraisījusi ievērojamas ūdens noplūdes, valsts dienvidos vidēji pārsniedzot 40 % un vairāk nekā 50 %. Šā projekta mērķis ir ievērojami samazināt dzeramā ūdens zudumus, modernizējot un modernizējot ūdens sadales tīklus, izmantojot progresīvas kontroles sistē</w:t>
      </w:r>
      <w:r>
        <w:rPr>
          <w:noProof/>
        </w:rPr>
        <w:t>mas, kas ļauj uzraudzīt tīkla galvenos mezglus un visjutīgākos punktus.</w:t>
      </w:r>
    </w:p>
    <w:p w14:paraId="6D52FB19" w14:textId="77777777" w:rsidR="00C972CB" w:rsidRDefault="002457F6">
      <w:pPr>
        <w:pStyle w:val="P68B1DB1-Normal2"/>
        <w:spacing w:before="120" w:after="120" w:line="257" w:lineRule="auto"/>
        <w:jc w:val="both"/>
        <w:rPr>
          <w:noProof/>
        </w:rPr>
      </w:pPr>
      <w:r>
        <w:rPr>
          <w:noProof/>
        </w:rPr>
        <w:t xml:space="preserve">Ieguldījums 4.3. Investīcijas apūdeņošanas agrosistēmas noturībā labākai ūdens resursu apsaimniekošanai </w:t>
      </w:r>
    </w:p>
    <w:p w14:paraId="2377D868" w14:textId="77777777" w:rsidR="00C972CB" w:rsidRDefault="002457F6">
      <w:pPr>
        <w:spacing w:before="120" w:after="120" w:line="257" w:lineRule="auto"/>
        <w:jc w:val="both"/>
        <w:rPr>
          <w:noProof/>
        </w:rPr>
      </w:pPr>
      <w:r>
        <w:rPr>
          <w:noProof/>
        </w:rPr>
        <w:t>Šā pasākuma mērķis ir palielināt apūdeņošanas sistēmu efektivitāti, attīstot in</w:t>
      </w:r>
      <w:r>
        <w:rPr>
          <w:noProof/>
        </w:rPr>
        <w:t>ovatīvu un digitalizētu infrastruktūru ilgtspējīgākai lauksaimniecības nozarei, kā arī labāk pielāgojoties klimata pārmaiņām. Investīcijas galvenokārt ietver apūdeņošanas sistēmu pārveidošanu par augstākas efektivitātes sistēmām; sadales tīklu pielāgošana,</w:t>
      </w:r>
      <w:r>
        <w:rPr>
          <w:noProof/>
        </w:rPr>
        <w:t xml:space="preserve"> lai samazinātu zaudējumus; tādu tehnoloģiju uzstādīšana ūdens resursu efektīvai izmantošanai kā skaitītāji un tālvadība. Atbalstītā ieguldījuma ietvaros ievieš ūdens mērīšanu, kas ļauj mērīt ūdeni.</w:t>
      </w:r>
    </w:p>
    <w:p w14:paraId="47B5DE08" w14:textId="77777777" w:rsidR="00C972CB" w:rsidRDefault="002457F6">
      <w:pPr>
        <w:spacing w:before="120" w:after="120" w:line="257" w:lineRule="auto"/>
        <w:jc w:val="both"/>
        <w:rPr>
          <w:noProof/>
        </w:rPr>
      </w:pPr>
      <w:r>
        <w:rPr>
          <w:noProof/>
        </w:rPr>
        <w:t>Paredzams, ka šis pasākums nenodarīs būtisku kaitējumu vi</w:t>
      </w:r>
      <w:r>
        <w:rPr>
          <w:noProof/>
        </w:rPr>
        <w:t>des mērķiem Regulas (ES) 2020/852 17. panta nozīmē, ņemot vērā pasākuma aprakstu un mazināšanas pasākumus, kas izklāstīti atveseļošanas un noturības plānā saskaņā ar Tehniskajiem norādījumiem “nenodari būtisku kaitējumu” (2021/C58/01). Jo īpaši attiecībā u</w:t>
      </w:r>
      <w:r>
        <w:rPr>
          <w:noProof/>
        </w:rPr>
        <w:t>z katru apakšieguldījumu nodrošina pilnīgu atbilstību ES tiesību aktu prasībām, tostarp Ūdens pamatdirektīvai, pirms būvdarbu sākšanas, tās laikā un pēc tās. Turklāt uz projektiem, ja tas ir piemērojams saskaņā ar valsts tiesību aktiem, attiecas ietekmes u</w:t>
      </w:r>
      <w:r>
        <w:rPr>
          <w:noProof/>
        </w:rPr>
        <w:t>z vidi novērtējums (IVN) saskaņā ar Direktīvu 2011/92/ES, kā arī attiecīgie novērtējumi saistībā ar Direktīvu 2000/60/EK un Direktīvu 92/43/EEK, tostarp nepieciešamo ietekmes mazināšanas pasākumu īstenošana.</w:t>
      </w:r>
    </w:p>
    <w:p w14:paraId="2713A0FD" w14:textId="77777777" w:rsidR="00C972CB" w:rsidRDefault="00C972CB">
      <w:pPr>
        <w:spacing w:before="120" w:after="120" w:line="257" w:lineRule="auto"/>
        <w:jc w:val="both"/>
        <w:rPr>
          <w:b/>
          <w:noProof/>
        </w:rPr>
      </w:pPr>
    </w:p>
    <w:p w14:paraId="3713D9B6" w14:textId="77777777" w:rsidR="00C972CB" w:rsidRDefault="002457F6">
      <w:pPr>
        <w:pStyle w:val="P68B1DB1-Normal2"/>
        <w:spacing w:before="120" w:after="120" w:line="257" w:lineRule="auto"/>
        <w:jc w:val="both"/>
        <w:rPr>
          <w:noProof/>
        </w:rPr>
      </w:pPr>
      <w:r>
        <w:rPr>
          <w:noProof/>
        </w:rPr>
        <w:t>Ieguldījums 4.4. Kanalizācija un attīrīšana</w:t>
      </w:r>
    </w:p>
    <w:p w14:paraId="0F93DFC1" w14:textId="77777777" w:rsidR="00C972CB" w:rsidRDefault="002457F6">
      <w:pPr>
        <w:spacing w:before="120" w:after="120"/>
        <w:jc w:val="both"/>
        <w:rPr>
          <w:noProof/>
        </w:rPr>
      </w:pPr>
      <w:r>
        <w:rPr>
          <w:noProof/>
        </w:rPr>
        <w:t>Ūde</w:t>
      </w:r>
      <w:r>
        <w:rPr>
          <w:noProof/>
        </w:rPr>
        <w:t xml:space="preserve">ns sistēmās ir būtiskas nepilnības attiecībā uz kanalizācijas un attīrīšanas sistēmām, par ko liecina daudzās valsts aglomerācijās uzsākto pienākumu neizpildes procedūru skaits par Savienības tiesību aktu neievērošanu. </w:t>
      </w:r>
    </w:p>
    <w:p w14:paraId="36FBB147" w14:textId="77777777" w:rsidR="00C972CB" w:rsidRDefault="002457F6">
      <w:pPr>
        <w:tabs>
          <w:tab w:val="left" w:pos="720"/>
        </w:tabs>
        <w:spacing w:before="120" w:after="120"/>
        <w:jc w:val="both"/>
        <w:rPr>
          <w:noProof/>
        </w:rPr>
      </w:pPr>
      <w:r>
        <w:rPr>
          <w:noProof/>
        </w:rPr>
        <w:t>Šā pasākuma mērķis ir veikt ieguldīj</w:t>
      </w:r>
      <w:r>
        <w:rPr>
          <w:noProof/>
        </w:rPr>
        <w:t>umus, kas padarītu efektīvāku jūras un iekšzemes ūdeņos novadīto notekūdeņu attīrīšanu un, ja iespējams, pārveidot attīrīšanas iekārtas par “zaļām rūpnīcām”, lai attīrītus notekūdeņus atkalizmantotu apūdeņošanas un rūpniecības vajadzībām. Paredzams, ka šie</w:t>
      </w:r>
      <w:r>
        <w:rPr>
          <w:noProof/>
        </w:rPr>
        <w:t xml:space="preserve"> ieguldījumi palīdz samazināt to aglomerāciju skaitu, kurās ir vājas kanalizācijas un attīrīšanas sistēmas.</w:t>
      </w:r>
    </w:p>
    <w:p w14:paraId="70CCB32D" w14:textId="77777777" w:rsidR="00C972CB" w:rsidRDefault="00C972CB">
      <w:pPr>
        <w:tabs>
          <w:tab w:val="left" w:pos="720"/>
        </w:tabs>
        <w:spacing w:before="120" w:after="120"/>
        <w:jc w:val="both"/>
        <w:rPr>
          <w:noProof/>
        </w:rPr>
      </w:pPr>
    </w:p>
    <w:p w14:paraId="7802C300" w14:textId="77777777" w:rsidR="00C972CB" w:rsidRDefault="002457F6">
      <w:pPr>
        <w:pStyle w:val="Heading3"/>
        <w:numPr>
          <w:ilvl w:val="0"/>
          <w:numId w:val="0"/>
        </w:numPr>
        <w:ind w:left="850" w:hanging="850"/>
        <w:rPr>
          <w:rStyle w:val="SubtleEmphasis"/>
          <w:b/>
          <w:i/>
          <w:noProof/>
          <w:u w:val="single"/>
        </w:rPr>
      </w:pPr>
      <w:r>
        <w:rPr>
          <w:rStyle w:val="SubtleEmphasis"/>
          <w:b/>
          <w:noProof/>
          <w:u w:val="single"/>
        </w:rPr>
        <w:t xml:space="preserve">G.4. </w:t>
      </w:r>
      <w:r>
        <w:rPr>
          <w:noProof/>
        </w:rPr>
        <w:tab/>
      </w:r>
      <w:r>
        <w:rPr>
          <w:rStyle w:val="SubtleEmphasis"/>
          <w:b/>
          <w:noProof/>
          <w:u w:val="single"/>
        </w:rPr>
        <w:t xml:space="preserve">Atskaites punkti, mērķrādītāji, citi rādītāji un aizdevuma uzraudzības un īstenošanas grafiks </w:t>
      </w:r>
    </w:p>
    <w:p w14:paraId="1CFFC85E" w14:textId="77777777" w:rsidR="00C972CB" w:rsidRDefault="00C972CB">
      <w:pPr>
        <w:spacing w:before="120" w:after="120"/>
        <w:ind w:left="709"/>
        <w:contextualSpacing/>
        <w:jc w:val="both"/>
        <w:rPr>
          <w:noProof/>
        </w:rPr>
        <w:sectPr w:rsidR="00C972CB" w:rsidSect="001354D1">
          <w:headerReference w:type="even" r:id="rId176"/>
          <w:headerReference w:type="default" r:id="rId177"/>
          <w:footerReference w:type="even" r:id="rId178"/>
          <w:footerReference w:type="default" r:id="rId179"/>
          <w:headerReference w:type="first" r:id="rId180"/>
          <w:footerReference w:type="first" r:id="rId181"/>
          <w:pgSz w:w="11907" w:h="16839"/>
          <w:pgMar w:top="1134" w:right="1134" w:bottom="1134" w:left="1134" w:header="567" w:footer="567" w:gutter="0"/>
          <w:cols w:space="720"/>
          <w:docGrid w:linePitch="360"/>
        </w:sectPr>
      </w:pP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560"/>
        <w:gridCol w:w="1775"/>
        <w:gridCol w:w="1559"/>
        <w:gridCol w:w="1520"/>
        <w:gridCol w:w="1201"/>
        <w:gridCol w:w="1420"/>
        <w:gridCol w:w="1265"/>
        <w:gridCol w:w="1027"/>
        <w:gridCol w:w="638"/>
        <w:gridCol w:w="4116"/>
      </w:tblGrid>
      <w:tr w:rsidR="00C972CB" w14:paraId="7BEA3FF8" w14:textId="77777777">
        <w:trPr>
          <w:trHeight w:val="591"/>
          <w:tblHeader/>
          <w:jc w:val="center"/>
        </w:trPr>
        <w:tc>
          <w:tcPr>
            <w:tcW w:w="1130" w:type="dxa"/>
            <w:vMerge w:val="restart"/>
            <w:shd w:val="clear" w:color="auto" w:fill="B8CCE4" w:themeFill="accent1" w:themeFillTint="66"/>
            <w:noWrap/>
            <w:vAlign w:val="center"/>
          </w:tcPr>
          <w:p w14:paraId="1BB6913F" w14:textId="77777777" w:rsidR="00C972CB" w:rsidRDefault="002457F6">
            <w:pPr>
              <w:pStyle w:val="P68B1DB1-Normal9"/>
              <w:jc w:val="center"/>
              <w:rPr>
                <w:noProof/>
              </w:rPr>
            </w:pPr>
            <w:r>
              <w:rPr>
                <w:noProof/>
              </w:rPr>
              <w:t>Kārtas numurs</w:t>
            </w:r>
          </w:p>
        </w:tc>
        <w:tc>
          <w:tcPr>
            <w:tcW w:w="1560" w:type="dxa"/>
            <w:vMerge w:val="restart"/>
            <w:shd w:val="clear" w:color="auto" w:fill="B8CCE4" w:themeFill="accent1" w:themeFillTint="66"/>
            <w:noWrap/>
            <w:vAlign w:val="center"/>
          </w:tcPr>
          <w:p w14:paraId="45EEE239" w14:textId="77777777" w:rsidR="00C972CB" w:rsidRDefault="002457F6">
            <w:pPr>
              <w:pStyle w:val="P68B1DB1-Normal9"/>
              <w:jc w:val="center"/>
              <w:rPr>
                <w:noProof/>
              </w:rPr>
            </w:pPr>
            <w:r>
              <w:rPr>
                <w:noProof/>
              </w:rPr>
              <w:t>Pasākums (reforma vai investīcija)</w:t>
            </w:r>
          </w:p>
        </w:tc>
        <w:tc>
          <w:tcPr>
            <w:tcW w:w="1134" w:type="dxa"/>
            <w:vMerge w:val="restart"/>
            <w:shd w:val="clear" w:color="auto" w:fill="B8CCE4" w:themeFill="accent1" w:themeFillTint="66"/>
            <w:noWrap/>
            <w:vAlign w:val="center"/>
          </w:tcPr>
          <w:p w14:paraId="7869715B" w14:textId="77777777" w:rsidR="00C972CB" w:rsidRDefault="002457F6">
            <w:pPr>
              <w:pStyle w:val="P68B1DB1-Normal9"/>
              <w:jc w:val="center"/>
              <w:rPr>
                <w:noProof/>
              </w:rPr>
            </w:pPr>
            <w:r>
              <w:rPr>
                <w:noProof/>
              </w:rPr>
              <w:t>Atskaites punkts/mērķrādītājs</w:t>
            </w:r>
          </w:p>
        </w:tc>
        <w:tc>
          <w:tcPr>
            <w:tcW w:w="1559" w:type="dxa"/>
            <w:vMerge w:val="restart"/>
            <w:shd w:val="clear" w:color="auto" w:fill="B8CCE4" w:themeFill="accent1" w:themeFillTint="66"/>
            <w:noWrap/>
            <w:vAlign w:val="center"/>
          </w:tcPr>
          <w:p w14:paraId="002EA94C" w14:textId="77777777" w:rsidR="00C972CB" w:rsidRDefault="002457F6">
            <w:pPr>
              <w:pStyle w:val="P68B1DB1-Normal9"/>
              <w:jc w:val="center"/>
              <w:rPr>
                <w:noProof/>
              </w:rPr>
            </w:pPr>
            <w:r>
              <w:rPr>
                <w:noProof/>
              </w:rPr>
              <w:t>Uzvārds</w:t>
            </w:r>
          </w:p>
        </w:tc>
        <w:tc>
          <w:tcPr>
            <w:tcW w:w="1383" w:type="dxa"/>
            <w:vMerge w:val="restart"/>
            <w:shd w:val="clear" w:color="auto" w:fill="B8CCE4" w:themeFill="accent1" w:themeFillTint="66"/>
            <w:noWrap/>
            <w:vAlign w:val="center"/>
          </w:tcPr>
          <w:p w14:paraId="19217831"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578" w:type="dxa"/>
            <w:gridSpan w:val="3"/>
            <w:shd w:val="clear" w:color="auto" w:fill="B8CCE4" w:themeFill="accent1" w:themeFillTint="66"/>
            <w:noWrap/>
            <w:vAlign w:val="center"/>
          </w:tcPr>
          <w:p w14:paraId="340CB064" w14:textId="77777777" w:rsidR="00C972CB" w:rsidRDefault="002457F6">
            <w:pPr>
              <w:pStyle w:val="P68B1DB1-Normal10"/>
              <w:jc w:val="center"/>
              <w:rPr>
                <w:noProof/>
                <w:sz w:val="20"/>
              </w:rPr>
            </w:pPr>
            <w:r>
              <w:rPr>
                <w:b/>
                <w:noProof/>
                <w:sz w:val="20"/>
              </w:rPr>
              <w:t>Kvantitatīvie rādītāji</w:t>
            </w:r>
            <w:r>
              <w:rPr>
                <w:noProof/>
              </w:rPr>
              <w:t xml:space="preserve"> </w:t>
            </w:r>
            <w:r>
              <w:rPr>
                <w:noProof/>
              </w:rPr>
              <w:br/>
            </w:r>
            <w:r>
              <w:rPr>
                <w:b/>
                <w:noProof/>
                <w:sz w:val="20"/>
              </w:rPr>
              <w:t>(mērķiem)</w:t>
            </w:r>
          </w:p>
        </w:tc>
        <w:tc>
          <w:tcPr>
            <w:tcW w:w="1554" w:type="dxa"/>
            <w:gridSpan w:val="2"/>
            <w:shd w:val="clear" w:color="auto" w:fill="B8CCE4" w:themeFill="accent1" w:themeFillTint="66"/>
            <w:noWrap/>
            <w:vAlign w:val="center"/>
          </w:tcPr>
          <w:p w14:paraId="65D7C433" w14:textId="77777777" w:rsidR="00C972CB" w:rsidRDefault="002457F6">
            <w:pPr>
              <w:pStyle w:val="P68B1DB1-Normal9"/>
              <w:jc w:val="center"/>
              <w:rPr>
                <w:noProof/>
              </w:rPr>
            </w:pPr>
            <w:r>
              <w:rPr>
                <w:noProof/>
              </w:rPr>
              <w:t>Orientējošs pabeigšanas termiņš</w:t>
            </w:r>
          </w:p>
        </w:tc>
        <w:tc>
          <w:tcPr>
            <w:tcW w:w="4116" w:type="dxa"/>
            <w:vMerge w:val="restart"/>
            <w:shd w:val="clear" w:color="auto" w:fill="B8CCE4" w:themeFill="accent1" w:themeFillTint="66"/>
            <w:noWrap/>
            <w:vAlign w:val="center"/>
          </w:tcPr>
          <w:p w14:paraId="218EBCB5" w14:textId="77777777" w:rsidR="00C972CB" w:rsidRDefault="002457F6">
            <w:pPr>
              <w:pStyle w:val="P68B1DB1-Normal9"/>
              <w:jc w:val="center"/>
              <w:rPr>
                <w:noProof/>
              </w:rPr>
            </w:pPr>
            <w:r>
              <w:rPr>
                <w:noProof/>
              </w:rPr>
              <w:t>Apraksts par katru atska</w:t>
            </w:r>
            <w:r>
              <w:rPr>
                <w:noProof/>
              </w:rPr>
              <w:t>ites punktu un mērķrādītāju</w:t>
            </w:r>
          </w:p>
        </w:tc>
      </w:tr>
      <w:tr w:rsidR="00C972CB" w14:paraId="213CAAFE" w14:textId="77777777">
        <w:trPr>
          <w:trHeight w:val="591"/>
          <w:tblHeader/>
          <w:jc w:val="center"/>
        </w:trPr>
        <w:tc>
          <w:tcPr>
            <w:tcW w:w="1130" w:type="dxa"/>
            <w:vMerge/>
            <w:noWrap/>
            <w:vAlign w:val="center"/>
          </w:tcPr>
          <w:p w14:paraId="64A51397" w14:textId="77777777" w:rsidR="00C972CB" w:rsidRDefault="00C972CB">
            <w:pPr>
              <w:jc w:val="center"/>
              <w:rPr>
                <w:rFonts w:ascii="Arial Narrow" w:hAnsi="Arial Narrow"/>
                <w:b/>
                <w:noProof/>
                <w:sz w:val="20"/>
              </w:rPr>
            </w:pPr>
          </w:p>
        </w:tc>
        <w:tc>
          <w:tcPr>
            <w:tcW w:w="1560" w:type="dxa"/>
            <w:vMerge/>
            <w:noWrap/>
            <w:vAlign w:val="center"/>
          </w:tcPr>
          <w:p w14:paraId="2BED637F" w14:textId="77777777" w:rsidR="00C972CB" w:rsidRDefault="00C972CB">
            <w:pPr>
              <w:jc w:val="center"/>
              <w:rPr>
                <w:rFonts w:ascii="Arial Narrow" w:hAnsi="Arial Narrow"/>
                <w:b/>
                <w:noProof/>
                <w:sz w:val="20"/>
              </w:rPr>
            </w:pPr>
          </w:p>
        </w:tc>
        <w:tc>
          <w:tcPr>
            <w:tcW w:w="1134" w:type="dxa"/>
            <w:vMerge/>
            <w:noWrap/>
            <w:vAlign w:val="center"/>
          </w:tcPr>
          <w:p w14:paraId="4D0EB83B" w14:textId="77777777" w:rsidR="00C972CB" w:rsidRDefault="00C972CB">
            <w:pPr>
              <w:jc w:val="center"/>
              <w:rPr>
                <w:rFonts w:ascii="Arial Narrow" w:hAnsi="Arial Narrow"/>
                <w:b/>
                <w:noProof/>
                <w:sz w:val="20"/>
              </w:rPr>
            </w:pPr>
          </w:p>
        </w:tc>
        <w:tc>
          <w:tcPr>
            <w:tcW w:w="1559" w:type="dxa"/>
            <w:vMerge/>
            <w:noWrap/>
            <w:vAlign w:val="center"/>
          </w:tcPr>
          <w:p w14:paraId="48BE9902" w14:textId="77777777" w:rsidR="00C972CB" w:rsidRDefault="00C972CB">
            <w:pPr>
              <w:jc w:val="center"/>
              <w:rPr>
                <w:rFonts w:ascii="Arial Narrow" w:hAnsi="Arial Narrow"/>
                <w:b/>
                <w:noProof/>
                <w:sz w:val="20"/>
              </w:rPr>
            </w:pPr>
          </w:p>
        </w:tc>
        <w:tc>
          <w:tcPr>
            <w:tcW w:w="1383" w:type="dxa"/>
            <w:vMerge/>
            <w:noWrap/>
            <w:vAlign w:val="center"/>
          </w:tcPr>
          <w:p w14:paraId="5300B8F1" w14:textId="77777777" w:rsidR="00C972CB" w:rsidRDefault="00C972CB">
            <w:pPr>
              <w:jc w:val="center"/>
              <w:rPr>
                <w:rFonts w:ascii="Arial Narrow" w:hAnsi="Arial Narrow"/>
                <w:b/>
                <w:noProof/>
                <w:sz w:val="20"/>
              </w:rPr>
            </w:pPr>
          </w:p>
        </w:tc>
        <w:tc>
          <w:tcPr>
            <w:tcW w:w="1094" w:type="dxa"/>
            <w:shd w:val="clear" w:color="auto" w:fill="B8CCE4" w:themeFill="accent1" w:themeFillTint="66"/>
            <w:noWrap/>
            <w:vAlign w:val="center"/>
          </w:tcPr>
          <w:p w14:paraId="5DC3DFDF" w14:textId="77777777" w:rsidR="00C972CB" w:rsidRDefault="002457F6">
            <w:pPr>
              <w:pStyle w:val="P68B1DB1-Normal9"/>
              <w:jc w:val="center"/>
              <w:rPr>
                <w:noProof/>
              </w:rPr>
            </w:pPr>
            <w:r>
              <w:rPr>
                <w:noProof/>
              </w:rPr>
              <w:t>Mēra vienība</w:t>
            </w:r>
          </w:p>
        </w:tc>
        <w:tc>
          <w:tcPr>
            <w:tcW w:w="1290" w:type="dxa"/>
            <w:shd w:val="clear" w:color="auto" w:fill="B8CCE4" w:themeFill="accent1" w:themeFillTint="66"/>
            <w:vAlign w:val="center"/>
          </w:tcPr>
          <w:p w14:paraId="3E70648C" w14:textId="77777777" w:rsidR="00C972CB" w:rsidRDefault="002457F6">
            <w:pPr>
              <w:pStyle w:val="P68B1DB1-Normal9"/>
              <w:jc w:val="center"/>
              <w:rPr>
                <w:noProof/>
              </w:rPr>
            </w:pPr>
            <w:r>
              <w:rPr>
                <w:noProof/>
              </w:rPr>
              <w:t>Pamatscenārijs</w:t>
            </w:r>
          </w:p>
        </w:tc>
        <w:tc>
          <w:tcPr>
            <w:tcW w:w="1194" w:type="dxa"/>
            <w:shd w:val="clear" w:color="auto" w:fill="B8CCE4" w:themeFill="accent1" w:themeFillTint="66"/>
            <w:vAlign w:val="center"/>
          </w:tcPr>
          <w:p w14:paraId="78CE3655" w14:textId="77777777" w:rsidR="00C972CB" w:rsidRDefault="002457F6">
            <w:pPr>
              <w:pStyle w:val="P68B1DB1-Normal9"/>
              <w:jc w:val="center"/>
              <w:rPr>
                <w:noProof/>
              </w:rPr>
            </w:pPr>
            <w:r>
              <w:rPr>
                <w:noProof/>
              </w:rPr>
              <w:t>Mērķis</w:t>
            </w:r>
          </w:p>
        </w:tc>
        <w:tc>
          <w:tcPr>
            <w:tcW w:w="916" w:type="dxa"/>
            <w:shd w:val="clear" w:color="auto" w:fill="B8CCE4" w:themeFill="accent1" w:themeFillTint="66"/>
            <w:noWrap/>
            <w:vAlign w:val="center"/>
          </w:tcPr>
          <w:p w14:paraId="1A07552A" w14:textId="77777777" w:rsidR="00C972CB" w:rsidRDefault="002457F6">
            <w:pPr>
              <w:pStyle w:val="P68B1DB1-Normal9"/>
              <w:jc w:val="center"/>
              <w:rPr>
                <w:noProof/>
              </w:rPr>
            </w:pPr>
            <w:r>
              <w:rPr>
                <w:noProof/>
              </w:rPr>
              <w:t>Ceturtdaļa</w:t>
            </w:r>
          </w:p>
        </w:tc>
        <w:tc>
          <w:tcPr>
            <w:tcW w:w="638" w:type="dxa"/>
            <w:shd w:val="clear" w:color="auto" w:fill="B8CCE4" w:themeFill="accent1" w:themeFillTint="66"/>
            <w:vAlign w:val="center"/>
          </w:tcPr>
          <w:p w14:paraId="265AF085" w14:textId="77777777" w:rsidR="00C972CB" w:rsidRDefault="002457F6">
            <w:pPr>
              <w:pStyle w:val="P68B1DB1-Normal9"/>
              <w:jc w:val="center"/>
              <w:rPr>
                <w:noProof/>
              </w:rPr>
            </w:pPr>
            <w:r>
              <w:rPr>
                <w:noProof/>
              </w:rPr>
              <w:t>Gadā</w:t>
            </w:r>
          </w:p>
        </w:tc>
        <w:tc>
          <w:tcPr>
            <w:tcW w:w="4116" w:type="dxa"/>
            <w:vMerge/>
            <w:noWrap/>
            <w:vAlign w:val="center"/>
          </w:tcPr>
          <w:p w14:paraId="09C9E401" w14:textId="77777777" w:rsidR="00C972CB" w:rsidRDefault="00C972CB">
            <w:pPr>
              <w:rPr>
                <w:rFonts w:ascii="Arial Narrow" w:hAnsi="Arial Narrow"/>
                <w:noProof/>
                <w:sz w:val="20"/>
              </w:rPr>
            </w:pPr>
          </w:p>
        </w:tc>
      </w:tr>
      <w:tr w:rsidR="00C972CB" w14:paraId="29FF7F2F" w14:textId="77777777">
        <w:trPr>
          <w:trHeight w:val="313"/>
          <w:jc w:val="center"/>
        </w:trPr>
        <w:tc>
          <w:tcPr>
            <w:tcW w:w="1130" w:type="dxa"/>
            <w:shd w:val="clear" w:color="auto" w:fill="C6EFCE"/>
            <w:noWrap/>
            <w:vAlign w:val="center"/>
          </w:tcPr>
          <w:p w14:paraId="03127FE8" w14:textId="2EF9EA00" w:rsidR="00C972CB" w:rsidRDefault="002457F6">
            <w:pPr>
              <w:pStyle w:val="P68B1DB1-Normal11"/>
              <w:spacing w:line="276" w:lineRule="auto"/>
              <w:jc w:val="center"/>
              <w:rPr>
                <w:noProof/>
              </w:rPr>
            </w:pPr>
            <w:r>
              <w:rPr>
                <w:noProof/>
              </w:rPr>
              <w:t>M2C4–6</w:t>
            </w:r>
          </w:p>
        </w:tc>
        <w:tc>
          <w:tcPr>
            <w:tcW w:w="1560" w:type="dxa"/>
            <w:shd w:val="clear" w:color="auto" w:fill="C6EFCE"/>
            <w:noWrap/>
            <w:vAlign w:val="center"/>
          </w:tcPr>
          <w:p w14:paraId="77C1A77E" w14:textId="4492BB52" w:rsidR="00C972CB" w:rsidRDefault="002457F6">
            <w:pPr>
              <w:pStyle w:val="P68B1DB1-Normal11"/>
              <w:spacing w:line="276" w:lineRule="auto"/>
              <w:jc w:val="center"/>
              <w:rPr>
                <w:noProof/>
              </w:rPr>
            </w:pPr>
            <w:r>
              <w:rPr>
                <w:noProof/>
              </w:rPr>
              <w:t>Ieguldījums 3.2.: Nacionālo parku digitalizācija</w:t>
            </w:r>
          </w:p>
        </w:tc>
        <w:tc>
          <w:tcPr>
            <w:tcW w:w="1134" w:type="dxa"/>
            <w:shd w:val="clear" w:color="auto" w:fill="C6EFCE"/>
            <w:noWrap/>
            <w:vAlign w:val="center"/>
          </w:tcPr>
          <w:p w14:paraId="5B43802A" w14:textId="4C2910E8"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tcPr>
          <w:p w14:paraId="4798B1AF" w14:textId="78BB387C" w:rsidR="00C972CB" w:rsidRDefault="002457F6">
            <w:pPr>
              <w:pStyle w:val="P68B1DB1-Normal11"/>
              <w:spacing w:line="276" w:lineRule="auto"/>
              <w:jc w:val="center"/>
              <w:rPr>
                <w:noProof/>
              </w:rPr>
            </w:pPr>
            <w:r>
              <w:rPr>
                <w:noProof/>
              </w:rPr>
              <w:t xml:space="preserve">Administratīvo vienkāršošana un digitālo pakalpojumu izstrāde nacionālo parku un aizsargājamo jūras </w:t>
            </w:r>
            <w:r>
              <w:rPr>
                <w:noProof/>
              </w:rPr>
              <w:t>teritoriju apmeklētājiem</w:t>
            </w:r>
          </w:p>
        </w:tc>
        <w:tc>
          <w:tcPr>
            <w:tcW w:w="1383" w:type="dxa"/>
            <w:shd w:val="clear" w:color="auto" w:fill="C6EFCE"/>
            <w:noWrap/>
            <w:vAlign w:val="center"/>
          </w:tcPr>
          <w:p w14:paraId="47E56C07" w14:textId="17A086CD"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tcPr>
          <w:p w14:paraId="476E2022" w14:textId="04602C16" w:rsidR="00C972CB" w:rsidRDefault="002457F6">
            <w:pPr>
              <w:pStyle w:val="P68B1DB1-Normal11"/>
              <w:spacing w:line="276" w:lineRule="auto"/>
              <w:jc w:val="center"/>
              <w:rPr>
                <w:noProof/>
              </w:rPr>
            </w:pPr>
            <w:r>
              <w:rPr>
                <w:noProof/>
              </w:rPr>
              <w:t>Procentuālā daļa</w:t>
            </w:r>
          </w:p>
        </w:tc>
        <w:tc>
          <w:tcPr>
            <w:tcW w:w="1290" w:type="dxa"/>
            <w:shd w:val="clear" w:color="auto" w:fill="C6EFCE"/>
            <w:noWrap/>
            <w:vAlign w:val="center"/>
          </w:tcPr>
          <w:p w14:paraId="66D39F27" w14:textId="7887F1A6" w:rsidR="00C972CB" w:rsidRDefault="002457F6">
            <w:pPr>
              <w:pStyle w:val="P68B1DB1-Normal11"/>
              <w:spacing w:line="276" w:lineRule="auto"/>
              <w:jc w:val="center"/>
              <w:rPr>
                <w:noProof/>
              </w:rPr>
            </w:pPr>
            <w:r>
              <w:rPr>
                <w:noProof/>
              </w:rPr>
              <w:t>0</w:t>
            </w:r>
          </w:p>
        </w:tc>
        <w:tc>
          <w:tcPr>
            <w:tcW w:w="1194" w:type="dxa"/>
            <w:shd w:val="clear" w:color="auto" w:fill="C6EFCE"/>
            <w:noWrap/>
            <w:vAlign w:val="center"/>
          </w:tcPr>
          <w:p w14:paraId="5F8D7D19" w14:textId="124E6D36" w:rsidR="00C972CB" w:rsidRDefault="002457F6">
            <w:pPr>
              <w:pStyle w:val="P68B1DB1-Normal11"/>
              <w:spacing w:line="276" w:lineRule="auto"/>
              <w:jc w:val="center"/>
              <w:rPr>
                <w:noProof/>
              </w:rPr>
            </w:pPr>
            <w:r>
              <w:rPr>
                <w:noProof/>
              </w:rPr>
              <w:t>70</w:t>
            </w:r>
          </w:p>
        </w:tc>
        <w:tc>
          <w:tcPr>
            <w:tcW w:w="916" w:type="dxa"/>
            <w:shd w:val="clear" w:color="auto" w:fill="C6EFCE"/>
            <w:noWrap/>
            <w:vAlign w:val="center"/>
          </w:tcPr>
          <w:p w14:paraId="5205116E" w14:textId="65C0667D" w:rsidR="00C972CB" w:rsidRDefault="002457F6">
            <w:pPr>
              <w:pStyle w:val="P68B1DB1-Normal11"/>
              <w:spacing w:line="276" w:lineRule="auto"/>
              <w:jc w:val="center"/>
              <w:rPr>
                <w:noProof/>
              </w:rPr>
            </w:pPr>
            <w:r>
              <w:rPr>
                <w:noProof/>
              </w:rPr>
              <w:t>2. CET.</w:t>
            </w:r>
          </w:p>
        </w:tc>
        <w:tc>
          <w:tcPr>
            <w:tcW w:w="638" w:type="dxa"/>
            <w:shd w:val="clear" w:color="auto" w:fill="C6EFCE"/>
            <w:noWrap/>
            <w:vAlign w:val="center"/>
          </w:tcPr>
          <w:p w14:paraId="277A91A3" w14:textId="2128BA41" w:rsidR="00C972CB" w:rsidRDefault="002457F6">
            <w:pPr>
              <w:pStyle w:val="P68B1DB1-Normal11"/>
              <w:spacing w:line="276" w:lineRule="auto"/>
              <w:jc w:val="center"/>
              <w:rPr>
                <w:noProof/>
              </w:rPr>
            </w:pPr>
            <w:r>
              <w:rPr>
                <w:noProof/>
              </w:rPr>
              <w:t>2024</w:t>
            </w:r>
          </w:p>
        </w:tc>
        <w:tc>
          <w:tcPr>
            <w:tcW w:w="4116" w:type="dxa"/>
            <w:shd w:val="clear" w:color="auto" w:fill="C6EFCE"/>
            <w:noWrap/>
            <w:vAlign w:val="center"/>
          </w:tcPr>
          <w:p w14:paraId="2431EA8A" w14:textId="4172F6D7" w:rsidR="00C972CB" w:rsidRDefault="002457F6">
            <w:pPr>
              <w:pStyle w:val="P68B1DB1-Normal11"/>
              <w:spacing w:line="276" w:lineRule="auto"/>
              <w:rPr>
                <w:noProof/>
              </w:rPr>
            </w:pPr>
            <w:r>
              <w:rPr>
                <w:noProof/>
              </w:rPr>
              <w:t>Vismaz 70 % nacionālo parku un aizsargājamo jūras teritoriju ir izstrādājušas digitālos pakalpojumus nacionālo parku un aizsargājamo jūras teritoriju apmeklētājiem (vismaz divi no šādiem</w:t>
            </w:r>
            <w:r>
              <w:rPr>
                <w:noProof/>
              </w:rPr>
              <w:t>: savienojums ar Naturitalia.IT portālu; pieteikums administratīvām procedūrām vai ilgtspējīgas mobilitātes lietotnei).</w:t>
            </w:r>
          </w:p>
        </w:tc>
      </w:tr>
      <w:tr w:rsidR="00C972CB" w14:paraId="19098CD3" w14:textId="77777777">
        <w:trPr>
          <w:trHeight w:val="313"/>
          <w:jc w:val="center"/>
        </w:trPr>
        <w:tc>
          <w:tcPr>
            <w:tcW w:w="1130" w:type="dxa"/>
            <w:shd w:val="clear" w:color="auto" w:fill="C6EFCE"/>
            <w:noWrap/>
            <w:vAlign w:val="center"/>
            <w:hideMark/>
          </w:tcPr>
          <w:p w14:paraId="2F78A7B1" w14:textId="77777777" w:rsidR="00C972CB" w:rsidRDefault="002457F6">
            <w:pPr>
              <w:pStyle w:val="P68B1DB1-Normal11"/>
              <w:spacing w:line="276" w:lineRule="auto"/>
              <w:jc w:val="center"/>
              <w:rPr>
                <w:noProof/>
              </w:rPr>
            </w:pPr>
            <w:r>
              <w:rPr>
                <w:noProof/>
              </w:rPr>
              <w:t>M2C4–7</w:t>
            </w:r>
          </w:p>
        </w:tc>
        <w:tc>
          <w:tcPr>
            <w:tcW w:w="1560" w:type="dxa"/>
            <w:shd w:val="clear" w:color="auto" w:fill="C6EFCE"/>
            <w:noWrap/>
            <w:vAlign w:val="center"/>
          </w:tcPr>
          <w:p w14:paraId="42C60DD6" w14:textId="77777777" w:rsidR="00C972CB" w:rsidRDefault="002457F6">
            <w:pPr>
              <w:pStyle w:val="P68B1DB1-Normal11"/>
              <w:spacing w:line="276" w:lineRule="auto"/>
              <w:jc w:val="center"/>
              <w:rPr>
                <w:noProof/>
              </w:rPr>
            </w:pPr>
            <w:r>
              <w:rPr>
                <w:noProof/>
              </w:rPr>
              <w:t>Reforma. Gaisa piesārņojuma kontroles valsts programmu pieņemšana</w:t>
            </w:r>
          </w:p>
        </w:tc>
        <w:tc>
          <w:tcPr>
            <w:tcW w:w="1134" w:type="dxa"/>
            <w:shd w:val="clear" w:color="auto" w:fill="C6EFCE"/>
            <w:noWrap/>
            <w:vAlign w:val="center"/>
            <w:hideMark/>
          </w:tcPr>
          <w:p w14:paraId="430DB118"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tcPr>
          <w:p w14:paraId="7F4FC433" w14:textId="77777777" w:rsidR="00C972CB" w:rsidRDefault="002457F6">
            <w:pPr>
              <w:pStyle w:val="P68B1DB1-Normal11"/>
              <w:spacing w:line="276" w:lineRule="auto"/>
              <w:jc w:val="center"/>
              <w:rPr>
                <w:noProof/>
              </w:rPr>
            </w:pPr>
            <w:r>
              <w:rPr>
                <w:noProof/>
              </w:rPr>
              <w:t xml:space="preserve">Valsts gaisa piesārņojuma kontroles </w:t>
            </w:r>
            <w:r>
              <w:rPr>
                <w:noProof/>
              </w:rPr>
              <w:t>programmas stāšanās spēkā</w:t>
            </w:r>
          </w:p>
        </w:tc>
        <w:tc>
          <w:tcPr>
            <w:tcW w:w="1383" w:type="dxa"/>
            <w:shd w:val="clear" w:color="auto" w:fill="C6EFCE"/>
            <w:noWrap/>
            <w:vAlign w:val="center"/>
            <w:hideMark/>
          </w:tcPr>
          <w:p w14:paraId="3226DA9B" w14:textId="77777777" w:rsidR="00C972CB" w:rsidRDefault="002457F6">
            <w:pPr>
              <w:pStyle w:val="P68B1DB1-Normal11"/>
              <w:spacing w:line="276" w:lineRule="auto"/>
              <w:jc w:val="center"/>
              <w:rPr>
                <w:noProof/>
              </w:rPr>
            </w:pPr>
            <w:r>
              <w:rPr>
                <w:noProof/>
              </w:rPr>
              <w:t>DPCM noteikums, kas norāda uz stāšanos spēkā</w:t>
            </w:r>
          </w:p>
        </w:tc>
        <w:tc>
          <w:tcPr>
            <w:tcW w:w="1094" w:type="dxa"/>
            <w:shd w:val="clear" w:color="auto" w:fill="C6EFCE"/>
            <w:noWrap/>
            <w:vAlign w:val="center"/>
            <w:hideMark/>
          </w:tcPr>
          <w:p w14:paraId="179D2C60" w14:textId="77777777" w:rsidR="00C972CB" w:rsidRDefault="002457F6">
            <w:pPr>
              <w:pStyle w:val="P68B1DB1-Normal11"/>
              <w:spacing w:line="276" w:lineRule="auto"/>
              <w:jc w:val="center"/>
              <w:rPr>
                <w:noProof/>
              </w:rPr>
            </w:pPr>
            <w:r>
              <w:rPr>
                <w:noProof/>
              </w:rPr>
              <w:t>NEPIEMĒRO</w:t>
            </w:r>
          </w:p>
        </w:tc>
        <w:tc>
          <w:tcPr>
            <w:tcW w:w="1290" w:type="dxa"/>
            <w:shd w:val="clear" w:color="auto" w:fill="C6EFCE"/>
            <w:noWrap/>
            <w:vAlign w:val="center"/>
          </w:tcPr>
          <w:p w14:paraId="03BC1DF8" w14:textId="77777777" w:rsidR="00C972CB" w:rsidRDefault="002457F6">
            <w:pPr>
              <w:pStyle w:val="P68B1DB1-Normal11"/>
              <w:spacing w:line="276" w:lineRule="auto"/>
              <w:jc w:val="center"/>
              <w:rPr>
                <w:noProof/>
              </w:rPr>
            </w:pPr>
            <w:r>
              <w:rPr>
                <w:noProof/>
              </w:rPr>
              <w:t>N.A.</w:t>
            </w:r>
          </w:p>
        </w:tc>
        <w:tc>
          <w:tcPr>
            <w:tcW w:w="1194" w:type="dxa"/>
            <w:shd w:val="clear" w:color="auto" w:fill="C6EFCE"/>
            <w:noWrap/>
            <w:vAlign w:val="center"/>
          </w:tcPr>
          <w:p w14:paraId="62D66452" w14:textId="77777777" w:rsidR="00C972CB" w:rsidRDefault="002457F6">
            <w:pPr>
              <w:pStyle w:val="P68B1DB1-Normal11"/>
              <w:spacing w:line="276" w:lineRule="auto"/>
              <w:jc w:val="center"/>
              <w:rPr>
                <w:noProof/>
              </w:rPr>
            </w:pPr>
            <w:r>
              <w:rPr>
                <w:noProof/>
              </w:rPr>
              <w:t>NEPIEMĒRO</w:t>
            </w:r>
          </w:p>
        </w:tc>
        <w:tc>
          <w:tcPr>
            <w:tcW w:w="916" w:type="dxa"/>
            <w:shd w:val="clear" w:color="auto" w:fill="C6EFCE"/>
            <w:noWrap/>
            <w:vAlign w:val="center"/>
            <w:hideMark/>
          </w:tcPr>
          <w:p w14:paraId="55D38497"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2E9276CA" w14:textId="77777777" w:rsidR="00C972CB" w:rsidRDefault="002457F6">
            <w:pPr>
              <w:pStyle w:val="P68B1DB1-Normal11"/>
              <w:spacing w:line="276" w:lineRule="auto"/>
              <w:jc w:val="center"/>
              <w:rPr>
                <w:noProof/>
              </w:rPr>
            </w:pPr>
            <w:r>
              <w:rPr>
                <w:noProof/>
              </w:rPr>
              <w:t>2021</w:t>
            </w:r>
          </w:p>
        </w:tc>
        <w:tc>
          <w:tcPr>
            <w:tcW w:w="4116" w:type="dxa"/>
            <w:shd w:val="clear" w:color="auto" w:fill="C6EFCE"/>
            <w:noWrap/>
            <w:vAlign w:val="center"/>
            <w:hideMark/>
          </w:tcPr>
          <w:p w14:paraId="43E3E65E" w14:textId="72747171" w:rsidR="00C972CB" w:rsidRDefault="002457F6">
            <w:pPr>
              <w:pStyle w:val="P68B1DB1-Normal11"/>
              <w:spacing w:line="276" w:lineRule="auto"/>
              <w:rPr>
                <w:noProof/>
              </w:rPr>
            </w:pPr>
            <w:r>
              <w:rPr>
                <w:noProof/>
              </w:rPr>
              <w:t xml:space="preserve">Ministru padomes priekšsēdētāja dekrētā (DPCM) ir izklāstīta valsts gaisa piesārņojuma kontroles programma, ar kuru ievieš atbilstošus pasākumus </w:t>
            </w:r>
            <w:r>
              <w:rPr>
                <w:noProof/>
              </w:rPr>
              <w:t>gaisa piesārņojuma samazināšanai saskaņā ar ES Direktīvu 2016/2284 un 2018. gada 30. maija Likumdošanas dekrētu Nr. 81, ar ko transponē minēto direktīvu.</w:t>
            </w:r>
          </w:p>
        </w:tc>
      </w:tr>
      <w:tr w:rsidR="00C972CB" w14:paraId="20C0C50E" w14:textId="77777777">
        <w:trPr>
          <w:trHeight w:val="313"/>
          <w:jc w:val="center"/>
        </w:trPr>
        <w:tc>
          <w:tcPr>
            <w:tcW w:w="1130" w:type="dxa"/>
            <w:shd w:val="clear" w:color="auto" w:fill="C6EFCE"/>
            <w:noWrap/>
            <w:vAlign w:val="center"/>
            <w:hideMark/>
          </w:tcPr>
          <w:p w14:paraId="1E6C4AFA" w14:textId="77777777" w:rsidR="00C972CB" w:rsidRDefault="002457F6">
            <w:pPr>
              <w:pStyle w:val="P68B1DB1-Normal11"/>
              <w:spacing w:line="276" w:lineRule="auto"/>
              <w:jc w:val="center"/>
              <w:rPr>
                <w:noProof/>
              </w:rPr>
            </w:pPr>
            <w:r>
              <w:rPr>
                <w:noProof/>
              </w:rPr>
              <w:t>M2C4–8</w:t>
            </w:r>
          </w:p>
        </w:tc>
        <w:tc>
          <w:tcPr>
            <w:tcW w:w="1560" w:type="dxa"/>
            <w:shd w:val="clear" w:color="auto" w:fill="C6EFCE"/>
            <w:noWrap/>
            <w:vAlign w:val="center"/>
          </w:tcPr>
          <w:p w14:paraId="3B8527DF" w14:textId="77777777" w:rsidR="00C972CB" w:rsidRDefault="002457F6">
            <w:pPr>
              <w:pStyle w:val="P68B1DB1-Normal11"/>
              <w:spacing w:line="276" w:lineRule="auto"/>
              <w:jc w:val="center"/>
              <w:rPr>
                <w:noProof/>
              </w:rPr>
            </w:pPr>
            <w:r>
              <w:rPr>
                <w:noProof/>
              </w:rPr>
              <w:t>Ieguldījums 1.1. Progresīvas un integrētas uzraudzības un prognozēšanas sistēmas ieviešana</w:t>
            </w:r>
          </w:p>
        </w:tc>
        <w:tc>
          <w:tcPr>
            <w:tcW w:w="1134" w:type="dxa"/>
            <w:shd w:val="clear" w:color="auto" w:fill="C6EFCE"/>
            <w:noWrap/>
            <w:vAlign w:val="center"/>
            <w:hideMark/>
          </w:tcPr>
          <w:p w14:paraId="7E5761B0"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tcPr>
          <w:p w14:paraId="61B923C7" w14:textId="20246E9E" w:rsidR="00C972CB" w:rsidRDefault="002457F6">
            <w:pPr>
              <w:pStyle w:val="P68B1DB1-Normal11"/>
              <w:spacing w:line="276" w:lineRule="auto"/>
              <w:jc w:val="center"/>
              <w:rPr>
                <w:noProof/>
              </w:rPr>
            </w:pPr>
            <w:r>
              <w:rPr>
                <w:noProof/>
              </w:rPr>
              <w:t>Darbības plāns uzlabotai un integrētai monitoringa un prognozēšanas sistēmai hidroloģisko risku identificēšanai</w:t>
            </w:r>
          </w:p>
        </w:tc>
        <w:tc>
          <w:tcPr>
            <w:tcW w:w="1383" w:type="dxa"/>
            <w:shd w:val="clear" w:color="auto" w:fill="C6EFCE"/>
            <w:noWrap/>
            <w:vAlign w:val="center"/>
            <w:hideMark/>
          </w:tcPr>
          <w:p w14:paraId="169E647C" w14:textId="77777777" w:rsidR="00C972CB" w:rsidRDefault="002457F6">
            <w:pPr>
              <w:pStyle w:val="P68B1DB1-Normal11"/>
              <w:spacing w:line="276" w:lineRule="auto"/>
              <w:jc w:val="center"/>
              <w:rPr>
                <w:noProof/>
              </w:rPr>
            </w:pPr>
            <w:r>
              <w:rPr>
                <w:noProof/>
              </w:rPr>
              <w:t>Ministrijas dekrēta noteikums par stāšanos spēkā</w:t>
            </w:r>
          </w:p>
        </w:tc>
        <w:tc>
          <w:tcPr>
            <w:tcW w:w="1094" w:type="dxa"/>
            <w:shd w:val="clear" w:color="auto" w:fill="C6EFCE"/>
            <w:noWrap/>
            <w:vAlign w:val="center"/>
            <w:hideMark/>
          </w:tcPr>
          <w:p w14:paraId="55819EB2" w14:textId="77777777" w:rsidR="00C972CB" w:rsidRDefault="002457F6">
            <w:pPr>
              <w:pStyle w:val="P68B1DB1-Normal11"/>
              <w:spacing w:line="276" w:lineRule="auto"/>
              <w:jc w:val="center"/>
              <w:rPr>
                <w:noProof/>
              </w:rPr>
            </w:pPr>
            <w:r>
              <w:rPr>
                <w:noProof/>
              </w:rPr>
              <w:t>NEPIEMĒRO</w:t>
            </w:r>
          </w:p>
        </w:tc>
        <w:tc>
          <w:tcPr>
            <w:tcW w:w="1290" w:type="dxa"/>
            <w:shd w:val="clear" w:color="auto" w:fill="C6EFCE"/>
            <w:noWrap/>
            <w:vAlign w:val="center"/>
          </w:tcPr>
          <w:p w14:paraId="68B1EE99" w14:textId="77777777" w:rsidR="00C972CB" w:rsidRDefault="002457F6">
            <w:pPr>
              <w:pStyle w:val="P68B1DB1-Normal11"/>
              <w:spacing w:line="276" w:lineRule="auto"/>
              <w:jc w:val="center"/>
              <w:rPr>
                <w:noProof/>
              </w:rPr>
            </w:pPr>
            <w:r>
              <w:rPr>
                <w:noProof/>
              </w:rPr>
              <w:t>NEPIEMĒRO</w:t>
            </w:r>
          </w:p>
        </w:tc>
        <w:tc>
          <w:tcPr>
            <w:tcW w:w="1194" w:type="dxa"/>
            <w:shd w:val="clear" w:color="auto" w:fill="C6EFCE"/>
            <w:noWrap/>
            <w:vAlign w:val="center"/>
          </w:tcPr>
          <w:p w14:paraId="0D1B5EEB" w14:textId="77777777" w:rsidR="00C972CB" w:rsidRDefault="002457F6">
            <w:pPr>
              <w:pStyle w:val="P68B1DB1-Normal11"/>
              <w:spacing w:line="276" w:lineRule="auto"/>
              <w:jc w:val="center"/>
              <w:rPr>
                <w:noProof/>
              </w:rPr>
            </w:pPr>
            <w:r>
              <w:rPr>
                <w:noProof/>
              </w:rPr>
              <w:t>NEPIEMĒRO</w:t>
            </w:r>
          </w:p>
        </w:tc>
        <w:tc>
          <w:tcPr>
            <w:tcW w:w="916" w:type="dxa"/>
            <w:shd w:val="clear" w:color="auto" w:fill="C6EFCE"/>
            <w:noWrap/>
            <w:vAlign w:val="center"/>
            <w:hideMark/>
          </w:tcPr>
          <w:p w14:paraId="6E151018" w14:textId="77777777" w:rsidR="00C972CB" w:rsidRDefault="002457F6">
            <w:pPr>
              <w:pStyle w:val="P68B1DB1-Normal11"/>
              <w:spacing w:line="276" w:lineRule="auto"/>
              <w:jc w:val="center"/>
              <w:rPr>
                <w:noProof/>
              </w:rPr>
            </w:pPr>
            <w:r>
              <w:rPr>
                <w:noProof/>
              </w:rPr>
              <w:t>3. CET.</w:t>
            </w:r>
          </w:p>
        </w:tc>
        <w:tc>
          <w:tcPr>
            <w:tcW w:w="638" w:type="dxa"/>
            <w:shd w:val="clear" w:color="auto" w:fill="C6EFCE"/>
            <w:noWrap/>
            <w:vAlign w:val="center"/>
            <w:hideMark/>
          </w:tcPr>
          <w:p w14:paraId="391767CC" w14:textId="77777777" w:rsidR="00C972CB" w:rsidRDefault="002457F6">
            <w:pPr>
              <w:pStyle w:val="P68B1DB1-Normal11"/>
              <w:spacing w:line="276" w:lineRule="auto"/>
              <w:jc w:val="center"/>
              <w:rPr>
                <w:noProof/>
              </w:rPr>
            </w:pPr>
            <w:r>
              <w:rPr>
                <w:noProof/>
              </w:rPr>
              <w:t>2021</w:t>
            </w:r>
          </w:p>
        </w:tc>
        <w:tc>
          <w:tcPr>
            <w:tcW w:w="4116" w:type="dxa"/>
            <w:shd w:val="clear" w:color="auto" w:fill="C6EFCE"/>
            <w:noWrap/>
            <w:vAlign w:val="center"/>
            <w:hideMark/>
          </w:tcPr>
          <w:p w14:paraId="51F5D958" w14:textId="77777777" w:rsidR="00C972CB" w:rsidRDefault="002457F6">
            <w:pPr>
              <w:pStyle w:val="P68B1DB1-Normal11"/>
              <w:spacing w:line="276" w:lineRule="auto"/>
              <w:rPr>
                <w:noProof/>
              </w:rPr>
            </w:pPr>
            <w:r>
              <w:rPr>
                <w:noProof/>
              </w:rPr>
              <w:t xml:space="preserve">Ar ministrijas dekrētu apstiprina </w:t>
            </w:r>
            <w:r>
              <w:rPr>
                <w:noProof/>
              </w:rPr>
              <w:t>darbības plānu uzlabotas un integrētas uzraudzības un prognozēšanas sistēmas ieviešanai, lai identificētu hidroloģiskos riskus. Tā veic vismaz šādus pasākumus:</w:t>
            </w:r>
          </w:p>
          <w:p w14:paraId="5F9FF5CF" w14:textId="77777777" w:rsidR="00C972CB" w:rsidRDefault="002457F6">
            <w:pPr>
              <w:pStyle w:val="P68B1DB1-ListParagraph13"/>
              <w:numPr>
                <w:ilvl w:val="0"/>
                <w:numId w:val="69"/>
              </w:numPr>
              <w:spacing w:line="276" w:lineRule="auto"/>
              <w:ind w:left="424"/>
              <w:rPr>
                <w:noProof/>
              </w:rPr>
            </w:pPr>
            <w:r>
              <w:rPr>
                <w:noProof/>
              </w:rPr>
              <w:t>Paredzēt attālās uzrādes lietojumus un datu lauka sensorus;</w:t>
            </w:r>
          </w:p>
          <w:p w14:paraId="16A5F52C" w14:textId="77777777" w:rsidR="00C972CB" w:rsidRDefault="002457F6">
            <w:pPr>
              <w:pStyle w:val="P68B1DB1-ListParagraph13"/>
              <w:numPr>
                <w:ilvl w:val="0"/>
                <w:numId w:val="69"/>
              </w:numPr>
              <w:spacing w:line="276" w:lineRule="auto"/>
              <w:ind w:left="424"/>
              <w:rPr>
                <w:noProof/>
              </w:rPr>
            </w:pPr>
            <w:r>
              <w:rPr>
                <w:noProof/>
              </w:rPr>
              <w:t>Izstrādāt saziņas sistēmu, kas nodro</w:t>
            </w:r>
            <w:r>
              <w:rPr>
                <w:noProof/>
              </w:rPr>
              <w:t>šina koordināciju un sadarbspēju starp dažādiem operatoriem kontroles telpās</w:t>
            </w:r>
          </w:p>
          <w:p w14:paraId="77BB4CD5" w14:textId="77777777" w:rsidR="00C972CB" w:rsidRDefault="002457F6">
            <w:pPr>
              <w:pStyle w:val="P68B1DB1-ListParagraph13"/>
              <w:numPr>
                <w:ilvl w:val="0"/>
                <w:numId w:val="69"/>
              </w:numPr>
              <w:spacing w:line="276" w:lineRule="auto"/>
              <w:ind w:left="424"/>
              <w:rPr>
                <w:noProof/>
              </w:rPr>
            </w:pPr>
            <w:r>
              <w:rPr>
                <w:noProof/>
              </w:rPr>
              <w:t>Centrālo un reģionālo kontroles centru izveide</w:t>
            </w:r>
          </w:p>
          <w:p w14:paraId="677F7BE4" w14:textId="77777777" w:rsidR="00C972CB" w:rsidRDefault="002457F6">
            <w:pPr>
              <w:pStyle w:val="P68B1DB1-ListParagraph13"/>
              <w:numPr>
                <w:ilvl w:val="0"/>
                <w:numId w:val="69"/>
              </w:numPr>
              <w:spacing w:line="276" w:lineRule="auto"/>
              <w:ind w:left="424"/>
              <w:rPr>
                <w:noProof/>
              </w:rPr>
            </w:pPr>
            <w:r>
              <w:rPr>
                <w:noProof/>
              </w:rPr>
              <w:t>Izstrādāt kiberdrošības sistēmas un pakalpojumus</w:t>
            </w:r>
          </w:p>
        </w:tc>
      </w:tr>
      <w:tr w:rsidR="00C972CB" w14:paraId="77752F5A" w14:textId="77777777">
        <w:trPr>
          <w:trHeight w:val="313"/>
          <w:jc w:val="center"/>
        </w:trPr>
        <w:tc>
          <w:tcPr>
            <w:tcW w:w="1130" w:type="dxa"/>
            <w:shd w:val="clear" w:color="auto" w:fill="C6EFCE"/>
            <w:noWrap/>
            <w:vAlign w:val="center"/>
            <w:hideMark/>
          </w:tcPr>
          <w:p w14:paraId="1E545ACB" w14:textId="77777777" w:rsidR="00C972CB" w:rsidRDefault="002457F6">
            <w:pPr>
              <w:pStyle w:val="P68B1DB1-Normal11"/>
              <w:spacing w:line="276" w:lineRule="auto"/>
              <w:jc w:val="center"/>
              <w:rPr>
                <w:noProof/>
              </w:rPr>
            </w:pPr>
            <w:r>
              <w:rPr>
                <w:noProof/>
              </w:rPr>
              <w:t>M2C4–9</w:t>
            </w:r>
          </w:p>
        </w:tc>
        <w:tc>
          <w:tcPr>
            <w:tcW w:w="1560" w:type="dxa"/>
            <w:shd w:val="clear" w:color="auto" w:fill="C6EFCE"/>
            <w:noWrap/>
            <w:vAlign w:val="center"/>
          </w:tcPr>
          <w:p w14:paraId="252BD3C5" w14:textId="77777777" w:rsidR="00C972CB" w:rsidRDefault="002457F6">
            <w:pPr>
              <w:pStyle w:val="P68B1DB1-Normal11"/>
              <w:spacing w:line="276" w:lineRule="auto"/>
              <w:jc w:val="center"/>
              <w:rPr>
                <w:noProof/>
              </w:rPr>
            </w:pPr>
            <w:r>
              <w:rPr>
                <w:noProof/>
              </w:rPr>
              <w:t xml:space="preserve">Ieguldījums 1.1. Progresīvas un integrētas uzraudzības un prognozēšanas </w:t>
            </w:r>
            <w:r>
              <w:rPr>
                <w:noProof/>
              </w:rPr>
              <w:t>sistēmas ieviešana</w:t>
            </w:r>
          </w:p>
        </w:tc>
        <w:tc>
          <w:tcPr>
            <w:tcW w:w="1134" w:type="dxa"/>
            <w:shd w:val="clear" w:color="auto" w:fill="C6EFCE"/>
            <w:noWrap/>
            <w:vAlign w:val="center"/>
            <w:hideMark/>
          </w:tcPr>
          <w:p w14:paraId="1D6804FC"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tcPr>
          <w:p w14:paraId="599A809B" w14:textId="253A3B1F" w:rsidR="00C972CB" w:rsidRDefault="002457F6">
            <w:pPr>
              <w:pStyle w:val="P68B1DB1-Normal11"/>
              <w:spacing w:line="276" w:lineRule="auto"/>
              <w:jc w:val="center"/>
              <w:rPr>
                <w:noProof/>
              </w:rPr>
            </w:pPr>
            <w:r>
              <w:rPr>
                <w:noProof/>
              </w:rPr>
              <w:t>Progresīvas un integrētas uzraudzības un prognozēšanas sistēmas ieviešana, lai identificētu hidroloģiskos riskus</w:t>
            </w:r>
          </w:p>
        </w:tc>
        <w:tc>
          <w:tcPr>
            <w:tcW w:w="1383" w:type="dxa"/>
            <w:shd w:val="clear" w:color="auto" w:fill="C6EFCE"/>
            <w:noWrap/>
            <w:vAlign w:val="center"/>
            <w:hideMark/>
          </w:tcPr>
          <w:p w14:paraId="1744A7C8"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3FE56598" w14:textId="77777777" w:rsidR="00C972CB" w:rsidRDefault="002457F6">
            <w:pPr>
              <w:pStyle w:val="P68B1DB1-Normal11"/>
              <w:spacing w:line="276" w:lineRule="auto"/>
              <w:jc w:val="center"/>
              <w:rPr>
                <w:noProof/>
              </w:rPr>
            </w:pPr>
            <w:r>
              <w:rPr>
                <w:noProof/>
              </w:rPr>
              <w:t>Procentuālā daļa</w:t>
            </w:r>
          </w:p>
        </w:tc>
        <w:tc>
          <w:tcPr>
            <w:tcW w:w="1290" w:type="dxa"/>
            <w:shd w:val="clear" w:color="auto" w:fill="C6EFCE"/>
            <w:noWrap/>
            <w:vAlign w:val="center"/>
          </w:tcPr>
          <w:p w14:paraId="5E774C10" w14:textId="77777777" w:rsidR="00C972CB" w:rsidRDefault="002457F6">
            <w:pPr>
              <w:pStyle w:val="P68B1DB1-Normal11"/>
              <w:spacing w:line="276" w:lineRule="auto"/>
              <w:jc w:val="center"/>
              <w:rPr>
                <w:noProof/>
              </w:rPr>
            </w:pPr>
            <w:r>
              <w:rPr>
                <w:noProof/>
              </w:rPr>
              <w:t>0</w:t>
            </w:r>
          </w:p>
        </w:tc>
        <w:tc>
          <w:tcPr>
            <w:tcW w:w="1194" w:type="dxa"/>
            <w:shd w:val="clear" w:color="auto" w:fill="C6EFCE"/>
            <w:noWrap/>
            <w:vAlign w:val="center"/>
          </w:tcPr>
          <w:p w14:paraId="21ADE578" w14:textId="77777777" w:rsidR="00C972CB" w:rsidRDefault="002457F6">
            <w:pPr>
              <w:pStyle w:val="P68B1DB1-Normal11"/>
              <w:spacing w:line="276" w:lineRule="auto"/>
              <w:jc w:val="center"/>
              <w:rPr>
                <w:noProof/>
              </w:rPr>
            </w:pPr>
            <w:r>
              <w:rPr>
                <w:noProof/>
              </w:rPr>
              <w:t>90</w:t>
            </w:r>
          </w:p>
        </w:tc>
        <w:tc>
          <w:tcPr>
            <w:tcW w:w="916" w:type="dxa"/>
            <w:shd w:val="clear" w:color="auto" w:fill="C6EFCE"/>
            <w:noWrap/>
            <w:vAlign w:val="center"/>
            <w:hideMark/>
          </w:tcPr>
          <w:p w14:paraId="2748F666" w14:textId="77777777" w:rsidR="00C972CB" w:rsidRDefault="002457F6">
            <w:pPr>
              <w:pStyle w:val="P68B1DB1-Normal11"/>
              <w:spacing w:line="276" w:lineRule="auto"/>
              <w:jc w:val="center"/>
              <w:rPr>
                <w:noProof/>
              </w:rPr>
            </w:pPr>
            <w:r>
              <w:rPr>
                <w:noProof/>
              </w:rPr>
              <w:t>2. CET.</w:t>
            </w:r>
          </w:p>
        </w:tc>
        <w:tc>
          <w:tcPr>
            <w:tcW w:w="638" w:type="dxa"/>
            <w:shd w:val="clear" w:color="auto" w:fill="C6EFCE"/>
            <w:noWrap/>
            <w:vAlign w:val="center"/>
            <w:hideMark/>
          </w:tcPr>
          <w:p w14:paraId="35217DAC" w14:textId="77777777" w:rsidR="00C972CB" w:rsidRDefault="002457F6">
            <w:pPr>
              <w:pStyle w:val="P68B1DB1-Normal11"/>
              <w:spacing w:line="276" w:lineRule="auto"/>
              <w:jc w:val="center"/>
              <w:rPr>
                <w:noProof/>
              </w:rPr>
            </w:pPr>
            <w:r>
              <w:rPr>
                <w:noProof/>
              </w:rPr>
              <w:t>2025</w:t>
            </w:r>
          </w:p>
        </w:tc>
        <w:tc>
          <w:tcPr>
            <w:tcW w:w="4116" w:type="dxa"/>
            <w:shd w:val="clear" w:color="auto" w:fill="C6EFCE"/>
            <w:noWrap/>
            <w:vAlign w:val="center"/>
            <w:hideMark/>
          </w:tcPr>
          <w:p w14:paraId="67530860" w14:textId="508F6E99" w:rsidR="00C972CB" w:rsidRDefault="002457F6">
            <w:pPr>
              <w:pStyle w:val="P68B1DB1-Normal11"/>
              <w:spacing w:line="276" w:lineRule="auto"/>
              <w:rPr>
                <w:noProof/>
              </w:rPr>
            </w:pPr>
            <w:r>
              <w:rPr>
                <w:noProof/>
              </w:rPr>
              <w:t>90 % dienvidu reģionu virsmas sedz ar progresīvu un integrētu monitoringa</w:t>
            </w:r>
            <w:r>
              <w:rPr>
                <w:noProof/>
              </w:rPr>
              <w:t xml:space="preserve"> un prognozēšanas sistēmu, lai noteiktu hidroloģiskos riskus.</w:t>
            </w:r>
          </w:p>
        </w:tc>
      </w:tr>
      <w:tr w:rsidR="00C972CB" w14:paraId="58144661" w14:textId="77777777">
        <w:trPr>
          <w:trHeight w:val="313"/>
          <w:jc w:val="center"/>
        </w:trPr>
        <w:tc>
          <w:tcPr>
            <w:tcW w:w="1130" w:type="dxa"/>
            <w:shd w:val="clear" w:color="auto" w:fill="C6EFCE"/>
            <w:noWrap/>
            <w:vAlign w:val="center"/>
          </w:tcPr>
          <w:p w14:paraId="65A67FC9" w14:textId="77777777" w:rsidR="00C972CB" w:rsidRDefault="002457F6">
            <w:pPr>
              <w:pStyle w:val="P68B1DB1-Normal11"/>
              <w:spacing w:line="276" w:lineRule="auto"/>
              <w:jc w:val="center"/>
              <w:rPr>
                <w:noProof/>
              </w:rPr>
            </w:pPr>
            <w:r>
              <w:rPr>
                <w:noProof/>
              </w:rPr>
              <w:t>M2C4–11</w:t>
            </w:r>
          </w:p>
        </w:tc>
        <w:tc>
          <w:tcPr>
            <w:tcW w:w="1560" w:type="dxa"/>
            <w:shd w:val="clear" w:color="auto" w:fill="C6EFCE"/>
            <w:noWrap/>
            <w:vAlign w:val="center"/>
          </w:tcPr>
          <w:p w14:paraId="3F813808" w14:textId="77777777" w:rsidR="00C972CB" w:rsidRDefault="002457F6">
            <w:pPr>
              <w:pStyle w:val="P68B1DB1-Normal11"/>
              <w:spacing w:line="276" w:lineRule="auto"/>
              <w:jc w:val="center"/>
              <w:rPr>
                <w:noProof/>
              </w:rPr>
            </w:pPr>
            <w:r>
              <w:rPr>
                <w:noProof/>
              </w:rPr>
              <w:t>Ieguldījums 2.1.a. Pasākumi plūdu un hidroģeoloģiskā riska mazināšanai — intervences pasākumi Emīlijā Romanjā, Toskānā un Markē</w:t>
            </w:r>
          </w:p>
        </w:tc>
        <w:tc>
          <w:tcPr>
            <w:tcW w:w="1134" w:type="dxa"/>
            <w:shd w:val="clear" w:color="auto" w:fill="C6EFCE"/>
            <w:noWrap/>
            <w:vAlign w:val="center"/>
          </w:tcPr>
          <w:p w14:paraId="5B4F67F7"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tcPr>
          <w:p w14:paraId="10545F80" w14:textId="77777777" w:rsidR="00C972CB" w:rsidRDefault="002457F6">
            <w:pPr>
              <w:pStyle w:val="P68B1DB1-Normal11"/>
              <w:spacing w:line="276" w:lineRule="auto"/>
              <w:jc w:val="center"/>
              <w:rPr>
                <w:noProof/>
              </w:rPr>
            </w:pPr>
            <w:r>
              <w:rPr>
                <w:noProof/>
              </w:rPr>
              <w:t xml:space="preserve">Intervences pasākumu noteikšana ar </w:t>
            </w:r>
            <w:r>
              <w:rPr>
                <w:noProof/>
              </w:rPr>
              <w:t>ārkārtas komisāra rīkojumu(-iem)</w:t>
            </w:r>
          </w:p>
        </w:tc>
        <w:tc>
          <w:tcPr>
            <w:tcW w:w="1383" w:type="dxa"/>
            <w:shd w:val="clear" w:color="auto" w:fill="C6EFCE"/>
            <w:noWrap/>
            <w:vAlign w:val="center"/>
          </w:tcPr>
          <w:p w14:paraId="0FE07324" w14:textId="4512F282" w:rsidR="00C972CB" w:rsidRDefault="002457F6">
            <w:pPr>
              <w:pStyle w:val="P68B1DB1-Normal11"/>
              <w:spacing w:line="276" w:lineRule="auto"/>
              <w:jc w:val="center"/>
              <w:rPr>
                <w:noProof/>
              </w:rPr>
            </w:pPr>
            <w:r>
              <w:rPr>
                <w:noProof/>
              </w:rPr>
              <w:t>Ārkārtas komisāra rīkojums(-i)</w:t>
            </w:r>
          </w:p>
        </w:tc>
        <w:tc>
          <w:tcPr>
            <w:tcW w:w="1094" w:type="dxa"/>
            <w:shd w:val="clear" w:color="auto" w:fill="C6EFCE"/>
            <w:noWrap/>
            <w:vAlign w:val="center"/>
          </w:tcPr>
          <w:p w14:paraId="30ADE40D" w14:textId="77777777" w:rsidR="00C972CB" w:rsidRDefault="00C972CB">
            <w:pPr>
              <w:spacing w:line="276" w:lineRule="auto"/>
              <w:jc w:val="center"/>
              <w:rPr>
                <w:rFonts w:ascii="Arial Narrow" w:hAnsi="Arial Narrow"/>
                <w:noProof/>
                <w:color w:val="006100"/>
                <w:sz w:val="20"/>
              </w:rPr>
            </w:pPr>
          </w:p>
        </w:tc>
        <w:tc>
          <w:tcPr>
            <w:tcW w:w="1290" w:type="dxa"/>
            <w:shd w:val="clear" w:color="auto" w:fill="C6EFCE"/>
            <w:noWrap/>
            <w:vAlign w:val="center"/>
          </w:tcPr>
          <w:p w14:paraId="1A129480" w14:textId="77777777" w:rsidR="00C972CB" w:rsidRDefault="00C972CB">
            <w:pPr>
              <w:spacing w:line="276" w:lineRule="auto"/>
              <w:jc w:val="center"/>
              <w:rPr>
                <w:rFonts w:ascii="Arial Narrow" w:hAnsi="Arial Narrow"/>
                <w:noProof/>
                <w:color w:val="006100"/>
                <w:sz w:val="20"/>
              </w:rPr>
            </w:pPr>
          </w:p>
        </w:tc>
        <w:tc>
          <w:tcPr>
            <w:tcW w:w="1194" w:type="dxa"/>
            <w:shd w:val="clear" w:color="auto" w:fill="C6EFCE"/>
            <w:noWrap/>
            <w:vAlign w:val="center"/>
          </w:tcPr>
          <w:p w14:paraId="55D7BACE" w14:textId="77777777" w:rsidR="00C972CB" w:rsidRDefault="00C972CB">
            <w:pPr>
              <w:spacing w:line="276" w:lineRule="auto"/>
              <w:jc w:val="center"/>
              <w:rPr>
                <w:rFonts w:ascii="Arial Narrow" w:hAnsi="Arial Narrow"/>
                <w:noProof/>
                <w:color w:val="006100"/>
                <w:sz w:val="20"/>
              </w:rPr>
            </w:pPr>
          </w:p>
        </w:tc>
        <w:tc>
          <w:tcPr>
            <w:tcW w:w="916" w:type="dxa"/>
            <w:shd w:val="clear" w:color="auto" w:fill="C6EFCE"/>
            <w:noWrap/>
            <w:vAlign w:val="center"/>
          </w:tcPr>
          <w:p w14:paraId="5026558A" w14:textId="77777777" w:rsidR="00C972CB" w:rsidRDefault="002457F6">
            <w:pPr>
              <w:pStyle w:val="P68B1DB1-Normal11"/>
              <w:spacing w:line="276" w:lineRule="auto"/>
              <w:jc w:val="center"/>
              <w:rPr>
                <w:noProof/>
              </w:rPr>
            </w:pPr>
            <w:r>
              <w:rPr>
                <w:noProof/>
              </w:rPr>
              <w:t>3. CET.</w:t>
            </w:r>
          </w:p>
        </w:tc>
        <w:tc>
          <w:tcPr>
            <w:tcW w:w="638" w:type="dxa"/>
            <w:shd w:val="clear" w:color="auto" w:fill="C6EFCE"/>
            <w:noWrap/>
            <w:vAlign w:val="center"/>
          </w:tcPr>
          <w:p w14:paraId="69AC6DC4" w14:textId="77777777" w:rsidR="00C972CB" w:rsidRDefault="002457F6">
            <w:pPr>
              <w:pStyle w:val="P68B1DB1-Normal11"/>
              <w:spacing w:line="276" w:lineRule="auto"/>
              <w:jc w:val="center"/>
              <w:rPr>
                <w:noProof/>
              </w:rPr>
            </w:pPr>
            <w:r>
              <w:rPr>
                <w:noProof/>
              </w:rPr>
              <w:t>2024</w:t>
            </w:r>
          </w:p>
        </w:tc>
        <w:tc>
          <w:tcPr>
            <w:tcW w:w="4116" w:type="dxa"/>
            <w:shd w:val="clear" w:color="auto" w:fill="C6EFCE"/>
            <w:noWrap/>
            <w:vAlign w:val="center"/>
          </w:tcPr>
          <w:p w14:paraId="16FBE1DB" w14:textId="2C5B2AC5" w:rsidR="00C972CB" w:rsidRDefault="002457F6">
            <w:pPr>
              <w:pStyle w:val="P68B1DB1-Normal11"/>
              <w:spacing w:line="276" w:lineRule="auto"/>
              <w:rPr>
                <w:noProof/>
              </w:rPr>
            </w:pPr>
            <w:r>
              <w:rPr>
                <w:noProof/>
              </w:rPr>
              <w:t>Vienā vai vairākos ārkārtas komisāra rīkojumos norāda precīzu to pasākumu sarakstu, kuru mērķis ir atjaunot ūdensceļus un palielināt aizsardzību pret plūdiem, pasākumus sabiedr</w:t>
            </w:r>
            <w:r>
              <w:rPr>
                <w:noProof/>
              </w:rPr>
              <w:t>isko ēku, tostarp valsts ēku un veselības centru, atjaunošanai un kopējo atjaunojamo ceļu kilometru skaitu. Kopējā intervenču skaita vērtība ir vismaz 1,2 miljardi EUR.</w:t>
            </w:r>
          </w:p>
        </w:tc>
      </w:tr>
      <w:tr w:rsidR="00C972CB" w14:paraId="2DE50768" w14:textId="77777777">
        <w:trPr>
          <w:trHeight w:val="313"/>
          <w:jc w:val="center"/>
        </w:trPr>
        <w:tc>
          <w:tcPr>
            <w:tcW w:w="1130" w:type="dxa"/>
            <w:shd w:val="clear" w:color="auto" w:fill="C6EFCE"/>
            <w:noWrap/>
            <w:vAlign w:val="center"/>
          </w:tcPr>
          <w:p w14:paraId="1CDCDD71" w14:textId="77777777" w:rsidR="00C972CB" w:rsidRDefault="002457F6">
            <w:pPr>
              <w:pStyle w:val="P68B1DB1-Normal11"/>
              <w:spacing w:line="276" w:lineRule="auto"/>
              <w:jc w:val="center"/>
              <w:rPr>
                <w:noProof/>
              </w:rPr>
            </w:pPr>
            <w:r>
              <w:rPr>
                <w:noProof/>
              </w:rPr>
              <w:t>M2C4–11bis</w:t>
            </w:r>
          </w:p>
        </w:tc>
        <w:tc>
          <w:tcPr>
            <w:tcW w:w="1560" w:type="dxa"/>
            <w:shd w:val="clear" w:color="auto" w:fill="C6EFCE"/>
            <w:noWrap/>
            <w:vAlign w:val="center"/>
          </w:tcPr>
          <w:p w14:paraId="60280899" w14:textId="77777777" w:rsidR="00C972CB" w:rsidRDefault="002457F6">
            <w:pPr>
              <w:pStyle w:val="P68B1DB1-Normal11"/>
              <w:spacing w:line="276" w:lineRule="auto"/>
              <w:jc w:val="center"/>
              <w:rPr>
                <w:noProof/>
              </w:rPr>
            </w:pPr>
            <w:r>
              <w:rPr>
                <w:noProof/>
              </w:rPr>
              <w:t xml:space="preserve">Ieguldījums 2.1.a. Pasākumi plūdu un hidroģeoloģiskā riska mazināšanai — </w:t>
            </w:r>
            <w:r>
              <w:rPr>
                <w:noProof/>
              </w:rPr>
              <w:t>intervences pasākumi Emīlijā Romanjā, Toskānā un Markē</w:t>
            </w:r>
          </w:p>
        </w:tc>
        <w:tc>
          <w:tcPr>
            <w:tcW w:w="1134" w:type="dxa"/>
            <w:shd w:val="clear" w:color="auto" w:fill="C6EFCE"/>
            <w:noWrap/>
            <w:vAlign w:val="center"/>
          </w:tcPr>
          <w:p w14:paraId="7ADEB988"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tcPr>
          <w:p w14:paraId="4D80A272" w14:textId="77777777" w:rsidR="00C972CB" w:rsidRDefault="002457F6">
            <w:pPr>
              <w:pStyle w:val="P68B1DB1-Normal11"/>
              <w:jc w:val="center"/>
              <w:rPr>
                <w:noProof/>
              </w:rPr>
            </w:pPr>
            <w:r>
              <w:rPr>
                <w:noProof/>
              </w:rPr>
              <w:t>Visu publiskā iepirkuma līgumu slēgšanas tiesību piešķiršana intervencei Emīlijā-Romanjā, Toskānā un Markē</w:t>
            </w:r>
          </w:p>
        </w:tc>
        <w:tc>
          <w:tcPr>
            <w:tcW w:w="1383" w:type="dxa"/>
            <w:shd w:val="clear" w:color="auto" w:fill="C6EFCE"/>
            <w:noWrap/>
            <w:vAlign w:val="center"/>
          </w:tcPr>
          <w:p w14:paraId="5AE4DBFC" w14:textId="77777777" w:rsidR="00C972CB" w:rsidRDefault="002457F6">
            <w:pPr>
              <w:pStyle w:val="P68B1DB1-Normal11"/>
              <w:jc w:val="center"/>
              <w:rPr>
                <w:noProof/>
              </w:rPr>
            </w:pPr>
            <w:r>
              <w:rPr>
                <w:noProof/>
              </w:rPr>
              <w:t>Paziņojums par visu publiskā iepirkuma līgumu slēgšanas tiesību piešķiršanu</w:t>
            </w:r>
          </w:p>
        </w:tc>
        <w:tc>
          <w:tcPr>
            <w:tcW w:w="1094" w:type="dxa"/>
            <w:shd w:val="clear" w:color="auto" w:fill="C6EFCE"/>
            <w:noWrap/>
            <w:vAlign w:val="center"/>
          </w:tcPr>
          <w:p w14:paraId="18D833F5" w14:textId="77777777" w:rsidR="00C972CB" w:rsidRDefault="002457F6">
            <w:pPr>
              <w:pStyle w:val="P68B1DB1-Normal11"/>
              <w:jc w:val="center"/>
              <w:rPr>
                <w:noProof/>
              </w:rPr>
            </w:pPr>
            <w:r>
              <w:rPr>
                <w:noProof/>
              </w:rPr>
              <w:t>NEPIEMĒRO</w:t>
            </w:r>
          </w:p>
        </w:tc>
        <w:tc>
          <w:tcPr>
            <w:tcW w:w="1290" w:type="dxa"/>
            <w:shd w:val="clear" w:color="auto" w:fill="C6EFCE"/>
            <w:noWrap/>
            <w:vAlign w:val="center"/>
          </w:tcPr>
          <w:p w14:paraId="394DF693" w14:textId="77777777" w:rsidR="00C972CB" w:rsidRDefault="002457F6">
            <w:pPr>
              <w:pStyle w:val="P68B1DB1-Normal11"/>
              <w:jc w:val="center"/>
              <w:rPr>
                <w:noProof/>
              </w:rPr>
            </w:pPr>
            <w:r>
              <w:rPr>
                <w:noProof/>
              </w:rPr>
              <w:t>NEPIEMĒRO</w:t>
            </w:r>
          </w:p>
        </w:tc>
        <w:tc>
          <w:tcPr>
            <w:tcW w:w="1194" w:type="dxa"/>
            <w:shd w:val="clear" w:color="auto" w:fill="C6EFCE"/>
            <w:noWrap/>
            <w:vAlign w:val="center"/>
          </w:tcPr>
          <w:p w14:paraId="7EF9448F" w14:textId="77777777" w:rsidR="00C972CB" w:rsidRDefault="002457F6">
            <w:pPr>
              <w:pStyle w:val="P68B1DB1-Normal11"/>
              <w:jc w:val="center"/>
              <w:rPr>
                <w:noProof/>
              </w:rPr>
            </w:pPr>
            <w:r>
              <w:rPr>
                <w:noProof/>
              </w:rPr>
              <w:t>NEPIEMĒRO</w:t>
            </w:r>
          </w:p>
        </w:tc>
        <w:tc>
          <w:tcPr>
            <w:tcW w:w="916" w:type="dxa"/>
            <w:shd w:val="clear" w:color="auto" w:fill="C6EFCE"/>
            <w:noWrap/>
            <w:vAlign w:val="center"/>
          </w:tcPr>
          <w:p w14:paraId="3BC81604" w14:textId="77777777" w:rsidR="00C972CB" w:rsidRDefault="002457F6">
            <w:pPr>
              <w:pStyle w:val="P68B1DB1-Normal11"/>
              <w:jc w:val="center"/>
              <w:rPr>
                <w:noProof/>
              </w:rPr>
            </w:pPr>
            <w:r>
              <w:rPr>
                <w:noProof/>
              </w:rPr>
              <w:t>2. CET.</w:t>
            </w:r>
          </w:p>
        </w:tc>
        <w:tc>
          <w:tcPr>
            <w:tcW w:w="638" w:type="dxa"/>
            <w:shd w:val="clear" w:color="auto" w:fill="C6EFCE"/>
            <w:noWrap/>
            <w:vAlign w:val="center"/>
          </w:tcPr>
          <w:p w14:paraId="060158DF" w14:textId="77777777" w:rsidR="00C972CB" w:rsidRDefault="002457F6">
            <w:pPr>
              <w:pStyle w:val="P68B1DB1-Normal11"/>
              <w:jc w:val="center"/>
              <w:rPr>
                <w:noProof/>
              </w:rPr>
            </w:pPr>
            <w:r>
              <w:rPr>
                <w:noProof/>
              </w:rPr>
              <w:t>2025</w:t>
            </w:r>
          </w:p>
        </w:tc>
        <w:tc>
          <w:tcPr>
            <w:tcW w:w="4116" w:type="dxa"/>
            <w:shd w:val="clear" w:color="auto" w:fill="C6EFCE"/>
            <w:noWrap/>
            <w:vAlign w:val="center"/>
          </w:tcPr>
          <w:p w14:paraId="7CBB0613" w14:textId="77777777" w:rsidR="00C972CB" w:rsidRDefault="002457F6">
            <w:pPr>
              <w:pStyle w:val="P68B1DB1-Normal11"/>
              <w:rPr>
                <w:noProof/>
              </w:rPr>
            </w:pPr>
            <w:r>
              <w:rPr>
                <w:noProof/>
              </w:rPr>
              <w:t>Paziņojums par visu publiskā iepirkuma līgumu slēgšanas tiesību piešķiršanu intervencēm riska pārvaldības un hidroģeoloģisko risku mazināšanas jomā. Šo apbalvojumu pamatā esošo uzaicinājumu kopējā vērtība ir visma</w:t>
            </w:r>
            <w:r>
              <w:rPr>
                <w:noProof/>
              </w:rPr>
              <w:t>z EUR 1,2 miljardi.</w:t>
            </w:r>
          </w:p>
        </w:tc>
      </w:tr>
      <w:tr w:rsidR="00C972CB" w14:paraId="1BC9B1A0" w14:textId="77777777">
        <w:trPr>
          <w:trHeight w:val="313"/>
          <w:jc w:val="center"/>
        </w:trPr>
        <w:tc>
          <w:tcPr>
            <w:tcW w:w="1130" w:type="dxa"/>
            <w:shd w:val="clear" w:color="auto" w:fill="C6EFCE"/>
            <w:noWrap/>
            <w:vAlign w:val="center"/>
          </w:tcPr>
          <w:p w14:paraId="4659E80A" w14:textId="584549DB" w:rsidR="00C972CB" w:rsidRDefault="002457F6">
            <w:pPr>
              <w:pStyle w:val="P68B1DB1-Normal11"/>
              <w:spacing w:after="120"/>
              <w:jc w:val="center"/>
              <w:rPr>
                <w:noProof/>
              </w:rPr>
            </w:pPr>
            <w:r>
              <w:rPr>
                <w:noProof/>
              </w:rPr>
              <w:t>M2C4–11ter</w:t>
            </w:r>
          </w:p>
        </w:tc>
        <w:tc>
          <w:tcPr>
            <w:tcW w:w="1560" w:type="dxa"/>
            <w:shd w:val="clear" w:color="auto" w:fill="C6EFCE"/>
            <w:noWrap/>
            <w:vAlign w:val="center"/>
          </w:tcPr>
          <w:p w14:paraId="02279783" w14:textId="77777777" w:rsidR="00C972CB" w:rsidRDefault="002457F6">
            <w:pPr>
              <w:pStyle w:val="P68B1DB1-Normal11"/>
              <w:spacing w:after="120"/>
              <w:jc w:val="center"/>
              <w:rPr>
                <w:noProof/>
              </w:rPr>
            </w:pPr>
            <w:r>
              <w:rPr>
                <w:noProof/>
              </w:rPr>
              <w:t>Ieguldījums 2.1.a. Pasākumi plūdu un hidroģeoloģiskā riska mazināšanai — intervences pasākumi Emīlijā Romanjā, Toskānā un Markē</w:t>
            </w:r>
          </w:p>
        </w:tc>
        <w:tc>
          <w:tcPr>
            <w:tcW w:w="1134" w:type="dxa"/>
            <w:shd w:val="clear" w:color="auto" w:fill="C6EFCE"/>
            <w:noWrap/>
            <w:vAlign w:val="center"/>
          </w:tcPr>
          <w:p w14:paraId="43EC21D4" w14:textId="77777777" w:rsidR="00C972CB" w:rsidRDefault="002457F6">
            <w:pPr>
              <w:pStyle w:val="P68B1DB1-Normal11"/>
              <w:spacing w:after="120"/>
              <w:jc w:val="center"/>
              <w:rPr>
                <w:noProof/>
              </w:rPr>
            </w:pPr>
            <w:r>
              <w:rPr>
                <w:noProof/>
              </w:rPr>
              <w:t>Starpposma mērķis</w:t>
            </w:r>
          </w:p>
        </w:tc>
        <w:tc>
          <w:tcPr>
            <w:tcW w:w="1559" w:type="dxa"/>
            <w:shd w:val="clear" w:color="auto" w:fill="C6EFCE"/>
            <w:noWrap/>
            <w:vAlign w:val="center"/>
          </w:tcPr>
          <w:p w14:paraId="54DAA66C" w14:textId="11BCA8BF" w:rsidR="00C972CB" w:rsidRDefault="002457F6">
            <w:pPr>
              <w:pStyle w:val="P68B1DB1-Normal11"/>
              <w:spacing w:after="120"/>
              <w:jc w:val="center"/>
              <w:rPr>
                <w:noProof/>
              </w:rPr>
            </w:pPr>
            <w:r>
              <w:rPr>
                <w:noProof/>
              </w:rPr>
              <w:t>Projektu pabeigšana</w:t>
            </w:r>
          </w:p>
        </w:tc>
        <w:tc>
          <w:tcPr>
            <w:tcW w:w="1383" w:type="dxa"/>
            <w:shd w:val="clear" w:color="auto" w:fill="C6EFCE"/>
            <w:noWrap/>
            <w:vAlign w:val="center"/>
          </w:tcPr>
          <w:p w14:paraId="632F56FF" w14:textId="77777777" w:rsidR="00C972CB" w:rsidRDefault="002457F6">
            <w:pPr>
              <w:pStyle w:val="P68B1DB1-Normal11"/>
              <w:spacing w:after="120"/>
              <w:jc w:val="center"/>
              <w:rPr>
                <w:noProof/>
              </w:rPr>
            </w:pPr>
            <w:r>
              <w:rPr>
                <w:noProof/>
              </w:rPr>
              <w:t>Projektu pabeigšanas sertifikācija</w:t>
            </w:r>
          </w:p>
        </w:tc>
        <w:tc>
          <w:tcPr>
            <w:tcW w:w="1094" w:type="dxa"/>
            <w:shd w:val="clear" w:color="auto" w:fill="C6EFCE"/>
            <w:noWrap/>
            <w:vAlign w:val="center"/>
          </w:tcPr>
          <w:p w14:paraId="2A2965B5" w14:textId="77777777" w:rsidR="00C972CB" w:rsidRDefault="00C972CB">
            <w:pPr>
              <w:spacing w:after="120"/>
              <w:jc w:val="center"/>
              <w:rPr>
                <w:rFonts w:ascii="Arial Narrow" w:hAnsi="Arial Narrow"/>
                <w:noProof/>
                <w:color w:val="006100"/>
                <w:sz w:val="20"/>
              </w:rPr>
            </w:pPr>
          </w:p>
        </w:tc>
        <w:tc>
          <w:tcPr>
            <w:tcW w:w="1290" w:type="dxa"/>
            <w:shd w:val="clear" w:color="auto" w:fill="C6EFCE"/>
            <w:noWrap/>
            <w:vAlign w:val="center"/>
          </w:tcPr>
          <w:p w14:paraId="112F87E8" w14:textId="77777777" w:rsidR="00C972CB" w:rsidRDefault="00C972CB">
            <w:pPr>
              <w:spacing w:after="120"/>
              <w:jc w:val="center"/>
              <w:rPr>
                <w:rFonts w:ascii="Arial Narrow" w:hAnsi="Arial Narrow"/>
                <w:noProof/>
                <w:color w:val="006100"/>
                <w:sz w:val="20"/>
              </w:rPr>
            </w:pPr>
          </w:p>
        </w:tc>
        <w:tc>
          <w:tcPr>
            <w:tcW w:w="1194" w:type="dxa"/>
            <w:shd w:val="clear" w:color="auto" w:fill="C6EFCE"/>
            <w:noWrap/>
            <w:vAlign w:val="center"/>
          </w:tcPr>
          <w:p w14:paraId="677D76C4" w14:textId="77777777" w:rsidR="00C972CB" w:rsidRDefault="00C972CB">
            <w:pPr>
              <w:spacing w:after="120"/>
              <w:jc w:val="center"/>
              <w:rPr>
                <w:rFonts w:ascii="Arial Narrow" w:hAnsi="Arial Narrow"/>
                <w:noProof/>
                <w:color w:val="006100"/>
                <w:sz w:val="20"/>
              </w:rPr>
            </w:pPr>
          </w:p>
        </w:tc>
        <w:tc>
          <w:tcPr>
            <w:tcW w:w="916" w:type="dxa"/>
            <w:shd w:val="clear" w:color="auto" w:fill="C6EFCE"/>
            <w:noWrap/>
            <w:vAlign w:val="center"/>
          </w:tcPr>
          <w:p w14:paraId="534232D7" w14:textId="77777777" w:rsidR="00C972CB" w:rsidRDefault="002457F6">
            <w:pPr>
              <w:pStyle w:val="P68B1DB1-Normal11"/>
              <w:spacing w:after="120"/>
              <w:jc w:val="center"/>
              <w:rPr>
                <w:noProof/>
              </w:rPr>
            </w:pPr>
            <w:r>
              <w:rPr>
                <w:noProof/>
              </w:rPr>
              <w:t>2. CET.</w:t>
            </w:r>
          </w:p>
        </w:tc>
        <w:tc>
          <w:tcPr>
            <w:tcW w:w="638" w:type="dxa"/>
            <w:shd w:val="clear" w:color="auto" w:fill="C6EFCE"/>
            <w:noWrap/>
            <w:vAlign w:val="center"/>
          </w:tcPr>
          <w:p w14:paraId="2DA542B1" w14:textId="77777777" w:rsidR="00C972CB" w:rsidRDefault="002457F6">
            <w:pPr>
              <w:pStyle w:val="P68B1DB1-Normal11"/>
              <w:spacing w:after="120"/>
              <w:jc w:val="center"/>
              <w:rPr>
                <w:noProof/>
              </w:rPr>
            </w:pPr>
            <w:r>
              <w:rPr>
                <w:noProof/>
              </w:rPr>
              <w:t>2026</w:t>
            </w:r>
          </w:p>
        </w:tc>
        <w:tc>
          <w:tcPr>
            <w:tcW w:w="4116" w:type="dxa"/>
            <w:shd w:val="clear" w:color="auto" w:fill="C6EFCE"/>
            <w:noWrap/>
            <w:vAlign w:val="center"/>
          </w:tcPr>
          <w:p w14:paraId="37FC38F3" w14:textId="77777777" w:rsidR="00C972CB" w:rsidRDefault="002457F6">
            <w:pPr>
              <w:pStyle w:val="P68B1DB1-Normal11"/>
              <w:spacing w:after="120"/>
              <w:rPr>
                <w:noProof/>
              </w:rPr>
            </w:pPr>
            <w:r>
              <w:rPr>
                <w:noProof/>
              </w:rPr>
              <w:t xml:space="preserve">Šādu </w:t>
            </w:r>
            <w:r>
              <w:rPr>
                <w:noProof/>
              </w:rPr>
              <w:t>pasākumu pabeigšana:</w:t>
            </w:r>
          </w:p>
          <w:p w14:paraId="6221820A" w14:textId="77777777" w:rsidR="00C972CB" w:rsidRDefault="002457F6">
            <w:pPr>
              <w:pStyle w:val="P68B1DB1-ListParagraph13"/>
              <w:numPr>
                <w:ilvl w:val="0"/>
                <w:numId w:val="97"/>
              </w:numPr>
              <w:spacing w:before="0"/>
              <w:contextualSpacing w:val="0"/>
              <w:jc w:val="left"/>
              <w:rPr>
                <w:noProof/>
              </w:rPr>
            </w:pPr>
            <w:r>
              <w:rPr>
                <w:noProof/>
              </w:rPr>
              <w:t>vismaz 90 % intervences pasākumu, kuru mērķis ir atjaunot ūdensceļus un palielināt aizsardzību pret plūdiem, kā noteikts ārkārtas komisāra rīkojumā,</w:t>
            </w:r>
          </w:p>
          <w:p w14:paraId="3A86A994" w14:textId="77777777" w:rsidR="00C972CB" w:rsidRDefault="002457F6">
            <w:pPr>
              <w:pStyle w:val="P68B1DB1-ListParagraph13"/>
              <w:numPr>
                <w:ilvl w:val="0"/>
                <w:numId w:val="97"/>
              </w:numPr>
              <w:spacing w:before="0"/>
              <w:contextualSpacing w:val="0"/>
              <w:jc w:val="left"/>
              <w:rPr>
                <w:noProof/>
              </w:rPr>
            </w:pPr>
            <w:r>
              <w:rPr>
                <w:noProof/>
              </w:rPr>
              <w:t>Vietējo un provinču ceļu tīkla rehabilitācijas pasākumi vairākos kilometros, kā noteik</w:t>
            </w:r>
            <w:r>
              <w:rPr>
                <w:noProof/>
              </w:rPr>
              <w:t>ts ārkārtas komisāra rīkojumā,</w:t>
            </w:r>
          </w:p>
          <w:p w14:paraId="5B24547A" w14:textId="68EC3DE3" w:rsidR="00C972CB" w:rsidRDefault="002457F6">
            <w:pPr>
              <w:pStyle w:val="P68B1DB1-ListParagraph13"/>
              <w:numPr>
                <w:ilvl w:val="0"/>
                <w:numId w:val="97"/>
              </w:numPr>
              <w:spacing w:before="0"/>
              <w:jc w:val="left"/>
              <w:rPr>
                <w:noProof/>
              </w:rPr>
            </w:pPr>
            <w:r>
              <w:rPr>
                <w:noProof/>
              </w:rPr>
              <w:t>Vismaz 90 % intervences pasākumu sabiedrisko ēku, tostarp valsts ēku un veselības centru, atjaunošanai, kā noteikts ārkārtas komisāra rīkojumā.</w:t>
            </w:r>
          </w:p>
        </w:tc>
      </w:tr>
      <w:tr w:rsidR="00C972CB" w14:paraId="331DDF85" w14:textId="77777777">
        <w:trPr>
          <w:trHeight w:val="313"/>
          <w:jc w:val="center"/>
        </w:trPr>
        <w:tc>
          <w:tcPr>
            <w:tcW w:w="1130" w:type="dxa"/>
            <w:shd w:val="clear" w:color="auto" w:fill="C6EFCE"/>
            <w:noWrap/>
            <w:vAlign w:val="center"/>
          </w:tcPr>
          <w:p w14:paraId="23B010C8" w14:textId="77777777" w:rsidR="00C972CB" w:rsidRDefault="002457F6">
            <w:pPr>
              <w:pStyle w:val="P68B1DB1-Normal11"/>
              <w:spacing w:after="120"/>
              <w:jc w:val="center"/>
              <w:rPr>
                <w:noProof/>
              </w:rPr>
            </w:pPr>
            <w:r>
              <w:rPr>
                <w:noProof/>
              </w:rPr>
              <w:t>M2C4–12</w:t>
            </w:r>
          </w:p>
        </w:tc>
        <w:tc>
          <w:tcPr>
            <w:tcW w:w="1560" w:type="dxa"/>
            <w:shd w:val="clear" w:color="auto" w:fill="C6EFCE"/>
            <w:noWrap/>
            <w:vAlign w:val="center"/>
          </w:tcPr>
          <w:p w14:paraId="34809156" w14:textId="77777777" w:rsidR="00C972CB" w:rsidRDefault="002457F6">
            <w:pPr>
              <w:pStyle w:val="P68B1DB1-Normal11"/>
              <w:spacing w:after="120"/>
              <w:jc w:val="center"/>
              <w:rPr>
                <w:noProof/>
              </w:rPr>
            </w:pPr>
            <w:r>
              <w:rPr>
                <w:noProof/>
              </w:rPr>
              <w:t>Ieguldījums 2.1.b. Pasākumi plūdu un hidroģeoloģiskā riska mazināšanai</w:t>
            </w:r>
          </w:p>
        </w:tc>
        <w:tc>
          <w:tcPr>
            <w:tcW w:w="1134" w:type="dxa"/>
            <w:shd w:val="clear" w:color="auto" w:fill="C6EFCE"/>
            <w:noWrap/>
            <w:vAlign w:val="center"/>
          </w:tcPr>
          <w:p w14:paraId="4354716D" w14:textId="77777777" w:rsidR="00C972CB" w:rsidRDefault="002457F6">
            <w:pPr>
              <w:pStyle w:val="P68B1DB1-Normal11"/>
              <w:spacing w:after="120"/>
              <w:jc w:val="center"/>
              <w:rPr>
                <w:noProof/>
              </w:rPr>
            </w:pPr>
            <w:r>
              <w:rPr>
                <w:noProof/>
              </w:rPr>
              <w:t>Starpposma mērķis</w:t>
            </w:r>
          </w:p>
        </w:tc>
        <w:tc>
          <w:tcPr>
            <w:tcW w:w="1559" w:type="dxa"/>
            <w:shd w:val="clear" w:color="auto" w:fill="C6EFCE"/>
            <w:noWrap/>
            <w:vAlign w:val="center"/>
          </w:tcPr>
          <w:p w14:paraId="19902CA1" w14:textId="77777777" w:rsidR="00C972CB" w:rsidRDefault="002457F6">
            <w:pPr>
              <w:pStyle w:val="P68B1DB1-Normal11"/>
              <w:spacing w:after="120"/>
              <w:jc w:val="center"/>
              <w:rPr>
                <w:noProof/>
              </w:rPr>
            </w:pPr>
            <w:r>
              <w:rPr>
                <w:noProof/>
              </w:rPr>
              <w:t>Stājas spēkā pārskatītais tiesiskais regulējums attiecībā uz pasākumiem plūdu un hidroģeoloģisko risku novēršanai</w:t>
            </w:r>
          </w:p>
        </w:tc>
        <w:tc>
          <w:tcPr>
            <w:tcW w:w="1383" w:type="dxa"/>
            <w:shd w:val="clear" w:color="auto" w:fill="C6EFCE"/>
            <w:noWrap/>
            <w:vAlign w:val="center"/>
          </w:tcPr>
          <w:p w14:paraId="4B0CE1A6" w14:textId="73D0775D" w:rsidR="00C972CB" w:rsidRDefault="002457F6">
            <w:pPr>
              <w:pStyle w:val="P68B1DB1-Normal11"/>
              <w:spacing w:after="120"/>
              <w:jc w:val="center"/>
              <w:rPr>
                <w:noProof/>
              </w:rPr>
            </w:pPr>
            <w:r>
              <w:rPr>
                <w:noProof/>
              </w:rPr>
              <w:t>Noteikumi rīkojumā, kas norāda uz stāšanos spēkā</w:t>
            </w:r>
          </w:p>
        </w:tc>
        <w:tc>
          <w:tcPr>
            <w:tcW w:w="1094" w:type="dxa"/>
            <w:shd w:val="clear" w:color="auto" w:fill="C6EFCE"/>
            <w:noWrap/>
            <w:vAlign w:val="center"/>
          </w:tcPr>
          <w:p w14:paraId="483969E2" w14:textId="77777777" w:rsidR="00C972CB" w:rsidRDefault="002457F6">
            <w:pPr>
              <w:pStyle w:val="P68B1DB1-Normal11"/>
              <w:spacing w:after="120"/>
              <w:jc w:val="center"/>
              <w:rPr>
                <w:noProof/>
              </w:rPr>
            </w:pPr>
            <w:r>
              <w:rPr>
                <w:noProof/>
              </w:rPr>
              <w:t>NEPIEMĒRO</w:t>
            </w:r>
          </w:p>
        </w:tc>
        <w:tc>
          <w:tcPr>
            <w:tcW w:w="1290" w:type="dxa"/>
            <w:shd w:val="clear" w:color="auto" w:fill="C6EFCE"/>
            <w:noWrap/>
            <w:vAlign w:val="center"/>
          </w:tcPr>
          <w:p w14:paraId="5D9FCF01" w14:textId="77777777" w:rsidR="00C972CB" w:rsidRDefault="002457F6">
            <w:pPr>
              <w:pStyle w:val="P68B1DB1-Normal11"/>
              <w:spacing w:after="120"/>
              <w:jc w:val="center"/>
              <w:rPr>
                <w:noProof/>
              </w:rPr>
            </w:pPr>
            <w:r>
              <w:rPr>
                <w:noProof/>
              </w:rPr>
              <w:t>NEPIEMĒRO</w:t>
            </w:r>
          </w:p>
        </w:tc>
        <w:tc>
          <w:tcPr>
            <w:tcW w:w="1194" w:type="dxa"/>
            <w:shd w:val="clear" w:color="auto" w:fill="C6EFCE"/>
            <w:noWrap/>
            <w:vAlign w:val="center"/>
          </w:tcPr>
          <w:p w14:paraId="56D53347" w14:textId="77777777" w:rsidR="00C972CB" w:rsidRDefault="002457F6">
            <w:pPr>
              <w:pStyle w:val="P68B1DB1-Normal11"/>
              <w:spacing w:after="120"/>
              <w:jc w:val="center"/>
              <w:rPr>
                <w:noProof/>
              </w:rPr>
            </w:pPr>
            <w:r>
              <w:rPr>
                <w:noProof/>
              </w:rPr>
              <w:t>NEPIEMĒRO</w:t>
            </w:r>
          </w:p>
        </w:tc>
        <w:tc>
          <w:tcPr>
            <w:tcW w:w="916" w:type="dxa"/>
            <w:shd w:val="clear" w:color="auto" w:fill="C6EFCE"/>
            <w:noWrap/>
            <w:vAlign w:val="center"/>
          </w:tcPr>
          <w:p w14:paraId="4C1D036F" w14:textId="77777777" w:rsidR="00C972CB" w:rsidRDefault="002457F6">
            <w:pPr>
              <w:pStyle w:val="P68B1DB1-Normal11"/>
              <w:spacing w:after="120"/>
              <w:jc w:val="center"/>
              <w:rPr>
                <w:noProof/>
              </w:rPr>
            </w:pPr>
            <w:r>
              <w:rPr>
                <w:noProof/>
              </w:rPr>
              <w:t>4. CET.</w:t>
            </w:r>
          </w:p>
        </w:tc>
        <w:tc>
          <w:tcPr>
            <w:tcW w:w="638" w:type="dxa"/>
            <w:shd w:val="clear" w:color="auto" w:fill="C6EFCE"/>
            <w:noWrap/>
            <w:vAlign w:val="center"/>
          </w:tcPr>
          <w:p w14:paraId="10198E99" w14:textId="77777777" w:rsidR="00C972CB" w:rsidRDefault="002457F6">
            <w:pPr>
              <w:pStyle w:val="P68B1DB1-Normal11"/>
              <w:spacing w:after="120"/>
              <w:jc w:val="center"/>
              <w:rPr>
                <w:noProof/>
              </w:rPr>
            </w:pPr>
            <w:r>
              <w:rPr>
                <w:noProof/>
              </w:rPr>
              <w:t>2021</w:t>
            </w:r>
          </w:p>
        </w:tc>
        <w:tc>
          <w:tcPr>
            <w:tcW w:w="4116" w:type="dxa"/>
            <w:shd w:val="clear" w:color="auto" w:fill="C6EFCE"/>
            <w:noWrap/>
            <w:vAlign w:val="center"/>
          </w:tcPr>
          <w:p w14:paraId="3F802BD2" w14:textId="5FBC8943" w:rsidR="00C972CB" w:rsidRDefault="002457F6">
            <w:pPr>
              <w:pStyle w:val="P68B1DB1-Normal11"/>
              <w:spacing w:after="120"/>
              <w:rPr>
                <w:noProof/>
              </w:rPr>
            </w:pPr>
            <w:r>
              <w:rPr>
                <w:noProof/>
              </w:rPr>
              <w:t xml:space="preserve">Valsts civilās aizsardzības </w:t>
            </w:r>
            <w:r>
              <w:rPr>
                <w:noProof/>
              </w:rPr>
              <w:t>dienesta rīkojumu, ar ko apstiprina pirmo intervences un investīciju plānu plūdu un hidroģeoloģiskā riska mazināšanai, mērķis ir atjaunot sākotnējo apstākļu sākumu un nodrošināt teritoriju noturību pret dabas katastrofām.</w:t>
            </w:r>
          </w:p>
        </w:tc>
      </w:tr>
      <w:tr w:rsidR="00C972CB" w14:paraId="6C7BB271" w14:textId="77777777">
        <w:trPr>
          <w:trHeight w:val="313"/>
          <w:jc w:val="center"/>
        </w:trPr>
        <w:tc>
          <w:tcPr>
            <w:tcW w:w="1130" w:type="dxa"/>
            <w:shd w:val="clear" w:color="auto" w:fill="C6EFCE"/>
            <w:noWrap/>
            <w:vAlign w:val="center"/>
          </w:tcPr>
          <w:p w14:paraId="1C14CF0E" w14:textId="77777777" w:rsidR="00C972CB" w:rsidRDefault="002457F6">
            <w:pPr>
              <w:pStyle w:val="P68B1DB1-Normal11"/>
              <w:spacing w:after="120"/>
              <w:jc w:val="center"/>
              <w:rPr>
                <w:noProof/>
              </w:rPr>
            </w:pPr>
            <w:r>
              <w:rPr>
                <w:noProof/>
              </w:rPr>
              <w:t>M2C4–13</w:t>
            </w:r>
          </w:p>
        </w:tc>
        <w:tc>
          <w:tcPr>
            <w:tcW w:w="1560" w:type="dxa"/>
            <w:shd w:val="clear" w:color="auto" w:fill="C6EFCE"/>
            <w:noWrap/>
            <w:vAlign w:val="center"/>
          </w:tcPr>
          <w:p w14:paraId="6558087A" w14:textId="77777777" w:rsidR="00C972CB" w:rsidRDefault="002457F6">
            <w:pPr>
              <w:pStyle w:val="P68B1DB1-Normal11"/>
              <w:spacing w:after="120"/>
              <w:jc w:val="center"/>
              <w:rPr>
                <w:noProof/>
              </w:rPr>
            </w:pPr>
            <w:r>
              <w:rPr>
                <w:noProof/>
              </w:rPr>
              <w:t xml:space="preserve">Ieguldījums 2.1.b — </w:t>
            </w:r>
            <w:r>
              <w:rPr>
                <w:noProof/>
              </w:rPr>
              <w:t>Pasākumi plūdu un hidroģeoloģiskā riska mazināšanai</w:t>
            </w:r>
          </w:p>
        </w:tc>
        <w:tc>
          <w:tcPr>
            <w:tcW w:w="1134" w:type="dxa"/>
            <w:shd w:val="clear" w:color="auto" w:fill="C6EFCE"/>
            <w:noWrap/>
            <w:vAlign w:val="center"/>
          </w:tcPr>
          <w:p w14:paraId="7D4A1997" w14:textId="77777777" w:rsidR="00C972CB" w:rsidRDefault="002457F6">
            <w:pPr>
              <w:pStyle w:val="P68B1DB1-Normal11"/>
              <w:spacing w:after="120"/>
              <w:jc w:val="center"/>
              <w:rPr>
                <w:noProof/>
              </w:rPr>
            </w:pPr>
            <w:r>
              <w:rPr>
                <w:noProof/>
              </w:rPr>
              <w:t>Mērķa</w:t>
            </w:r>
          </w:p>
        </w:tc>
        <w:tc>
          <w:tcPr>
            <w:tcW w:w="1559" w:type="dxa"/>
            <w:shd w:val="clear" w:color="auto" w:fill="C6EFCE"/>
            <w:noWrap/>
            <w:vAlign w:val="center"/>
          </w:tcPr>
          <w:p w14:paraId="1EC4BDED" w14:textId="000E2619" w:rsidR="00C972CB" w:rsidRDefault="002457F6">
            <w:pPr>
              <w:pStyle w:val="P68B1DB1-Normal11"/>
              <w:spacing w:after="120"/>
              <w:jc w:val="center"/>
              <w:rPr>
                <w:noProof/>
              </w:rPr>
            </w:pPr>
            <w:r>
              <w:rPr>
                <w:noProof/>
              </w:rPr>
              <w:t>D un E tipa intervenču pabeigšana</w:t>
            </w:r>
          </w:p>
        </w:tc>
        <w:tc>
          <w:tcPr>
            <w:tcW w:w="1383" w:type="dxa"/>
            <w:shd w:val="clear" w:color="auto" w:fill="C6EFCE"/>
            <w:noWrap/>
            <w:vAlign w:val="center"/>
          </w:tcPr>
          <w:p w14:paraId="7CB7018A" w14:textId="77777777" w:rsidR="00C972CB" w:rsidRDefault="002457F6">
            <w:pPr>
              <w:pStyle w:val="P68B1DB1-Normal11"/>
              <w:spacing w:after="120"/>
              <w:jc w:val="center"/>
              <w:rPr>
                <w:noProof/>
              </w:rPr>
            </w:pPr>
            <w:r>
              <w:rPr>
                <w:noProof/>
              </w:rPr>
              <w:t>NEPIEMĒRO</w:t>
            </w:r>
          </w:p>
        </w:tc>
        <w:tc>
          <w:tcPr>
            <w:tcW w:w="1094" w:type="dxa"/>
            <w:shd w:val="clear" w:color="auto" w:fill="C6EFCE"/>
            <w:noWrap/>
            <w:vAlign w:val="center"/>
          </w:tcPr>
          <w:p w14:paraId="13C3002D" w14:textId="77777777" w:rsidR="00C972CB" w:rsidRDefault="002457F6">
            <w:pPr>
              <w:pStyle w:val="P68B1DB1-Normal11"/>
              <w:spacing w:after="120"/>
              <w:jc w:val="center"/>
              <w:rPr>
                <w:noProof/>
              </w:rPr>
            </w:pPr>
            <w:r>
              <w:rPr>
                <w:noProof/>
              </w:rPr>
              <w:t>Procentuālā daļa</w:t>
            </w:r>
          </w:p>
        </w:tc>
        <w:tc>
          <w:tcPr>
            <w:tcW w:w="1290" w:type="dxa"/>
            <w:shd w:val="clear" w:color="auto" w:fill="C6EFCE"/>
            <w:noWrap/>
            <w:vAlign w:val="center"/>
          </w:tcPr>
          <w:p w14:paraId="3AEA6756" w14:textId="77777777" w:rsidR="00C972CB" w:rsidRDefault="002457F6">
            <w:pPr>
              <w:pStyle w:val="P68B1DB1-Normal11"/>
              <w:spacing w:after="120"/>
              <w:jc w:val="center"/>
              <w:rPr>
                <w:noProof/>
              </w:rPr>
            </w:pPr>
            <w:r>
              <w:rPr>
                <w:noProof/>
              </w:rPr>
              <w:t>0</w:t>
            </w:r>
          </w:p>
        </w:tc>
        <w:tc>
          <w:tcPr>
            <w:tcW w:w="1194" w:type="dxa"/>
            <w:shd w:val="clear" w:color="auto" w:fill="C6EFCE"/>
            <w:noWrap/>
            <w:vAlign w:val="center"/>
          </w:tcPr>
          <w:p w14:paraId="4D8B0F6E" w14:textId="77777777" w:rsidR="00C972CB" w:rsidRDefault="002457F6">
            <w:pPr>
              <w:pStyle w:val="P68B1DB1-Normal11"/>
              <w:spacing w:after="120"/>
              <w:jc w:val="center"/>
              <w:rPr>
                <w:noProof/>
              </w:rPr>
            </w:pPr>
            <w:r>
              <w:rPr>
                <w:noProof/>
              </w:rPr>
              <w:t>90</w:t>
            </w:r>
          </w:p>
        </w:tc>
        <w:tc>
          <w:tcPr>
            <w:tcW w:w="916" w:type="dxa"/>
            <w:shd w:val="clear" w:color="auto" w:fill="C6EFCE"/>
            <w:noWrap/>
            <w:vAlign w:val="center"/>
          </w:tcPr>
          <w:p w14:paraId="6ADBC9D9" w14:textId="36E8ABE9" w:rsidR="00C972CB" w:rsidRDefault="002457F6">
            <w:pPr>
              <w:pStyle w:val="P68B1DB1-Normal11"/>
              <w:spacing w:after="120"/>
              <w:jc w:val="center"/>
              <w:rPr>
                <w:noProof/>
              </w:rPr>
            </w:pPr>
            <w:r>
              <w:rPr>
                <w:noProof/>
              </w:rPr>
              <w:t>2. CET.</w:t>
            </w:r>
          </w:p>
        </w:tc>
        <w:tc>
          <w:tcPr>
            <w:tcW w:w="638" w:type="dxa"/>
            <w:shd w:val="clear" w:color="auto" w:fill="C6EFCE"/>
            <w:noWrap/>
            <w:vAlign w:val="center"/>
          </w:tcPr>
          <w:p w14:paraId="0CDB7056" w14:textId="3E4979F3" w:rsidR="00C972CB" w:rsidRDefault="002457F6">
            <w:pPr>
              <w:pStyle w:val="P68B1DB1-Normal11"/>
              <w:spacing w:after="120"/>
              <w:jc w:val="center"/>
              <w:rPr>
                <w:noProof/>
              </w:rPr>
            </w:pPr>
            <w:r>
              <w:rPr>
                <w:noProof/>
              </w:rPr>
              <w:t>2026</w:t>
            </w:r>
          </w:p>
        </w:tc>
        <w:tc>
          <w:tcPr>
            <w:tcW w:w="4116" w:type="dxa"/>
            <w:shd w:val="clear" w:color="auto" w:fill="C6EFCE"/>
            <w:noWrap/>
            <w:vAlign w:val="center"/>
          </w:tcPr>
          <w:p w14:paraId="5971594D" w14:textId="096F4883" w:rsidR="00C972CB" w:rsidRDefault="002457F6">
            <w:pPr>
              <w:pStyle w:val="P68B1DB1-Normal11"/>
              <w:spacing w:after="120"/>
              <w:rPr>
                <w:noProof/>
              </w:rPr>
            </w:pPr>
            <w:r>
              <w:rPr>
                <w:noProof/>
              </w:rPr>
              <w:t xml:space="preserve">90 % E un D tipa intervences pasākumu pabeigšana, kuru mērķis ir atjaunot bojātās publiskās struktūras, kā noteikts </w:t>
            </w:r>
            <w:r>
              <w:rPr>
                <w:noProof/>
              </w:rPr>
              <w:t>Valsts civilās aizsardzības dienesta rīkojumā.</w:t>
            </w:r>
          </w:p>
        </w:tc>
      </w:tr>
      <w:tr w:rsidR="00C972CB" w14:paraId="1EC5960F" w14:textId="77777777">
        <w:trPr>
          <w:trHeight w:val="313"/>
          <w:jc w:val="center"/>
        </w:trPr>
        <w:tc>
          <w:tcPr>
            <w:tcW w:w="1130" w:type="dxa"/>
            <w:shd w:val="clear" w:color="auto" w:fill="C6EFCE"/>
            <w:noWrap/>
            <w:vAlign w:val="center"/>
            <w:hideMark/>
          </w:tcPr>
          <w:p w14:paraId="6079803A" w14:textId="77777777" w:rsidR="00C972CB" w:rsidRDefault="002457F6">
            <w:pPr>
              <w:pStyle w:val="P68B1DB1-Normal11"/>
              <w:spacing w:line="276" w:lineRule="auto"/>
              <w:jc w:val="center"/>
              <w:rPr>
                <w:noProof/>
              </w:rPr>
            </w:pPr>
            <w:r>
              <w:rPr>
                <w:noProof/>
              </w:rPr>
              <w:t>M2C4–18</w:t>
            </w:r>
          </w:p>
        </w:tc>
        <w:tc>
          <w:tcPr>
            <w:tcW w:w="1560" w:type="dxa"/>
            <w:shd w:val="clear" w:color="auto" w:fill="C6EFCE"/>
            <w:noWrap/>
            <w:vAlign w:val="center"/>
            <w:hideMark/>
          </w:tcPr>
          <w:p w14:paraId="30390F8E" w14:textId="77777777" w:rsidR="00C972CB" w:rsidRDefault="002457F6">
            <w:pPr>
              <w:pStyle w:val="P68B1DB1-Normal11"/>
              <w:spacing w:line="276" w:lineRule="auto"/>
              <w:jc w:val="center"/>
              <w:rPr>
                <w:noProof/>
              </w:rPr>
            </w:pPr>
            <w:r>
              <w:rPr>
                <w:noProof/>
              </w:rPr>
              <w:t>Investīcijas. 3.1: Pilsētu un piepilsētu mežu aizsardzība un uzlabošana</w:t>
            </w:r>
          </w:p>
        </w:tc>
        <w:tc>
          <w:tcPr>
            <w:tcW w:w="1134" w:type="dxa"/>
            <w:shd w:val="clear" w:color="auto" w:fill="C6EFCE"/>
            <w:noWrap/>
            <w:vAlign w:val="center"/>
            <w:hideMark/>
          </w:tcPr>
          <w:p w14:paraId="1816964D"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hideMark/>
          </w:tcPr>
          <w:p w14:paraId="0E56E6BA" w14:textId="685A7F32" w:rsidR="00C972CB" w:rsidRDefault="002457F6">
            <w:pPr>
              <w:pStyle w:val="P68B1DB1-Normal11"/>
              <w:spacing w:line="276" w:lineRule="auto"/>
              <w:jc w:val="center"/>
              <w:rPr>
                <w:noProof/>
              </w:rPr>
            </w:pPr>
            <w:r>
              <w:rPr>
                <w:noProof/>
              </w:rPr>
              <w:t xml:space="preserve">Pārskatīto juridisko izmaiņu stāšanās spēkā attiecībā uz pilsētu un piepilsētu zaļo zonu aizsardzību un </w:t>
            </w:r>
            <w:r>
              <w:rPr>
                <w:noProof/>
              </w:rPr>
              <w:t>valorizāciju</w:t>
            </w:r>
          </w:p>
        </w:tc>
        <w:tc>
          <w:tcPr>
            <w:tcW w:w="1383" w:type="dxa"/>
            <w:shd w:val="clear" w:color="auto" w:fill="C6EFCE"/>
            <w:noWrap/>
            <w:vAlign w:val="center"/>
            <w:hideMark/>
          </w:tcPr>
          <w:p w14:paraId="36DE1ECD" w14:textId="77777777" w:rsidR="00C972CB" w:rsidRDefault="002457F6">
            <w:pPr>
              <w:pStyle w:val="P68B1DB1-Normal11"/>
              <w:spacing w:line="276" w:lineRule="auto"/>
              <w:jc w:val="center"/>
              <w:rPr>
                <w:noProof/>
              </w:rPr>
            </w:pPr>
            <w:r>
              <w:rPr>
                <w:noProof/>
              </w:rPr>
              <w:t>Noteikums attiecīgajos tiesību aktos, kas norāda uz pilsētas apmežošanas plāna pieņemšanu</w:t>
            </w:r>
          </w:p>
        </w:tc>
        <w:tc>
          <w:tcPr>
            <w:tcW w:w="1094" w:type="dxa"/>
            <w:shd w:val="clear" w:color="auto" w:fill="C6EFCE"/>
            <w:noWrap/>
            <w:vAlign w:val="center"/>
            <w:hideMark/>
          </w:tcPr>
          <w:p w14:paraId="02505EEA" w14:textId="77777777" w:rsidR="00C972CB" w:rsidRDefault="002457F6">
            <w:pPr>
              <w:pStyle w:val="P68B1DB1-Normal11"/>
              <w:spacing w:line="276" w:lineRule="auto"/>
              <w:jc w:val="center"/>
              <w:rPr>
                <w:noProof/>
              </w:rPr>
            </w:pPr>
            <w:r>
              <w:rPr>
                <w:noProof/>
              </w:rPr>
              <w:t>NEPIEMĒRO</w:t>
            </w:r>
          </w:p>
        </w:tc>
        <w:tc>
          <w:tcPr>
            <w:tcW w:w="1290" w:type="dxa"/>
            <w:shd w:val="clear" w:color="auto" w:fill="C6EFCE"/>
            <w:noWrap/>
            <w:vAlign w:val="center"/>
            <w:hideMark/>
          </w:tcPr>
          <w:p w14:paraId="6055F293" w14:textId="77777777" w:rsidR="00C972CB" w:rsidRDefault="002457F6">
            <w:pPr>
              <w:pStyle w:val="P68B1DB1-Normal11"/>
              <w:spacing w:line="276" w:lineRule="auto"/>
              <w:jc w:val="center"/>
              <w:rPr>
                <w:noProof/>
              </w:rPr>
            </w:pPr>
            <w:r>
              <w:rPr>
                <w:noProof/>
              </w:rPr>
              <w:t>NEPIEMĒRO</w:t>
            </w:r>
          </w:p>
        </w:tc>
        <w:tc>
          <w:tcPr>
            <w:tcW w:w="1194" w:type="dxa"/>
            <w:shd w:val="clear" w:color="auto" w:fill="C6EFCE"/>
            <w:noWrap/>
            <w:vAlign w:val="center"/>
            <w:hideMark/>
          </w:tcPr>
          <w:p w14:paraId="5C47DAC1" w14:textId="77777777" w:rsidR="00C972CB" w:rsidRDefault="002457F6">
            <w:pPr>
              <w:pStyle w:val="P68B1DB1-Normal11"/>
              <w:spacing w:line="276" w:lineRule="auto"/>
              <w:jc w:val="center"/>
              <w:rPr>
                <w:noProof/>
              </w:rPr>
            </w:pPr>
            <w:r>
              <w:rPr>
                <w:noProof/>
              </w:rPr>
              <w:t>NEPIEMĒRO</w:t>
            </w:r>
          </w:p>
        </w:tc>
        <w:tc>
          <w:tcPr>
            <w:tcW w:w="916" w:type="dxa"/>
            <w:shd w:val="clear" w:color="auto" w:fill="C6EFCE"/>
            <w:noWrap/>
            <w:vAlign w:val="center"/>
            <w:hideMark/>
          </w:tcPr>
          <w:p w14:paraId="4B9FF76D"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52E3FE38" w14:textId="77777777" w:rsidR="00C972CB" w:rsidRDefault="002457F6">
            <w:pPr>
              <w:pStyle w:val="P68B1DB1-Normal11"/>
              <w:spacing w:line="276" w:lineRule="auto"/>
              <w:jc w:val="center"/>
              <w:rPr>
                <w:noProof/>
              </w:rPr>
            </w:pPr>
            <w:r>
              <w:rPr>
                <w:noProof/>
              </w:rPr>
              <w:t>2021</w:t>
            </w:r>
          </w:p>
        </w:tc>
        <w:tc>
          <w:tcPr>
            <w:tcW w:w="4116" w:type="dxa"/>
            <w:shd w:val="clear" w:color="auto" w:fill="C6EFCE"/>
            <w:noWrap/>
            <w:vAlign w:val="center"/>
            <w:hideMark/>
          </w:tcPr>
          <w:p w14:paraId="0F9C7A38" w14:textId="77777777" w:rsidR="00C972CB" w:rsidRDefault="002457F6">
            <w:pPr>
              <w:pStyle w:val="P68B1DB1-Normal11"/>
              <w:spacing w:line="276" w:lineRule="auto"/>
              <w:rPr>
                <w:noProof/>
              </w:rPr>
            </w:pPr>
            <w:r>
              <w:rPr>
                <w:noProof/>
              </w:rPr>
              <w:t xml:space="preserve">Pilsētas apmežošanas plāns atbilst 2019. gada 12. decembra likuma 141 (“Klimata likums”) mērķiem un pēc </w:t>
            </w:r>
            <w:r>
              <w:rPr>
                <w:noProof/>
              </w:rPr>
              <w:t>plānošanas posma, kas jāveic lielpilsētām. Plānā būtu jānosaka vismaz šādi mērķi:</w:t>
            </w:r>
          </w:p>
          <w:p w14:paraId="010981F3" w14:textId="77777777" w:rsidR="00C972CB" w:rsidRDefault="002457F6">
            <w:pPr>
              <w:pStyle w:val="P68B1DB1-ListParagraph13"/>
              <w:numPr>
                <w:ilvl w:val="0"/>
                <w:numId w:val="69"/>
              </w:numPr>
              <w:spacing w:before="0" w:after="0" w:line="276" w:lineRule="auto"/>
              <w:ind w:left="446"/>
              <w:jc w:val="left"/>
              <w:rPr>
                <w:noProof/>
              </w:rPr>
            </w:pPr>
            <w:r>
              <w:rPr>
                <w:noProof/>
              </w:rPr>
              <w:t>Saglabāt un uzlabot difūzo bioloģisko daudzveidību saskaņā ar Eiropas bioloģiskās daudzveidības stratēģiju,</w:t>
            </w:r>
          </w:p>
          <w:p w14:paraId="64CB0551" w14:textId="77777777" w:rsidR="00C972CB" w:rsidRDefault="002457F6">
            <w:pPr>
              <w:pStyle w:val="P68B1DB1-ListParagraph13"/>
              <w:numPr>
                <w:ilvl w:val="0"/>
                <w:numId w:val="69"/>
              </w:numPr>
              <w:spacing w:before="0" w:after="0" w:line="276" w:lineRule="auto"/>
              <w:ind w:left="446"/>
              <w:jc w:val="left"/>
              <w:rPr>
                <w:noProof/>
              </w:rPr>
            </w:pPr>
            <w:r>
              <w:rPr>
                <w:noProof/>
              </w:rPr>
              <w:t>Palīdzēt samazināt gaisa piesārņojumu lielpilsētu teritorijās,</w:t>
            </w:r>
          </w:p>
          <w:p w14:paraId="5B97DD8D" w14:textId="77777777" w:rsidR="00C972CB" w:rsidRDefault="002457F6">
            <w:pPr>
              <w:pStyle w:val="P68B1DB1-ListParagraph13"/>
              <w:numPr>
                <w:ilvl w:val="0"/>
                <w:numId w:val="69"/>
              </w:numPr>
              <w:spacing w:before="0" w:after="0" w:line="276" w:lineRule="auto"/>
              <w:ind w:left="446"/>
              <w:jc w:val="left"/>
              <w:rPr>
                <w:noProof/>
              </w:rPr>
            </w:pPr>
            <w:r>
              <w:rPr>
                <w:noProof/>
              </w:rPr>
              <w:t>Sam</w:t>
            </w:r>
            <w:r>
              <w:rPr>
                <w:noProof/>
              </w:rPr>
              <w:t>azināt gaisa kvalitātes pārkāpumu procedūras;</w:t>
            </w:r>
          </w:p>
          <w:p w14:paraId="6C1B4974" w14:textId="77777777" w:rsidR="00C972CB" w:rsidRDefault="002457F6">
            <w:pPr>
              <w:pStyle w:val="P68B1DB1-ListParagraph13"/>
              <w:numPr>
                <w:ilvl w:val="0"/>
                <w:numId w:val="69"/>
              </w:numPr>
              <w:spacing w:before="0" w:after="0" w:line="276" w:lineRule="auto"/>
              <w:ind w:left="446"/>
              <w:jc w:val="left"/>
              <w:rPr>
                <w:noProof/>
              </w:rPr>
            </w:pPr>
            <w:r>
              <w:rPr>
                <w:noProof/>
              </w:rPr>
              <w:t>Atjaunot cilvēka veidotās ainavas un uzlabot aizsargājamās teritorijas, kas atrodas lielpilsētu teritoriju tiešā tuvumā;</w:t>
            </w:r>
          </w:p>
          <w:p w14:paraId="6DDDE22C" w14:textId="77777777" w:rsidR="00C972CB" w:rsidRDefault="00C972CB">
            <w:pPr>
              <w:spacing w:line="276" w:lineRule="auto"/>
              <w:rPr>
                <w:rFonts w:ascii="Arial Narrow" w:hAnsi="Arial Narrow"/>
                <w:noProof/>
                <w:color w:val="006100"/>
                <w:sz w:val="20"/>
              </w:rPr>
            </w:pPr>
          </w:p>
          <w:p w14:paraId="068E5E55" w14:textId="230D98FC" w:rsidR="00C972CB" w:rsidRDefault="002457F6">
            <w:pPr>
              <w:pStyle w:val="P68B1DB1-Normal11"/>
              <w:spacing w:line="276" w:lineRule="auto"/>
              <w:rPr>
                <w:noProof/>
              </w:rPr>
            </w:pPr>
            <w:r>
              <w:rPr>
                <w:noProof/>
              </w:rPr>
              <w:t>Ierobežot augsnes patēriņu un atjaunot noderīgas augsnes.</w:t>
            </w:r>
          </w:p>
        </w:tc>
      </w:tr>
      <w:tr w:rsidR="00C972CB" w14:paraId="06F1E9AE" w14:textId="77777777">
        <w:trPr>
          <w:trHeight w:val="313"/>
          <w:jc w:val="center"/>
        </w:trPr>
        <w:tc>
          <w:tcPr>
            <w:tcW w:w="1130" w:type="dxa"/>
            <w:shd w:val="clear" w:color="auto" w:fill="C6EFCE"/>
            <w:noWrap/>
            <w:vAlign w:val="center"/>
            <w:hideMark/>
          </w:tcPr>
          <w:p w14:paraId="1D1A7340" w14:textId="77777777" w:rsidR="00C972CB" w:rsidRDefault="002457F6">
            <w:pPr>
              <w:pStyle w:val="P68B1DB1-Normal11"/>
              <w:spacing w:line="276" w:lineRule="auto"/>
              <w:jc w:val="center"/>
              <w:rPr>
                <w:noProof/>
              </w:rPr>
            </w:pPr>
            <w:r>
              <w:rPr>
                <w:noProof/>
              </w:rPr>
              <w:t>M2C4–19</w:t>
            </w:r>
          </w:p>
        </w:tc>
        <w:tc>
          <w:tcPr>
            <w:tcW w:w="1560" w:type="dxa"/>
            <w:shd w:val="clear" w:color="auto" w:fill="C6EFCE"/>
            <w:noWrap/>
            <w:vAlign w:val="center"/>
            <w:hideMark/>
          </w:tcPr>
          <w:p w14:paraId="1AC421C3" w14:textId="77777777" w:rsidR="00C972CB" w:rsidRDefault="002457F6">
            <w:pPr>
              <w:pStyle w:val="P68B1DB1-Normal11"/>
              <w:spacing w:line="276" w:lineRule="auto"/>
              <w:jc w:val="center"/>
              <w:rPr>
                <w:noProof/>
              </w:rPr>
            </w:pPr>
            <w:r>
              <w:rPr>
                <w:noProof/>
              </w:rPr>
              <w:t xml:space="preserve">Investīcijas. 3.1: </w:t>
            </w:r>
            <w:r>
              <w:rPr>
                <w:noProof/>
              </w:rPr>
              <w:t>Pilsētu un piepilsētu mežu aizsardzība un uzlabošana</w:t>
            </w:r>
          </w:p>
        </w:tc>
        <w:tc>
          <w:tcPr>
            <w:tcW w:w="1134" w:type="dxa"/>
            <w:shd w:val="clear" w:color="auto" w:fill="C6EFCE"/>
            <w:noWrap/>
            <w:vAlign w:val="center"/>
            <w:hideMark/>
          </w:tcPr>
          <w:p w14:paraId="71500290"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257F4E84" w14:textId="77777777" w:rsidR="00C972CB" w:rsidRDefault="002457F6">
            <w:pPr>
              <w:pStyle w:val="P68B1DB1-Normal11"/>
              <w:spacing w:line="276" w:lineRule="auto"/>
              <w:jc w:val="center"/>
              <w:rPr>
                <w:noProof/>
              </w:rPr>
            </w:pPr>
            <w:r>
              <w:rPr>
                <w:noProof/>
              </w:rPr>
              <w:t>Koki pilsētu un piepilsētu zaļo zonu aizsardzībai un valorizācijai T1</w:t>
            </w:r>
          </w:p>
        </w:tc>
        <w:tc>
          <w:tcPr>
            <w:tcW w:w="1383" w:type="dxa"/>
            <w:shd w:val="clear" w:color="auto" w:fill="C6EFCE"/>
            <w:noWrap/>
            <w:vAlign w:val="center"/>
            <w:hideMark/>
          </w:tcPr>
          <w:p w14:paraId="1FF3EFB4"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6C3F8662"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5C134E11" w14:textId="77777777" w:rsidR="00C972CB" w:rsidRDefault="002457F6">
            <w:pPr>
              <w:pStyle w:val="P68B1DB1-Normal11"/>
              <w:spacing w:line="276" w:lineRule="auto"/>
              <w:jc w:val="center"/>
              <w:rPr>
                <w:noProof/>
              </w:rPr>
            </w:pPr>
            <w:r>
              <w:rPr>
                <w:noProof/>
              </w:rPr>
              <w:t>0</w:t>
            </w:r>
          </w:p>
        </w:tc>
        <w:tc>
          <w:tcPr>
            <w:tcW w:w="1194" w:type="dxa"/>
            <w:shd w:val="clear" w:color="auto" w:fill="C6EFCE"/>
            <w:noWrap/>
            <w:vAlign w:val="center"/>
            <w:hideMark/>
          </w:tcPr>
          <w:p w14:paraId="6BA6D4BD" w14:textId="76BEFE81" w:rsidR="00C972CB" w:rsidRDefault="002457F6">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650</w:t>
            </w:r>
            <w:r>
              <w:rPr>
                <w:noProof/>
              </w:rPr>
              <w:t xml:space="preserve"> </w:t>
            </w:r>
            <w:r>
              <w:rPr>
                <w:rFonts w:ascii="Arial Narrow" w:hAnsi="Arial Narrow"/>
                <w:noProof/>
              </w:rPr>
              <w:t>000</w:t>
            </w:r>
          </w:p>
        </w:tc>
        <w:tc>
          <w:tcPr>
            <w:tcW w:w="916" w:type="dxa"/>
            <w:shd w:val="clear" w:color="auto" w:fill="C6EFCE"/>
            <w:noWrap/>
            <w:vAlign w:val="center"/>
            <w:hideMark/>
          </w:tcPr>
          <w:p w14:paraId="7A3C4C72"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764D9FEE" w14:textId="77777777" w:rsidR="00C972CB" w:rsidRDefault="002457F6">
            <w:pPr>
              <w:pStyle w:val="P68B1DB1-Normal11"/>
              <w:spacing w:line="276" w:lineRule="auto"/>
              <w:jc w:val="center"/>
              <w:rPr>
                <w:noProof/>
              </w:rPr>
            </w:pPr>
            <w:r>
              <w:rPr>
                <w:noProof/>
              </w:rPr>
              <w:t>2022</w:t>
            </w:r>
          </w:p>
        </w:tc>
        <w:tc>
          <w:tcPr>
            <w:tcW w:w="4116" w:type="dxa"/>
            <w:shd w:val="clear" w:color="auto" w:fill="C6EFCE"/>
            <w:noWrap/>
            <w:vAlign w:val="center"/>
            <w:hideMark/>
          </w:tcPr>
          <w:p w14:paraId="1AFD6AAB" w14:textId="1EEB3221" w:rsidR="00C972CB" w:rsidRDefault="002457F6">
            <w:pPr>
              <w:pStyle w:val="P68B1DB1-Normal12"/>
              <w:spacing w:line="276" w:lineRule="auto"/>
              <w:rPr>
                <w:rFonts w:ascii="Arial Narrow" w:hAnsi="Arial Narrow"/>
                <w:noProof/>
              </w:rPr>
            </w:pPr>
            <w:r>
              <w:rPr>
                <w:rFonts w:ascii="Arial Narrow" w:hAnsi="Arial Narrow"/>
                <w:noProof/>
              </w:rPr>
              <w:t>Iestādīt vismaz 1650000</w:t>
            </w:r>
            <w:r>
              <w:rPr>
                <w:noProof/>
              </w:rPr>
              <w:t xml:space="preserve"> </w:t>
            </w:r>
            <w:r>
              <w:rPr>
                <w:rFonts w:ascii="Arial Narrow" w:hAnsi="Arial Narrow"/>
                <w:noProof/>
              </w:rPr>
              <w:t xml:space="preserve">koku, lai atjaunotu apmežošanu pilsētu un piepilsētu </w:t>
            </w:r>
            <w:r>
              <w:rPr>
                <w:rFonts w:ascii="Arial Narrow" w:hAnsi="Arial Narrow"/>
                <w:noProof/>
              </w:rPr>
              <w:t>teritorijās saskaņā ar 2019. gada 12. decembra likuma 4. pantu (tā sauktais Klimata akts).</w:t>
            </w:r>
          </w:p>
        </w:tc>
      </w:tr>
      <w:tr w:rsidR="00C972CB" w14:paraId="77ED1231" w14:textId="77777777">
        <w:trPr>
          <w:trHeight w:val="313"/>
          <w:jc w:val="center"/>
        </w:trPr>
        <w:tc>
          <w:tcPr>
            <w:tcW w:w="1130" w:type="dxa"/>
            <w:shd w:val="clear" w:color="auto" w:fill="C6EFCE"/>
            <w:noWrap/>
            <w:vAlign w:val="center"/>
            <w:hideMark/>
          </w:tcPr>
          <w:p w14:paraId="099E7D99" w14:textId="77777777" w:rsidR="00C972CB" w:rsidRDefault="002457F6">
            <w:pPr>
              <w:pStyle w:val="P68B1DB1-Normal11"/>
              <w:spacing w:line="276" w:lineRule="auto"/>
              <w:jc w:val="center"/>
              <w:rPr>
                <w:noProof/>
              </w:rPr>
            </w:pPr>
            <w:r>
              <w:rPr>
                <w:noProof/>
              </w:rPr>
              <w:t>M2C4–20</w:t>
            </w:r>
          </w:p>
        </w:tc>
        <w:tc>
          <w:tcPr>
            <w:tcW w:w="1560" w:type="dxa"/>
            <w:shd w:val="clear" w:color="auto" w:fill="C6EFCE"/>
            <w:noWrap/>
            <w:vAlign w:val="center"/>
            <w:hideMark/>
          </w:tcPr>
          <w:p w14:paraId="204511B4" w14:textId="77777777" w:rsidR="00C972CB" w:rsidRDefault="002457F6">
            <w:pPr>
              <w:pStyle w:val="P68B1DB1-Normal11"/>
              <w:spacing w:line="276" w:lineRule="auto"/>
              <w:jc w:val="center"/>
              <w:rPr>
                <w:noProof/>
              </w:rPr>
            </w:pPr>
            <w:r>
              <w:rPr>
                <w:noProof/>
              </w:rPr>
              <w:t>Investīcijas. 3.1: Pilsētu un piepilsētu mežu aizsardzība un uzlabošana</w:t>
            </w:r>
          </w:p>
        </w:tc>
        <w:tc>
          <w:tcPr>
            <w:tcW w:w="1134" w:type="dxa"/>
            <w:shd w:val="clear" w:color="auto" w:fill="C6EFCE"/>
            <w:noWrap/>
            <w:vAlign w:val="center"/>
            <w:hideMark/>
          </w:tcPr>
          <w:p w14:paraId="14C4E5EF"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36271A94" w14:textId="749DB606" w:rsidR="00C972CB" w:rsidRDefault="002457F6">
            <w:pPr>
              <w:pStyle w:val="P68B1DB1-Normal11"/>
              <w:spacing w:line="276" w:lineRule="auto"/>
              <w:jc w:val="center"/>
              <w:rPr>
                <w:noProof/>
              </w:rPr>
            </w:pPr>
            <w:r>
              <w:rPr>
                <w:noProof/>
              </w:rPr>
              <w:t>Koki pilsētu un piepilsētu zaļo zonu aizsardzībai un valorizācijai T2</w:t>
            </w:r>
          </w:p>
        </w:tc>
        <w:tc>
          <w:tcPr>
            <w:tcW w:w="1383" w:type="dxa"/>
            <w:shd w:val="clear" w:color="auto" w:fill="C6EFCE"/>
            <w:noWrap/>
            <w:vAlign w:val="center"/>
            <w:hideMark/>
          </w:tcPr>
          <w:p w14:paraId="15335D96"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6E99F159"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22CCC378" w14:textId="0CD4DE17" w:rsidR="00C972CB" w:rsidRDefault="002457F6">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650</w:t>
            </w:r>
            <w:r>
              <w:rPr>
                <w:noProof/>
              </w:rPr>
              <w:t xml:space="preserve"> </w:t>
            </w:r>
            <w:r>
              <w:rPr>
                <w:rFonts w:ascii="Arial Narrow" w:hAnsi="Arial Narrow"/>
                <w:noProof/>
              </w:rPr>
              <w:t>000</w:t>
            </w:r>
          </w:p>
        </w:tc>
        <w:tc>
          <w:tcPr>
            <w:tcW w:w="1194" w:type="dxa"/>
            <w:shd w:val="clear" w:color="auto" w:fill="C6EFCE"/>
            <w:noWrap/>
            <w:vAlign w:val="center"/>
            <w:hideMark/>
          </w:tcPr>
          <w:p w14:paraId="247387DF" w14:textId="00CA16A7" w:rsidR="00C972CB" w:rsidRDefault="002457F6">
            <w:pPr>
              <w:pStyle w:val="P68B1DB1-Normal12"/>
              <w:spacing w:line="276" w:lineRule="auto"/>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500</w:t>
            </w:r>
            <w:r>
              <w:rPr>
                <w:noProof/>
              </w:rPr>
              <w:t xml:space="preserve"> </w:t>
            </w:r>
            <w:r>
              <w:rPr>
                <w:rFonts w:ascii="Arial Narrow" w:hAnsi="Arial Narrow"/>
                <w:noProof/>
              </w:rPr>
              <w:t>000</w:t>
            </w:r>
          </w:p>
        </w:tc>
        <w:tc>
          <w:tcPr>
            <w:tcW w:w="916" w:type="dxa"/>
            <w:shd w:val="clear" w:color="auto" w:fill="C6EFCE"/>
            <w:noWrap/>
            <w:vAlign w:val="center"/>
            <w:hideMark/>
          </w:tcPr>
          <w:p w14:paraId="7F302F1B" w14:textId="77777777" w:rsidR="00C972CB" w:rsidRDefault="002457F6">
            <w:pPr>
              <w:pStyle w:val="P68B1DB1-Normal11"/>
              <w:spacing w:line="276" w:lineRule="auto"/>
              <w:jc w:val="center"/>
              <w:rPr>
                <w:noProof/>
              </w:rPr>
            </w:pPr>
            <w:r>
              <w:rPr>
                <w:noProof/>
              </w:rPr>
              <w:t>2. CET.</w:t>
            </w:r>
          </w:p>
        </w:tc>
        <w:tc>
          <w:tcPr>
            <w:tcW w:w="638" w:type="dxa"/>
            <w:shd w:val="clear" w:color="auto" w:fill="C6EFCE"/>
            <w:noWrap/>
            <w:vAlign w:val="center"/>
            <w:hideMark/>
          </w:tcPr>
          <w:p w14:paraId="768C0861" w14:textId="77777777" w:rsidR="00C972CB" w:rsidRDefault="002457F6">
            <w:pPr>
              <w:pStyle w:val="P68B1DB1-Normal11"/>
              <w:spacing w:line="276" w:lineRule="auto"/>
              <w:jc w:val="center"/>
              <w:rPr>
                <w:noProof/>
              </w:rPr>
            </w:pPr>
            <w:r>
              <w:rPr>
                <w:noProof/>
              </w:rPr>
              <w:t>2024</w:t>
            </w:r>
          </w:p>
        </w:tc>
        <w:tc>
          <w:tcPr>
            <w:tcW w:w="4116" w:type="dxa"/>
            <w:shd w:val="clear" w:color="auto" w:fill="C6EFCE"/>
            <w:noWrap/>
            <w:vAlign w:val="center"/>
            <w:hideMark/>
          </w:tcPr>
          <w:p w14:paraId="752A6EE4" w14:textId="37E4682B" w:rsidR="00C972CB" w:rsidRDefault="002457F6">
            <w:pPr>
              <w:pStyle w:val="P68B1DB1-Normal12"/>
              <w:spacing w:line="276" w:lineRule="auto"/>
              <w:rPr>
                <w:rFonts w:ascii="Arial Narrow" w:hAnsi="Arial Narrow"/>
                <w:noProof/>
              </w:rPr>
            </w:pPr>
            <w:r>
              <w:rPr>
                <w:rFonts w:ascii="Arial Narrow" w:hAnsi="Arial Narrow"/>
                <w:noProof/>
              </w:rPr>
              <w:t>Meža reproduktīvā materiāla (sēklu vai augu) stādīšana vismaz</w:t>
            </w:r>
            <w:r>
              <w:rPr>
                <w:noProof/>
              </w:rPr>
              <w:t xml:space="preserve"> </w:t>
            </w:r>
            <w:r>
              <w:rPr>
                <w:rFonts w:ascii="Arial Narrow" w:hAnsi="Arial Narrow"/>
                <w:noProof/>
              </w:rPr>
              <w:t>4500000</w:t>
            </w:r>
            <w:r>
              <w:rPr>
                <w:noProof/>
              </w:rPr>
              <w:t xml:space="preserve"> </w:t>
            </w:r>
            <w:r>
              <w:rPr>
                <w:rFonts w:ascii="Arial Narrow" w:hAnsi="Arial Narrow"/>
                <w:noProof/>
              </w:rPr>
              <w:t xml:space="preserve">koku un krūmu apmežošanai pilsētu un piepilsētu teritorijās saskaņā ar 2019. gada 12. decembra likuma 4. pantu 141 (tā sauktais Klimata </w:t>
            </w:r>
            <w:r>
              <w:rPr>
                <w:rFonts w:ascii="Arial Narrow" w:hAnsi="Arial Narrow"/>
                <w:noProof/>
              </w:rPr>
              <w:t>akts).</w:t>
            </w:r>
          </w:p>
        </w:tc>
      </w:tr>
      <w:tr w:rsidR="00C972CB" w14:paraId="284FAA43"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FDB42" w14:textId="77777777" w:rsidR="00C972CB" w:rsidRDefault="002457F6">
            <w:pPr>
              <w:pStyle w:val="P68B1DB1-Normal11"/>
              <w:spacing w:line="276" w:lineRule="auto"/>
              <w:jc w:val="center"/>
              <w:rPr>
                <w:noProof/>
              </w:rPr>
            </w:pPr>
            <w:r>
              <w:rPr>
                <w:noProof/>
              </w:rPr>
              <w:t>M2C4–20bis</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B5DC1" w14:textId="77777777" w:rsidR="00C972CB" w:rsidRDefault="002457F6">
            <w:pPr>
              <w:pStyle w:val="P68B1DB1-Normal11"/>
              <w:spacing w:line="276" w:lineRule="auto"/>
              <w:jc w:val="center"/>
              <w:rPr>
                <w:noProof/>
              </w:rPr>
            </w:pPr>
            <w:r>
              <w:rPr>
                <w:noProof/>
              </w:rPr>
              <w:t>Investīcijas. 3.1: Pilsētu un piepilsētu mežu aizsardzība un uzlabošana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8625E" w14:textId="77777777" w:rsidR="00C972CB" w:rsidRDefault="002457F6">
            <w:pPr>
              <w:pStyle w:val="P68B1DB1-Normal11"/>
              <w:spacing w:line="276" w:lineRule="auto"/>
              <w:jc w:val="center"/>
              <w:rPr>
                <w:noProof/>
              </w:rPr>
            </w:pPr>
            <w:r>
              <w:rPr>
                <w:noProof/>
              </w:rPr>
              <w:t>Mērķa</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AD183" w14:textId="5415BEF3" w:rsidR="00C972CB" w:rsidRDefault="002457F6">
            <w:pPr>
              <w:pStyle w:val="P68B1DB1-Normal11"/>
              <w:spacing w:line="276" w:lineRule="auto"/>
              <w:jc w:val="center"/>
              <w:rPr>
                <w:noProof/>
              </w:rPr>
            </w:pPr>
            <w:r>
              <w:rPr>
                <w:noProof/>
              </w:rPr>
              <w:t>Koki pilsētu un piepilsētu zaļo zonu aizsardzībai un valorizācijai T3</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F43DB9" w14:textId="77777777" w:rsidR="00C972CB" w:rsidRDefault="002457F6">
            <w:pPr>
              <w:pStyle w:val="P68B1DB1-Normal11"/>
              <w:spacing w:line="276" w:lineRule="auto"/>
              <w:jc w:val="center"/>
              <w:rPr>
                <w:noProof/>
              </w:rPr>
            </w:pPr>
            <w:r>
              <w:rPr>
                <w:noProof/>
              </w:rPr>
              <w:t>NEPIEMĒRO</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09F59" w14:textId="77777777" w:rsidR="00C972CB" w:rsidRDefault="002457F6">
            <w:pPr>
              <w:pStyle w:val="P68B1DB1-Normal11"/>
              <w:spacing w:line="276" w:lineRule="auto"/>
              <w:jc w:val="center"/>
              <w:rPr>
                <w:noProof/>
              </w:rPr>
            </w:pPr>
            <w:r>
              <w:rPr>
                <w:noProof/>
              </w:rPr>
              <w:t>Skaits</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1DFB90" w14:textId="77777777" w:rsidR="00C972CB" w:rsidRDefault="002457F6">
            <w:pPr>
              <w:pStyle w:val="P68B1DB1-Normal11"/>
              <w:spacing w:line="276" w:lineRule="auto"/>
              <w:jc w:val="center"/>
              <w:rPr>
                <w:noProof/>
              </w:rPr>
            </w:pPr>
            <w:r>
              <w:rPr>
                <w:noProof/>
              </w:rPr>
              <w:t>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8A22C" w14:textId="624D1021" w:rsidR="00C972CB" w:rsidRDefault="002457F6">
            <w:pPr>
              <w:pStyle w:val="P68B1DB1-Normal12"/>
              <w:spacing w:line="276" w:lineRule="auto"/>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500</w:t>
            </w:r>
            <w:r>
              <w:rPr>
                <w:noProof/>
              </w:rPr>
              <w:t xml:space="preserve"> </w:t>
            </w:r>
            <w:r>
              <w:rPr>
                <w:rFonts w:ascii="Arial Narrow" w:hAnsi="Arial Narrow"/>
                <w:noProof/>
              </w:rPr>
              <w:t>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7EAEBE" w14:textId="523830D2" w:rsidR="00C972CB" w:rsidRDefault="002457F6">
            <w:pPr>
              <w:pStyle w:val="P68B1DB1-Normal11"/>
              <w:spacing w:line="276" w:lineRule="auto"/>
              <w:jc w:val="center"/>
              <w:rPr>
                <w:noProof/>
              </w:rPr>
            </w:pPr>
            <w:r>
              <w:rPr>
                <w:noProof/>
              </w:rPr>
              <w:t>2. CET.</w:t>
            </w:r>
          </w:p>
        </w:tc>
        <w:tc>
          <w:tcPr>
            <w:tcW w:w="638" w:type="dxa"/>
            <w:tcBorders>
              <w:top w:val="single" w:sz="4" w:space="0" w:color="auto"/>
              <w:left w:val="single" w:sz="4" w:space="0" w:color="auto"/>
              <w:bottom w:val="single" w:sz="4" w:space="0" w:color="auto"/>
              <w:right w:val="single" w:sz="4" w:space="0" w:color="auto"/>
            </w:tcBorders>
            <w:shd w:val="clear" w:color="auto" w:fill="C6EFCE"/>
            <w:vAlign w:val="center"/>
          </w:tcPr>
          <w:p w14:paraId="3B64722C" w14:textId="03B2F2F2" w:rsidR="00C972CB" w:rsidRDefault="002457F6">
            <w:pPr>
              <w:pStyle w:val="P68B1DB1-Normal11"/>
              <w:spacing w:line="276" w:lineRule="auto"/>
              <w:jc w:val="center"/>
              <w:rPr>
                <w:noProof/>
              </w:rPr>
            </w:pPr>
            <w:r>
              <w:rPr>
                <w:noProof/>
              </w:rPr>
              <w:t>2026</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C2F3" w14:textId="3558A1EE" w:rsidR="00C972CB" w:rsidRDefault="002457F6">
            <w:pPr>
              <w:pStyle w:val="P68B1DB1-Normal12"/>
              <w:spacing w:line="276" w:lineRule="auto"/>
              <w:rPr>
                <w:rFonts w:ascii="Arial Narrow" w:hAnsi="Arial Narrow"/>
                <w:noProof/>
              </w:rPr>
            </w:pPr>
            <w:r>
              <w:rPr>
                <w:rFonts w:ascii="Arial Narrow" w:hAnsi="Arial Narrow"/>
                <w:noProof/>
              </w:rPr>
              <w:t xml:space="preserve">Meža reproduktīvā materiāla (sēklu vai augu) </w:t>
            </w:r>
            <w:r>
              <w:rPr>
                <w:rFonts w:ascii="Arial Narrow" w:hAnsi="Arial Narrow"/>
                <w:noProof/>
              </w:rPr>
              <w:t>transplantācija vismaz 3500000</w:t>
            </w:r>
            <w:r>
              <w:rPr>
                <w:noProof/>
              </w:rPr>
              <w:t xml:space="preserve"> </w:t>
            </w:r>
            <w:r>
              <w:rPr>
                <w:rFonts w:ascii="Arial Narrow" w:hAnsi="Arial Narrow"/>
                <w:noProof/>
              </w:rPr>
              <w:t>kokiem</w:t>
            </w:r>
            <w:r>
              <w:rPr>
                <w:noProof/>
              </w:rPr>
              <w:t xml:space="preserve"> </w:t>
            </w:r>
            <w:r>
              <w:rPr>
                <w:rFonts w:ascii="Arial Narrow" w:hAnsi="Arial Narrow"/>
                <w:noProof/>
              </w:rPr>
              <w:t>un krūmiem, lai atjaunotu apmežošanu pilsētu un piepilsētu teritorijās saskaņā ar 2019. gada 12. decembra likuma 4. pantu 141 (tā sauktais Klimata akts).</w:t>
            </w:r>
          </w:p>
        </w:tc>
      </w:tr>
      <w:tr w:rsidR="00C972CB" w14:paraId="366EAA78" w14:textId="77777777">
        <w:trPr>
          <w:trHeight w:val="313"/>
          <w:jc w:val="center"/>
        </w:trPr>
        <w:tc>
          <w:tcPr>
            <w:tcW w:w="1130" w:type="dxa"/>
            <w:shd w:val="clear" w:color="auto" w:fill="C6EFCE"/>
            <w:noWrap/>
            <w:vAlign w:val="center"/>
            <w:hideMark/>
          </w:tcPr>
          <w:p w14:paraId="134398D8" w14:textId="77777777" w:rsidR="00C972CB" w:rsidRDefault="002457F6">
            <w:pPr>
              <w:pStyle w:val="P68B1DB1-Normal11"/>
              <w:spacing w:line="276" w:lineRule="auto"/>
              <w:jc w:val="center"/>
              <w:rPr>
                <w:noProof/>
              </w:rPr>
            </w:pPr>
            <w:r>
              <w:rPr>
                <w:noProof/>
              </w:rPr>
              <w:t>M2C4–21</w:t>
            </w:r>
          </w:p>
        </w:tc>
        <w:tc>
          <w:tcPr>
            <w:tcW w:w="1560" w:type="dxa"/>
            <w:shd w:val="clear" w:color="auto" w:fill="C6EFCE"/>
            <w:noWrap/>
            <w:vAlign w:val="center"/>
            <w:hideMark/>
          </w:tcPr>
          <w:p w14:paraId="234B5B68" w14:textId="77777777" w:rsidR="00C972CB" w:rsidRDefault="002457F6">
            <w:pPr>
              <w:pStyle w:val="P68B1DB1-Normal11"/>
              <w:spacing w:line="276" w:lineRule="auto"/>
              <w:jc w:val="center"/>
              <w:rPr>
                <w:noProof/>
              </w:rPr>
            </w:pPr>
            <w:r>
              <w:rPr>
                <w:noProof/>
              </w:rPr>
              <w:t>Ieguldījums. Apgabala atjaunošana</w:t>
            </w:r>
          </w:p>
        </w:tc>
        <w:tc>
          <w:tcPr>
            <w:tcW w:w="1134" w:type="dxa"/>
            <w:shd w:val="clear" w:color="auto" w:fill="C6EFCE"/>
            <w:noWrap/>
            <w:vAlign w:val="center"/>
            <w:hideMark/>
          </w:tcPr>
          <w:p w14:paraId="1CFE5C75"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hideMark/>
          </w:tcPr>
          <w:p w14:paraId="2355BC93" w14:textId="60117F62" w:rsidR="00C972CB" w:rsidRDefault="002457F6">
            <w:pPr>
              <w:pStyle w:val="P68B1DB1-Normal11"/>
              <w:spacing w:line="276" w:lineRule="auto"/>
              <w:jc w:val="center"/>
              <w:rPr>
                <w:noProof/>
              </w:rPr>
            </w:pPr>
            <w:r>
              <w:rPr>
                <w:noProof/>
              </w:rPr>
              <w:t xml:space="preserve">Po </w:t>
            </w:r>
            <w:r>
              <w:rPr>
                <w:noProof/>
              </w:rPr>
              <w:t>apgabala atjaunošanas intervenču tiesiskā regulējuma pārskatīšana</w:t>
            </w:r>
          </w:p>
        </w:tc>
        <w:tc>
          <w:tcPr>
            <w:tcW w:w="1383" w:type="dxa"/>
            <w:shd w:val="clear" w:color="auto" w:fill="C6EFCE"/>
            <w:noWrap/>
            <w:vAlign w:val="center"/>
            <w:hideMark/>
          </w:tcPr>
          <w:p w14:paraId="2B30103F" w14:textId="77777777" w:rsidR="00C972CB" w:rsidRDefault="002457F6">
            <w:pPr>
              <w:pStyle w:val="P68B1DB1-Normal11"/>
              <w:spacing w:line="276" w:lineRule="auto"/>
              <w:jc w:val="center"/>
              <w:rPr>
                <w:noProof/>
              </w:rPr>
            </w:pPr>
            <w:r>
              <w:rPr>
                <w:noProof/>
              </w:rPr>
              <w:t>Attiecīgā tiesību akta noteikums, kas norāda uz stāšanos spēkā</w:t>
            </w:r>
          </w:p>
        </w:tc>
        <w:tc>
          <w:tcPr>
            <w:tcW w:w="1094" w:type="dxa"/>
            <w:shd w:val="clear" w:color="auto" w:fill="C6EFCE"/>
            <w:noWrap/>
            <w:vAlign w:val="center"/>
            <w:hideMark/>
          </w:tcPr>
          <w:p w14:paraId="6DEC073E" w14:textId="77777777" w:rsidR="00C972CB" w:rsidRDefault="002457F6">
            <w:pPr>
              <w:pStyle w:val="P68B1DB1-Normal11"/>
              <w:spacing w:line="276" w:lineRule="auto"/>
              <w:jc w:val="center"/>
              <w:rPr>
                <w:noProof/>
              </w:rPr>
            </w:pPr>
            <w:r>
              <w:rPr>
                <w:noProof/>
              </w:rPr>
              <w:t>NEPIEMĒRO</w:t>
            </w:r>
          </w:p>
        </w:tc>
        <w:tc>
          <w:tcPr>
            <w:tcW w:w="1290" w:type="dxa"/>
            <w:shd w:val="clear" w:color="auto" w:fill="C6EFCE"/>
            <w:noWrap/>
            <w:vAlign w:val="center"/>
            <w:hideMark/>
          </w:tcPr>
          <w:p w14:paraId="12DEC4DF" w14:textId="77777777" w:rsidR="00C972CB" w:rsidRDefault="002457F6">
            <w:pPr>
              <w:pStyle w:val="P68B1DB1-Normal11"/>
              <w:spacing w:line="276" w:lineRule="auto"/>
              <w:jc w:val="center"/>
              <w:rPr>
                <w:noProof/>
              </w:rPr>
            </w:pPr>
            <w:r>
              <w:rPr>
                <w:noProof/>
              </w:rPr>
              <w:t>NEPIEMĒRO</w:t>
            </w:r>
          </w:p>
        </w:tc>
        <w:tc>
          <w:tcPr>
            <w:tcW w:w="1194" w:type="dxa"/>
            <w:shd w:val="clear" w:color="auto" w:fill="C6EFCE"/>
            <w:noWrap/>
            <w:vAlign w:val="center"/>
            <w:hideMark/>
          </w:tcPr>
          <w:p w14:paraId="07334F7E" w14:textId="77777777" w:rsidR="00C972CB" w:rsidRDefault="002457F6">
            <w:pPr>
              <w:pStyle w:val="P68B1DB1-Normal11"/>
              <w:spacing w:line="276" w:lineRule="auto"/>
              <w:jc w:val="center"/>
              <w:rPr>
                <w:noProof/>
              </w:rPr>
            </w:pPr>
            <w:r>
              <w:rPr>
                <w:noProof/>
              </w:rPr>
              <w:t>NEPIEMĒRO</w:t>
            </w:r>
          </w:p>
        </w:tc>
        <w:tc>
          <w:tcPr>
            <w:tcW w:w="916" w:type="dxa"/>
            <w:shd w:val="clear" w:color="auto" w:fill="C6EFCE"/>
            <w:noWrap/>
            <w:vAlign w:val="center"/>
            <w:hideMark/>
          </w:tcPr>
          <w:p w14:paraId="567D5C41" w14:textId="77777777" w:rsidR="00C972CB" w:rsidRDefault="002457F6">
            <w:pPr>
              <w:pStyle w:val="P68B1DB1-Normal11"/>
              <w:spacing w:line="276" w:lineRule="auto"/>
              <w:jc w:val="center"/>
              <w:rPr>
                <w:noProof/>
              </w:rPr>
            </w:pPr>
            <w:r>
              <w:rPr>
                <w:noProof/>
              </w:rPr>
              <w:t>2. CET.</w:t>
            </w:r>
          </w:p>
        </w:tc>
        <w:tc>
          <w:tcPr>
            <w:tcW w:w="638" w:type="dxa"/>
            <w:shd w:val="clear" w:color="auto" w:fill="C6EFCE"/>
            <w:noWrap/>
            <w:vAlign w:val="center"/>
            <w:hideMark/>
          </w:tcPr>
          <w:p w14:paraId="22490E65" w14:textId="77777777" w:rsidR="00C972CB" w:rsidRDefault="002457F6">
            <w:pPr>
              <w:pStyle w:val="P68B1DB1-Normal11"/>
              <w:spacing w:line="276" w:lineRule="auto"/>
              <w:jc w:val="center"/>
              <w:rPr>
                <w:noProof/>
              </w:rPr>
            </w:pPr>
            <w:r>
              <w:rPr>
                <w:noProof/>
              </w:rPr>
              <w:t>2023</w:t>
            </w:r>
          </w:p>
        </w:tc>
        <w:tc>
          <w:tcPr>
            <w:tcW w:w="4116" w:type="dxa"/>
            <w:shd w:val="clear" w:color="auto" w:fill="C6EFCE"/>
            <w:noWrap/>
            <w:vAlign w:val="center"/>
            <w:hideMark/>
          </w:tcPr>
          <w:p w14:paraId="64694AFD" w14:textId="4C800D1B" w:rsidR="00C972CB" w:rsidRDefault="002457F6">
            <w:pPr>
              <w:pStyle w:val="P68B1DB1-Normal11"/>
              <w:spacing w:line="276" w:lineRule="auto"/>
              <w:rPr>
                <w:noProof/>
              </w:rPr>
            </w:pPr>
            <w:r>
              <w:rPr>
                <w:noProof/>
              </w:rPr>
              <w:t>Stājas spēkā attiecīgie tiesību akti, kuru mērķis ir atjaunot upes gultnes ekoloģisk</w:t>
            </w:r>
            <w:r>
              <w:rPr>
                <w:noProof/>
              </w:rPr>
              <w:t>o koridoru, tostarp dabisku apmežošanu un pasākumus sānu zaru un oksboņu atjaunošanai un atjaunošanai.</w:t>
            </w:r>
          </w:p>
        </w:tc>
      </w:tr>
      <w:tr w:rsidR="00C972CB" w14:paraId="07DC042E" w14:textId="77777777">
        <w:trPr>
          <w:trHeight w:val="313"/>
          <w:jc w:val="center"/>
        </w:trPr>
        <w:tc>
          <w:tcPr>
            <w:tcW w:w="1130" w:type="dxa"/>
            <w:shd w:val="clear" w:color="auto" w:fill="C6EFCE"/>
            <w:noWrap/>
            <w:vAlign w:val="center"/>
            <w:hideMark/>
          </w:tcPr>
          <w:p w14:paraId="4E8EA046" w14:textId="77777777" w:rsidR="00C972CB" w:rsidRDefault="002457F6">
            <w:pPr>
              <w:pStyle w:val="P68B1DB1-Normal11"/>
              <w:spacing w:line="276" w:lineRule="auto"/>
              <w:jc w:val="center"/>
              <w:rPr>
                <w:noProof/>
              </w:rPr>
            </w:pPr>
            <w:r>
              <w:rPr>
                <w:noProof/>
              </w:rPr>
              <w:t>M2C4–22</w:t>
            </w:r>
          </w:p>
        </w:tc>
        <w:tc>
          <w:tcPr>
            <w:tcW w:w="1560" w:type="dxa"/>
            <w:shd w:val="clear" w:color="auto" w:fill="C6EFCE"/>
            <w:noWrap/>
            <w:vAlign w:val="center"/>
            <w:hideMark/>
          </w:tcPr>
          <w:p w14:paraId="50A77FBC" w14:textId="77777777" w:rsidR="00C972CB" w:rsidRDefault="002457F6">
            <w:pPr>
              <w:pStyle w:val="P68B1DB1-Normal11"/>
              <w:spacing w:line="276" w:lineRule="auto"/>
              <w:jc w:val="center"/>
              <w:rPr>
                <w:noProof/>
              </w:rPr>
            </w:pPr>
            <w:r>
              <w:rPr>
                <w:noProof/>
              </w:rPr>
              <w:t>Ieguldījums. Apgabala atjaunošana</w:t>
            </w:r>
          </w:p>
        </w:tc>
        <w:tc>
          <w:tcPr>
            <w:tcW w:w="1134" w:type="dxa"/>
            <w:shd w:val="clear" w:color="auto" w:fill="C6EFCE"/>
            <w:noWrap/>
            <w:vAlign w:val="center"/>
            <w:hideMark/>
          </w:tcPr>
          <w:p w14:paraId="44DC3520"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3D2EDEDC" w14:textId="26EA0755" w:rsidR="00C972CB" w:rsidRDefault="002457F6">
            <w:pPr>
              <w:pStyle w:val="P68B1DB1-Normal11"/>
              <w:spacing w:line="276" w:lineRule="auto"/>
              <w:jc w:val="center"/>
              <w:rPr>
                <w:noProof/>
              </w:rPr>
            </w:pPr>
            <w:r>
              <w:rPr>
                <w:noProof/>
              </w:rPr>
              <w:t>Upes gultnes mākslīguma samazināšana Po apgabala T1 atjaunošanai</w:t>
            </w:r>
          </w:p>
        </w:tc>
        <w:tc>
          <w:tcPr>
            <w:tcW w:w="1383" w:type="dxa"/>
            <w:shd w:val="clear" w:color="auto" w:fill="C6EFCE"/>
            <w:noWrap/>
            <w:vAlign w:val="center"/>
            <w:hideMark/>
          </w:tcPr>
          <w:p w14:paraId="4A2881BA"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0F059451"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64178F70" w14:textId="77777777" w:rsidR="00C972CB" w:rsidRDefault="002457F6">
            <w:pPr>
              <w:pStyle w:val="P68B1DB1-Normal11"/>
              <w:spacing w:line="276" w:lineRule="auto"/>
              <w:jc w:val="center"/>
              <w:rPr>
                <w:noProof/>
              </w:rPr>
            </w:pPr>
            <w:r>
              <w:rPr>
                <w:noProof/>
              </w:rPr>
              <w:t>0</w:t>
            </w:r>
          </w:p>
        </w:tc>
        <w:tc>
          <w:tcPr>
            <w:tcW w:w="1194" w:type="dxa"/>
            <w:shd w:val="clear" w:color="auto" w:fill="C6EFCE"/>
            <w:noWrap/>
            <w:vAlign w:val="center"/>
            <w:hideMark/>
          </w:tcPr>
          <w:p w14:paraId="76E69560" w14:textId="77777777" w:rsidR="00C972CB" w:rsidRDefault="002457F6">
            <w:pPr>
              <w:pStyle w:val="P68B1DB1-Normal11"/>
              <w:spacing w:line="276" w:lineRule="auto"/>
              <w:jc w:val="center"/>
              <w:rPr>
                <w:noProof/>
              </w:rPr>
            </w:pPr>
            <w:r>
              <w:rPr>
                <w:noProof/>
              </w:rPr>
              <w:t>13</w:t>
            </w:r>
          </w:p>
        </w:tc>
        <w:tc>
          <w:tcPr>
            <w:tcW w:w="916" w:type="dxa"/>
            <w:shd w:val="clear" w:color="auto" w:fill="C6EFCE"/>
            <w:noWrap/>
            <w:vAlign w:val="center"/>
            <w:hideMark/>
          </w:tcPr>
          <w:p w14:paraId="06FD6DFA"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4370CB17" w14:textId="77777777" w:rsidR="00C972CB" w:rsidRDefault="002457F6">
            <w:pPr>
              <w:pStyle w:val="P68B1DB1-Normal11"/>
              <w:spacing w:line="276" w:lineRule="auto"/>
              <w:jc w:val="center"/>
              <w:rPr>
                <w:noProof/>
              </w:rPr>
            </w:pPr>
            <w:r>
              <w:rPr>
                <w:noProof/>
              </w:rPr>
              <w:t>2024</w:t>
            </w:r>
          </w:p>
        </w:tc>
        <w:tc>
          <w:tcPr>
            <w:tcW w:w="4116" w:type="dxa"/>
            <w:shd w:val="clear" w:color="auto" w:fill="C6EFCE"/>
            <w:noWrap/>
            <w:vAlign w:val="center"/>
            <w:hideMark/>
          </w:tcPr>
          <w:p w14:paraId="592BFED5" w14:textId="77777777" w:rsidR="00C972CB" w:rsidRDefault="002457F6">
            <w:pPr>
              <w:pStyle w:val="P68B1DB1-Normal11"/>
              <w:spacing w:line="276" w:lineRule="auto"/>
              <w:rPr>
                <w:noProof/>
              </w:rPr>
            </w:pPr>
            <w:r>
              <w:rPr>
                <w:noProof/>
              </w:rPr>
              <w:t>Samazināt upes gultnes mākslību vismaz par 13 km, atgriežot Po ass.</w:t>
            </w:r>
          </w:p>
        </w:tc>
      </w:tr>
      <w:tr w:rsidR="00C972CB" w14:paraId="7603C326" w14:textId="77777777">
        <w:trPr>
          <w:trHeight w:val="313"/>
          <w:jc w:val="center"/>
        </w:trPr>
        <w:tc>
          <w:tcPr>
            <w:tcW w:w="1130" w:type="dxa"/>
            <w:shd w:val="clear" w:color="auto" w:fill="C6EFCE"/>
            <w:noWrap/>
            <w:vAlign w:val="center"/>
            <w:hideMark/>
          </w:tcPr>
          <w:p w14:paraId="1E99012D" w14:textId="77777777" w:rsidR="00C972CB" w:rsidRDefault="002457F6">
            <w:pPr>
              <w:pStyle w:val="P68B1DB1-Normal11"/>
              <w:spacing w:line="276" w:lineRule="auto"/>
              <w:jc w:val="center"/>
              <w:rPr>
                <w:noProof/>
              </w:rPr>
            </w:pPr>
            <w:r>
              <w:rPr>
                <w:noProof/>
              </w:rPr>
              <w:t>M2C4–23</w:t>
            </w:r>
          </w:p>
        </w:tc>
        <w:tc>
          <w:tcPr>
            <w:tcW w:w="1560" w:type="dxa"/>
            <w:shd w:val="clear" w:color="auto" w:fill="C6EFCE"/>
            <w:noWrap/>
            <w:vAlign w:val="center"/>
            <w:hideMark/>
          </w:tcPr>
          <w:p w14:paraId="6ECED21E" w14:textId="77777777" w:rsidR="00C972CB" w:rsidRDefault="002457F6">
            <w:pPr>
              <w:pStyle w:val="P68B1DB1-Normal11"/>
              <w:spacing w:line="276" w:lineRule="auto"/>
              <w:jc w:val="center"/>
              <w:rPr>
                <w:noProof/>
              </w:rPr>
            </w:pPr>
            <w:r>
              <w:rPr>
                <w:noProof/>
              </w:rPr>
              <w:t>Ieguldījums. Apgabala atjaunošana</w:t>
            </w:r>
          </w:p>
        </w:tc>
        <w:tc>
          <w:tcPr>
            <w:tcW w:w="1134" w:type="dxa"/>
            <w:shd w:val="clear" w:color="auto" w:fill="C6EFCE"/>
            <w:noWrap/>
            <w:vAlign w:val="center"/>
            <w:hideMark/>
          </w:tcPr>
          <w:p w14:paraId="0F5FC0A3"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676DEAE1" w14:textId="77777777" w:rsidR="00C972CB" w:rsidRDefault="002457F6">
            <w:pPr>
              <w:pStyle w:val="P68B1DB1-Normal11"/>
              <w:spacing w:line="276" w:lineRule="auto"/>
              <w:jc w:val="center"/>
              <w:rPr>
                <w:noProof/>
              </w:rPr>
            </w:pPr>
            <w:r>
              <w:rPr>
                <w:noProof/>
              </w:rPr>
              <w:t>Upes gultnes mākslīguma samazināšana Po apgabala T2 atjaunošanai</w:t>
            </w:r>
          </w:p>
        </w:tc>
        <w:tc>
          <w:tcPr>
            <w:tcW w:w="1383" w:type="dxa"/>
            <w:shd w:val="clear" w:color="auto" w:fill="C6EFCE"/>
            <w:noWrap/>
            <w:vAlign w:val="center"/>
            <w:hideMark/>
          </w:tcPr>
          <w:p w14:paraId="7ED8A661"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5873E5FA"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714A82B5" w14:textId="77777777" w:rsidR="00C972CB" w:rsidRDefault="002457F6">
            <w:pPr>
              <w:pStyle w:val="P68B1DB1-Normal11"/>
              <w:spacing w:line="276" w:lineRule="auto"/>
              <w:jc w:val="center"/>
              <w:rPr>
                <w:noProof/>
              </w:rPr>
            </w:pPr>
            <w:r>
              <w:rPr>
                <w:noProof/>
              </w:rPr>
              <w:t>13</w:t>
            </w:r>
          </w:p>
        </w:tc>
        <w:tc>
          <w:tcPr>
            <w:tcW w:w="1194" w:type="dxa"/>
            <w:shd w:val="clear" w:color="auto" w:fill="C6EFCE"/>
            <w:noWrap/>
            <w:vAlign w:val="center"/>
            <w:hideMark/>
          </w:tcPr>
          <w:p w14:paraId="52854041" w14:textId="77777777" w:rsidR="00C972CB" w:rsidRDefault="002457F6">
            <w:pPr>
              <w:pStyle w:val="P68B1DB1-Normal11"/>
              <w:spacing w:line="276" w:lineRule="auto"/>
              <w:jc w:val="center"/>
              <w:rPr>
                <w:noProof/>
              </w:rPr>
            </w:pPr>
            <w:r>
              <w:rPr>
                <w:noProof/>
              </w:rPr>
              <w:t>37</w:t>
            </w:r>
          </w:p>
        </w:tc>
        <w:tc>
          <w:tcPr>
            <w:tcW w:w="916" w:type="dxa"/>
            <w:shd w:val="clear" w:color="auto" w:fill="C6EFCE"/>
            <w:noWrap/>
            <w:vAlign w:val="center"/>
            <w:hideMark/>
          </w:tcPr>
          <w:p w14:paraId="5CFEEA08" w14:textId="77777777" w:rsidR="00C972CB" w:rsidRDefault="002457F6">
            <w:pPr>
              <w:pStyle w:val="P68B1DB1-Normal11"/>
              <w:spacing w:line="276" w:lineRule="auto"/>
              <w:jc w:val="center"/>
              <w:rPr>
                <w:noProof/>
              </w:rPr>
            </w:pPr>
            <w:r>
              <w:rPr>
                <w:noProof/>
              </w:rPr>
              <w:t>1. CET.</w:t>
            </w:r>
          </w:p>
        </w:tc>
        <w:tc>
          <w:tcPr>
            <w:tcW w:w="638" w:type="dxa"/>
            <w:shd w:val="clear" w:color="auto" w:fill="C6EFCE"/>
            <w:noWrap/>
            <w:vAlign w:val="center"/>
            <w:hideMark/>
          </w:tcPr>
          <w:p w14:paraId="3A652EBE" w14:textId="77777777" w:rsidR="00C972CB" w:rsidRDefault="002457F6">
            <w:pPr>
              <w:pStyle w:val="P68B1DB1-Normal11"/>
              <w:spacing w:line="276" w:lineRule="auto"/>
              <w:jc w:val="center"/>
              <w:rPr>
                <w:noProof/>
              </w:rPr>
            </w:pPr>
            <w:r>
              <w:rPr>
                <w:noProof/>
              </w:rPr>
              <w:t>2026</w:t>
            </w:r>
          </w:p>
        </w:tc>
        <w:tc>
          <w:tcPr>
            <w:tcW w:w="4116" w:type="dxa"/>
            <w:shd w:val="clear" w:color="auto" w:fill="C6EFCE"/>
            <w:noWrap/>
            <w:vAlign w:val="center"/>
            <w:hideMark/>
          </w:tcPr>
          <w:p w14:paraId="56BEEFD6" w14:textId="77777777" w:rsidR="00C972CB" w:rsidRDefault="002457F6">
            <w:pPr>
              <w:pStyle w:val="P68B1DB1-Normal11"/>
              <w:spacing w:line="276" w:lineRule="auto"/>
              <w:rPr>
                <w:noProof/>
              </w:rPr>
            </w:pPr>
            <w:r>
              <w:rPr>
                <w:noProof/>
              </w:rPr>
              <w:t>Samazināt upes gultnes mākslību vismaz</w:t>
            </w:r>
            <w:r>
              <w:rPr>
                <w:noProof/>
              </w:rPr>
              <w:t xml:space="preserve"> par 37 km, atgriežot Po ass.</w:t>
            </w:r>
          </w:p>
        </w:tc>
      </w:tr>
      <w:tr w:rsidR="00C972CB" w14:paraId="5D4A6183" w14:textId="77777777">
        <w:trPr>
          <w:trHeight w:val="313"/>
          <w:jc w:val="center"/>
        </w:trPr>
        <w:tc>
          <w:tcPr>
            <w:tcW w:w="1130" w:type="dxa"/>
            <w:shd w:val="clear" w:color="auto" w:fill="C6EFCE"/>
            <w:noWrap/>
            <w:vAlign w:val="center"/>
            <w:hideMark/>
          </w:tcPr>
          <w:p w14:paraId="096283EA" w14:textId="77777777" w:rsidR="00C972CB" w:rsidRDefault="002457F6">
            <w:pPr>
              <w:pStyle w:val="P68B1DB1-Normal11"/>
              <w:spacing w:line="276" w:lineRule="auto"/>
              <w:jc w:val="center"/>
              <w:rPr>
                <w:noProof/>
              </w:rPr>
            </w:pPr>
            <w:r>
              <w:rPr>
                <w:noProof/>
              </w:rPr>
              <w:t>M2C4–24</w:t>
            </w:r>
          </w:p>
        </w:tc>
        <w:tc>
          <w:tcPr>
            <w:tcW w:w="1560" w:type="dxa"/>
            <w:shd w:val="clear" w:color="auto" w:fill="C6EFCE"/>
            <w:noWrap/>
            <w:vAlign w:val="center"/>
            <w:hideMark/>
          </w:tcPr>
          <w:p w14:paraId="236B6C45" w14:textId="77777777" w:rsidR="00C972CB" w:rsidRDefault="002457F6">
            <w:pPr>
              <w:pStyle w:val="P68B1DB1-Normal11"/>
              <w:spacing w:line="276" w:lineRule="auto"/>
              <w:jc w:val="center"/>
              <w:rPr>
                <w:noProof/>
              </w:rPr>
            </w:pPr>
            <w:r>
              <w:rPr>
                <w:noProof/>
              </w:rPr>
              <w:t>Ieguldījums 3.4. “Augsnes remediācija remediācijā”</w:t>
            </w:r>
          </w:p>
        </w:tc>
        <w:tc>
          <w:tcPr>
            <w:tcW w:w="1134" w:type="dxa"/>
            <w:shd w:val="clear" w:color="auto" w:fill="C6EFCE"/>
            <w:noWrap/>
            <w:vAlign w:val="center"/>
            <w:hideMark/>
          </w:tcPr>
          <w:p w14:paraId="6B2558BF"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hideMark/>
          </w:tcPr>
          <w:p w14:paraId="12CA94BF" w14:textId="77777777" w:rsidR="00C972CB" w:rsidRDefault="002457F6">
            <w:pPr>
              <w:pStyle w:val="P68B1DB1-Normal11"/>
              <w:spacing w:line="276" w:lineRule="auto"/>
              <w:jc w:val="center"/>
              <w:rPr>
                <w:noProof/>
              </w:rPr>
            </w:pPr>
            <w:r>
              <w:rPr>
                <w:noProof/>
              </w:rPr>
              <w:t>Nezināmu teritoriju sanācijas tiesiskais regulējums</w:t>
            </w:r>
          </w:p>
        </w:tc>
        <w:tc>
          <w:tcPr>
            <w:tcW w:w="1383" w:type="dxa"/>
            <w:shd w:val="clear" w:color="auto" w:fill="C6EFCE"/>
            <w:noWrap/>
            <w:vAlign w:val="center"/>
            <w:hideMark/>
          </w:tcPr>
          <w:p w14:paraId="00B91285" w14:textId="77777777" w:rsidR="00C972CB" w:rsidRDefault="002457F6">
            <w:pPr>
              <w:pStyle w:val="P68B1DB1-Normal11"/>
              <w:spacing w:line="276" w:lineRule="auto"/>
              <w:jc w:val="center"/>
              <w:rPr>
                <w:noProof/>
              </w:rPr>
            </w:pPr>
            <w:r>
              <w:rPr>
                <w:noProof/>
              </w:rPr>
              <w:t>Attiecīgā tiesību akta noteikums, kas norāda uz rīcības plāna pieņemšanu</w:t>
            </w:r>
          </w:p>
        </w:tc>
        <w:tc>
          <w:tcPr>
            <w:tcW w:w="1094" w:type="dxa"/>
            <w:shd w:val="clear" w:color="auto" w:fill="C6EFCE"/>
            <w:noWrap/>
            <w:vAlign w:val="center"/>
            <w:hideMark/>
          </w:tcPr>
          <w:p w14:paraId="57083575" w14:textId="77777777" w:rsidR="00C972CB" w:rsidRDefault="002457F6">
            <w:pPr>
              <w:pStyle w:val="P68B1DB1-Normal11"/>
              <w:spacing w:line="276" w:lineRule="auto"/>
              <w:jc w:val="center"/>
              <w:rPr>
                <w:noProof/>
              </w:rPr>
            </w:pPr>
            <w:r>
              <w:rPr>
                <w:noProof/>
              </w:rPr>
              <w:t>NEPIEMĒRO</w:t>
            </w:r>
          </w:p>
        </w:tc>
        <w:tc>
          <w:tcPr>
            <w:tcW w:w="1290" w:type="dxa"/>
            <w:shd w:val="clear" w:color="auto" w:fill="C6EFCE"/>
            <w:noWrap/>
            <w:vAlign w:val="center"/>
            <w:hideMark/>
          </w:tcPr>
          <w:p w14:paraId="70F7ABBC" w14:textId="77777777" w:rsidR="00C972CB" w:rsidRDefault="002457F6">
            <w:pPr>
              <w:pStyle w:val="P68B1DB1-Normal11"/>
              <w:spacing w:line="276" w:lineRule="auto"/>
              <w:jc w:val="center"/>
              <w:rPr>
                <w:noProof/>
              </w:rPr>
            </w:pPr>
            <w:r>
              <w:rPr>
                <w:noProof/>
              </w:rPr>
              <w:t>NEPIEMĒRO</w:t>
            </w:r>
          </w:p>
        </w:tc>
        <w:tc>
          <w:tcPr>
            <w:tcW w:w="1194" w:type="dxa"/>
            <w:shd w:val="clear" w:color="auto" w:fill="C6EFCE"/>
            <w:noWrap/>
            <w:vAlign w:val="center"/>
            <w:hideMark/>
          </w:tcPr>
          <w:p w14:paraId="6884359E" w14:textId="77777777" w:rsidR="00C972CB" w:rsidRDefault="002457F6">
            <w:pPr>
              <w:pStyle w:val="P68B1DB1-Normal11"/>
              <w:spacing w:line="276" w:lineRule="auto"/>
              <w:jc w:val="center"/>
              <w:rPr>
                <w:noProof/>
              </w:rPr>
            </w:pPr>
            <w:r>
              <w:rPr>
                <w:noProof/>
              </w:rPr>
              <w:t>NEPIEMĒRO</w:t>
            </w:r>
          </w:p>
        </w:tc>
        <w:tc>
          <w:tcPr>
            <w:tcW w:w="916" w:type="dxa"/>
            <w:shd w:val="clear" w:color="auto" w:fill="C6EFCE"/>
            <w:noWrap/>
            <w:vAlign w:val="center"/>
            <w:hideMark/>
          </w:tcPr>
          <w:p w14:paraId="3309E503"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1DA36C2C" w14:textId="77777777" w:rsidR="00C972CB" w:rsidRDefault="002457F6">
            <w:pPr>
              <w:pStyle w:val="P68B1DB1-Normal11"/>
              <w:spacing w:line="276" w:lineRule="auto"/>
              <w:jc w:val="center"/>
              <w:rPr>
                <w:noProof/>
              </w:rPr>
            </w:pPr>
            <w:r>
              <w:rPr>
                <w:noProof/>
              </w:rPr>
              <w:t>2022</w:t>
            </w:r>
          </w:p>
        </w:tc>
        <w:tc>
          <w:tcPr>
            <w:tcW w:w="4116" w:type="dxa"/>
            <w:shd w:val="clear" w:color="auto" w:fill="C6EFCE"/>
            <w:noWrap/>
            <w:vAlign w:val="center"/>
            <w:hideMark/>
          </w:tcPr>
          <w:p w14:paraId="2179A3C9" w14:textId="77777777" w:rsidR="00C972CB" w:rsidRDefault="002457F6">
            <w:pPr>
              <w:pStyle w:val="P68B1DB1-Normal11"/>
              <w:spacing w:line="276" w:lineRule="auto"/>
              <w:rPr>
                <w:noProof/>
              </w:rPr>
            </w:pPr>
            <w:r>
              <w:rPr>
                <w:noProof/>
              </w:rPr>
              <w:t>Rīcības plāns pamestu teritoriju atdzīvināšanai samazina zemes platību aizņemšanu un sekmē pilsētvides atjaunošanu. Tajā obligāti iekļauj:</w:t>
            </w:r>
          </w:p>
          <w:p w14:paraId="528D1AA7" w14:textId="77777777" w:rsidR="00C972CB" w:rsidRDefault="002457F6">
            <w:pPr>
              <w:pStyle w:val="P68B1DB1-ListParagraph13"/>
              <w:numPr>
                <w:ilvl w:val="0"/>
                <w:numId w:val="69"/>
              </w:numPr>
              <w:spacing w:before="0" w:after="0" w:line="276" w:lineRule="auto"/>
              <w:ind w:left="305"/>
              <w:jc w:val="left"/>
              <w:rPr>
                <w:noProof/>
              </w:rPr>
            </w:pPr>
            <w:r>
              <w:rPr>
                <w:noProof/>
              </w:rPr>
              <w:t>Nezināmu vietu noteikšana visos 21 reģionā un/vai autonomajā provincē;</w:t>
            </w:r>
          </w:p>
          <w:p w14:paraId="0A446132" w14:textId="77777777" w:rsidR="00C972CB" w:rsidRDefault="002457F6">
            <w:pPr>
              <w:pStyle w:val="P68B1DB1-ListParagraph13"/>
              <w:numPr>
                <w:ilvl w:val="0"/>
                <w:numId w:val="69"/>
              </w:numPr>
              <w:spacing w:before="0" w:after="0" w:line="276" w:lineRule="auto"/>
              <w:ind w:left="305"/>
              <w:jc w:val="left"/>
              <w:rPr>
                <w:noProof/>
              </w:rPr>
            </w:pPr>
            <w:r>
              <w:rPr>
                <w:noProof/>
              </w:rPr>
              <w:t xml:space="preserve">Konkrēti pasākumi, kas </w:t>
            </w:r>
            <w:r>
              <w:rPr>
                <w:noProof/>
              </w:rPr>
              <w:t>jāveic katrā nezināmā teritorijā, lai samazinātu zemes platību aizņemšanu un veicinātu pilsētvides atjaunošanu</w:t>
            </w:r>
          </w:p>
          <w:p w14:paraId="7C517D8C" w14:textId="77777777" w:rsidR="00C972CB" w:rsidRDefault="00C972CB">
            <w:pPr>
              <w:spacing w:line="276" w:lineRule="auto"/>
              <w:rPr>
                <w:rFonts w:ascii="Arial Narrow" w:hAnsi="Arial Narrow"/>
                <w:noProof/>
                <w:color w:val="006100"/>
                <w:sz w:val="20"/>
              </w:rPr>
            </w:pPr>
          </w:p>
        </w:tc>
      </w:tr>
      <w:tr w:rsidR="00C972CB" w14:paraId="4BFA96E7" w14:textId="77777777">
        <w:trPr>
          <w:trHeight w:val="313"/>
          <w:jc w:val="center"/>
        </w:trPr>
        <w:tc>
          <w:tcPr>
            <w:tcW w:w="1130" w:type="dxa"/>
            <w:shd w:val="clear" w:color="auto" w:fill="C6EFCE"/>
            <w:noWrap/>
            <w:vAlign w:val="center"/>
            <w:hideMark/>
          </w:tcPr>
          <w:p w14:paraId="098BCFF6" w14:textId="77777777" w:rsidR="00C972CB" w:rsidRDefault="002457F6">
            <w:pPr>
              <w:pStyle w:val="P68B1DB1-Normal11"/>
              <w:spacing w:line="276" w:lineRule="auto"/>
              <w:jc w:val="center"/>
              <w:rPr>
                <w:noProof/>
              </w:rPr>
            </w:pPr>
            <w:r>
              <w:rPr>
                <w:noProof/>
              </w:rPr>
              <w:t>M2C4–25</w:t>
            </w:r>
          </w:p>
        </w:tc>
        <w:tc>
          <w:tcPr>
            <w:tcW w:w="1560" w:type="dxa"/>
            <w:shd w:val="clear" w:color="auto" w:fill="C6EFCE"/>
            <w:noWrap/>
            <w:vAlign w:val="center"/>
            <w:hideMark/>
          </w:tcPr>
          <w:p w14:paraId="53B5BD06" w14:textId="77777777" w:rsidR="00C972CB" w:rsidRDefault="002457F6">
            <w:pPr>
              <w:pStyle w:val="P68B1DB1-Normal11"/>
              <w:spacing w:line="276" w:lineRule="auto"/>
              <w:jc w:val="center"/>
              <w:rPr>
                <w:noProof/>
              </w:rPr>
            </w:pPr>
            <w:r>
              <w:rPr>
                <w:noProof/>
              </w:rPr>
              <w:t>Ieguldījums 3.4. “Augsnes remediācija remediācijā”</w:t>
            </w:r>
          </w:p>
        </w:tc>
        <w:tc>
          <w:tcPr>
            <w:tcW w:w="1134" w:type="dxa"/>
            <w:shd w:val="clear" w:color="auto" w:fill="C6EFCE"/>
            <w:noWrap/>
            <w:vAlign w:val="center"/>
            <w:hideMark/>
          </w:tcPr>
          <w:p w14:paraId="7E2172E8"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58A24C84" w14:textId="10416210" w:rsidR="00C972CB" w:rsidRDefault="002457F6">
            <w:pPr>
              <w:pStyle w:val="P68B1DB1-Normal11"/>
              <w:spacing w:line="276" w:lineRule="auto"/>
              <w:jc w:val="center"/>
              <w:rPr>
                <w:noProof/>
              </w:rPr>
            </w:pPr>
            <w:r>
              <w:rPr>
                <w:noProof/>
              </w:rPr>
              <w:t>Nezināmu teritoriju atjaunošana</w:t>
            </w:r>
          </w:p>
        </w:tc>
        <w:tc>
          <w:tcPr>
            <w:tcW w:w="1383" w:type="dxa"/>
            <w:shd w:val="clear" w:color="auto" w:fill="C6EFCE"/>
            <w:noWrap/>
            <w:vAlign w:val="center"/>
            <w:hideMark/>
          </w:tcPr>
          <w:p w14:paraId="655E4B34"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6D77EF44" w14:textId="77777777" w:rsidR="00C972CB" w:rsidRDefault="002457F6">
            <w:pPr>
              <w:pStyle w:val="P68B1DB1-Normal11"/>
              <w:spacing w:line="276" w:lineRule="auto"/>
              <w:jc w:val="center"/>
              <w:rPr>
                <w:noProof/>
              </w:rPr>
            </w:pPr>
            <w:r>
              <w:rPr>
                <w:noProof/>
              </w:rPr>
              <w:t>Procentuālā daļa</w:t>
            </w:r>
          </w:p>
        </w:tc>
        <w:tc>
          <w:tcPr>
            <w:tcW w:w="1290" w:type="dxa"/>
            <w:shd w:val="clear" w:color="auto" w:fill="C6EFCE"/>
            <w:noWrap/>
            <w:vAlign w:val="center"/>
            <w:hideMark/>
          </w:tcPr>
          <w:p w14:paraId="2D22FAB1" w14:textId="77777777" w:rsidR="00C972CB" w:rsidRDefault="002457F6">
            <w:pPr>
              <w:pStyle w:val="P68B1DB1-Normal11"/>
              <w:spacing w:line="276" w:lineRule="auto"/>
              <w:jc w:val="center"/>
              <w:rPr>
                <w:noProof/>
              </w:rPr>
            </w:pPr>
            <w:r>
              <w:rPr>
                <w:noProof/>
              </w:rPr>
              <w:t>0</w:t>
            </w:r>
          </w:p>
        </w:tc>
        <w:tc>
          <w:tcPr>
            <w:tcW w:w="1194" w:type="dxa"/>
            <w:shd w:val="clear" w:color="auto" w:fill="C6EFCE"/>
            <w:noWrap/>
            <w:vAlign w:val="center"/>
            <w:hideMark/>
          </w:tcPr>
          <w:p w14:paraId="31F81CDD" w14:textId="77777777" w:rsidR="00C972CB" w:rsidRDefault="002457F6">
            <w:pPr>
              <w:pStyle w:val="P68B1DB1-Normal11"/>
              <w:spacing w:line="276" w:lineRule="auto"/>
              <w:jc w:val="center"/>
              <w:rPr>
                <w:noProof/>
              </w:rPr>
            </w:pPr>
            <w:r>
              <w:rPr>
                <w:noProof/>
              </w:rPr>
              <w:t>70</w:t>
            </w:r>
          </w:p>
        </w:tc>
        <w:tc>
          <w:tcPr>
            <w:tcW w:w="916" w:type="dxa"/>
            <w:shd w:val="clear" w:color="auto" w:fill="C6EFCE"/>
            <w:noWrap/>
            <w:vAlign w:val="center"/>
            <w:hideMark/>
          </w:tcPr>
          <w:p w14:paraId="1678057B" w14:textId="77777777" w:rsidR="00C972CB" w:rsidRDefault="002457F6">
            <w:pPr>
              <w:pStyle w:val="P68B1DB1-Normal11"/>
              <w:spacing w:line="276" w:lineRule="auto"/>
              <w:jc w:val="center"/>
              <w:rPr>
                <w:noProof/>
              </w:rPr>
            </w:pPr>
            <w:r>
              <w:rPr>
                <w:noProof/>
              </w:rPr>
              <w:t>1. CET.</w:t>
            </w:r>
          </w:p>
        </w:tc>
        <w:tc>
          <w:tcPr>
            <w:tcW w:w="638" w:type="dxa"/>
            <w:shd w:val="clear" w:color="auto" w:fill="C6EFCE"/>
            <w:noWrap/>
            <w:vAlign w:val="center"/>
            <w:hideMark/>
          </w:tcPr>
          <w:p w14:paraId="15770632" w14:textId="77777777" w:rsidR="00C972CB" w:rsidRDefault="002457F6">
            <w:pPr>
              <w:pStyle w:val="P68B1DB1-Normal11"/>
              <w:spacing w:line="276" w:lineRule="auto"/>
              <w:jc w:val="center"/>
              <w:rPr>
                <w:noProof/>
              </w:rPr>
            </w:pPr>
            <w:r>
              <w:rPr>
                <w:noProof/>
              </w:rPr>
              <w:t>2026</w:t>
            </w:r>
          </w:p>
        </w:tc>
        <w:tc>
          <w:tcPr>
            <w:tcW w:w="4116" w:type="dxa"/>
            <w:shd w:val="clear" w:color="auto" w:fill="C6EFCE"/>
            <w:noWrap/>
            <w:vAlign w:val="center"/>
            <w:hideMark/>
          </w:tcPr>
          <w:p w14:paraId="2432CD4C" w14:textId="6977C314" w:rsidR="00C972CB" w:rsidRDefault="002457F6">
            <w:pPr>
              <w:pStyle w:val="P68B1DB1-Normal11"/>
              <w:spacing w:line="276" w:lineRule="auto"/>
              <w:rPr>
                <w:noProof/>
              </w:rPr>
            </w:pPr>
            <w:r>
              <w:rPr>
                <w:noProof/>
              </w:rPr>
              <w:t>Atdzīvināt vismaz 70 % no neauglīgo teritoriju augsnes virsmas, lai samazinātu zemes platību aizņemšanu un veicinātu pilsētvides reģenerāciju.</w:t>
            </w:r>
          </w:p>
        </w:tc>
      </w:tr>
      <w:tr w:rsidR="00C972CB" w14:paraId="6E09D3C3" w14:textId="77777777">
        <w:trPr>
          <w:trHeight w:val="313"/>
          <w:jc w:val="center"/>
        </w:trPr>
        <w:tc>
          <w:tcPr>
            <w:tcW w:w="1130" w:type="dxa"/>
            <w:shd w:val="clear" w:color="auto" w:fill="C6EFCE"/>
            <w:noWrap/>
            <w:vAlign w:val="center"/>
            <w:hideMark/>
          </w:tcPr>
          <w:p w14:paraId="677C01E5" w14:textId="77777777" w:rsidR="00C972CB" w:rsidRDefault="002457F6">
            <w:pPr>
              <w:pStyle w:val="P68B1DB1-Normal11"/>
              <w:spacing w:line="276" w:lineRule="auto"/>
              <w:jc w:val="center"/>
              <w:rPr>
                <w:noProof/>
              </w:rPr>
            </w:pPr>
            <w:r>
              <w:rPr>
                <w:noProof/>
              </w:rPr>
              <w:t>M2C4–26</w:t>
            </w:r>
          </w:p>
        </w:tc>
        <w:tc>
          <w:tcPr>
            <w:tcW w:w="1560" w:type="dxa"/>
            <w:shd w:val="clear" w:color="auto" w:fill="C6EFCE"/>
            <w:noWrap/>
            <w:vAlign w:val="center"/>
            <w:hideMark/>
          </w:tcPr>
          <w:p w14:paraId="1B619033" w14:textId="77777777" w:rsidR="00C972CB" w:rsidRDefault="002457F6">
            <w:pPr>
              <w:pStyle w:val="P68B1DB1-Normal11"/>
              <w:spacing w:line="276" w:lineRule="auto"/>
              <w:jc w:val="center"/>
              <w:rPr>
                <w:noProof/>
              </w:rPr>
            </w:pPr>
            <w:r>
              <w:rPr>
                <w:noProof/>
              </w:rPr>
              <w:t>Ieguldījums 3.5. Jūras gultnes un jūras dzīvotņu atjaunošana un aizsardzība</w:t>
            </w:r>
          </w:p>
        </w:tc>
        <w:tc>
          <w:tcPr>
            <w:tcW w:w="1134" w:type="dxa"/>
            <w:shd w:val="clear" w:color="auto" w:fill="C6EFCE"/>
            <w:noWrap/>
            <w:vAlign w:val="center"/>
            <w:hideMark/>
          </w:tcPr>
          <w:p w14:paraId="08E5BE7C"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777149DB" w14:textId="3BFD8310" w:rsidR="00C972CB" w:rsidRDefault="002457F6">
            <w:pPr>
              <w:pStyle w:val="P68B1DB1-Normal11"/>
              <w:spacing w:line="276" w:lineRule="auto"/>
              <w:jc w:val="center"/>
              <w:rPr>
                <w:noProof/>
              </w:rPr>
            </w:pPr>
            <w:r>
              <w:rPr>
                <w:noProof/>
              </w:rPr>
              <w:t>Jūras gultnes un jūras</w:t>
            </w:r>
            <w:r>
              <w:rPr>
                <w:noProof/>
              </w:rPr>
              <w:t xml:space="preserve"> dzīvotņu atjaunošana un aizsardzība</w:t>
            </w:r>
          </w:p>
        </w:tc>
        <w:tc>
          <w:tcPr>
            <w:tcW w:w="1383" w:type="dxa"/>
            <w:shd w:val="clear" w:color="auto" w:fill="C6EFCE"/>
            <w:noWrap/>
            <w:vAlign w:val="center"/>
            <w:hideMark/>
          </w:tcPr>
          <w:p w14:paraId="502B4886"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278A2129"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7926EB9F" w14:textId="77777777" w:rsidR="00C972CB" w:rsidRDefault="002457F6">
            <w:pPr>
              <w:pStyle w:val="P68B1DB1-Normal11"/>
              <w:spacing w:line="276" w:lineRule="auto"/>
              <w:jc w:val="center"/>
              <w:rPr>
                <w:noProof/>
              </w:rPr>
            </w:pPr>
            <w:r>
              <w:rPr>
                <w:noProof/>
              </w:rPr>
              <w:t>0</w:t>
            </w:r>
          </w:p>
        </w:tc>
        <w:tc>
          <w:tcPr>
            <w:tcW w:w="1194" w:type="dxa"/>
            <w:shd w:val="clear" w:color="auto" w:fill="C6EFCE"/>
            <w:noWrap/>
            <w:vAlign w:val="center"/>
            <w:hideMark/>
          </w:tcPr>
          <w:p w14:paraId="652A28C6" w14:textId="77777777" w:rsidR="00C972CB" w:rsidRDefault="002457F6">
            <w:pPr>
              <w:pStyle w:val="P68B1DB1-Normal11"/>
              <w:spacing w:line="276" w:lineRule="auto"/>
              <w:jc w:val="center"/>
              <w:rPr>
                <w:noProof/>
              </w:rPr>
            </w:pPr>
            <w:r>
              <w:rPr>
                <w:noProof/>
              </w:rPr>
              <w:t>22</w:t>
            </w:r>
          </w:p>
        </w:tc>
        <w:tc>
          <w:tcPr>
            <w:tcW w:w="916" w:type="dxa"/>
            <w:shd w:val="clear" w:color="auto" w:fill="C6EFCE"/>
            <w:noWrap/>
            <w:vAlign w:val="center"/>
            <w:hideMark/>
          </w:tcPr>
          <w:p w14:paraId="1D6B1111" w14:textId="77777777" w:rsidR="00C972CB" w:rsidRDefault="002457F6">
            <w:pPr>
              <w:pStyle w:val="P68B1DB1-Normal11"/>
              <w:spacing w:line="276" w:lineRule="auto"/>
              <w:jc w:val="center"/>
              <w:rPr>
                <w:noProof/>
              </w:rPr>
            </w:pPr>
            <w:r>
              <w:rPr>
                <w:noProof/>
              </w:rPr>
              <w:t>2. CET.</w:t>
            </w:r>
          </w:p>
        </w:tc>
        <w:tc>
          <w:tcPr>
            <w:tcW w:w="638" w:type="dxa"/>
            <w:shd w:val="clear" w:color="auto" w:fill="C6EFCE"/>
            <w:noWrap/>
            <w:vAlign w:val="center"/>
            <w:hideMark/>
          </w:tcPr>
          <w:p w14:paraId="2F7A8A8D" w14:textId="77777777" w:rsidR="00C972CB" w:rsidRDefault="002457F6">
            <w:pPr>
              <w:pStyle w:val="P68B1DB1-Normal11"/>
              <w:spacing w:line="276" w:lineRule="auto"/>
              <w:jc w:val="center"/>
              <w:rPr>
                <w:noProof/>
              </w:rPr>
            </w:pPr>
            <w:r>
              <w:rPr>
                <w:noProof/>
              </w:rPr>
              <w:t>2025</w:t>
            </w:r>
          </w:p>
        </w:tc>
        <w:tc>
          <w:tcPr>
            <w:tcW w:w="4116" w:type="dxa"/>
            <w:shd w:val="clear" w:color="auto" w:fill="C6EFCE"/>
            <w:noWrap/>
            <w:vAlign w:val="center"/>
            <w:hideMark/>
          </w:tcPr>
          <w:p w14:paraId="3283315F" w14:textId="690523B0" w:rsidR="00C972CB" w:rsidRDefault="002457F6">
            <w:pPr>
              <w:pStyle w:val="P68B1DB1-Normal11"/>
              <w:spacing w:line="276" w:lineRule="auto"/>
              <w:rPr>
                <w:noProof/>
              </w:rPr>
            </w:pPr>
            <w:r>
              <w:rPr>
                <w:noProof/>
              </w:rPr>
              <w:t>Pabeigt vismaz 22 plaša mēroga intervences jūras gultnes un jūras dzīvotņu un piekrastes novērošanas sistēmu atjaunošanai un aizsardzībai.</w:t>
            </w:r>
          </w:p>
        </w:tc>
      </w:tr>
      <w:tr w:rsidR="00C972CB" w14:paraId="3B5D6AE9" w14:textId="77777777">
        <w:trPr>
          <w:trHeight w:val="313"/>
          <w:jc w:val="center"/>
        </w:trPr>
        <w:tc>
          <w:tcPr>
            <w:tcW w:w="1130" w:type="dxa"/>
            <w:shd w:val="clear" w:color="auto" w:fill="C6EFCE"/>
            <w:noWrap/>
            <w:vAlign w:val="center"/>
            <w:hideMark/>
          </w:tcPr>
          <w:p w14:paraId="0A0DE045" w14:textId="77777777" w:rsidR="00C972CB" w:rsidRDefault="002457F6">
            <w:pPr>
              <w:pStyle w:val="P68B1DB1-Normal11"/>
              <w:spacing w:line="276" w:lineRule="auto"/>
              <w:jc w:val="center"/>
              <w:rPr>
                <w:noProof/>
              </w:rPr>
            </w:pPr>
            <w:r>
              <w:rPr>
                <w:noProof/>
              </w:rPr>
              <w:t>M2C4–27</w:t>
            </w:r>
          </w:p>
        </w:tc>
        <w:tc>
          <w:tcPr>
            <w:tcW w:w="1560" w:type="dxa"/>
            <w:shd w:val="clear" w:color="auto" w:fill="C6EFCE"/>
            <w:noWrap/>
            <w:vAlign w:val="center"/>
            <w:hideMark/>
          </w:tcPr>
          <w:p w14:paraId="5161776E" w14:textId="77777777" w:rsidR="00C972CB" w:rsidRDefault="002457F6">
            <w:pPr>
              <w:pStyle w:val="P68B1DB1-Normal11"/>
              <w:spacing w:line="276" w:lineRule="auto"/>
              <w:jc w:val="center"/>
              <w:rPr>
                <w:noProof/>
              </w:rPr>
            </w:pPr>
            <w:r>
              <w:rPr>
                <w:noProof/>
              </w:rPr>
              <w:t xml:space="preserve">Reforma. Tiesību aktu vienkāršošana </w:t>
            </w:r>
            <w:r>
              <w:rPr>
                <w:noProof/>
              </w:rPr>
              <w:t>un pārvaldības stiprināšana, lai īstenotu ieguldījumus ūdensapgādes infrastruktūrās</w:t>
            </w:r>
          </w:p>
        </w:tc>
        <w:tc>
          <w:tcPr>
            <w:tcW w:w="1134" w:type="dxa"/>
            <w:shd w:val="clear" w:color="auto" w:fill="C6EFCE"/>
            <w:noWrap/>
            <w:vAlign w:val="center"/>
            <w:hideMark/>
          </w:tcPr>
          <w:p w14:paraId="232F91ED"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hideMark/>
          </w:tcPr>
          <w:p w14:paraId="1427CB32" w14:textId="08527F55" w:rsidR="00C972CB" w:rsidRDefault="002457F6">
            <w:pPr>
              <w:pStyle w:val="P68B1DB1-Normal11"/>
              <w:spacing w:line="276" w:lineRule="auto"/>
              <w:jc w:val="center"/>
              <w:rPr>
                <w:noProof/>
              </w:rPr>
            </w:pPr>
            <w:r>
              <w:rPr>
                <w:noProof/>
              </w:rPr>
              <w:t>Stājas spēkā tiesību aktu vienkāršošana attiecībā uz intervences pasākumiem primārajā ūdensapgādes infrastruktūrā, lai nodrošinātu ūdensapgādes drošību</w:t>
            </w:r>
          </w:p>
        </w:tc>
        <w:tc>
          <w:tcPr>
            <w:tcW w:w="1383" w:type="dxa"/>
            <w:shd w:val="clear" w:color="auto" w:fill="C6EFCE"/>
            <w:noWrap/>
            <w:vAlign w:val="center"/>
            <w:hideMark/>
          </w:tcPr>
          <w:p w14:paraId="55AAEAA5" w14:textId="77777777" w:rsidR="00C972CB" w:rsidRDefault="002457F6">
            <w:pPr>
              <w:pStyle w:val="P68B1DB1-Normal11"/>
              <w:spacing w:line="276" w:lineRule="auto"/>
              <w:jc w:val="center"/>
              <w:rPr>
                <w:noProof/>
              </w:rPr>
            </w:pPr>
            <w:r>
              <w:rPr>
                <w:noProof/>
              </w:rPr>
              <w:t>Attiecīgā(-o) tiesību akta(-u) noteikums(-i) par stāšanos spēkā</w:t>
            </w:r>
          </w:p>
        </w:tc>
        <w:tc>
          <w:tcPr>
            <w:tcW w:w="1094" w:type="dxa"/>
            <w:shd w:val="clear" w:color="auto" w:fill="C6EFCE"/>
            <w:noWrap/>
            <w:vAlign w:val="center"/>
            <w:hideMark/>
          </w:tcPr>
          <w:p w14:paraId="18F89F99" w14:textId="77777777" w:rsidR="00C972CB" w:rsidRDefault="002457F6">
            <w:pPr>
              <w:pStyle w:val="P68B1DB1-Normal11"/>
              <w:spacing w:line="276" w:lineRule="auto"/>
              <w:jc w:val="center"/>
              <w:rPr>
                <w:noProof/>
              </w:rPr>
            </w:pPr>
            <w:r>
              <w:rPr>
                <w:noProof/>
              </w:rPr>
              <w:t>NEPIEMĒRO</w:t>
            </w:r>
          </w:p>
        </w:tc>
        <w:tc>
          <w:tcPr>
            <w:tcW w:w="1290" w:type="dxa"/>
            <w:shd w:val="clear" w:color="auto" w:fill="C6EFCE"/>
            <w:noWrap/>
            <w:vAlign w:val="center"/>
            <w:hideMark/>
          </w:tcPr>
          <w:p w14:paraId="150F7A64" w14:textId="77777777" w:rsidR="00C972CB" w:rsidRDefault="002457F6">
            <w:pPr>
              <w:pStyle w:val="P68B1DB1-Normal11"/>
              <w:spacing w:line="276" w:lineRule="auto"/>
              <w:jc w:val="center"/>
              <w:rPr>
                <w:noProof/>
              </w:rPr>
            </w:pPr>
            <w:r>
              <w:rPr>
                <w:noProof/>
              </w:rPr>
              <w:t>NEPIEMĒRO</w:t>
            </w:r>
          </w:p>
        </w:tc>
        <w:tc>
          <w:tcPr>
            <w:tcW w:w="1194" w:type="dxa"/>
            <w:shd w:val="clear" w:color="auto" w:fill="C6EFCE"/>
            <w:noWrap/>
            <w:vAlign w:val="center"/>
            <w:hideMark/>
          </w:tcPr>
          <w:p w14:paraId="0DD6FE96" w14:textId="77777777" w:rsidR="00C972CB" w:rsidRDefault="002457F6">
            <w:pPr>
              <w:pStyle w:val="P68B1DB1-Normal11"/>
              <w:spacing w:line="276" w:lineRule="auto"/>
              <w:jc w:val="center"/>
              <w:rPr>
                <w:noProof/>
              </w:rPr>
            </w:pPr>
            <w:r>
              <w:rPr>
                <w:noProof/>
              </w:rPr>
              <w:t>NEPIEMĒRO</w:t>
            </w:r>
          </w:p>
        </w:tc>
        <w:tc>
          <w:tcPr>
            <w:tcW w:w="916" w:type="dxa"/>
            <w:shd w:val="clear" w:color="auto" w:fill="C6EFCE"/>
            <w:noWrap/>
            <w:vAlign w:val="center"/>
            <w:hideMark/>
          </w:tcPr>
          <w:p w14:paraId="0BF17313" w14:textId="77777777" w:rsidR="00C972CB" w:rsidRDefault="002457F6">
            <w:pPr>
              <w:pStyle w:val="P68B1DB1-Normal11"/>
              <w:spacing w:line="276" w:lineRule="auto"/>
              <w:jc w:val="center"/>
              <w:rPr>
                <w:noProof/>
              </w:rPr>
            </w:pPr>
            <w:r>
              <w:rPr>
                <w:noProof/>
              </w:rPr>
              <w:t>1. CET.</w:t>
            </w:r>
          </w:p>
        </w:tc>
        <w:tc>
          <w:tcPr>
            <w:tcW w:w="638" w:type="dxa"/>
            <w:shd w:val="clear" w:color="auto" w:fill="C6EFCE"/>
            <w:noWrap/>
            <w:vAlign w:val="center"/>
            <w:hideMark/>
          </w:tcPr>
          <w:p w14:paraId="48D84451" w14:textId="77777777" w:rsidR="00C972CB" w:rsidRDefault="002457F6">
            <w:pPr>
              <w:pStyle w:val="P68B1DB1-Normal11"/>
              <w:spacing w:line="276" w:lineRule="auto"/>
              <w:jc w:val="center"/>
              <w:rPr>
                <w:noProof/>
              </w:rPr>
            </w:pPr>
            <w:r>
              <w:rPr>
                <w:noProof/>
              </w:rPr>
              <w:t>2022</w:t>
            </w:r>
          </w:p>
        </w:tc>
        <w:tc>
          <w:tcPr>
            <w:tcW w:w="4116" w:type="dxa"/>
            <w:shd w:val="clear" w:color="auto" w:fill="C6EFCE"/>
            <w:noWrap/>
            <w:vAlign w:val="center"/>
            <w:hideMark/>
          </w:tcPr>
          <w:p w14:paraId="2BC1BBE8" w14:textId="77777777" w:rsidR="00C972CB" w:rsidRDefault="002457F6">
            <w:pPr>
              <w:pStyle w:val="P68B1DB1-Normal11"/>
              <w:spacing w:line="276" w:lineRule="auto"/>
              <w:rPr>
                <w:noProof/>
              </w:rPr>
            </w:pPr>
            <w:r>
              <w:rPr>
                <w:noProof/>
              </w:rPr>
              <w:t>Pārskatītie tiesību akti stiprina pārvaldību un vienkāršo ieguldījumu īstenošanu ūdensapgādes infrastruktūrā. Jaunajam tiesiskajam regulējumam vajadz</w:t>
            </w:r>
            <w:r>
              <w:rPr>
                <w:noProof/>
              </w:rPr>
              <w:t>ētu būt vismaz:</w:t>
            </w:r>
          </w:p>
          <w:p w14:paraId="42527D03" w14:textId="77777777" w:rsidR="00C972CB" w:rsidRDefault="00C972CB">
            <w:pPr>
              <w:spacing w:line="276" w:lineRule="auto"/>
              <w:rPr>
                <w:rFonts w:ascii="Arial Narrow" w:hAnsi="Arial Narrow"/>
                <w:noProof/>
                <w:color w:val="006100"/>
                <w:sz w:val="20"/>
              </w:rPr>
            </w:pPr>
          </w:p>
          <w:p w14:paraId="7192ABBC" w14:textId="1CB3A85C" w:rsidR="00C972CB" w:rsidRDefault="002457F6">
            <w:pPr>
              <w:pStyle w:val="P68B1DB1-ListParagraph13"/>
              <w:spacing w:before="0" w:after="0" w:line="276" w:lineRule="auto"/>
              <w:ind w:left="0"/>
              <w:jc w:val="left"/>
              <w:rPr>
                <w:noProof/>
              </w:rPr>
            </w:pPr>
            <w:r>
              <w:rPr>
                <w:noProof/>
              </w:rPr>
              <w:t>— Padarīt valsts plānu intervencēm ūdensapgādes nozarē par galveno finansēšanas instrumentu ieguldījumiem ūdensapgādes nozarē.</w:t>
            </w:r>
          </w:p>
          <w:p w14:paraId="1F7FD9C3" w14:textId="1653452B" w:rsidR="00C972CB" w:rsidRDefault="002457F6">
            <w:pPr>
              <w:pStyle w:val="P68B1DB1-ListParagraph13"/>
              <w:spacing w:before="0" w:after="0" w:line="276" w:lineRule="auto"/>
              <w:ind w:left="0"/>
              <w:jc w:val="left"/>
              <w:rPr>
                <w:noProof/>
              </w:rPr>
            </w:pPr>
            <w:r>
              <w:rPr>
                <w:noProof/>
              </w:rPr>
              <w:t xml:space="preserve">— Lūdz atzinumu un aktīvi iesaista regulatoru (Autorità di Regolazione per Energia Reti e Ambiente) visās Plāna </w:t>
            </w:r>
            <w:r>
              <w:rPr>
                <w:noProof/>
              </w:rPr>
              <w:t>izmaiņās vai atjaunināšanā.</w:t>
            </w:r>
          </w:p>
          <w:p w14:paraId="06D1DD6B" w14:textId="77777777" w:rsidR="00C972CB" w:rsidRDefault="00C972CB">
            <w:pPr>
              <w:spacing w:line="276" w:lineRule="auto"/>
              <w:ind w:left="-29" w:firstLine="29"/>
              <w:rPr>
                <w:rFonts w:ascii="Arial Narrow" w:hAnsi="Arial Narrow"/>
                <w:noProof/>
                <w:color w:val="006100"/>
                <w:sz w:val="20"/>
              </w:rPr>
            </w:pPr>
          </w:p>
          <w:p w14:paraId="3C28019A" w14:textId="1391398C" w:rsidR="00C972CB" w:rsidRDefault="002457F6">
            <w:pPr>
              <w:pStyle w:val="P68B1DB1-ListParagraph13"/>
              <w:spacing w:before="0" w:after="0" w:line="276" w:lineRule="auto"/>
              <w:ind w:left="0"/>
              <w:jc w:val="left"/>
              <w:rPr>
                <w:noProof/>
              </w:rPr>
            </w:pPr>
            <w:r>
              <w:rPr>
                <w:noProof/>
              </w:rPr>
              <w:t>Sniegt atbalstu un papildu pasākumus īstenošanas struktūrām, kas nespēj veikt ieguldījumus saistībā ar primāro iepirkumu paredzētajā termiņā.</w:t>
            </w:r>
          </w:p>
          <w:p w14:paraId="65D23F78" w14:textId="77777777" w:rsidR="00C972CB" w:rsidRDefault="00C972CB">
            <w:pPr>
              <w:pStyle w:val="ListParagraph"/>
              <w:spacing w:before="0" w:after="0" w:line="276" w:lineRule="auto"/>
              <w:ind w:left="-29" w:firstLine="29"/>
              <w:jc w:val="left"/>
              <w:rPr>
                <w:rFonts w:ascii="Arial Narrow" w:hAnsi="Arial Narrow"/>
                <w:noProof/>
                <w:color w:val="006100"/>
                <w:sz w:val="20"/>
              </w:rPr>
            </w:pPr>
          </w:p>
          <w:p w14:paraId="4DD9C638" w14:textId="455968CE" w:rsidR="00C972CB" w:rsidRDefault="002457F6">
            <w:pPr>
              <w:pStyle w:val="P68B1DB1-ListParagraph13"/>
              <w:spacing w:before="0" w:after="0" w:line="276" w:lineRule="auto"/>
              <w:ind w:left="0"/>
              <w:jc w:val="left"/>
              <w:rPr>
                <w:noProof/>
              </w:rPr>
            </w:pPr>
            <w:r>
              <w:rPr>
                <w:noProof/>
              </w:rPr>
              <w:t>Vienkāršot ziņošanas un uzraudzības procedūras attiecībā uz finansētajiem ieguldījum</w:t>
            </w:r>
            <w:r>
              <w:rPr>
                <w:noProof/>
              </w:rPr>
              <w:t>iem ūdensapgādes nozarē.</w:t>
            </w:r>
          </w:p>
          <w:p w14:paraId="36963433" w14:textId="77777777" w:rsidR="00C972CB" w:rsidRDefault="00C972CB">
            <w:pPr>
              <w:spacing w:line="276" w:lineRule="auto"/>
              <w:rPr>
                <w:rFonts w:ascii="Arial Narrow" w:hAnsi="Arial Narrow"/>
                <w:noProof/>
                <w:color w:val="006100"/>
                <w:sz w:val="20"/>
              </w:rPr>
            </w:pPr>
          </w:p>
        </w:tc>
      </w:tr>
      <w:tr w:rsidR="00C972CB" w14:paraId="76F501A3" w14:textId="77777777">
        <w:trPr>
          <w:trHeight w:val="313"/>
          <w:jc w:val="center"/>
        </w:trPr>
        <w:tc>
          <w:tcPr>
            <w:tcW w:w="1130" w:type="dxa"/>
            <w:shd w:val="clear" w:color="auto" w:fill="C6EFCE"/>
            <w:noWrap/>
            <w:vAlign w:val="center"/>
            <w:hideMark/>
          </w:tcPr>
          <w:p w14:paraId="09DB3315" w14:textId="77777777" w:rsidR="00C972CB" w:rsidRDefault="002457F6">
            <w:pPr>
              <w:pStyle w:val="P68B1DB1-Normal11"/>
              <w:spacing w:line="276" w:lineRule="auto"/>
              <w:jc w:val="center"/>
              <w:rPr>
                <w:noProof/>
              </w:rPr>
            </w:pPr>
            <w:r>
              <w:rPr>
                <w:noProof/>
              </w:rPr>
              <w:t>M2C4–28</w:t>
            </w:r>
          </w:p>
        </w:tc>
        <w:tc>
          <w:tcPr>
            <w:tcW w:w="1560" w:type="dxa"/>
            <w:shd w:val="clear" w:color="auto" w:fill="C6EFCE"/>
            <w:noWrap/>
            <w:vAlign w:val="center"/>
            <w:hideMark/>
          </w:tcPr>
          <w:p w14:paraId="39435637" w14:textId="77777777" w:rsidR="00C972CB" w:rsidRDefault="002457F6">
            <w:pPr>
              <w:pStyle w:val="P68B1DB1-Normal11"/>
              <w:spacing w:line="276" w:lineRule="auto"/>
              <w:jc w:val="center"/>
              <w:rPr>
                <w:noProof/>
              </w:rPr>
            </w:pPr>
            <w:r>
              <w:rPr>
                <w:noProof/>
              </w:rPr>
              <w:t>Ieguldījums 4.1. Ieguldījumi primārās ūdensapgādes infrastruktūrā ūdensapgādes drošībai</w:t>
            </w:r>
          </w:p>
        </w:tc>
        <w:tc>
          <w:tcPr>
            <w:tcW w:w="1134" w:type="dxa"/>
            <w:shd w:val="clear" w:color="auto" w:fill="C6EFCE"/>
            <w:noWrap/>
            <w:vAlign w:val="center"/>
            <w:hideMark/>
          </w:tcPr>
          <w:p w14:paraId="674F4E8D"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hideMark/>
          </w:tcPr>
          <w:p w14:paraId="5E7AD95C" w14:textId="08699133" w:rsidR="00C972CB" w:rsidRDefault="002457F6">
            <w:pPr>
              <w:pStyle w:val="P68B1DB1-Normal11"/>
              <w:spacing w:line="276" w:lineRule="auto"/>
              <w:jc w:val="center"/>
              <w:rPr>
                <w:noProof/>
              </w:rPr>
            </w:pPr>
            <w:r>
              <w:rPr>
                <w:noProof/>
              </w:rPr>
              <w:t xml:space="preserve">(Visu) publiskā iepirkuma līgumu slēgšanas tiesību piešķiršana ieguldījumiem primārajā ūdensapgādes infrastruktūrā </w:t>
            </w:r>
            <w:r>
              <w:rPr>
                <w:noProof/>
              </w:rPr>
              <w:t>un ūdensapgādes drošībā</w:t>
            </w:r>
          </w:p>
        </w:tc>
        <w:tc>
          <w:tcPr>
            <w:tcW w:w="1383" w:type="dxa"/>
            <w:shd w:val="clear" w:color="auto" w:fill="C6EFCE"/>
            <w:noWrap/>
            <w:vAlign w:val="center"/>
            <w:hideMark/>
          </w:tcPr>
          <w:p w14:paraId="29F19509" w14:textId="77777777" w:rsidR="00C972CB" w:rsidRDefault="002457F6">
            <w:pPr>
              <w:pStyle w:val="P68B1DB1-Normal11"/>
              <w:spacing w:line="276" w:lineRule="auto"/>
              <w:jc w:val="center"/>
              <w:rPr>
                <w:noProof/>
              </w:rPr>
            </w:pPr>
            <w:r>
              <w:rPr>
                <w:noProof/>
              </w:rPr>
              <w:t>Paziņojums par (visu) publisko līgumu slēgšanas tiesību piešķiršanu ieguldījumiem primārajā ūdensapgādes infrastruktūrā un ūdensapgādes drošībā</w:t>
            </w:r>
          </w:p>
        </w:tc>
        <w:tc>
          <w:tcPr>
            <w:tcW w:w="1094" w:type="dxa"/>
            <w:shd w:val="clear" w:color="auto" w:fill="C6EFCE"/>
            <w:noWrap/>
            <w:vAlign w:val="center"/>
            <w:hideMark/>
          </w:tcPr>
          <w:p w14:paraId="33EF425A"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7CD1467E" w14:textId="77777777" w:rsidR="00C972CB" w:rsidRDefault="002457F6">
            <w:pPr>
              <w:pStyle w:val="P68B1DB1-Normal11"/>
              <w:spacing w:line="276" w:lineRule="auto"/>
              <w:jc w:val="center"/>
              <w:rPr>
                <w:noProof/>
              </w:rPr>
            </w:pPr>
            <w:r>
              <w:rPr>
                <w:noProof/>
              </w:rPr>
              <w:t>0</w:t>
            </w:r>
          </w:p>
        </w:tc>
        <w:tc>
          <w:tcPr>
            <w:tcW w:w="1194" w:type="dxa"/>
            <w:shd w:val="clear" w:color="auto" w:fill="C6EFCE"/>
            <w:noWrap/>
            <w:vAlign w:val="center"/>
            <w:hideMark/>
          </w:tcPr>
          <w:p w14:paraId="038A3AC6" w14:textId="2F4F6075" w:rsidR="00C972CB" w:rsidRDefault="002457F6">
            <w:pPr>
              <w:pStyle w:val="P68B1DB1-Normal11"/>
              <w:spacing w:line="276" w:lineRule="auto"/>
              <w:jc w:val="center"/>
              <w:rPr>
                <w:noProof/>
              </w:rPr>
            </w:pPr>
            <w:r>
              <w:rPr>
                <w:noProof/>
              </w:rPr>
              <w:t>2 000 000 000</w:t>
            </w:r>
          </w:p>
        </w:tc>
        <w:tc>
          <w:tcPr>
            <w:tcW w:w="916" w:type="dxa"/>
            <w:shd w:val="clear" w:color="auto" w:fill="C6EFCE"/>
            <w:noWrap/>
            <w:vAlign w:val="center"/>
            <w:hideMark/>
          </w:tcPr>
          <w:p w14:paraId="68FD8017" w14:textId="77777777" w:rsidR="00C972CB" w:rsidRDefault="002457F6">
            <w:pPr>
              <w:pStyle w:val="P68B1DB1-Normal11"/>
              <w:spacing w:line="276" w:lineRule="auto"/>
              <w:jc w:val="center"/>
              <w:rPr>
                <w:noProof/>
              </w:rPr>
            </w:pPr>
            <w:r>
              <w:rPr>
                <w:noProof/>
              </w:rPr>
              <w:t>3. CET.</w:t>
            </w:r>
          </w:p>
        </w:tc>
        <w:tc>
          <w:tcPr>
            <w:tcW w:w="638" w:type="dxa"/>
            <w:shd w:val="clear" w:color="auto" w:fill="C6EFCE"/>
            <w:noWrap/>
            <w:vAlign w:val="center"/>
            <w:hideMark/>
          </w:tcPr>
          <w:p w14:paraId="6027DB1B" w14:textId="77777777" w:rsidR="00C972CB" w:rsidRDefault="002457F6">
            <w:pPr>
              <w:pStyle w:val="P68B1DB1-Normal11"/>
              <w:spacing w:line="276" w:lineRule="auto"/>
              <w:jc w:val="center"/>
              <w:rPr>
                <w:noProof/>
              </w:rPr>
            </w:pPr>
            <w:r>
              <w:rPr>
                <w:noProof/>
              </w:rPr>
              <w:t>2023</w:t>
            </w:r>
          </w:p>
        </w:tc>
        <w:tc>
          <w:tcPr>
            <w:tcW w:w="4116" w:type="dxa"/>
            <w:shd w:val="clear" w:color="auto" w:fill="C6EFCE"/>
            <w:noWrap/>
            <w:vAlign w:val="center"/>
            <w:hideMark/>
          </w:tcPr>
          <w:p w14:paraId="740D7219" w14:textId="5C7654C0" w:rsidR="00C972CB" w:rsidRDefault="002457F6">
            <w:pPr>
              <w:pStyle w:val="P68B1DB1-Normal11"/>
              <w:suppressAutoHyphens/>
              <w:spacing w:line="276" w:lineRule="auto"/>
              <w:rPr>
                <w:noProof/>
              </w:rPr>
            </w:pPr>
            <w:r>
              <w:rPr>
                <w:noProof/>
              </w:rPr>
              <w:t>Paziņojums par visu publiskā iepirkuma līgumu slēgša</w:t>
            </w:r>
            <w:r>
              <w:rPr>
                <w:noProof/>
              </w:rPr>
              <w:t>nas tiesību piešķiršanu par kopējo summu EUR 2000000000 ieguldījumiem primārajā ūdensapgādes infrastruktūrā un ūdensapgādes drošībā.</w:t>
            </w:r>
          </w:p>
          <w:p w14:paraId="42DF1A60" w14:textId="77777777" w:rsidR="00C972CB" w:rsidRDefault="002457F6">
            <w:pPr>
              <w:pStyle w:val="P68B1DB1-Normal11"/>
              <w:suppressAutoHyphens/>
              <w:spacing w:line="276" w:lineRule="auto"/>
              <w:rPr>
                <w:noProof/>
              </w:rPr>
            </w:pPr>
            <w:r>
              <w:rPr>
                <w:noProof/>
              </w:rPr>
              <w:t>Līgumu darbības joma ir šāda:</w:t>
            </w:r>
          </w:p>
          <w:p w14:paraId="0403A0EE" w14:textId="77777777" w:rsidR="00C972CB" w:rsidRDefault="00C972CB">
            <w:pPr>
              <w:suppressAutoHyphens/>
              <w:spacing w:line="276" w:lineRule="auto"/>
              <w:rPr>
                <w:rFonts w:ascii="Arial Narrow" w:hAnsi="Arial Narrow"/>
                <w:noProof/>
                <w:color w:val="006100"/>
                <w:sz w:val="20"/>
              </w:rPr>
            </w:pPr>
          </w:p>
          <w:p w14:paraId="1A418BF3" w14:textId="77777777" w:rsidR="00C972CB" w:rsidRDefault="002457F6">
            <w:pPr>
              <w:pStyle w:val="P68B1DB1-ListParagraph13"/>
              <w:numPr>
                <w:ilvl w:val="0"/>
                <w:numId w:val="69"/>
              </w:numPr>
              <w:suppressAutoHyphens/>
              <w:spacing w:before="0" w:after="0" w:line="276" w:lineRule="auto"/>
              <w:ind w:left="305"/>
              <w:jc w:val="left"/>
              <w:rPr>
                <w:noProof/>
              </w:rPr>
            </w:pPr>
            <w:r>
              <w:rPr>
                <w:noProof/>
              </w:rPr>
              <w:t>Ūdensapgādes drošība svarīgās pilsētu teritorijās;</w:t>
            </w:r>
          </w:p>
          <w:p w14:paraId="5FA2B9AC" w14:textId="77777777" w:rsidR="00C972CB" w:rsidRDefault="002457F6">
            <w:pPr>
              <w:pStyle w:val="P68B1DB1-ListParagraph13"/>
              <w:numPr>
                <w:ilvl w:val="0"/>
                <w:numId w:val="69"/>
              </w:numPr>
              <w:suppressAutoHyphens/>
              <w:spacing w:before="0" w:after="0" w:line="276" w:lineRule="auto"/>
              <w:ind w:left="305"/>
              <w:jc w:val="left"/>
              <w:rPr>
                <w:noProof/>
              </w:rPr>
            </w:pPr>
            <w:r>
              <w:rPr>
                <w:noProof/>
              </w:rPr>
              <w:t>Strukturālie darbi, lai palielinātu tīkla</w:t>
            </w:r>
            <w:r>
              <w:rPr>
                <w:noProof/>
              </w:rPr>
              <w:t xml:space="preserve"> drošību un noturību, tostarp pielāgošanos klimata pārmaiņām (izņemot dambjus);</w:t>
            </w:r>
          </w:p>
          <w:p w14:paraId="00B9F7DF" w14:textId="77777777" w:rsidR="00C972CB" w:rsidRDefault="002457F6">
            <w:pPr>
              <w:pStyle w:val="P68B1DB1-ListParagraph13"/>
              <w:numPr>
                <w:ilvl w:val="0"/>
                <w:numId w:val="69"/>
              </w:numPr>
              <w:spacing w:before="0" w:after="0" w:line="276" w:lineRule="auto"/>
              <w:ind w:left="305"/>
              <w:jc w:val="left"/>
              <w:rPr>
                <w:noProof/>
              </w:rPr>
            </w:pPr>
            <w:r>
              <w:rPr>
                <w:noProof/>
              </w:rPr>
              <w:t>Ūdens transportēšanas jaudas palielināšana.</w:t>
            </w:r>
          </w:p>
          <w:p w14:paraId="7966C734" w14:textId="77777777" w:rsidR="00C972CB" w:rsidRDefault="002457F6">
            <w:pPr>
              <w:pStyle w:val="P68B1DB1-Normal11"/>
              <w:spacing w:line="276" w:lineRule="auto"/>
              <w:ind w:left="-55"/>
              <w:rPr>
                <w:noProof/>
              </w:rPr>
            </w:pPr>
            <w:r>
              <w:rPr>
                <w:noProof/>
              </w:rPr>
              <w:t>Atlases kritēriji nodrošina, ka investīcijas pilnībā veicina klimata pārmaiņu mērķu sasniegšanu, piemērojot 40 % klimata koeficientu</w:t>
            </w:r>
            <w:r>
              <w:rPr>
                <w:noProof/>
              </w:rPr>
              <w:t xml:space="preserve"> saskaņā ar Atveseļošanas un noturības mehānisma Regulas (ES) 2021/241 VI pielikumu.</w:t>
            </w:r>
          </w:p>
        </w:tc>
      </w:tr>
      <w:tr w:rsidR="00C972CB" w14:paraId="4BFF3F85"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CB73D" w14:textId="77777777" w:rsidR="00C972CB" w:rsidRDefault="002457F6">
            <w:pPr>
              <w:pStyle w:val="P68B1DB1-Normal11"/>
              <w:spacing w:line="276" w:lineRule="auto"/>
              <w:jc w:val="center"/>
              <w:rPr>
                <w:noProof/>
              </w:rPr>
            </w:pPr>
            <w:r>
              <w:rPr>
                <w:noProof/>
              </w:rPr>
              <w:t>M2C4–28bis</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1E5DBB" w14:textId="77777777" w:rsidR="00C972CB" w:rsidRDefault="002457F6">
            <w:pPr>
              <w:pStyle w:val="P68B1DB1-Normal11"/>
              <w:spacing w:line="276" w:lineRule="auto"/>
              <w:jc w:val="center"/>
              <w:rPr>
                <w:noProof/>
              </w:rPr>
            </w:pPr>
            <w:r>
              <w:rPr>
                <w:noProof/>
              </w:rPr>
              <w:t>Ieguldījums 4.1. Ieguldījumi primārās ūdensapgādes infrastruktūrā ūdensapgādes drošībai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FE75BF" w14:textId="77777777" w:rsidR="00C972CB" w:rsidRDefault="002457F6">
            <w:pPr>
              <w:pStyle w:val="P68B1DB1-Normal11"/>
              <w:spacing w:line="276" w:lineRule="auto"/>
              <w:jc w:val="center"/>
              <w:rPr>
                <w:noProof/>
              </w:rPr>
            </w:pPr>
            <w:r>
              <w:rPr>
                <w:noProof/>
              </w:rPr>
              <w:t>Starpposma mērķis</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B8ECB" w14:textId="4A00B1C7" w:rsidR="00C972CB" w:rsidRDefault="002457F6">
            <w:pPr>
              <w:pStyle w:val="P68B1DB1-Normal11"/>
              <w:spacing w:line="276" w:lineRule="auto"/>
              <w:jc w:val="center"/>
              <w:rPr>
                <w:noProof/>
              </w:rPr>
            </w:pPr>
            <w:r>
              <w:rPr>
                <w:noProof/>
              </w:rPr>
              <w:t xml:space="preserve">(Visu) publiskā iepirkuma līgumu slēgšanas tiesību </w:t>
            </w:r>
            <w:r>
              <w:rPr>
                <w:noProof/>
              </w:rPr>
              <w:t>piešķiršana ieguldījumiem primārajā ūdensapgādes infrastruktūrā un ūdensapgādes drošībā</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1DD62" w14:textId="77777777" w:rsidR="00C972CB" w:rsidRDefault="002457F6">
            <w:pPr>
              <w:pStyle w:val="P68B1DB1-Normal11"/>
              <w:spacing w:line="276" w:lineRule="auto"/>
              <w:jc w:val="center"/>
              <w:rPr>
                <w:noProof/>
              </w:rPr>
            </w:pPr>
            <w:r>
              <w:rPr>
                <w:noProof/>
              </w:rPr>
              <w:t>Paziņojums par (visu) publisko līgumu slēgšanas tiesību piešķiršanu ieguldījumiem primārajā ūdensapgādes infrastruktūrā un ūdensapgādes drošībā</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6D80F" w14:textId="77777777" w:rsidR="00C972CB" w:rsidRDefault="002457F6">
            <w:pPr>
              <w:pStyle w:val="P68B1DB1-Normal11"/>
              <w:spacing w:line="276" w:lineRule="auto"/>
              <w:jc w:val="center"/>
              <w:rPr>
                <w:noProof/>
              </w:rPr>
            </w:pPr>
            <w:r>
              <w:rPr>
                <w:noProof/>
              </w:rPr>
              <w:t>Skaits</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BA106" w14:textId="73B2DF54" w:rsidR="00C972CB" w:rsidRDefault="002457F6">
            <w:pPr>
              <w:pStyle w:val="P68B1DB1-Normal11"/>
              <w:spacing w:line="276" w:lineRule="auto"/>
              <w:jc w:val="center"/>
              <w:rPr>
                <w:noProof/>
              </w:rPr>
            </w:pPr>
            <w:r>
              <w:rPr>
                <w:noProof/>
              </w:rPr>
              <w:t>2 000 000 000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7D3A65" w14:textId="1F13BBA8" w:rsidR="00C972CB" w:rsidRDefault="002457F6">
            <w:pPr>
              <w:pStyle w:val="P68B1DB1-Normal11"/>
              <w:spacing w:line="276" w:lineRule="auto"/>
              <w:jc w:val="center"/>
              <w:rPr>
                <w:noProof/>
              </w:rPr>
            </w:pPr>
            <w:r>
              <w:rPr>
                <w:noProof/>
              </w:rPr>
              <w:t>2 5</w:t>
            </w:r>
            <w:r>
              <w:rPr>
                <w:noProof/>
              </w:rPr>
              <w:t>00 000 000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61F03" w14:textId="77777777" w:rsidR="00C972CB" w:rsidRDefault="002457F6">
            <w:pPr>
              <w:pStyle w:val="P68B1DB1-Normal11"/>
              <w:spacing w:line="276" w:lineRule="auto"/>
              <w:jc w:val="center"/>
              <w:rPr>
                <w:noProof/>
              </w:rPr>
            </w:pPr>
            <w:r>
              <w:rPr>
                <w:noProof/>
              </w:rPr>
              <w:t>4. CET.</w:t>
            </w:r>
          </w:p>
        </w:tc>
        <w:tc>
          <w:tcPr>
            <w:tcW w:w="63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0ACA1" w14:textId="77777777" w:rsidR="00C972CB" w:rsidRDefault="002457F6">
            <w:pPr>
              <w:pStyle w:val="P68B1DB1-Normal11"/>
              <w:spacing w:line="276" w:lineRule="auto"/>
              <w:jc w:val="center"/>
              <w:rPr>
                <w:noProof/>
              </w:rPr>
            </w:pPr>
            <w:r>
              <w:rPr>
                <w:noProof/>
              </w:rPr>
              <w:t>2024</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B5DC1" w14:textId="715CD5E6" w:rsidR="00C972CB" w:rsidRDefault="002457F6">
            <w:pPr>
              <w:pStyle w:val="P68B1DB1-Normal11"/>
              <w:suppressAutoHyphens/>
              <w:spacing w:line="276" w:lineRule="auto"/>
              <w:rPr>
                <w:noProof/>
              </w:rPr>
            </w:pPr>
            <w:r>
              <w:rPr>
                <w:noProof/>
              </w:rPr>
              <w:t>Paziņojums par publiskā iepirkuma līguma slēgšanas tiesību piešķiršanu par kopējo summu EUR 500000000 ieguldījumiem primārajā ūdensapgādes infrastruktūrā un ūdensapgādes drošībā.</w:t>
            </w:r>
          </w:p>
          <w:p w14:paraId="6848709B" w14:textId="77777777" w:rsidR="00C972CB" w:rsidRDefault="002457F6">
            <w:pPr>
              <w:pStyle w:val="P68B1DB1-Normal11"/>
              <w:suppressAutoHyphens/>
              <w:spacing w:line="276" w:lineRule="auto"/>
              <w:rPr>
                <w:noProof/>
              </w:rPr>
            </w:pPr>
            <w:r>
              <w:rPr>
                <w:noProof/>
              </w:rPr>
              <w:t>Līgumu darbības joma ir šāda:</w:t>
            </w:r>
          </w:p>
          <w:p w14:paraId="3E14CCB1" w14:textId="77777777" w:rsidR="00C972CB" w:rsidRDefault="00C972CB">
            <w:pPr>
              <w:suppressAutoHyphens/>
              <w:spacing w:line="276" w:lineRule="auto"/>
              <w:rPr>
                <w:rFonts w:ascii="Arial Narrow" w:hAnsi="Arial Narrow"/>
                <w:noProof/>
                <w:color w:val="006100"/>
                <w:sz w:val="20"/>
              </w:rPr>
            </w:pPr>
          </w:p>
          <w:p w14:paraId="3EFD68BC" w14:textId="77777777" w:rsidR="00C972CB" w:rsidRDefault="002457F6">
            <w:pPr>
              <w:pStyle w:val="P68B1DB1-ListParagraph13"/>
              <w:numPr>
                <w:ilvl w:val="0"/>
                <w:numId w:val="69"/>
              </w:numPr>
              <w:suppressAutoHyphens/>
              <w:spacing w:before="0" w:after="0" w:line="276" w:lineRule="auto"/>
              <w:ind w:left="305"/>
              <w:jc w:val="left"/>
              <w:rPr>
                <w:noProof/>
              </w:rPr>
            </w:pPr>
            <w:r>
              <w:rPr>
                <w:noProof/>
              </w:rPr>
              <w:t xml:space="preserve">Ūdensapgādes drošība </w:t>
            </w:r>
            <w:r>
              <w:rPr>
                <w:noProof/>
              </w:rPr>
              <w:t>svarīgās pilsētu teritorijās;</w:t>
            </w:r>
          </w:p>
          <w:p w14:paraId="1AA7C43F" w14:textId="77777777" w:rsidR="00C972CB" w:rsidRDefault="002457F6">
            <w:pPr>
              <w:pStyle w:val="P68B1DB1-ListParagraph13"/>
              <w:numPr>
                <w:ilvl w:val="0"/>
                <w:numId w:val="69"/>
              </w:numPr>
              <w:suppressAutoHyphens/>
              <w:spacing w:before="0" w:after="0" w:line="276" w:lineRule="auto"/>
              <w:ind w:left="305"/>
              <w:jc w:val="left"/>
              <w:rPr>
                <w:noProof/>
              </w:rPr>
            </w:pPr>
            <w:r>
              <w:rPr>
                <w:noProof/>
              </w:rPr>
              <w:t>Strukturālie darbi, lai palielinātu tīkla drošību un noturību, tostarp pielāgošanos klimata pārmaiņām (izņemot dambjus);</w:t>
            </w:r>
          </w:p>
          <w:p w14:paraId="31207775" w14:textId="77777777" w:rsidR="00C972CB" w:rsidRDefault="002457F6">
            <w:pPr>
              <w:pStyle w:val="P68B1DB1-ListParagraph13"/>
              <w:numPr>
                <w:ilvl w:val="0"/>
                <w:numId w:val="69"/>
              </w:numPr>
              <w:spacing w:before="0" w:after="0" w:line="276" w:lineRule="auto"/>
              <w:ind w:left="305"/>
              <w:jc w:val="left"/>
              <w:rPr>
                <w:noProof/>
              </w:rPr>
            </w:pPr>
            <w:r>
              <w:rPr>
                <w:noProof/>
              </w:rPr>
              <w:t>Ūdens transportēšanas jaudas palielināšana.</w:t>
            </w:r>
          </w:p>
          <w:p w14:paraId="4593A3C9" w14:textId="77777777" w:rsidR="00C972CB" w:rsidRDefault="002457F6">
            <w:pPr>
              <w:pStyle w:val="P68B1DB1-Normal11"/>
              <w:suppressAutoHyphens/>
              <w:spacing w:line="276" w:lineRule="auto"/>
              <w:rPr>
                <w:noProof/>
              </w:rPr>
            </w:pPr>
            <w:r>
              <w:rPr>
                <w:noProof/>
              </w:rPr>
              <w:t xml:space="preserve">Atlases kritēriji nodrošina, ka investīcijas pilnībā veicina </w:t>
            </w:r>
            <w:r>
              <w:rPr>
                <w:noProof/>
              </w:rPr>
              <w:t>klimata pārmaiņu mērķu sasniegšanu, piemērojot 40 % klimata koeficientu saskaņā ar Atveseļošanas un noturības mehānisma Regulas (ES) 2021/241 VI pielikumu.</w:t>
            </w:r>
          </w:p>
        </w:tc>
      </w:tr>
      <w:tr w:rsidR="00C972CB" w14:paraId="1ADEEB75" w14:textId="77777777">
        <w:trPr>
          <w:trHeight w:val="313"/>
          <w:jc w:val="center"/>
        </w:trPr>
        <w:tc>
          <w:tcPr>
            <w:tcW w:w="1130" w:type="dxa"/>
            <w:shd w:val="clear" w:color="auto" w:fill="C6EFCE"/>
            <w:noWrap/>
            <w:vAlign w:val="center"/>
            <w:hideMark/>
          </w:tcPr>
          <w:p w14:paraId="1A34A191" w14:textId="77777777" w:rsidR="00C972CB" w:rsidRDefault="002457F6">
            <w:pPr>
              <w:pStyle w:val="P68B1DB1-Normal11"/>
              <w:spacing w:line="276" w:lineRule="auto"/>
              <w:jc w:val="center"/>
              <w:rPr>
                <w:noProof/>
              </w:rPr>
            </w:pPr>
            <w:r>
              <w:rPr>
                <w:noProof/>
              </w:rPr>
              <w:t>M2C4–29</w:t>
            </w:r>
          </w:p>
        </w:tc>
        <w:tc>
          <w:tcPr>
            <w:tcW w:w="1560" w:type="dxa"/>
            <w:shd w:val="clear" w:color="auto" w:fill="C6EFCE"/>
            <w:noWrap/>
            <w:vAlign w:val="center"/>
            <w:hideMark/>
          </w:tcPr>
          <w:p w14:paraId="7026FFC1" w14:textId="77777777" w:rsidR="00C972CB" w:rsidRDefault="002457F6">
            <w:pPr>
              <w:pStyle w:val="P68B1DB1-Normal11"/>
              <w:spacing w:line="276" w:lineRule="auto"/>
              <w:jc w:val="center"/>
              <w:rPr>
                <w:noProof/>
              </w:rPr>
            </w:pPr>
            <w:r>
              <w:rPr>
                <w:noProof/>
              </w:rPr>
              <w:t>Ieguldījums 4.1. Ieguldījumi primārās ūdensapgādes infrastruktūrā ūdensapgādes drošībai</w:t>
            </w:r>
          </w:p>
        </w:tc>
        <w:tc>
          <w:tcPr>
            <w:tcW w:w="1134" w:type="dxa"/>
            <w:shd w:val="clear" w:color="auto" w:fill="C6EFCE"/>
            <w:noWrap/>
            <w:vAlign w:val="center"/>
            <w:hideMark/>
          </w:tcPr>
          <w:p w14:paraId="232E8547"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1EC852FF" w14:textId="7C7BF812" w:rsidR="00C972CB" w:rsidRDefault="002457F6">
            <w:pPr>
              <w:pStyle w:val="P68B1DB1-Normal11"/>
              <w:spacing w:line="276" w:lineRule="auto"/>
              <w:jc w:val="center"/>
              <w:rPr>
                <w:noProof/>
              </w:rPr>
            </w:pPr>
            <w:r>
              <w:rPr>
                <w:noProof/>
              </w:rPr>
              <w:t>Ieguldījumi primārās ūdensapgādes infrastruktūrā ūdensapgādes drošībai</w:t>
            </w:r>
          </w:p>
        </w:tc>
        <w:tc>
          <w:tcPr>
            <w:tcW w:w="1383" w:type="dxa"/>
            <w:shd w:val="clear" w:color="auto" w:fill="C6EFCE"/>
            <w:noWrap/>
            <w:vAlign w:val="center"/>
            <w:hideMark/>
          </w:tcPr>
          <w:p w14:paraId="0624BEE8"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4ABC7B95"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3BDDF0E6" w14:textId="77777777" w:rsidR="00C972CB" w:rsidRDefault="002457F6">
            <w:pPr>
              <w:pStyle w:val="P68B1DB1-Normal11"/>
              <w:spacing w:line="276" w:lineRule="auto"/>
              <w:jc w:val="center"/>
              <w:rPr>
                <w:noProof/>
              </w:rPr>
            </w:pPr>
            <w:r>
              <w:rPr>
                <w:noProof/>
              </w:rPr>
              <w:t>0</w:t>
            </w:r>
          </w:p>
        </w:tc>
        <w:tc>
          <w:tcPr>
            <w:tcW w:w="1194" w:type="dxa"/>
            <w:shd w:val="clear" w:color="auto" w:fill="C6EFCE"/>
            <w:noWrap/>
            <w:vAlign w:val="center"/>
            <w:hideMark/>
          </w:tcPr>
          <w:p w14:paraId="4C6F855D" w14:textId="77777777" w:rsidR="00C972CB" w:rsidRDefault="002457F6">
            <w:pPr>
              <w:pStyle w:val="P68B1DB1-Normal11"/>
              <w:spacing w:line="276" w:lineRule="auto"/>
              <w:jc w:val="center"/>
              <w:rPr>
                <w:noProof/>
              </w:rPr>
            </w:pPr>
            <w:r>
              <w:rPr>
                <w:noProof/>
              </w:rPr>
              <w:t>25</w:t>
            </w:r>
          </w:p>
        </w:tc>
        <w:tc>
          <w:tcPr>
            <w:tcW w:w="916" w:type="dxa"/>
            <w:shd w:val="clear" w:color="auto" w:fill="C6EFCE"/>
            <w:noWrap/>
            <w:vAlign w:val="center"/>
            <w:hideMark/>
          </w:tcPr>
          <w:p w14:paraId="6D5C2A82" w14:textId="77777777" w:rsidR="00C972CB" w:rsidRDefault="002457F6">
            <w:pPr>
              <w:pStyle w:val="P68B1DB1-Normal11"/>
              <w:spacing w:line="276" w:lineRule="auto"/>
              <w:jc w:val="center"/>
              <w:rPr>
                <w:noProof/>
              </w:rPr>
            </w:pPr>
            <w:r>
              <w:rPr>
                <w:noProof/>
              </w:rPr>
              <w:t>1. CET.</w:t>
            </w:r>
          </w:p>
        </w:tc>
        <w:tc>
          <w:tcPr>
            <w:tcW w:w="638" w:type="dxa"/>
            <w:shd w:val="clear" w:color="auto" w:fill="C6EFCE"/>
            <w:noWrap/>
            <w:vAlign w:val="center"/>
            <w:hideMark/>
          </w:tcPr>
          <w:p w14:paraId="03D7A262" w14:textId="77777777" w:rsidR="00C972CB" w:rsidRDefault="002457F6">
            <w:pPr>
              <w:pStyle w:val="P68B1DB1-Normal11"/>
              <w:spacing w:line="276" w:lineRule="auto"/>
              <w:jc w:val="center"/>
              <w:rPr>
                <w:noProof/>
              </w:rPr>
            </w:pPr>
            <w:r>
              <w:rPr>
                <w:noProof/>
              </w:rPr>
              <w:t>2026</w:t>
            </w:r>
          </w:p>
        </w:tc>
        <w:tc>
          <w:tcPr>
            <w:tcW w:w="4116" w:type="dxa"/>
            <w:shd w:val="clear" w:color="auto" w:fill="C6EFCE"/>
            <w:noWrap/>
            <w:vAlign w:val="center"/>
            <w:hideMark/>
          </w:tcPr>
          <w:p w14:paraId="027D4579" w14:textId="77777777" w:rsidR="00C972CB" w:rsidRDefault="002457F6">
            <w:pPr>
              <w:pStyle w:val="P68B1DB1-Normal11"/>
              <w:spacing w:line="276" w:lineRule="auto"/>
              <w:rPr>
                <w:noProof/>
              </w:rPr>
            </w:pPr>
            <w:r>
              <w:rPr>
                <w:noProof/>
              </w:rPr>
              <w:t>Palielināt ūdensapgādes drošību un ūdens infrastruktūras noturību vismaz 25 kompleksās ūdens sistēmās</w:t>
            </w:r>
          </w:p>
        </w:tc>
      </w:tr>
      <w:tr w:rsidR="00C972CB" w14:paraId="39705B99" w14:textId="77777777">
        <w:trPr>
          <w:trHeight w:val="313"/>
          <w:jc w:val="center"/>
        </w:trPr>
        <w:tc>
          <w:tcPr>
            <w:tcW w:w="1130" w:type="dxa"/>
            <w:shd w:val="clear" w:color="auto" w:fill="C6EFCE"/>
            <w:noWrap/>
            <w:vAlign w:val="center"/>
            <w:hideMark/>
          </w:tcPr>
          <w:p w14:paraId="74FB9955" w14:textId="77777777" w:rsidR="00C972CB" w:rsidRDefault="002457F6">
            <w:pPr>
              <w:pStyle w:val="P68B1DB1-Normal11"/>
              <w:spacing w:line="276" w:lineRule="auto"/>
              <w:jc w:val="center"/>
              <w:rPr>
                <w:noProof/>
              </w:rPr>
            </w:pPr>
            <w:r>
              <w:rPr>
                <w:noProof/>
              </w:rPr>
              <w:t>M2C4–30</w:t>
            </w:r>
          </w:p>
        </w:tc>
        <w:tc>
          <w:tcPr>
            <w:tcW w:w="1560" w:type="dxa"/>
            <w:shd w:val="clear" w:color="auto" w:fill="C6EFCE"/>
            <w:noWrap/>
            <w:vAlign w:val="center"/>
            <w:hideMark/>
          </w:tcPr>
          <w:p w14:paraId="73363AB3" w14:textId="77777777" w:rsidR="00C972CB" w:rsidRDefault="002457F6">
            <w:pPr>
              <w:pStyle w:val="P68B1DB1-Normal11"/>
              <w:spacing w:line="276" w:lineRule="auto"/>
              <w:jc w:val="center"/>
              <w:rPr>
                <w:noProof/>
              </w:rPr>
            </w:pPr>
            <w:r>
              <w:rPr>
                <w:noProof/>
              </w:rPr>
              <w:t xml:space="preserve">Ieguldījums 4.2. Zudumu </w:t>
            </w:r>
            <w:r>
              <w:rPr>
                <w:noProof/>
              </w:rPr>
              <w:t>samazināšana ūdens sadales tīklos, tostarp tīklu digitalizācija un monitorings</w:t>
            </w:r>
          </w:p>
        </w:tc>
        <w:tc>
          <w:tcPr>
            <w:tcW w:w="1134" w:type="dxa"/>
            <w:shd w:val="clear" w:color="auto" w:fill="C6EFCE"/>
            <w:noWrap/>
            <w:vAlign w:val="center"/>
            <w:hideMark/>
          </w:tcPr>
          <w:p w14:paraId="0276E9BB"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hideMark/>
          </w:tcPr>
          <w:p w14:paraId="26F1526C" w14:textId="77777777" w:rsidR="00C972CB" w:rsidRDefault="002457F6">
            <w:pPr>
              <w:pStyle w:val="P68B1DB1-Normal11"/>
              <w:spacing w:line="276" w:lineRule="auto"/>
              <w:jc w:val="center"/>
              <w:rPr>
                <w:noProof/>
              </w:rPr>
            </w:pPr>
            <w:r>
              <w:rPr>
                <w:noProof/>
              </w:rPr>
              <w:t>Visu publiskā iepirkuma līgumu slēgšanas tiesību piešķiršana par intervencēm ūdens sadales tīklos, tostarp tīklu digitalizāciju un uzraudzību</w:t>
            </w:r>
          </w:p>
        </w:tc>
        <w:tc>
          <w:tcPr>
            <w:tcW w:w="1383" w:type="dxa"/>
            <w:shd w:val="clear" w:color="auto" w:fill="C6EFCE"/>
            <w:noWrap/>
            <w:vAlign w:val="center"/>
            <w:hideMark/>
          </w:tcPr>
          <w:p w14:paraId="12F3C884" w14:textId="77777777" w:rsidR="00C972CB" w:rsidRDefault="002457F6">
            <w:pPr>
              <w:pStyle w:val="P68B1DB1-Normal11"/>
              <w:spacing w:line="276" w:lineRule="auto"/>
              <w:jc w:val="center"/>
              <w:rPr>
                <w:noProof/>
              </w:rPr>
            </w:pPr>
            <w:r>
              <w:rPr>
                <w:noProof/>
              </w:rPr>
              <w:t xml:space="preserve">Paziņojums par </w:t>
            </w:r>
            <w:r>
              <w:rPr>
                <w:noProof/>
              </w:rPr>
              <w:t>visu publisko līgumu slēgšanas tiesību piešķiršanu par intervencēm ūdens sadales tīklos, tostarp tīklu digitalizāciju un uzraudzību</w:t>
            </w:r>
          </w:p>
        </w:tc>
        <w:tc>
          <w:tcPr>
            <w:tcW w:w="1094" w:type="dxa"/>
            <w:shd w:val="clear" w:color="auto" w:fill="C6EFCE"/>
            <w:noWrap/>
            <w:vAlign w:val="center"/>
            <w:hideMark/>
          </w:tcPr>
          <w:p w14:paraId="2D601AD0" w14:textId="77777777" w:rsidR="00C972CB" w:rsidRDefault="002457F6">
            <w:pPr>
              <w:pStyle w:val="P68B1DB1-Normal11"/>
              <w:spacing w:line="276" w:lineRule="auto"/>
              <w:jc w:val="center"/>
              <w:rPr>
                <w:noProof/>
              </w:rPr>
            </w:pPr>
            <w:r>
              <w:rPr>
                <w:noProof/>
              </w:rPr>
              <w:t>NEPIEMĒRO</w:t>
            </w:r>
          </w:p>
        </w:tc>
        <w:tc>
          <w:tcPr>
            <w:tcW w:w="1290" w:type="dxa"/>
            <w:shd w:val="clear" w:color="auto" w:fill="C6EFCE"/>
            <w:noWrap/>
            <w:vAlign w:val="center"/>
            <w:hideMark/>
          </w:tcPr>
          <w:p w14:paraId="5AF17381" w14:textId="77777777" w:rsidR="00C972CB" w:rsidRDefault="002457F6">
            <w:pPr>
              <w:pStyle w:val="P68B1DB1-Normal11"/>
              <w:spacing w:line="276" w:lineRule="auto"/>
              <w:jc w:val="center"/>
              <w:rPr>
                <w:noProof/>
              </w:rPr>
            </w:pPr>
            <w:r>
              <w:rPr>
                <w:noProof/>
              </w:rPr>
              <w:t>NEPIEMĒRO</w:t>
            </w:r>
          </w:p>
        </w:tc>
        <w:tc>
          <w:tcPr>
            <w:tcW w:w="1194" w:type="dxa"/>
            <w:shd w:val="clear" w:color="auto" w:fill="C6EFCE"/>
            <w:noWrap/>
            <w:vAlign w:val="center"/>
            <w:hideMark/>
          </w:tcPr>
          <w:p w14:paraId="7BE902D0" w14:textId="77777777" w:rsidR="00C972CB" w:rsidRDefault="002457F6">
            <w:pPr>
              <w:pStyle w:val="P68B1DB1-Normal11"/>
              <w:spacing w:line="276" w:lineRule="auto"/>
              <w:jc w:val="center"/>
              <w:rPr>
                <w:noProof/>
              </w:rPr>
            </w:pPr>
            <w:r>
              <w:rPr>
                <w:noProof/>
              </w:rPr>
              <w:t>NEPIEMĒRO</w:t>
            </w:r>
          </w:p>
        </w:tc>
        <w:tc>
          <w:tcPr>
            <w:tcW w:w="916" w:type="dxa"/>
            <w:shd w:val="clear" w:color="auto" w:fill="C6EFCE"/>
            <w:noWrap/>
            <w:vAlign w:val="center"/>
            <w:hideMark/>
          </w:tcPr>
          <w:p w14:paraId="351DD56E" w14:textId="77777777" w:rsidR="00C972CB" w:rsidRDefault="002457F6">
            <w:pPr>
              <w:pStyle w:val="P68B1DB1-Normal11"/>
              <w:spacing w:line="276" w:lineRule="auto"/>
              <w:jc w:val="center"/>
              <w:rPr>
                <w:noProof/>
              </w:rPr>
            </w:pPr>
            <w:r>
              <w:rPr>
                <w:noProof/>
              </w:rPr>
              <w:t>3. CET.</w:t>
            </w:r>
          </w:p>
        </w:tc>
        <w:tc>
          <w:tcPr>
            <w:tcW w:w="638" w:type="dxa"/>
            <w:shd w:val="clear" w:color="auto" w:fill="C6EFCE"/>
            <w:noWrap/>
            <w:vAlign w:val="center"/>
            <w:hideMark/>
          </w:tcPr>
          <w:p w14:paraId="5491BE24" w14:textId="77777777" w:rsidR="00C972CB" w:rsidRDefault="002457F6">
            <w:pPr>
              <w:pStyle w:val="P68B1DB1-Normal11"/>
              <w:spacing w:line="276" w:lineRule="auto"/>
              <w:jc w:val="center"/>
              <w:rPr>
                <w:noProof/>
              </w:rPr>
            </w:pPr>
            <w:r>
              <w:rPr>
                <w:noProof/>
              </w:rPr>
              <w:t>2023</w:t>
            </w:r>
          </w:p>
        </w:tc>
        <w:tc>
          <w:tcPr>
            <w:tcW w:w="4116" w:type="dxa"/>
            <w:shd w:val="clear" w:color="auto" w:fill="C6EFCE"/>
            <w:noWrap/>
            <w:vAlign w:val="center"/>
            <w:hideMark/>
          </w:tcPr>
          <w:p w14:paraId="76385B78" w14:textId="7B4D12F7" w:rsidR="00C972CB" w:rsidRDefault="002457F6">
            <w:pPr>
              <w:pStyle w:val="P68B1DB1-Normal11"/>
              <w:spacing w:line="276" w:lineRule="auto"/>
              <w:rPr>
                <w:noProof/>
              </w:rPr>
            </w:pPr>
            <w:r>
              <w:rPr>
                <w:noProof/>
              </w:rPr>
              <w:t>Paziņojums par visu līgumu slēgšanas tiesību piešķiršanu par kopējo summu EUR 900</w:t>
            </w:r>
            <w:r>
              <w:rPr>
                <w:noProof/>
              </w:rPr>
              <w:t>000000 par ūdensapgādes tīklu modernizācijas un efektivitātes intervencēm.</w:t>
            </w:r>
          </w:p>
          <w:p w14:paraId="6B19F61D" w14:textId="77777777" w:rsidR="00C972CB" w:rsidRDefault="00C972CB">
            <w:pPr>
              <w:spacing w:line="276" w:lineRule="auto"/>
              <w:rPr>
                <w:rFonts w:ascii="Arial Narrow" w:hAnsi="Arial Narrow"/>
                <w:noProof/>
                <w:color w:val="006100"/>
                <w:sz w:val="20"/>
              </w:rPr>
            </w:pPr>
          </w:p>
          <w:p w14:paraId="4D8C592B" w14:textId="24391B19" w:rsidR="00C972CB" w:rsidRDefault="002457F6">
            <w:pPr>
              <w:pStyle w:val="P68B1DB1-Normal11"/>
              <w:spacing w:line="276" w:lineRule="auto"/>
              <w:rPr>
                <w:noProof/>
              </w:rPr>
            </w:pPr>
            <w:r>
              <w:rPr>
                <w:noProof/>
              </w:rPr>
              <w:t>Līgumu darbības joma ir šāda:</w:t>
            </w:r>
          </w:p>
          <w:p w14:paraId="3699BB7F" w14:textId="5E02CB1A" w:rsidR="00C972CB" w:rsidRDefault="002457F6">
            <w:pPr>
              <w:pStyle w:val="P68B1DB1-ListParagraph13"/>
              <w:numPr>
                <w:ilvl w:val="0"/>
                <w:numId w:val="69"/>
              </w:numPr>
              <w:spacing w:before="0" w:after="0" w:line="276" w:lineRule="auto"/>
              <w:ind w:left="305"/>
              <w:jc w:val="left"/>
              <w:textAlignment w:val="baseline"/>
              <w:rPr>
                <w:noProof/>
              </w:rPr>
            </w:pPr>
            <w:r>
              <w:rPr>
                <w:noProof/>
              </w:rPr>
              <w:t>Iejaukšanās, lai samazinātu zudumus dzeramā ūdens tīklos;</w:t>
            </w:r>
          </w:p>
          <w:p w14:paraId="12C7C5D1" w14:textId="340C69C1" w:rsidR="00C972CB" w:rsidRDefault="002457F6">
            <w:pPr>
              <w:pStyle w:val="P68B1DB1-ListParagraph13"/>
              <w:numPr>
                <w:ilvl w:val="0"/>
                <w:numId w:val="69"/>
              </w:numPr>
              <w:spacing w:before="0" w:after="0" w:line="276" w:lineRule="auto"/>
              <w:ind w:left="305"/>
              <w:jc w:val="left"/>
              <w:textAlignment w:val="baseline"/>
              <w:rPr>
                <w:noProof/>
              </w:rPr>
            </w:pPr>
            <w:r>
              <w:rPr>
                <w:noProof/>
              </w:rPr>
              <w:t>Palielināt ūdens sistēmu noturību pret klimata pārmaiņām;</w:t>
            </w:r>
          </w:p>
          <w:p w14:paraId="14FC986D" w14:textId="77777777" w:rsidR="00C972CB" w:rsidRDefault="002457F6">
            <w:pPr>
              <w:pStyle w:val="P68B1DB1-ListParagraph13"/>
              <w:numPr>
                <w:ilvl w:val="0"/>
                <w:numId w:val="69"/>
              </w:numPr>
              <w:spacing w:before="0" w:after="0" w:line="276" w:lineRule="auto"/>
              <w:ind w:left="305"/>
              <w:jc w:val="left"/>
              <w:textAlignment w:val="baseline"/>
              <w:rPr>
                <w:noProof/>
              </w:rPr>
            </w:pPr>
            <w:r>
              <w:rPr>
                <w:noProof/>
              </w:rPr>
              <w:t>Stiprināt tīklu digitalizāciju, la</w:t>
            </w:r>
            <w:r>
              <w:rPr>
                <w:noProof/>
              </w:rPr>
              <w:t>i optimāli apsaimniekotu ūdens resursus, samazinātu atkritumu daudzumu un ierobežotu neefektivitāti</w:t>
            </w:r>
          </w:p>
        </w:tc>
      </w:tr>
      <w:tr w:rsidR="00C972CB" w14:paraId="6535A03C" w14:textId="77777777">
        <w:trPr>
          <w:trHeight w:val="313"/>
          <w:jc w:val="center"/>
        </w:trPr>
        <w:tc>
          <w:tcPr>
            <w:tcW w:w="1130" w:type="dxa"/>
            <w:shd w:val="clear" w:color="auto" w:fill="C6EFCE"/>
            <w:noWrap/>
            <w:vAlign w:val="center"/>
            <w:hideMark/>
          </w:tcPr>
          <w:p w14:paraId="2676D9CB" w14:textId="77777777" w:rsidR="00C972CB" w:rsidRDefault="002457F6">
            <w:pPr>
              <w:pStyle w:val="P68B1DB1-Normal11"/>
              <w:spacing w:line="276" w:lineRule="auto"/>
              <w:jc w:val="center"/>
              <w:rPr>
                <w:noProof/>
              </w:rPr>
            </w:pPr>
            <w:r>
              <w:rPr>
                <w:noProof/>
              </w:rPr>
              <w:t>M2C4–31</w:t>
            </w:r>
          </w:p>
        </w:tc>
        <w:tc>
          <w:tcPr>
            <w:tcW w:w="1560" w:type="dxa"/>
            <w:shd w:val="clear" w:color="auto" w:fill="C6EFCE"/>
            <w:noWrap/>
            <w:vAlign w:val="center"/>
            <w:hideMark/>
          </w:tcPr>
          <w:p w14:paraId="388E1916" w14:textId="77777777" w:rsidR="00C972CB" w:rsidRDefault="002457F6">
            <w:pPr>
              <w:pStyle w:val="P68B1DB1-Normal11"/>
              <w:spacing w:line="276" w:lineRule="auto"/>
              <w:jc w:val="center"/>
              <w:rPr>
                <w:noProof/>
              </w:rPr>
            </w:pPr>
            <w:r>
              <w:rPr>
                <w:noProof/>
              </w:rPr>
              <w:t>Ieguldījums 4.2. Zudumu samazināšana ūdens sadales tīklos, tostarp tīklu digitalizācija un monitorings</w:t>
            </w:r>
          </w:p>
        </w:tc>
        <w:tc>
          <w:tcPr>
            <w:tcW w:w="1134" w:type="dxa"/>
            <w:shd w:val="clear" w:color="auto" w:fill="C6EFCE"/>
            <w:noWrap/>
            <w:vAlign w:val="center"/>
            <w:hideMark/>
          </w:tcPr>
          <w:p w14:paraId="3E6540C0"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4D71E4D5" w14:textId="77777777" w:rsidR="00C972CB" w:rsidRDefault="002457F6">
            <w:pPr>
              <w:pStyle w:val="P68B1DB1-Normal11"/>
              <w:spacing w:line="276" w:lineRule="auto"/>
              <w:jc w:val="center"/>
              <w:rPr>
                <w:noProof/>
              </w:rPr>
            </w:pPr>
            <w:r>
              <w:rPr>
                <w:noProof/>
              </w:rPr>
              <w:t xml:space="preserve">Intervences ūdens sadales tīklos, </w:t>
            </w:r>
            <w:r>
              <w:rPr>
                <w:noProof/>
              </w:rPr>
              <w:t>tostarp tīklu digitalizācija un monitorings T1</w:t>
            </w:r>
          </w:p>
        </w:tc>
        <w:tc>
          <w:tcPr>
            <w:tcW w:w="1383" w:type="dxa"/>
            <w:shd w:val="clear" w:color="auto" w:fill="C6EFCE"/>
            <w:noWrap/>
            <w:vAlign w:val="center"/>
            <w:hideMark/>
          </w:tcPr>
          <w:p w14:paraId="2564AC7A"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223989C8"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14677FBF" w14:textId="77777777" w:rsidR="00C972CB" w:rsidRDefault="002457F6">
            <w:pPr>
              <w:pStyle w:val="P68B1DB1-Normal11"/>
              <w:spacing w:line="276" w:lineRule="auto"/>
              <w:jc w:val="center"/>
              <w:rPr>
                <w:noProof/>
              </w:rPr>
            </w:pPr>
            <w:r>
              <w:rPr>
                <w:noProof/>
              </w:rPr>
              <w:t>0</w:t>
            </w:r>
          </w:p>
        </w:tc>
        <w:tc>
          <w:tcPr>
            <w:tcW w:w="1194" w:type="dxa"/>
            <w:shd w:val="clear" w:color="auto" w:fill="C6EFCE"/>
            <w:noWrap/>
            <w:vAlign w:val="center"/>
            <w:hideMark/>
          </w:tcPr>
          <w:p w14:paraId="619C7DCE" w14:textId="0D0256EB" w:rsidR="00C972CB" w:rsidRDefault="002457F6">
            <w:pPr>
              <w:pStyle w:val="P68B1DB1-Normal11"/>
              <w:spacing w:line="276" w:lineRule="auto"/>
              <w:jc w:val="center"/>
              <w:rPr>
                <w:noProof/>
              </w:rPr>
            </w:pPr>
            <w:r>
              <w:rPr>
                <w:noProof/>
              </w:rPr>
              <w:t>14 000</w:t>
            </w:r>
          </w:p>
        </w:tc>
        <w:tc>
          <w:tcPr>
            <w:tcW w:w="916" w:type="dxa"/>
            <w:shd w:val="clear" w:color="auto" w:fill="C6EFCE"/>
            <w:noWrap/>
            <w:vAlign w:val="center"/>
            <w:hideMark/>
          </w:tcPr>
          <w:p w14:paraId="4B932340"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66BC18CD" w14:textId="77777777" w:rsidR="00C972CB" w:rsidRDefault="002457F6">
            <w:pPr>
              <w:pStyle w:val="P68B1DB1-Normal11"/>
              <w:spacing w:line="276" w:lineRule="auto"/>
              <w:jc w:val="center"/>
              <w:rPr>
                <w:noProof/>
              </w:rPr>
            </w:pPr>
            <w:r>
              <w:rPr>
                <w:noProof/>
              </w:rPr>
              <w:t>2024</w:t>
            </w:r>
          </w:p>
        </w:tc>
        <w:tc>
          <w:tcPr>
            <w:tcW w:w="4116" w:type="dxa"/>
            <w:shd w:val="clear" w:color="auto" w:fill="C6EFCE"/>
            <w:noWrap/>
            <w:vAlign w:val="center"/>
            <w:hideMark/>
          </w:tcPr>
          <w:p w14:paraId="59106669" w14:textId="34626A76" w:rsidR="00C972CB" w:rsidRDefault="002457F6">
            <w:pPr>
              <w:pStyle w:val="P68B1DB1-Normal11"/>
              <w:spacing w:line="276" w:lineRule="auto"/>
              <w:rPr>
                <w:noProof/>
              </w:rPr>
            </w:pPr>
            <w:r>
              <w:rPr>
                <w:noProof/>
              </w:rPr>
              <w:t>Vismaz 14000 papildu kilometru ūdens tīkla iecirknis</w:t>
            </w:r>
          </w:p>
        </w:tc>
      </w:tr>
      <w:tr w:rsidR="00C972CB" w14:paraId="5CDD7271" w14:textId="77777777">
        <w:trPr>
          <w:trHeight w:val="313"/>
          <w:jc w:val="center"/>
        </w:trPr>
        <w:tc>
          <w:tcPr>
            <w:tcW w:w="1130" w:type="dxa"/>
            <w:shd w:val="clear" w:color="auto" w:fill="C6EFCE"/>
            <w:noWrap/>
            <w:vAlign w:val="center"/>
            <w:hideMark/>
          </w:tcPr>
          <w:p w14:paraId="555112AF" w14:textId="77777777" w:rsidR="00C972CB" w:rsidRDefault="002457F6">
            <w:pPr>
              <w:pStyle w:val="P68B1DB1-Normal11"/>
              <w:spacing w:line="276" w:lineRule="auto"/>
              <w:jc w:val="center"/>
              <w:rPr>
                <w:noProof/>
              </w:rPr>
            </w:pPr>
            <w:r>
              <w:rPr>
                <w:noProof/>
              </w:rPr>
              <w:t>M2C4–32</w:t>
            </w:r>
          </w:p>
        </w:tc>
        <w:tc>
          <w:tcPr>
            <w:tcW w:w="1560" w:type="dxa"/>
            <w:shd w:val="clear" w:color="auto" w:fill="C6EFCE"/>
            <w:noWrap/>
            <w:vAlign w:val="center"/>
            <w:hideMark/>
          </w:tcPr>
          <w:p w14:paraId="2246AB34" w14:textId="77777777" w:rsidR="00C972CB" w:rsidRDefault="002457F6">
            <w:pPr>
              <w:pStyle w:val="P68B1DB1-Normal11"/>
              <w:spacing w:line="276" w:lineRule="auto"/>
              <w:jc w:val="center"/>
              <w:rPr>
                <w:noProof/>
              </w:rPr>
            </w:pPr>
            <w:r>
              <w:rPr>
                <w:noProof/>
              </w:rPr>
              <w:t>Ieguldījums 4.2. Zudumu samazināšana ūdens sadales tīklos, tostarp tīklu digitalizācija un monitorings</w:t>
            </w:r>
          </w:p>
        </w:tc>
        <w:tc>
          <w:tcPr>
            <w:tcW w:w="1134" w:type="dxa"/>
            <w:shd w:val="clear" w:color="auto" w:fill="C6EFCE"/>
            <w:noWrap/>
            <w:vAlign w:val="center"/>
            <w:hideMark/>
          </w:tcPr>
          <w:p w14:paraId="0C22A563"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282F82FC" w14:textId="77777777" w:rsidR="00C972CB" w:rsidRDefault="002457F6">
            <w:pPr>
              <w:pStyle w:val="P68B1DB1-Normal11"/>
              <w:spacing w:line="276" w:lineRule="auto"/>
              <w:jc w:val="center"/>
              <w:rPr>
                <w:noProof/>
              </w:rPr>
            </w:pPr>
            <w:r>
              <w:rPr>
                <w:noProof/>
              </w:rPr>
              <w:t>Intervences ūdens sadales tīklos, tostarp tīklu digitalizācija un monitorings T2</w:t>
            </w:r>
          </w:p>
        </w:tc>
        <w:tc>
          <w:tcPr>
            <w:tcW w:w="1383" w:type="dxa"/>
            <w:shd w:val="clear" w:color="auto" w:fill="C6EFCE"/>
            <w:noWrap/>
            <w:vAlign w:val="center"/>
            <w:hideMark/>
          </w:tcPr>
          <w:p w14:paraId="41C0C3FB"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1B2B4422"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65E19EEC" w14:textId="59281F44" w:rsidR="00C972CB" w:rsidRDefault="002457F6">
            <w:pPr>
              <w:pStyle w:val="P68B1DB1-Normal11"/>
              <w:spacing w:line="276" w:lineRule="auto"/>
              <w:jc w:val="center"/>
              <w:rPr>
                <w:noProof/>
              </w:rPr>
            </w:pPr>
            <w:r>
              <w:rPr>
                <w:noProof/>
              </w:rPr>
              <w:t>14 000</w:t>
            </w:r>
          </w:p>
        </w:tc>
        <w:tc>
          <w:tcPr>
            <w:tcW w:w="1194" w:type="dxa"/>
            <w:shd w:val="clear" w:color="auto" w:fill="C6EFCE"/>
            <w:noWrap/>
            <w:vAlign w:val="center"/>
            <w:hideMark/>
          </w:tcPr>
          <w:p w14:paraId="1B9AA405" w14:textId="20B2A466" w:rsidR="00C972CB" w:rsidRDefault="002457F6">
            <w:pPr>
              <w:pStyle w:val="P68B1DB1-Normal11"/>
              <w:spacing w:line="276" w:lineRule="auto"/>
              <w:jc w:val="center"/>
              <w:rPr>
                <w:noProof/>
              </w:rPr>
            </w:pPr>
            <w:r>
              <w:rPr>
                <w:noProof/>
              </w:rPr>
              <w:t>45 000</w:t>
            </w:r>
          </w:p>
        </w:tc>
        <w:tc>
          <w:tcPr>
            <w:tcW w:w="916" w:type="dxa"/>
            <w:shd w:val="clear" w:color="auto" w:fill="C6EFCE"/>
            <w:noWrap/>
            <w:vAlign w:val="center"/>
            <w:hideMark/>
          </w:tcPr>
          <w:p w14:paraId="169316F4" w14:textId="77777777" w:rsidR="00C972CB" w:rsidRDefault="002457F6">
            <w:pPr>
              <w:pStyle w:val="P68B1DB1-Normal11"/>
              <w:spacing w:line="276" w:lineRule="auto"/>
              <w:jc w:val="center"/>
              <w:rPr>
                <w:noProof/>
              </w:rPr>
            </w:pPr>
            <w:r>
              <w:rPr>
                <w:noProof/>
              </w:rPr>
              <w:t>1. CET.</w:t>
            </w:r>
          </w:p>
        </w:tc>
        <w:tc>
          <w:tcPr>
            <w:tcW w:w="638" w:type="dxa"/>
            <w:shd w:val="clear" w:color="auto" w:fill="C6EFCE"/>
            <w:noWrap/>
            <w:vAlign w:val="center"/>
            <w:hideMark/>
          </w:tcPr>
          <w:p w14:paraId="23E45EE4" w14:textId="77777777" w:rsidR="00C972CB" w:rsidRDefault="002457F6">
            <w:pPr>
              <w:pStyle w:val="P68B1DB1-Normal11"/>
              <w:spacing w:line="276" w:lineRule="auto"/>
              <w:jc w:val="center"/>
              <w:rPr>
                <w:noProof/>
              </w:rPr>
            </w:pPr>
            <w:r>
              <w:rPr>
                <w:noProof/>
              </w:rPr>
              <w:t>2026</w:t>
            </w:r>
          </w:p>
        </w:tc>
        <w:tc>
          <w:tcPr>
            <w:tcW w:w="4116" w:type="dxa"/>
            <w:shd w:val="clear" w:color="auto" w:fill="C6EFCE"/>
            <w:noWrap/>
            <w:vAlign w:val="center"/>
            <w:hideMark/>
          </w:tcPr>
          <w:p w14:paraId="0B1918EA" w14:textId="0B601129" w:rsidR="00C972CB" w:rsidRDefault="002457F6">
            <w:pPr>
              <w:pStyle w:val="P68B1DB1-Normal11"/>
              <w:spacing w:line="276" w:lineRule="auto"/>
              <w:rPr>
                <w:noProof/>
              </w:rPr>
            </w:pPr>
            <w:r>
              <w:rPr>
                <w:noProof/>
              </w:rPr>
              <w:t>Vismaz 45000 papildu kilometru ūdens tīkla iecirknis</w:t>
            </w:r>
          </w:p>
        </w:tc>
      </w:tr>
      <w:tr w:rsidR="00C972CB" w14:paraId="7A6C15AF" w14:textId="77777777">
        <w:trPr>
          <w:trHeight w:val="313"/>
          <w:jc w:val="center"/>
        </w:trPr>
        <w:tc>
          <w:tcPr>
            <w:tcW w:w="1130" w:type="dxa"/>
            <w:shd w:val="clear" w:color="auto" w:fill="C6EFCE"/>
            <w:noWrap/>
            <w:vAlign w:val="center"/>
            <w:hideMark/>
          </w:tcPr>
          <w:p w14:paraId="367C440D" w14:textId="77777777" w:rsidR="00C972CB" w:rsidRDefault="002457F6">
            <w:pPr>
              <w:pStyle w:val="P68B1DB1-Normal11"/>
              <w:spacing w:line="276" w:lineRule="auto"/>
              <w:jc w:val="center"/>
              <w:rPr>
                <w:noProof/>
              </w:rPr>
            </w:pPr>
            <w:r>
              <w:rPr>
                <w:noProof/>
              </w:rPr>
              <w:t>M2C4–33</w:t>
            </w:r>
          </w:p>
        </w:tc>
        <w:tc>
          <w:tcPr>
            <w:tcW w:w="1560" w:type="dxa"/>
            <w:shd w:val="clear" w:color="auto" w:fill="C6EFCE"/>
            <w:noWrap/>
            <w:vAlign w:val="center"/>
            <w:hideMark/>
          </w:tcPr>
          <w:p w14:paraId="584B68E2" w14:textId="77777777" w:rsidR="00C972CB" w:rsidRDefault="002457F6">
            <w:pPr>
              <w:pStyle w:val="P68B1DB1-Normal11"/>
              <w:spacing w:line="276" w:lineRule="auto"/>
              <w:jc w:val="center"/>
              <w:rPr>
                <w:noProof/>
              </w:rPr>
            </w:pPr>
            <w:r>
              <w:rPr>
                <w:noProof/>
              </w:rPr>
              <w:t xml:space="preserve">Ieguldījums 4.3. Ieguldījumi apūdeņošanas agrosistēmas noturībā </w:t>
            </w:r>
            <w:r>
              <w:rPr>
                <w:noProof/>
              </w:rPr>
              <w:t>labākai ūdens resursu apsaimniekošanai</w:t>
            </w:r>
          </w:p>
        </w:tc>
        <w:tc>
          <w:tcPr>
            <w:tcW w:w="1134" w:type="dxa"/>
            <w:shd w:val="clear" w:color="auto" w:fill="C6EFCE"/>
            <w:noWrap/>
            <w:vAlign w:val="center"/>
            <w:hideMark/>
          </w:tcPr>
          <w:p w14:paraId="60038EDA"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hideMark/>
          </w:tcPr>
          <w:p w14:paraId="038C187E" w14:textId="77777777" w:rsidR="00C972CB" w:rsidRDefault="002457F6">
            <w:pPr>
              <w:pStyle w:val="P68B1DB1-Normal11"/>
              <w:spacing w:line="276" w:lineRule="auto"/>
              <w:jc w:val="center"/>
              <w:rPr>
                <w:noProof/>
              </w:rPr>
            </w:pPr>
            <w:r>
              <w:rPr>
                <w:noProof/>
              </w:rPr>
              <w:t>Visu publiskā iepirkuma līgumu slēgšanas tiesību piešķiršana apūdeņošanas agrosistēmas noturībai labākai ūdens resursu apsaimniekošanai</w:t>
            </w:r>
          </w:p>
        </w:tc>
        <w:tc>
          <w:tcPr>
            <w:tcW w:w="1383" w:type="dxa"/>
            <w:shd w:val="clear" w:color="auto" w:fill="C6EFCE"/>
            <w:noWrap/>
            <w:vAlign w:val="center"/>
            <w:hideMark/>
          </w:tcPr>
          <w:p w14:paraId="30943E57" w14:textId="08A40AD3" w:rsidR="00C972CB" w:rsidRDefault="002457F6">
            <w:pPr>
              <w:pStyle w:val="P68B1DB1-Normal11"/>
              <w:spacing w:line="276" w:lineRule="auto"/>
              <w:jc w:val="center"/>
              <w:rPr>
                <w:noProof/>
              </w:rPr>
            </w:pPr>
            <w:r>
              <w:rPr>
                <w:noProof/>
              </w:rPr>
              <w:t>Paziņojums par visu publiskā iepirkuma līgumu slēgšanas tiesību</w:t>
            </w:r>
            <w:r>
              <w:rPr>
                <w:noProof/>
              </w:rPr>
              <w:t xml:space="preserve"> piešķiršanu par kopējo summu 880 000 000 EUR par intervencēm tīklos un apūdeņošanas sistēmās un saistītajā digitalizācijas un uzraudzības sistēmā.</w:t>
            </w:r>
          </w:p>
        </w:tc>
        <w:tc>
          <w:tcPr>
            <w:tcW w:w="1094" w:type="dxa"/>
            <w:shd w:val="clear" w:color="auto" w:fill="C6EFCE"/>
            <w:noWrap/>
            <w:vAlign w:val="center"/>
            <w:hideMark/>
          </w:tcPr>
          <w:p w14:paraId="42285BA8" w14:textId="77777777" w:rsidR="00C972CB" w:rsidRDefault="002457F6">
            <w:pPr>
              <w:pStyle w:val="P68B1DB1-Normal11"/>
              <w:spacing w:line="276" w:lineRule="auto"/>
              <w:jc w:val="center"/>
              <w:rPr>
                <w:noProof/>
              </w:rPr>
            </w:pPr>
            <w:r>
              <w:rPr>
                <w:noProof/>
              </w:rPr>
              <w:t>NEPIEMĒRO</w:t>
            </w:r>
          </w:p>
        </w:tc>
        <w:tc>
          <w:tcPr>
            <w:tcW w:w="1290" w:type="dxa"/>
            <w:shd w:val="clear" w:color="auto" w:fill="C6EFCE"/>
            <w:noWrap/>
            <w:vAlign w:val="center"/>
            <w:hideMark/>
          </w:tcPr>
          <w:p w14:paraId="215123E2" w14:textId="77777777" w:rsidR="00C972CB" w:rsidRDefault="002457F6">
            <w:pPr>
              <w:pStyle w:val="P68B1DB1-Normal11"/>
              <w:spacing w:line="276" w:lineRule="auto"/>
              <w:jc w:val="center"/>
              <w:rPr>
                <w:noProof/>
              </w:rPr>
            </w:pPr>
            <w:r>
              <w:rPr>
                <w:noProof/>
              </w:rPr>
              <w:t>NEPIEMĒRO</w:t>
            </w:r>
          </w:p>
        </w:tc>
        <w:tc>
          <w:tcPr>
            <w:tcW w:w="1194" w:type="dxa"/>
            <w:shd w:val="clear" w:color="auto" w:fill="C6EFCE"/>
            <w:noWrap/>
            <w:vAlign w:val="center"/>
            <w:hideMark/>
          </w:tcPr>
          <w:p w14:paraId="40DA6580" w14:textId="77777777" w:rsidR="00C972CB" w:rsidRDefault="002457F6">
            <w:pPr>
              <w:pStyle w:val="P68B1DB1-Normal11"/>
              <w:spacing w:line="276" w:lineRule="auto"/>
              <w:jc w:val="center"/>
              <w:rPr>
                <w:noProof/>
              </w:rPr>
            </w:pPr>
            <w:r>
              <w:rPr>
                <w:noProof/>
              </w:rPr>
              <w:t>NEPIEMĒRO</w:t>
            </w:r>
          </w:p>
        </w:tc>
        <w:tc>
          <w:tcPr>
            <w:tcW w:w="916" w:type="dxa"/>
            <w:shd w:val="clear" w:color="auto" w:fill="C6EFCE"/>
            <w:noWrap/>
            <w:vAlign w:val="center"/>
            <w:hideMark/>
          </w:tcPr>
          <w:p w14:paraId="1574B585"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396476E0" w14:textId="77777777" w:rsidR="00C972CB" w:rsidRDefault="002457F6">
            <w:pPr>
              <w:pStyle w:val="P68B1DB1-Normal11"/>
              <w:spacing w:line="276" w:lineRule="auto"/>
              <w:jc w:val="center"/>
              <w:rPr>
                <w:noProof/>
              </w:rPr>
            </w:pPr>
            <w:r>
              <w:rPr>
                <w:noProof/>
              </w:rPr>
              <w:t>2023</w:t>
            </w:r>
          </w:p>
        </w:tc>
        <w:tc>
          <w:tcPr>
            <w:tcW w:w="4116" w:type="dxa"/>
            <w:shd w:val="clear" w:color="auto" w:fill="C6EFCE"/>
            <w:noWrap/>
            <w:vAlign w:val="center"/>
            <w:hideMark/>
          </w:tcPr>
          <w:p w14:paraId="20C1D7F6" w14:textId="6BAF2B22" w:rsidR="00C972CB" w:rsidRDefault="002457F6">
            <w:pPr>
              <w:pStyle w:val="P68B1DB1-Normal11"/>
              <w:autoSpaceDE w:val="0"/>
              <w:autoSpaceDN w:val="0"/>
              <w:spacing w:line="276" w:lineRule="auto"/>
              <w:rPr>
                <w:noProof/>
              </w:rPr>
            </w:pPr>
            <w:r>
              <w:rPr>
                <w:noProof/>
              </w:rPr>
              <w:t>Paziņojums par visu publiskā iepirkuma līgumu slēgšanas tiesību p</w:t>
            </w:r>
            <w:r>
              <w:rPr>
                <w:noProof/>
              </w:rPr>
              <w:t>iešķiršanu par kopējo summu 880 000 000 EUR, lai izpildītu pasākumu galīgos mērķrādītājus, attiecībā uz intervencēm tīklos un apūdeņošanas sistēmās un par saistīto digitalizācijas un uzraudzības sistēmu.</w:t>
            </w:r>
          </w:p>
          <w:p w14:paraId="4786B7E8" w14:textId="77777777" w:rsidR="00C972CB" w:rsidRDefault="002457F6">
            <w:pPr>
              <w:pStyle w:val="P68B1DB1-Normal11"/>
              <w:autoSpaceDE w:val="0"/>
              <w:autoSpaceDN w:val="0"/>
              <w:spacing w:line="276" w:lineRule="auto"/>
              <w:rPr>
                <w:noProof/>
              </w:rPr>
            </w:pPr>
            <w:r>
              <w:rPr>
                <w:noProof/>
              </w:rPr>
              <w:t>Līgumu darbības joma ir šāda:</w:t>
            </w:r>
          </w:p>
          <w:p w14:paraId="164A1A52" w14:textId="617C7912" w:rsidR="00C972CB" w:rsidRDefault="002457F6">
            <w:pPr>
              <w:pStyle w:val="P68B1DB1-ListParagraph31"/>
              <w:numPr>
                <w:ilvl w:val="0"/>
                <w:numId w:val="95"/>
              </w:numPr>
              <w:autoSpaceDE w:val="0"/>
              <w:autoSpaceDN w:val="0"/>
              <w:spacing w:before="0" w:after="0" w:line="276" w:lineRule="auto"/>
              <w:rPr>
                <w:noProof/>
                <w:color w:val="006100"/>
              </w:rPr>
            </w:pPr>
            <w:r>
              <w:rPr>
                <w:noProof/>
                <w:color w:val="006100"/>
              </w:rPr>
              <w:t>Veicināt patēriņa mērī</w:t>
            </w:r>
            <w:r>
              <w:rPr>
                <w:noProof/>
                <w:color w:val="006100"/>
              </w:rPr>
              <w:t>jumus un uzraudzību kolektīvajos tīklos (uzstādot skaitītājus un tālvadības sistēmas), tostarp pāreju no pašapgādes uzkolektīvu izmantošanu, kas ir priekšnoteikums, lai pabeigtu tādas ūdens cenu politikas ieviešanu, kuras pamatā ir ūdens apjomi efektīvai ū</w:t>
            </w:r>
            <w:r>
              <w:rPr>
                <w:noProof/>
                <w:color w:val="006100"/>
              </w:rPr>
              <w:t>dens resursu izmantošanai lauksaimniecībā, un tādējādi veicināt nelikumīgas ūdens aizvākšanas samazināšanu lauku apvidos.</w:t>
            </w:r>
          </w:p>
          <w:p w14:paraId="33E089DE" w14:textId="77777777" w:rsidR="00C972CB" w:rsidRDefault="002457F6">
            <w:pPr>
              <w:pStyle w:val="P68B1DB1-Normal11"/>
              <w:autoSpaceDE w:val="0"/>
              <w:autoSpaceDN w:val="0"/>
              <w:spacing w:line="276" w:lineRule="auto"/>
              <w:rPr>
                <w:noProof/>
              </w:rPr>
            </w:pPr>
            <w:r>
              <w:rPr>
                <w:noProof/>
              </w:rPr>
              <w:t xml:space="preserve"> </w:t>
            </w:r>
          </w:p>
          <w:p w14:paraId="4815C777" w14:textId="77777777" w:rsidR="00C972CB" w:rsidRDefault="002457F6">
            <w:pPr>
              <w:pStyle w:val="P68B1DB1-ListParagraph13"/>
              <w:numPr>
                <w:ilvl w:val="0"/>
                <w:numId w:val="95"/>
              </w:numPr>
              <w:autoSpaceDE w:val="0"/>
              <w:autoSpaceDN w:val="0"/>
              <w:spacing w:before="0" w:after="0" w:line="276" w:lineRule="auto"/>
              <w:rPr>
                <w:noProof/>
              </w:rPr>
            </w:pPr>
            <w:r>
              <w:rPr>
                <w:noProof/>
              </w:rPr>
              <w:t>Ieguldījumiem apūdeņošanā vajadzētu būt vērstiem uz to, lai esošo apūdeņošanu padarītu efektīvāku pat tad, ja attiecīgais ūdensobjek</w:t>
            </w:r>
            <w:r>
              <w:rPr>
                <w:noProof/>
              </w:rPr>
              <w:t xml:space="preserve">ts ir labā stāvoklī. </w:t>
            </w:r>
          </w:p>
          <w:p w14:paraId="0691F474" w14:textId="77777777" w:rsidR="00C972CB" w:rsidRDefault="002457F6">
            <w:pPr>
              <w:pStyle w:val="P68B1DB1-Normal11"/>
              <w:autoSpaceDE w:val="0"/>
              <w:autoSpaceDN w:val="0"/>
              <w:spacing w:line="276" w:lineRule="auto"/>
              <w:rPr>
                <w:noProof/>
              </w:rPr>
            </w:pPr>
            <w:r>
              <w:rPr>
                <w:noProof/>
              </w:rPr>
              <w:t xml:space="preserve"> </w:t>
            </w:r>
          </w:p>
          <w:p w14:paraId="285BBFEA" w14:textId="77777777" w:rsidR="00C972CB" w:rsidRDefault="002457F6">
            <w:pPr>
              <w:pStyle w:val="P68B1DB1-Normal11"/>
              <w:autoSpaceDE w:val="0"/>
              <w:autoSpaceDN w:val="0"/>
              <w:spacing w:line="276" w:lineRule="auto"/>
              <w:rPr>
                <w:noProof/>
              </w:rPr>
            </w:pPr>
            <w:r>
              <w:rPr>
                <w:noProof/>
              </w:rPr>
              <w:t>Paredzams, ka šis pasākums nenodarīs būtisku kaitējumu vides mērķiem Regulas (ES) 2020/852 17. panta nozīmē, ņemot vērā pasākuma aprakstu un mazināšanas pasākumus, kas izklāstīti atveseļošanas un noturības plānā saskaņā ar tehniskaj</w:t>
            </w:r>
            <w:r>
              <w:rPr>
                <w:noProof/>
              </w:rPr>
              <w:t>iem norādījumiem “nenodari būtisku kaitējumu”.</w:t>
            </w:r>
          </w:p>
          <w:p w14:paraId="62DE2935" w14:textId="77777777" w:rsidR="00C972CB" w:rsidRDefault="002457F6">
            <w:pPr>
              <w:pStyle w:val="P68B1DB1-Normal11"/>
              <w:autoSpaceDE w:val="0"/>
              <w:autoSpaceDN w:val="0"/>
              <w:spacing w:line="276" w:lineRule="auto"/>
              <w:rPr>
                <w:noProof/>
              </w:rPr>
            </w:pPr>
            <w:r>
              <w:rPr>
                <w:noProof/>
              </w:rPr>
              <w:t xml:space="preserve">(2021/C58/01). Jo īpaši attiecībā uz katru apakšieguldījumu nodrošina pilnīgu atbilstību ES tiesību aktu prasībām, tostarp Ūdens pamatdirektīvai, pirms būvdarbu uzsākšanas, tās laikā un pēc tās. </w:t>
            </w:r>
          </w:p>
          <w:p w14:paraId="7FDFAEBE" w14:textId="77777777" w:rsidR="00C972CB" w:rsidRDefault="002457F6">
            <w:pPr>
              <w:pStyle w:val="P68B1DB1-Normal11"/>
              <w:autoSpaceDE w:val="0"/>
              <w:autoSpaceDN w:val="0"/>
              <w:spacing w:line="276" w:lineRule="auto"/>
              <w:rPr>
                <w:noProof/>
              </w:rPr>
            </w:pPr>
            <w:r>
              <w:rPr>
                <w:noProof/>
              </w:rPr>
              <w:t xml:space="preserve"> </w:t>
            </w:r>
          </w:p>
          <w:p w14:paraId="433F9CB8" w14:textId="097D5E15" w:rsidR="00C972CB" w:rsidRDefault="002457F6">
            <w:pPr>
              <w:pStyle w:val="P68B1DB1-Normal11"/>
              <w:autoSpaceDE w:val="0"/>
              <w:autoSpaceDN w:val="0"/>
              <w:spacing w:line="276" w:lineRule="auto"/>
              <w:rPr>
                <w:noProof/>
              </w:rPr>
            </w:pPr>
            <w:r>
              <w:rPr>
                <w:noProof/>
              </w:rPr>
              <w:t xml:space="preserve">Turklāt uz </w:t>
            </w:r>
            <w:r>
              <w:rPr>
                <w:noProof/>
              </w:rPr>
              <w:t>intervencēm, ja tas ir piemērojams saskaņā ar valsts tiesību aktiem, attiecas ietekmes uz vidi novērtējums (IVN) saskaņā ar Direktīvu 2011/92/ES, kā arī attiecīgie novērtējumi saistībā ar Direktīvu 2000/60/EK un Direktīvu 92/43/EEK, tostarp nepieciešamo ie</w:t>
            </w:r>
            <w:r>
              <w:rPr>
                <w:noProof/>
              </w:rPr>
              <w:t>tekmes mazināšanas pasākumu īstenošana.</w:t>
            </w:r>
          </w:p>
        </w:tc>
      </w:tr>
      <w:tr w:rsidR="00C972CB" w14:paraId="5717CDEE" w14:textId="77777777">
        <w:trPr>
          <w:trHeight w:val="313"/>
          <w:jc w:val="center"/>
        </w:trPr>
        <w:tc>
          <w:tcPr>
            <w:tcW w:w="1130" w:type="dxa"/>
            <w:shd w:val="clear" w:color="auto" w:fill="C6EFCE"/>
            <w:noWrap/>
            <w:vAlign w:val="center"/>
            <w:hideMark/>
          </w:tcPr>
          <w:p w14:paraId="1F88C86C" w14:textId="77777777" w:rsidR="00C972CB" w:rsidRDefault="002457F6">
            <w:pPr>
              <w:pStyle w:val="P68B1DB1-Normal11"/>
              <w:spacing w:line="276" w:lineRule="auto"/>
              <w:jc w:val="center"/>
              <w:rPr>
                <w:noProof/>
              </w:rPr>
            </w:pPr>
            <w:r>
              <w:rPr>
                <w:noProof/>
              </w:rPr>
              <w:t>M2C4–34</w:t>
            </w:r>
          </w:p>
        </w:tc>
        <w:tc>
          <w:tcPr>
            <w:tcW w:w="1560" w:type="dxa"/>
            <w:shd w:val="clear" w:color="auto" w:fill="C6EFCE"/>
            <w:noWrap/>
            <w:vAlign w:val="center"/>
            <w:hideMark/>
          </w:tcPr>
          <w:p w14:paraId="5D7D95CC" w14:textId="77777777" w:rsidR="00C972CB" w:rsidRDefault="002457F6">
            <w:pPr>
              <w:pStyle w:val="P68B1DB1-Normal11"/>
              <w:spacing w:line="276" w:lineRule="auto"/>
              <w:jc w:val="center"/>
              <w:rPr>
                <w:noProof/>
              </w:rPr>
            </w:pPr>
            <w:r>
              <w:rPr>
                <w:noProof/>
              </w:rPr>
              <w:t>Ieguldījums 4.3. Ieguldījumi apūdeņošanas agrosistēmas noturībā labākai ūdens resursu apsaimniekošanai</w:t>
            </w:r>
          </w:p>
        </w:tc>
        <w:tc>
          <w:tcPr>
            <w:tcW w:w="1134" w:type="dxa"/>
            <w:shd w:val="clear" w:color="auto" w:fill="C6EFCE"/>
            <w:noWrap/>
            <w:vAlign w:val="center"/>
            <w:hideMark/>
          </w:tcPr>
          <w:p w14:paraId="35E8A6A6"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394E0B97" w14:textId="77777777" w:rsidR="00C972CB" w:rsidRDefault="002457F6">
            <w:pPr>
              <w:pStyle w:val="P68B1DB1-Normal11"/>
              <w:spacing w:line="276" w:lineRule="auto"/>
              <w:jc w:val="center"/>
              <w:rPr>
                <w:noProof/>
              </w:rPr>
            </w:pPr>
            <w:r>
              <w:rPr>
                <w:noProof/>
              </w:rPr>
              <w:t>Intervences pasākumi apūdeņošanas agrosistēmas noturībai labākai ūdens resursu apsaimniekošanai T1</w:t>
            </w:r>
          </w:p>
        </w:tc>
        <w:tc>
          <w:tcPr>
            <w:tcW w:w="1383" w:type="dxa"/>
            <w:shd w:val="clear" w:color="auto" w:fill="C6EFCE"/>
            <w:noWrap/>
            <w:vAlign w:val="center"/>
            <w:hideMark/>
          </w:tcPr>
          <w:p w14:paraId="021F7F2B"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0D5E49E6" w14:textId="77777777" w:rsidR="00C972CB" w:rsidRDefault="002457F6">
            <w:pPr>
              <w:pStyle w:val="P68B1DB1-Normal11"/>
              <w:spacing w:line="276" w:lineRule="auto"/>
              <w:jc w:val="center"/>
              <w:rPr>
                <w:noProof/>
              </w:rPr>
            </w:pPr>
            <w:r>
              <w:rPr>
                <w:noProof/>
              </w:rPr>
              <w:t>Procentuālā daļa</w:t>
            </w:r>
          </w:p>
        </w:tc>
        <w:tc>
          <w:tcPr>
            <w:tcW w:w="1290" w:type="dxa"/>
            <w:shd w:val="clear" w:color="auto" w:fill="C6EFCE"/>
            <w:noWrap/>
            <w:vAlign w:val="center"/>
            <w:hideMark/>
          </w:tcPr>
          <w:p w14:paraId="7545B5A6" w14:textId="77777777" w:rsidR="00C972CB" w:rsidRDefault="002457F6">
            <w:pPr>
              <w:pStyle w:val="P68B1DB1-Normal11"/>
              <w:spacing w:line="276" w:lineRule="auto"/>
              <w:jc w:val="center"/>
              <w:rPr>
                <w:noProof/>
              </w:rPr>
            </w:pPr>
            <w:r>
              <w:rPr>
                <w:noProof/>
              </w:rPr>
              <w:t>24</w:t>
            </w:r>
          </w:p>
        </w:tc>
        <w:tc>
          <w:tcPr>
            <w:tcW w:w="1194" w:type="dxa"/>
            <w:shd w:val="clear" w:color="auto" w:fill="C6EFCE"/>
            <w:noWrap/>
            <w:vAlign w:val="center"/>
            <w:hideMark/>
          </w:tcPr>
          <w:p w14:paraId="0E56A1E3" w14:textId="77777777" w:rsidR="00C972CB" w:rsidRDefault="002457F6">
            <w:pPr>
              <w:pStyle w:val="P68B1DB1-Normal11"/>
              <w:spacing w:line="276" w:lineRule="auto"/>
              <w:jc w:val="center"/>
              <w:rPr>
                <w:noProof/>
              </w:rPr>
            </w:pPr>
            <w:r>
              <w:rPr>
                <w:noProof/>
              </w:rPr>
              <w:t>26</w:t>
            </w:r>
          </w:p>
        </w:tc>
        <w:tc>
          <w:tcPr>
            <w:tcW w:w="916" w:type="dxa"/>
            <w:shd w:val="clear" w:color="auto" w:fill="C6EFCE"/>
            <w:noWrap/>
            <w:vAlign w:val="center"/>
            <w:hideMark/>
          </w:tcPr>
          <w:p w14:paraId="2C8D2941"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3E746766" w14:textId="77777777" w:rsidR="00C972CB" w:rsidRDefault="002457F6">
            <w:pPr>
              <w:pStyle w:val="P68B1DB1-Normal11"/>
              <w:spacing w:line="276" w:lineRule="auto"/>
              <w:jc w:val="center"/>
              <w:rPr>
                <w:noProof/>
              </w:rPr>
            </w:pPr>
            <w:r>
              <w:rPr>
                <w:noProof/>
              </w:rPr>
              <w:t>2024</w:t>
            </w:r>
          </w:p>
        </w:tc>
        <w:tc>
          <w:tcPr>
            <w:tcW w:w="4116" w:type="dxa"/>
            <w:shd w:val="clear" w:color="auto" w:fill="C6EFCE"/>
            <w:noWrap/>
            <w:vAlign w:val="center"/>
            <w:hideMark/>
          </w:tcPr>
          <w:p w14:paraId="12AF8428" w14:textId="77777777" w:rsidR="00C972CB" w:rsidRDefault="002457F6">
            <w:pPr>
              <w:pStyle w:val="P68B1DB1-Normal11"/>
              <w:spacing w:line="276" w:lineRule="auto"/>
              <w:rPr>
                <w:noProof/>
              </w:rPr>
            </w:pPr>
            <w:r>
              <w:rPr>
                <w:noProof/>
              </w:rPr>
              <w:t>Palielināt ar skaitītājiem aprīkoto izvades avotu procentuālo daļu vismaz līdz 26 %.</w:t>
            </w:r>
          </w:p>
          <w:p w14:paraId="726DACAC" w14:textId="77777777" w:rsidR="00C972CB" w:rsidRDefault="002457F6">
            <w:pPr>
              <w:pStyle w:val="P68B1DB1-Normal11"/>
              <w:spacing w:line="276" w:lineRule="auto"/>
              <w:rPr>
                <w:noProof/>
              </w:rPr>
            </w:pPr>
            <w:r>
              <w:rPr>
                <w:noProof/>
              </w:rPr>
              <w:t>Kopējās tīkla efektivitātes intervences ietver arī:</w:t>
            </w:r>
          </w:p>
          <w:p w14:paraId="748640E3" w14:textId="77777777" w:rsidR="00C972CB" w:rsidRDefault="002457F6">
            <w:pPr>
              <w:pStyle w:val="P68B1DB1-ListParagraph13"/>
              <w:numPr>
                <w:ilvl w:val="0"/>
                <w:numId w:val="94"/>
              </w:numPr>
              <w:spacing w:before="0" w:after="0" w:line="276" w:lineRule="auto"/>
              <w:rPr>
                <w:noProof/>
              </w:rPr>
            </w:pPr>
            <w:r>
              <w:rPr>
                <w:noProof/>
              </w:rPr>
              <w:t>150 trešā līmeņa skaitītāji;</w:t>
            </w:r>
          </w:p>
          <w:p w14:paraId="5D742EC9" w14:textId="6A6B31CD" w:rsidR="00C972CB" w:rsidRDefault="002457F6">
            <w:pPr>
              <w:pStyle w:val="P68B1DB1-ListParagraph13"/>
              <w:numPr>
                <w:ilvl w:val="0"/>
                <w:numId w:val="94"/>
              </w:numPr>
              <w:spacing w:before="0" w:after="0" w:line="276" w:lineRule="auto"/>
              <w:rPr>
                <w:noProof/>
              </w:rPr>
            </w:pPr>
            <w:r>
              <w:rPr>
                <w:noProof/>
              </w:rPr>
              <w:t>7500 ceturtā līmeņa skaitītāji;</w:t>
            </w:r>
          </w:p>
          <w:p w14:paraId="4D33CBA1" w14:textId="77777777" w:rsidR="00C972CB" w:rsidRDefault="002457F6">
            <w:pPr>
              <w:pStyle w:val="P68B1DB1-ListParagraph13"/>
              <w:numPr>
                <w:ilvl w:val="0"/>
                <w:numId w:val="94"/>
              </w:numPr>
              <w:spacing w:before="0" w:after="0" w:line="276" w:lineRule="auto"/>
              <w:rPr>
                <w:noProof/>
              </w:rPr>
            </w:pPr>
            <w:r>
              <w:rPr>
                <w:noProof/>
              </w:rPr>
              <w:t>Digitalizāc</w:t>
            </w:r>
            <w:r>
              <w:rPr>
                <w:noProof/>
              </w:rPr>
              <w:t>ija un tīklu uzlabojumi.</w:t>
            </w:r>
          </w:p>
        </w:tc>
      </w:tr>
      <w:tr w:rsidR="00C972CB" w14:paraId="3FB36B7D" w14:textId="77777777">
        <w:trPr>
          <w:trHeight w:val="313"/>
          <w:jc w:val="center"/>
        </w:trPr>
        <w:tc>
          <w:tcPr>
            <w:tcW w:w="1130" w:type="dxa"/>
            <w:shd w:val="clear" w:color="auto" w:fill="C6EFCE"/>
            <w:noWrap/>
            <w:vAlign w:val="center"/>
            <w:hideMark/>
          </w:tcPr>
          <w:p w14:paraId="4744199F" w14:textId="77777777" w:rsidR="00C972CB" w:rsidRDefault="002457F6">
            <w:pPr>
              <w:pStyle w:val="P68B1DB1-Normal11"/>
              <w:spacing w:line="276" w:lineRule="auto"/>
              <w:jc w:val="center"/>
              <w:rPr>
                <w:noProof/>
              </w:rPr>
            </w:pPr>
            <w:r>
              <w:rPr>
                <w:noProof/>
              </w:rPr>
              <w:t>M2C4–34bis</w:t>
            </w:r>
          </w:p>
        </w:tc>
        <w:tc>
          <w:tcPr>
            <w:tcW w:w="1560" w:type="dxa"/>
            <w:shd w:val="clear" w:color="auto" w:fill="C6EFCE"/>
            <w:noWrap/>
            <w:vAlign w:val="center"/>
            <w:hideMark/>
          </w:tcPr>
          <w:p w14:paraId="1A97D3C3" w14:textId="77777777" w:rsidR="00C972CB" w:rsidRDefault="002457F6">
            <w:pPr>
              <w:pStyle w:val="P68B1DB1-Normal11"/>
              <w:spacing w:line="276" w:lineRule="auto"/>
              <w:jc w:val="center"/>
              <w:rPr>
                <w:noProof/>
              </w:rPr>
            </w:pPr>
            <w:r>
              <w:rPr>
                <w:noProof/>
              </w:rPr>
              <w:t>Ieguldījums 4.3. Ieguldījumi apūdeņošanas agrosistēmas noturībā labākai ūdens resursu apsaimniekošanai</w:t>
            </w:r>
          </w:p>
        </w:tc>
        <w:tc>
          <w:tcPr>
            <w:tcW w:w="1134" w:type="dxa"/>
            <w:shd w:val="clear" w:color="auto" w:fill="C6EFCE"/>
            <w:noWrap/>
            <w:vAlign w:val="center"/>
            <w:hideMark/>
          </w:tcPr>
          <w:p w14:paraId="4DA3A200"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198AC2C1" w14:textId="77777777" w:rsidR="00C972CB" w:rsidRDefault="002457F6">
            <w:pPr>
              <w:pStyle w:val="P68B1DB1-Normal11"/>
              <w:spacing w:line="276" w:lineRule="auto"/>
              <w:jc w:val="center"/>
              <w:rPr>
                <w:noProof/>
              </w:rPr>
            </w:pPr>
            <w:r>
              <w:rPr>
                <w:noProof/>
              </w:rPr>
              <w:t>Intervences pasākumi apūdeņošanas agrosistēmas noturībai labākai ūdens resursu apsaimniekošanai T1</w:t>
            </w:r>
          </w:p>
        </w:tc>
        <w:tc>
          <w:tcPr>
            <w:tcW w:w="1383" w:type="dxa"/>
            <w:shd w:val="clear" w:color="auto" w:fill="C6EFCE"/>
            <w:noWrap/>
            <w:vAlign w:val="center"/>
            <w:hideMark/>
          </w:tcPr>
          <w:p w14:paraId="7B5E170A"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63A6CBEC" w14:textId="77777777" w:rsidR="00C972CB" w:rsidRDefault="002457F6">
            <w:pPr>
              <w:pStyle w:val="P68B1DB1-Normal11"/>
              <w:spacing w:line="276" w:lineRule="auto"/>
              <w:jc w:val="center"/>
              <w:rPr>
                <w:noProof/>
              </w:rPr>
            </w:pPr>
            <w:r>
              <w:rPr>
                <w:noProof/>
              </w:rPr>
              <w:t>Procentuālā daļa</w:t>
            </w:r>
          </w:p>
        </w:tc>
        <w:tc>
          <w:tcPr>
            <w:tcW w:w="1290" w:type="dxa"/>
            <w:shd w:val="clear" w:color="auto" w:fill="C6EFCE"/>
            <w:noWrap/>
            <w:vAlign w:val="center"/>
            <w:hideMark/>
          </w:tcPr>
          <w:p w14:paraId="10EA0F27" w14:textId="77777777" w:rsidR="00C972CB" w:rsidRDefault="002457F6">
            <w:pPr>
              <w:pStyle w:val="P68B1DB1-Normal11"/>
              <w:spacing w:line="276" w:lineRule="auto"/>
              <w:jc w:val="center"/>
              <w:rPr>
                <w:noProof/>
              </w:rPr>
            </w:pPr>
            <w:r>
              <w:rPr>
                <w:noProof/>
              </w:rPr>
              <w:t>26</w:t>
            </w:r>
          </w:p>
        </w:tc>
        <w:tc>
          <w:tcPr>
            <w:tcW w:w="1194" w:type="dxa"/>
            <w:shd w:val="clear" w:color="auto" w:fill="C6EFCE"/>
            <w:noWrap/>
            <w:vAlign w:val="center"/>
            <w:hideMark/>
          </w:tcPr>
          <w:p w14:paraId="7E540CA7" w14:textId="77777777" w:rsidR="00C972CB" w:rsidRDefault="002457F6">
            <w:pPr>
              <w:pStyle w:val="P68B1DB1-Normal11"/>
              <w:spacing w:line="276" w:lineRule="auto"/>
              <w:jc w:val="center"/>
              <w:rPr>
                <w:noProof/>
              </w:rPr>
            </w:pPr>
            <w:r>
              <w:rPr>
                <w:noProof/>
              </w:rPr>
              <w:t>29</w:t>
            </w:r>
          </w:p>
        </w:tc>
        <w:tc>
          <w:tcPr>
            <w:tcW w:w="916" w:type="dxa"/>
            <w:shd w:val="clear" w:color="auto" w:fill="C6EFCE"/>
            <w:noWrap/>
            <w:vAlign w:val="center"/>
            <w:hideMark/>
          </w:tcPr>
          <w:p w14:paraId="7976596D" w14:textId="77777777" w:rsidR="00C972CB" w:rsidRDefault="002457F6">
            <w:pPr>
              <w:pStyle w:val="P68B1DB1-Normal11"/>
              <w:spacing w:line="276" w:lineRule="auto"/>
              <w:jc w:val="center"/>
              <w:rPr>
                <w:noProof/>
              </w:rPr>
            </w:pPr>
            <w:r>
              <w:rPr>
                <w:noProof/>
              </w:rPr>
              <w:t>2. CET.</w:t>
            </w:r>
          </w:p>
        </w:tc>
        <w:tc>
          <w:tcPr>
            <w:tcW w:w="638" w:type="dxa"/>
            <w:shd w:val="clear" w:color="auto" w:fill="C6EFCE"/>
            <w:noWrap/>
            <w:vAlign w:val="center"/>
            <w:hideMark/>
          </w:tcPr>
          <w:p w14:paraId="4C51A70E" w14:textId="77777777" w:rsidR="00C972CB" w:rsidRDefault="002457F6">
            <w:pPr>
              <w:pStyle w:val="P68B1DB1-Normal11"/>
              <w:spacing w:line="276" w:lineRule="auto"/>
              <w:jc w:val="center"/>
              <w:rPr>
                <w:noProof/>
              </w:rPr>
            </w:pPr>
            <w:r>
              <w:rPr>
                <w:noProof/>
              </w:rPr>
              <w:t>2026</w:t>
            </w:r>
          </w:p>
        </w:tc>
        <w:tc>
          <w:tcPr>
            <w:tcW w:w="4116" w:type="dxa"/>
            <w:shd w:val="clear" w:color="auto" w:fill="C6EFCE"/>
            <w:noWrap/>
            <w:vAlign w:val="center"/>
            <w:hideMark/>
          </w:tcPr>
          <w:p w14:paraId="738292AF" w14:textId="77777777" w:rsidR="00C972CB" w:rsidRDefault="002457F6">
            <w:pPr>
              <w:pStyle w:val="P68B1DB1-Normal11"/>
              <w:spacing w:line="276" w:lineRule="auto"/>
              <w:rPr>
                <w:noProof/>
              </w:rPr>
            </w:pPr>
            <w:r>
              <w:rPr>
                <w:noProof/>
              </w:rPr>
              <w:t>Ar skaitītājiem aprīkoto izvades avotu procentuālo daļu palielināt līdz vismaz 29 %.</w:t>
            </w:r>
          </w:p>
          <w:p w14:paraId="7342322A" w14:textId="77777777" w:rsidR="00C972CB" w:rsidRDefault="002457F6">
            <w:pPr>
              <w:pStyle w:val="P68B1DB1-Normal11"/>
              <w:spacing w:line="276" w:lineRule="auto"/>
              <w:rPr>
                <w:noProof/>
              </w:rPr>
            </w:pPr>
            <w:r>
              <w:rPr>
                <w:noProof/>
              </w:rPr>
              <w:t>Kopējās tīkla efektivitātes intervences ietver arī:</w:t>
            </w:r>
          </w:p>
          <w:p w14:paraId="4D8B795B" w14:textId="77777777" w:rsidR="00C972CB" w:rsidRDefault="002457F6">
            <w:pPr>
              <w:pStyle w:val="P68B1DB1-ListParagraph13"/>
              <w:numPr>
                <w:ilvl w:val="0"/>
                <w:numId w:val="93"/>
              </w:numPr>
              <w:spacing w:before="0" w:after="0" w:line="276" w:lineRule="auto"/>
              <w:rPr>
                <w:noProof/>
              </w:rPr>
            </w:pPr>
            <w:r>
              <w:rPr>
                <w:noProof/>
              </w:rPr>
              <w:t>500 trešā līmeņa skaitītāji;</w:t>
            </w:r>
          </w:p>
          <w:p w14:paraId="7ABB7AE3" w14:textId="36BABA83" w:rsidR="00C972CB" w:rsidRDefault="002457F6">
            <w:pPr>
              <w:pStyle w:val="P68B1DB1-ListParagraph13"/>
              <w:numPr>
                <w:ilvl w:val="0"/>
                <w:numId w:val="93"/>
              </w:numPr>
              <w:spacing w:before="0" w:after="0" w:line="276" w:lineRule="auto"/>
              <w:rPr>
                <w:noProof/>
              </w:rPr>
            </w:pPr>
            <w:r>
              <w:rPr>
                <w:noProof/>
              </w:rPr>
              <w:t>20000 ceturtā līmeņa skaitītāji;</w:t>
            </w:r>
          </w:p>
          <w:p w14:paraId="056646B6" w14:textId="77777777" w:rsidR="00C972CB" w:rsidRDefault="002457F6">
            <w:pPr>
              <w:pStyle w:val="P68B1DB1-ListParagraph13"/>
              <w:numPr>
                <w:ilvl w:val="0"/>
                <w:numId w:val="93"/>
              </w:numPr>
              <w:spacing w:before="0" w:after="0" w:line="276" w:lineRule="auto"/>
              <w:rPr>
                <w:noProof/>
              </w:rPr>
            </w:pPr>
            <w:r>
              <w:rPr>
                <w:noProof/>
              </w:rPr>
              <w:t xml:space="preserve">Digitalizācija un </w:t>
            </w:r>
            <w:r>
              <w:rPr>
                <w:noProof/>
              </w:rPr>
              <w:t>tīklu uzlabojumi.</w:t>
            </w:r>
          </w:p>
        </w:tc>
      </w:tr>
      <w:tr w:rsidR="00C972CB" w14:paraId="64419A47" w14:textId="77777777">
        <w:trPr>
          <w:trHeight w:val="313"/>
          <w:jc w:val="center"/>
        </w:trPr>
        <w:tc>
          <w:tcPr>
            <w:tcW w:w="1130" w:type="dxa"/>
            <w:shd w:val="clear" w:color="auto" w:fill="C6EFCE"/>
            <w:noWrap/>
            <w:vAlign w:val="center"/>
          </w:tcPr>
          <w:p w14:paraId="612F7D2A" w14:textId="77777777" w:rsidR="00C972CB" w:rsidRDefault="002457F6">
            <w:pPr>
              <w:pStyle w:val="P68B1DB1-Normal11"/>
              <w:spacing w:line="276" w:lineRule="auto"/>
              <w:jc w:val="center"/>
              <w:rPr>
                <w:noProof/>
              </w:rPr>
            </w:pPr>
            <w:r>
              <w:rPr>
                <w:noProof/>
              </w:rPr>
              <w:t>M2C4–35</w:t>
            </w:r>
          </w:p>
        </w:tc>
        <w:tc>
          <w:tcPr>
            <w:tcW w:w="1560" w:type="dxa"/>
            <w:shd w:val="clear" w:color="auto" w:fill="C6EFCE"/>
            <w:noWrap/>
            <w:vAlign w:val="center"/>
          </w:tcPr>
          <w:p w14:paraId="75E19D87" w14:textId="77777777" w:rsidR="00C972CB" w:rsidRDefault="002457F6">
            <w:pPr>
              <w:pStyle w:val="P68B1DB1-Normal11"/>
              <w:spacing w:line="276" w:lineRule="auto"/>
              <w:jc w:val="center"/>
              <w:rPr>
                <w:noProof/>
              </w:rPr>
            </w:pPr>
            <w:r>
              <w:rPr>
                <w:noProof/>
              </w:rPr>
              <w:t>Ieguldījums 4.3. Ieguldījumi apūdeņošanas agrosistēmas noturībā labākai ūdens resursu apsaimniekošanai</w:t>
            </w:r>
          </w:p>
        </w:tc>
        <w:tc>
          <w:tcPr>
            <w:tcW w:w="1134" w:type="dxa"/>
            <w:shd w:val="clear" w:color="auto" w:fill="C6EFCE"/>
            <w:noWrap/>
            <w:vAlign w:val="center"/>
          </w:tcPr>
          <w:p w14:paraId="6B654C1C"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tcPr>
          <w:p w14:paraId="2825C8FB" w14:textId="77777777" w:rsidR="00C972CB" w:rsidRDefault="002457F6">
            <w:pPr>
              <w:pStyle w:val="P68B1DB1-Normal11"/>
              <w:spacing w:line="276" w:lineRule="auto"/>
              <w:jc w:val="center"/>
              <w:rPr>
                <w:noProof/>
              </w:rPr>
            </w:pPr>
            <w:r>
              <w:rPr>
                <w:noProof/>
              </w:rPr>
              <w:t>Intervences pasākumi apūdeņošanas agrosistēmas noturībai labākai ūdens resursu apsaimniekošanai T1</w:t>
            </w:r>
          </w:p>
        </w:tc>
        <w:tc>
          <w:tcPr>
            <w:tcW w:w="1383" w:type="dxa"/>
            <w:shd w:val="clear" w:color="auto" w:fill="C6EFCE"/>
            <w:noWrap/>
            <w:vAlign w:val="center"/>
          </w:tcPr>
          <w:p w14:paraId="4C9C13EF"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tcPr>
          <w:p w14:paraId="1AB58DFF" w14:textId="77777777" w:rsidR="00C972CB" w:rsidRDefault="002457F6">
            <w:pPr>
              <w:pStyle w:val="P68B1DB1-Normal11"/>
              <w:spacing w:line="276" w:lineRule="auto"/>
              <w:jc w:val="center"/>
              <w:rPr>
                <w:noProof/>
              </w:rPr>
            </w:pPr>
            <w:r>
              <w:rPr>
                <w:noProof/>
              </w:rPr>
              <w:t>Procentuālā</w:t>
            </w:r>
            <w:r>
              <w:rPr>
                <w:noProof/>
              </w:rPr>
              <w:t xml:space="preserve"> daļa</w:t>
            </w:r>
          </w:p>
        </w:tc>
        <w:tc>
          <w:tcPr>
            <w:tcW w:w="1290" w:type="dxa"/>
            <w:shd w:val="clear" w:color="auto" w:fill="C6EFCE"/>
            <w:noWrap/>
            <w:vAlign w:val="center"/>
          </w:tcPr>
          <w:p w14:paraId="42151EC4" w14:textId="77777777" w:rsidR="00C972CB" w:rsidRDefault="002457F6">
            <w:pPr>
              <w:pStyle w:val="P68B1DB1-Normal11"/>
              <w:spacing w:line="276" w:lineRule="auto"/>
              <w:jc w:val="center"/>
              <w:rPr>
                <w:noProof/>
              </w:rPr>
            </w:pPr>
            <w:r>
              <w:rPr>
                <w:noProof/>
              </w:rPr>
              <w:t>8</w:t>
            </w:r>
          </w:p>
        </w:tc>
        <w:tc>
          <w:tcPr>
            <w:tcW w:w="1194" w:type="dxa"/>
            <w:shd w:val="clear" w:color="auto" w:fill="C6EFCE"/>
            <w:noWrap/>
            <w:vAlign w:val="center"/>
          </w:tcPr>
          <w:p w14:paraId="3F4A28B5" w14:textId="77777777" w:rsidR="00C972CB" w:rsidRDefault="002457F6">
            <w:pPr>
              <w:pStyle w:val="P68B1DB1-Normal11"/>
              <w:spacing w:line="276" w:lineRule="auto"/>
              <w:jc w:val="center"/>
              <w:rPr>
                <w:noProof/>
              </w:rPr>
            </w:pPr>
            <w:r>
              <w:rPr>
                <w:noProof/>
              </w:rPr>
              <w:t>12</w:t>
            </w:r>
          </w:p>
        </w:tc>
        <w:tc>
          <w:tcPr>
            <w:tcW w:w="916" w:type="dxa"/>
            <w:shd w:val="clear" w:color="auto" w:fill="C6EFCE"/>
            <w:noWrap/>
            <w:vAlign w:val="center"/>
          </w:tcPr>
          <w:p w14:paraId="1B0889FD"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tcPr>
          <w:p w14:paraId="31A26768" w14:textId="77777777" w:rsidR="00C972CB" w:rsidRDefault="002457F6">
            <w:pPr>
              <w:pStyle w:val="P68B1DB1-Normal11"/>
              <w:spacing w:line="276" w:lineRule="auto"/>
              <w:jc w:val="center"/>
              <w:rPr>
                <w:noProof/>
              </w:rPr>
            </w:pPr>
            <w:r>
              <w:rPr>
                <w:noProof/>
              </w:rPr>
              <w:t>2024</w:t>
            </w:r>
          </w:p>
        </w:tc>
        <w:tc>
          <w:tcPr>
            <w:tcW w:w="4116" w:type="dxa"/>
            <w:shd w:val="clear" w:color="auto" w:fill="C6EFCE"/>
            <w:noWrap/>
            <w:vAlign w:val="center"/>
          </w:tcPr>
          <w:p w14:paraId="3E65D8F9" w14:textId="432B8D4B" w:rsidR="00C972CB" w:rsidRDefault="002457F6">
            <w:pPr>
              <w:pStyle w:val="P68B1DB1-Normal11"/>
              <w:spacing w:line="276" w:lineRule="auto"/>
              <w:rPr>
                <w:noProof/>
              </w:rPr>
            </w:pPr>
            <w:r>
              <w:rPr>
                <w:noProof/>
              </w:rPr>
              <w:t>Vismaz 12 % apūdeņotās platības procentuāli izmanto efektīvi apūdeņošanas resursus.</w:t>
            </w:r>
          </w:p>
        </w:tc>
      </w:tr>
      <w:tr w:rsidR="00C972CB" w14:paraId="338CEEAC" w14:textId="77777777">
        <w:trPr>
          <w:trHeight w:val="313"/>
          <w:jc w:val="center"/>
        </w:trPr>
        <w:tc>
          <w:tcPr>
            <w:tcW w:w="1130" w:type="dxa"/>
            <w:shd w:val="clear" w:color="auto" w:fill="C6EFCE"/>
            <w:noWrap/>
            <w:vAlign w:val="center"/>
          </w:tcPr>
          <w:p w14:paraId="43C87D1F" w14:textId="77777777" w:rsidR="00C972CB" w:rsidRDefault="002457F6">
            <w:pPr>
              <w:pStyle w:val="P68B1DB1-Normal11"/>
              <w:spacing w:line="276" w:lineRule="auto"/>
              <w:jc w:val="center"/>
              <w:rPr>
                <w:noProof/>
              </w:rPr>
            </w:pPr>
            <w:r>
              <w:rPr>
                <w:noProof/>
              </w:rPr>
              <w:t>M2C4–35.bis</w:t>
            </w:r>
          </w:p>
        </w:tc>
        <w:tc>
          <w:tcPr>
            <w:tcW w:w="1560" w:type="dxa"/>
            <w:shd w:val="clear" w:color="auto" w:fill="C6EFCE"/>
            <w:noWrap/>
            <w:vAlign w:val="center"/>
          </w:tcPr>
          <w:p w14:paraId="7D74D43E" w14:textId="77777777" w:rsidR="00C972CB" w:rsidRDefault="002457F6">
            <w:pPr>
              <w:pStyle w:val="P68B1DB1-Normal11"/>
              <w:spacing w:line="276" w:lineRule="auto"/>
              <w:jc w:val="center"/>
              <w:rPr>
                <w:noProof/>
              </w:rPr>
            </w:pPr>
            <w:r>
              <w:rPr>
                <w:noProof/>
              </w:rPr>
              <w:t>Ieguldījums 4.3. Ieguldījumi apūdeņošanas agrosistēmas noturībā labākai ūdens resursu apsaimniekošanai</w:t>
            </w:r>
          </w:p>
        </w:tc>
        <w:tc>
          <w:tcPr>
            <w:tcW w:w="1134" w:type="dxa"/>
            <w:shd w:val="clear" w:color="auto" w:fill="C6EFCE"/>
            <w:noWrap/>
            <w:vAlign w:val="center"/>
          </w:tcPr>
          <w:p w14:paraId="05FF4164"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tcPr>
          <w:p w14:paraId="2C7C5E57" w14:textId="77777777" w:rsidR="00C972CB" w:rsidRDefault="002457F6">
            <w:pPr>
              <w:pStyle w:val="P68B1DB1-Normal11"/>
              <w:spacing w:line="276" w:lineRule="auto"/>
              <w:jc w:val="center"/>
              <w:rPr>
                <w:noProof/>
              </w:rPr>
            </w:pPr>
            <w:r>
              <w:rPr>
                <w:noProof/>
              </w:rPr>
              <w:t xml:space="preserve">Intervences pasākumi </w:t>
            </w:r>
            <w:r>
              <w:rPr>
                <w:noProof/>
              </w:rPr>
              <w:t>apūdeņošanas agrosistēmas noturībai labākai ūdens resursu apsaimniekošanai T2</w:t>
            </w:r>
          </w:p>
        </w:tc>
        <w:tc>
          <w:tcPr>
            <w:tcW w:w="1383" w:type="dxa"/>
            <w:shd w:val="clear" w:color="auto" w:fill="C6EFCE"/>
            <w:noWrap/>
            <w:vAlign w:val="center"/>
          </w:tcPr>
          <w:p w14:paraId="3A3BEE3F"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tcPr>
          <w:p w14:paraId="282FBB08" w14:textId="77777777" w:rsidR="00C972CB" w:rsidRDefault="002457F6">
            <w:pPr>
              <w:pStyle w:val="P68B1DB1-Normal11"/>
              <w:spacing w:line="276" w:lineRule="auto"/>
              <w:jc w:val="center"/>
              <w:rPr>
                <w:noProof/>
              </w:rPr>
            </w:pPr>
            <w:r>
              <w:rPr>
                <w:noProof/>
              </w:rPr>
              <w:t>Procentuālā daļa</w:t>
            </w:r>
          </w:p>
        </w:tc>
        <w:tc>
          <w:tcPr>
            <w:tcW w:w="1290" w:type="dxa"/>
            <w:shd w:val="clear" w:color="auto" w:fill="C6EFCE"/>
            <w:noWrap/>
            <w:vAlign w:val="center"/>
          </w:tcPr>
          <w:p w14:paraId="4A26FB12" w14:textId="77777777" w:rsidR="00C972CB" w:rsidRDefault="002457F6">
            <w:pPr>
              <w:pStyle w:val="P68B1DB1-Normal11"/>
              <w:spacing w:line="276" w:lineRule="auto"/>
              <w:jc w:val="center"/>
              <w:rPr>
                <w:noProof/>
              </w:rPr>
            </w:pPr>
            <w:r>
              <w:rPr>
                <w:noProof/>
              </w:rPr>
              <w:t>12</w:t>
            </w:r>
          </w:p>
        </w:tc>
        <w:tc>
          <w:tcPr>
            <w:tcW w:w="1194" w:type="dxa"/>
            <w:shd w:val="clear" w:color="auto" w:fill="C6EFCE"/>
            <w:noWrap/>
            <w:vAlign w:val="center"/>
          </w:tcPr>
          <w:p w14:paraId="547AC139" w14:textId="77777777" w:rsidR="00C972CB" w:rsidRDefault="002457F6">
            <w:pPr>
              <w:pStyle w:val="P68B1DB1-Normal11"/>
              <w:spacing w:line="276" w:lineRule="auto"/>
              <w:jc w:val="center"/>
              <w:rPr>
                <w:noProof/>
              </w:rPr>
            </w:pPr>
            <w:r>
              <w:rPr>
                <w:noProof/>
              </w:rPr>
              <w:t>24</w:t>
            </w:r>
          </w:p>
        </w:tc>
        <w:tc>
          <w:tcPr>
            <w:tcW w:w="916" w:type="dxa"/>
            <w:shd w:val="clear" w:color="auto" w:fill="C6EFCE"/>
            <w:noWrap/>
            <w:vAlign w:val="center"/>
          </w:tcPr>
          <w:p w14:paraId="04537FD4" w14:textId="77777777" w:rsidR="00C972CB" w:rsidRDefault="002457F6">
            <w:pPr>
              <w:pStyle w:val="P68B1DB1-Normal11"/>
              <w:spacing w:line="276" w:lineRule="auto"/>
              <w:jc w:val="center"/>
              <w:rPr>
                <w:noProof/>
              </w:rPr>
            </w:pPr>
            <w:r>
              <w:rPr>
                <w:noProof/>
              </w:rPr>
              <w:t>1. CET.</w:t>
            </w:r>
          </w:p>
        </w:tc>
        <w:tc>
          <w:tcPr>
            <w:tcW w:w="638" w:type="dxa"/>
            <w:shd w:val="clear" w:color="auto" w:fill="C6EFCE"/>
            <w:noWrap/>
            <w:vAlign w:val="center"/>
          </w:tcPr>
          <w:p w14:paraId="125B8C82" w14:textId="77777777" w:rsidR="00C972CB" w:rsidRDefault="002457F6">
            <w:pPr>
              <w:pStyle w:val="P68B1DB1-Normal11"/>
              <w:spacing w:line="276" w:lineRule="auto"/>
              <w:jc w:val="center"/>
              <w:rPr>
                <w:noProof/>
              </w:rPr>
            </w:pPr>
            <w:r>
              <w:rPr>
                <w:noProof/>
              </w:rPr>
              <w:t>2026</w:t>
            </w:r>
          </w:p>
        </w:tc>
        <w:tc>
          <w:tcPr>
            <w:tcW w:w="4116" w:type="dxa"/>
            <w:shd w:val="clear" w:color="auto" w:fill="C6EFCE"/>
            <w:noWrap/>
            <w:vAlign w:val="center"/>
          </w:tcPr>
          <w:p w14:paraId="5D2A1C4F" w14:textId="5B21B077" w:rsidR="00C972CB" w:rsidRDefault="002457F6">
            <w:pPr>
              <w:pStyle w:val="P68B1DB1-Normal11"/>
              <w:spacing w:line="276" w:lineRule="auto"/>
              <w:rPr>
                <w:noProof/>
              </w:rPr>
            </w:pPr>
            <w:r>
              <w:rPr>
                <w:noProof/>
              </w:rPr>
              <w:t>Vismaz 24 % apūdeņotās platības, kas gūst labumu no efektīvas apūdeņošanas resursu izmantošanas</w:t>
            </w:r>
          </w:p>
        </w:tc>
      </w:tr>
      <w:tr w:rsidR="00C972CB" w14:paraId="6854DDC3" w14:textId="77777777">
        <w:trPr>
          <w:trHeight w:val="313"/>
          <w:jc w:val="center"/>
        </w:trPr>
        <w:tc>
          <w:tcPr>
            <w:tcW w:w="1130" w:type="dxa"/>
            <w:shd w:val="clear" w:color="auto" w:fill="C6EFCE"/>
            <w:noWrap/>
            <w:vAlign w:val="center"/>
            <w:hideMark/>
          </w:tcPr>
          <w:p w14:paraId="40AD0C82" w14:textId="77777777" w:rsidR="00C972CB" w:rsidRDefault="002457F6">
            <w:pPr>
              <w:pStyle w:val="P68B1DB1-Normal11"/>
              <w:spacing w:line="276" w:lineRule="auto"/>
              <w:jc w:val="center"/>
              <w:rPr>
                <w:noProof/>
              </w:rPr>
            </w:pPr>
            <w:r>
              <w:rPr>
                <w:noProof/>
              </w:rPr>
              <w:t>M2C4–36</w:t>
            </w:r>
          </w:p>
        </w:tc>
        <w:tc>
          <w:tcPr>
            <w:tcW w:w="1560" w:type="dxa"/>
            <w:shd w:val="clear" w:color="auto" w:fill="C6EFCE"/>
            <w:noWrap/>
            <w:vAlign w:val="center"/>
            <w:hideMark/>
          </w:tcPr>
          <w:p w14:paraId="49C5B0C4" w14:textId="77777777" w:rsidR="00C972CB" w:rsidRDefault="002457F6">
            <w:pPr>
              <w:pStyle w:val="P68B1DB1-Normal11"/>
              <w:spacing w:line="276" w:lineRule="auto"/>
              <w:jc w:val="center"/>
              <w:rPr>
                <w:noProof/>
              </w:rPr>
            </w:pPr>
            <w:r>
              <w:rPr>
                <w:noProof/>
              </w:rPr>
              <w:t xml:space="preserve">Ieguldījums 4.4. </w:t>
            </w:r>
            <w:r>
              <w:rPr>
                <w:noProof/>
              </w:rPr>
              <w:t>Ieguldījumi kanalizācijā un attīrīšanā</w:t>
            </w:r>
          </w:p>
        </w:tc>
        <w:tc>
          <w:tcPr>
            <w:tcW w:w="1134" w:type="dxa"/>
            <w:shd w:val="clear" w:color="auto" w:fill="C6EFCE"/>
            <w:noWrap/>
            <w:vAlign w:val="center"/>
            <w:hideMark/>
          </w:tcPr>
          <w:p w14:paraId="401B2B5E" w14:textId="77777777" w:rsidR="00C972CB" w:rsidRDefault="002457F6">
            <w:pPr>
              <w:pStyle w:val="P68B1DB1-Normal11"/>
              <w:spacing w:line="276" w:lineRule="auto"/>
              <w:jc w:val="center"/>
              <w:rPr>
                <w:noProof/>
              </w:rPr>
            </w:pPr>
            <w:r>
              <w:rPr>
                <w:noProof/>
              </w:rPr>
              <w:t>Starpposma mērķis</w:t>
            </w:r>
          </w:p>
        </w:tc>
        <w:tc>
          <w:tcPr>
            <w:tcW w:w="1559" w:type="dxa"/>
            <w:shd w:val="clear" w:color="auto" w:fill="C6EFCE"/>
            <w:noWrap/>
            <w:vAlign w:val="center"/>
            <w:hideMark/>
          </w:tcPr>
          <w:p w14:paraId="6D5B78A8" w14:textId="77777777" w:rsidR="00C972CB" w:rsidRDefault="002457F6">
            <w:pPr>
              <w:pStyle w:val="P68B1DB1-Normal11"/>
              <w:spacing w:line="276" w:lineRule="auto"/>
              <w:jc w:val="center"/>
              <w:rPr>
                <w:noProof/>
              </w:rPr>
            </w:pPr>
            <w:r>
              <w:rPr>
                <w:noProof/>
              </w:rPr>
              <w:t>Visu publiskā iepirkuma līgumu slēgšanas tiesību piešķiršana kanalizācijas un attīrīšanas jomā</w:t>
            </w:r>
          </w:p>
        </w:tc>
        <w:tc>
          <w:tcPr>
            <w:tcW w:w="1383" w:type="dxa"/>
            <w:shd w:val="clear" w:color="auto" w:fill="C6EFCE"/>
            <w:noWrap/>
            <w:vAlign w:val="center"/>
            <w:hideMark/>
          </w:tcPr>
          <w:p w14:paraId="6930B81E" w14:textId="77777777" w:rsidR="00C972CB" w:rsidRDefault="002457F6">
            <w:pPr>
              <w:pStyle w:val="P68B1DB1-Normal11"/>
              <w:spacing w:line="276" w:lineRule="auto"/>
              <w:jc w:val="center"/>
              <w:rPr>
                <w:noProof/>
              </w:rPr>
            </w:pPr>
            <w:r>
              <w:rPr>
                <w:noProof/>
              </w:rPr>
              <w:t>paziņošana par visiem publiskiem kanalizācijas un attīrīšanas līgumiem</w:t>
            </w:r>
          </w:p>
        </w:tc>
        <w:tc>
          <w:tcPr>
            <w:tcW w:w="1094" w:type="dxa"/>
            <w:shd w:val="clear" w:color="auto" w:fill="C6EFCE"/>
            <w:noWrap/>
            <w:vAlign w:val="center"/>
            <w:hideMark/>
          </w:tcPr>
          <w:p w14:paraId="0D14571B" w14:textId="77777777" w:rsidR="00C972CB" w:rsidRDefault="002457F6">
            <w:pPr>
              <w:pStyle w:val="P68B1DB1-Normal11"/>
              <w:spacing w:line="276" w:lineRule="auto"/>
              <w:jc w:val="center"/>
              <w:rPr>
                <w:noProof/>
              </w:rPr>
            </w:pPr>
            <w:r>
              <w:rPr>
                <w:noProof/>
              </w:rPr>
              <w:t>NEPIEMĒRO</w:t>
            </w:r>
          </w:p>
        </w:tc>
        <w:tc>
          <w:tcPr>
            <w:tcW w:w="1290" w:type="dxa"/>
            <w:shd w:val="clear" w:color="auto" w:fill="C6EFCE"/>
            <w:noWrap/>
            <w:vAlign w:val="center"/>
            <w:hideMark/>
          </w:tcPr>
          <w:p w14:paraId="605E521E" w14:textId="77777777" w:rsidR="00C972CB" w:rsidRDefault="002457F6">
            <w:pPr>
              <w:pStyle w:val="P68B1DB1-Normal11"/>
              <w:spacing w:line="276" w:lineRule="auto"/>
              <w:jc w:val="center"/>
              <w:rPr>
                <w:noProof/>
              </w:rPr>
            </w:pPr>
            <w:r>
              <w:rPr>
                <w:noProof/>
              </w:rPr>
              <w:t xml:space="preserve">NEPIEMĒRO </w:t>
            </w:r>
          </w:p>
          <w:p w14:paraId="1D81224A" w14:textId="77777777" w:rsidR="00C972CB" w:rsidRDefault="00C972CB">
            <w:pPr>
              <w:spacing w:line="276" w:lineRule="auto"/>
              <w:jc w:val="center"/>
              <w:rPr>
                <w:rFonts w:ascii="Arial Narrow" w:hAnsi="Arial Narrow"/>
                <w:noProof/>
                <w:color w:val="006100"/>
                <w:sz w:val="20"/>
              </w:rPr>
            </w:pPr>
          </w:p>
        </w:tc>
        <w:tc>
          <w:tcPr>
            <w:tcW w:w="1194" w:type="dxa"/>
            <w:shd w:val="clear" w:color="auto" w:fill="C6EFCE"/>
            <w:noWrap/>
            <w:vAlign w:val="center"/>
            <w:hideMark/>
          </w:tcPr>
          <w:p w14:paraId="7E0D3F1B" w14:textId="701FB616" w:rsidR="00C972CB" w:rsidRDefault="002457F6">
            <w:pPr>
              <w:pStyle w:val="P68B1DB1-Normal11"/>
              <w:spacing w:line="276" w:lineRule="auto"/>
              <w:jc w:val="center"/>
              <w:rPr>
                <w:noProof/>
              </w:rPr>
            </w:pPr>
            <w:r>
              <w:rPr>
                <w:noProof/>
              </w:rPr>
              <w:t>NEPIEMĒRO</w:t>
            </w:r>
          </w:p>
          <w:p w14:paraId="5D3AE0EC" w14:textId="77777777" w:rsidR="00C972CB" w:rsidRDefault="00C972CB">
            <w:pPr>
              <w:spacing w:line="276" w:lineRule="auto"/>
              <w:jc w:val="center"/>
              <w:rPr>
                <w:rFonts w:ascii="Arial Narrow" w:hAnsi="Arial Narrow"/>
                <w:noProof/>
                <w:color w:val="006100"/>
                <w:sz w:val="20"/>
              </w:rPr>
            </w:pPr>
          </w:p>
        </w:tc>
        <w:tc>
          <w:tcPr>
            <w:tcW w:w="916" w:type="dxa"/>
            <w:shd w:val="clear" w:color="auto" w:fill="C6EFCE"/>
            <w:noWrap/>
            <w:vAlign w:val="center"/>
            <w:hideMark/>
          </w:tcPr>
          <w:p w14:paraId="36D3B027"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721989A7" w14:textId="77777777" w:rsidR="00C972CB" w:rsidRDefault="002457F6">
            <w:pPr>
              <w:pStyle w:val="P68B1DB1-Normal11"/>
              <w:spacing w:line="276" w:lineRule="auto"/>
              <w:jc w:val="center"/>
              <w:rPr>
                <w:noProof/>
              </w:rPr>
            </w:pPr>
            <w:r>
              <w:rPr>
                <w:noProof/>
              </w:rPr>
              <w:t>2023</w:t>
            </w:r>
          </w:p>
        </w:tc>
        <w:tc>
          <w:tcPr>
            <w:tcW w:w="4116" w:type="dxa"/>
            <w:shd w:val="clear" w:color="auto" w:fill="C6EFCE"/>
            <w:noWrap/>
            <w:vAlign w:val="center"/>
            <w:hideMark/>
          </w:tcPr>
          <w:p w14:paraId="58C2C26E" w14:textId="77777777" w:rsidR="00C972CB" w:rsidRDefault="002457F6">
            <w:pPr>
              <w:pStyle w:val="P68B1DB1-Normal11"/>
              <w:spacing w:line="276" w:lineRule="auto"/>
              <w:rPr>
                <w:noProof/>
              </w:rPr>
            </w:pPr>
            <w:r>
              <w:rPr>
                <w:noProof/>
              </w:rPr>
              <w:t xml:space="preserve">Pieņemšanas dekrēta publicēšana ar finansējuma piešķiršanu (piešķiršanu) projektu priekšlikumiem.  </w:t>
            </w:r>
          </w:p>
          <w:p w14:paraId="42A9CC0E" w14:textId="77777777" w:rsidR="00C972CB" w:rsidRDefault="00C972CB">
            <w:pPr>
              <w:spacing w:line="276" w:lineRule="auto"/>
              <w:rPr>
                <w:rFonts w:ascii="Arial Narrow" w:hAnsi="Arial Narrow"/>
                <w:noProof/>
                <w:color w:val="006100"/>
                <w:sz w:val="20"/>
              </w:rPr>
            </w:pPr>
          </w:p>
          <w:p w14:paraId="0706039D" w14:textId="77777777" w:rsidR="00C972CB" w:rsidRDefault="002457F6">
            <w:pPr>
              <w:pStyle w:val="P68B1DB1-Normal11"/>
              <w:spacing w:line="276" w:lineRule="auto"/>
              <w:rPr>
                <w:noProof/>
              </w:rPr>
            </w:pPr>
            <w:r>
              <w:rPr>
                <w:noProof/>
              </w:rPr>
              <w:t>Intervencēs:</w:t>
            </w:r>
          </w:p>
          <w:p w14:paraId="0CC55F4D" w14:textId="77777777" w:rsidR="00C972CB" w:rsidRDefault="00C972CB">
            <w:pPr>
              <w:spacing w:line="276" w:lineRule="auto"/>
              <w:rPr>
                <w:rFonts w:ascii="Arial Narrow" w:hAnsi="Arial Narrow"/>
                <w:noProof/>
                <w:color w:val="006100"/>
                <w:sz w:val="20"/>
              </w:rPr>
            </w:pPr>
          </w:p>
          <w:p w14:paraId="0AE5C878" w14:textId="77777777" w:rsidR="00C972CB" w:rsidRDefault="002457F6">
            <w:pPr>
              <w:pStyle w:val="P68B1DB1-ListParagraph13"/>
              <w:numPr>
                <w:ilvl w:val="0"/>
                <w:numId w:val="69"/>
              </w:numPr>
              <w:spacing w:before="0" w:after="0" w:line="276" w:lineRule="auto"/>
              <w:ind w:left="468"/>
              <w:jc w:val="left"/>
              <w:rPr>
                <w:noProof/>
              </w:rPr>
            </w:pPr>
            <w:r>
              <w:rPr>
                <w:noProof/>
              </w:rPr>
              <w:t>Padarīt efektīvāku to notekūdeņu attīrīšanu, kas novadīti jūras un iekšzemes ūdeņos, izmantojot arī tehnoloģiskus jauninājumus;</w:t>
            </w:r>
          </w:p>
          <w:p w14:paraId="2C485F9D" w14:textId="77777777" w:rsidR="00C972CB" w:rsidRDefault="00C972CB">
            <w:pPr>
              <w:spacing w:line="276" w:lineRule="auto"/>
              <w:ind w:left="468"/>
              <w:rPr>
                <w:rFonts w:ascii="Arial Narrow" w:hAnsi="Arial Narrow"/>
                <w:noProof/>
                <w:color w:val="006100"/>
                <w:sz w:val="20"/>
              </w:rPr>
            </w:pPr>
          </w:p>
          <w:p w14:paraId="6F88D077" w14:textId="77777777" w:rsidR="00C972CB" w:rsidRDefault="002457F6">
            <w:pPr>
              <w:pStyle w:val="P68B1DB1-ListParagraph13"/>
              <w:numPr>
                <w:ilvl w:val="0"/>
                <w:numId w:val="69"/>
              </w:numPr>
              <w:spacing w:before="0" w:after="0" w:line="276" w:lineRule="auto"/>
              <w:ind w:left="468"/>
              <w:jc w:val="left"/>
              <w:rPr>
                <w:noProof/>
              </w:rPr>
            </w:pPr>
            <w:r>
              <w:rPr>
                <w:noProof/>
              </w:rPr>
              <w:t>Ja iespējams, dažas attīrīšanas iekārtas pārveidot par “zaļajām rūpnīcām”, kurās attīrītus notekūdeņus atkalizmanto apūdeņošanai un rūpnieciskiem mērķiem.</w:t>
            </w:r>
          </w:p>
          <w:p w14:paraId="6EB25B8A" w14:textId="77777777" w:rsidR="00C972CB" w:rsidRDefault="00C972CB">
            <w:pPr>
              <w:rPr>
                <w:rFonts w:ascii="Arial Narrow" w:hAnsi="Arial Narrow"/>
                <w:noProof/>
                <w:color w:val="006100"/>
                <w:sz w:val="20"/>
              </w:rPr>
            </w:pPr>
          </w:p>
          <w:p w14:paraId="4B6EB624" w14:textId="381E829E" w:rsidR="00C972CB" w:rsidRDefault="002457F6">
            <w:pPr>
              <w:pStyle w:val="P68B1DB1-Normal11"/>
              <w:rPr>
                <w:noProof/>
              </w:rPr>
            </w:pPr>
            <w:r>
              <w:rPr>
                <w:noProof/>
              </w:rPr>
              <w:t>Šis pasākums nenodara būtisku kaitējumu vides mērķiem Regulas (ES) 2020/852 17. panta nozīmē, ņemot</w:t>
            </w:r>
            <w:r>
              <w:rPr>
                <w:noProof/>
              </w:rPr>
              <w:t xml:space="preserve"> vērā pasākuma aprakstu un mazināšanas pasākumus, kas izklāstīti atveseļošanas un noturības plānā saskaņā ar NBK tehniskajiem norādījumiem (2021/C58/01). Jo īpaši dūņu sadedzināšana nav attiecināma.</w:t>
            </w:r>
          </w:p>
          <w:p w14:paraId="714E6A67" w14:textId="77777777" w:rsidR="00C972CB" w:rsidRDefault="00C972CB">
            <w:pPr>
              <w:spacing w:line="276" w:lineRule="auto"/>
              <w:rPr>
                <w:rFonts w:ascii="Arial Narrow" w:hAnsi="Arial Narrow"/>
                <w:noProof/>
                <w:color w:val="006100"/>
                <w:sz w:val="20"/>
              </w:rPr>
            </w:pPr>
          </w:p>
        </w:tc>
      </w:tr>
      <w:tr w:rsidR="00C972CB" w14:paraId="39E1D81A" w14:textId="77777777">
        <w:trPr>
          <w:trHeight w:val="313"/>
          <w:jc w:val="center"/>
        </w:trPr>
        <w:tc>
          <w:tcPr>
            <w:tcW w:w="1130" w:type="dxa"/>
            <w:shd w:val="clear" w:color="auto" w:fill="C6EFCE"/>
            <w:noWrap/>
            <w:vAlign w:val="center"/>
            <w:hideMark/>
          </w:tcPr>
          <w:p w14:paraId="1ACC74DB" w14:textId="77777777" w:rsidR="00C972CB" w:rsidRDefault="002457F6">
            <w:pPr>
              <w:pStyle w:val="P68B1DB1-Normal11"/>
              <w:spacing w:line="276" w:lineRule="auto"/>
              <w:jc w:val="center"/>
              <w:rPr>
                <w:noProof/>
              </w:rPr>
            </w:pPr>
            <w:r>
              <w:rPr>
                <w:noProof/>
              </w:rPr>
              <w:t>M2C4–37</w:t>
            </w:r>
          </w:p>
        </w:tc>
        <w:tc>
          <w:tcPr>
            <w:tcW w:w="1560" w:type="dxa"/>
            <w:shd w:val="clear" w:color="auto" w:fill="C6EFCE"/>
            <w:noWrap/>
            <w:vAlign w:val="center"/>
            <w:hideMark/>
          </w:tcPr>
          <w:p w14:paraId="30ABC86E" w14:textId="77777777" w:rsidR="00C972CB" w:rsidRDefault="002457F6">
            <w:pPr>
              <w:pStyle w:val="P68B1DB1-Normal11"/>
              <w:spacing w:line="276" w:lineRule="auto"/>
              <w:jc w:val="center"/>
              <w:rPr>
                <w:noProof/>
              </w:rPr>
            </w:pPr>
            <w:r>
              <w:rPr>
                <w:noProof/>
              </w:rPr>
              <w:t xml:space="preserve">Ieguldījums 4.4. Ieguldījumi kanalizācijā un </w:t>
            </w:r>
            <w:r>
              <w:rPr>
                <w:noProof/>
              </w:rPr>
              <w:t>attīrīšanā</w:t>
            </w:r>
          </w:p>
        </w:tc>
        <w:tc>
          <w:tcPr>
            <w:tcW w:w="1134" w:type="dxa"/>
            <w:shd w:val="clear" w:color="auto" w:fill="C6EFCE"/>
            <w:noWrap/>
            <w:vAlign w:val="center"/>
            <w:hideMark/>
          </w:tcPr>
          <w:p w14:paraId="4934F9C1"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105E3A22" w14:textId="77777777" w:rsidR="00C972CB" w:rsidRDefault="002457F6">
            <w:pPr>
              <w:pStyle w:val="P68B1DB1-Normal11"/>
              <w:spacing w:line="276" w:lineRule="auto"/>
              <w:jc w:val="center"/>
              <w:rPr>
                <w:noProof/>
              </w:rPr>
            </w:pPr>
            <w:r>
              <w:rPr>
                <w:noProof/>
              </w:rPr>
              <w:t>Kanalizācija un attīrīšana T1</w:t>
            </w:r>
          </w:p>
        </w:tc>
        <w:tc>
          <w:tcPr>
            <w:tcW w:w="1383" w:type="dxa"/>
            <w:shd w:val="clear" w:color="auto" w:fill="C6EFCE"/>
            <w:noWrap/>
            <w:vAlign w:val="center"/>
            <w:hideMark/>
          </w:tcPr>
          <w:p w14:paraId="09E8D5BD"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445C6DA8"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28E79023" w14:textId="77777777" w:rsidR="00C972CB" w:rsidRDefault="002457F6">
            <w:pPr>
              <w:pStyle w:val="P68B1DB1-Normal11"/>
              <w:spacing w:line="276" w:lineRule="auto"/>
              <w:jc w:val="center"/>
              <w:rPr>
                <w:noProof/>
              </w:rPr>
            </w:pPr>
            <w:r>
              <w:rPr>
                <w:noProof/>
              </w:rPr>
              <w:t>0</w:t>
            </w:r>
          </w:p>
        </w:tc>
        <w:tc>
          <w:tcPr>
            <w:tcW w:w="1194" w:type="dxa"/>
            <w:shd w:val="clear" w:color="auto" w:fill="C6EFCE"/>
            <w:noWrap/>
            <w:vAlign w:val="center"/>
            <w:hideMark/>
          </w:tcPr>
          <w:p w14:paraId="56915AD7" w14:textId="4104CC55" w:rsidR="00C972CB" w:rsidRDefault="002457F6">
            <w:pPr>
              <w:pStyle w:val="P68B1DB1-Normal11"/>
              <w:spacing w:line="276" w:lineRule="auto"/>
              <w:jc w:val="center"/>
              <w:rPr>
                <w:noProof/>
              </w:rPr>
            </w:pPr>
            <w:r>
              <w:rPr>
                <w:noProof/>
              </w:rPr>
              <w:t>500 000</w:t>
            </w:r>
          </w:p>
        </w:tc>
        <w:tc>
          <w:tcPr>
            <w:tcW w:w="916" w:type="dxa"/>
            <w:shd w:val="clear" w:color="auto" w:fill="C6EFCE"/>
            <w:noWrap/>
            <w:vAlign w:val="center"/>
            <w:hideMark/>
          </w:tcPr>
          <w:p w14:paraId="2156D8ED" w14:textId="77777777" w:rsidR="00C972CB" w:rsidRDefault="002457F6">
            <w:pPr>
              <w:pStyle w:val="P68B1DB1-Normal11"/>
              <w:spacing w:line="276" w:lineRule="auto"/>
              <w:jc w:val="center"/>
              <w:rPr>
                <w:noProof/>
              </w:rPr>
            </w:pPr>
            <w:r>
              <w:rPr>
                <w:noProof/>
              </w:rPr>
              <w:t>4. CET.</w:t>
            </w:r>
          </w:p>
        </w:tc>
        <w:tc>
          <w:tcPr>
            <w:tcW w:w="638" w:type="dxa"/>
            <w:shd w:val="clear" w:color="auto" w:fill="C6EFCE"/>
            <w:noWrap/>
            <w:vAlign w:val="center"/>
            <w:hideMark/>
          </w:tcPr>
          <w:p w14:paraId="1BCCC861" w14:textId="77777777" w:rsidR="00C972CB" w:rsidRDefault="002457F6">
            <w:pPr>
              <w:pStyle w:val="P68B1DB1-Normal11"/>
              <w:spacing w:line="276" w:lineRule="auto"/>
              <w:jc w:val="center"/>
              <w:rPr>
                <w:noProof/>
              </w:rPr>
            </w:pPr>
            <w:r>
              <w:rPr>
                <w:noProof/>
              </w:rPr>
              <w:t>2024</w:t>
            </w:r>
          </w:p>
        </w:tc>
        <w:tc>
          <w:tcPr>
            <w:tcW w:w="4116" w:type="dxa"/>
            <w:shd w:val="clear" w:color="auto" w:fill="C6EFCE"/>
            <w:noWrap/>
            <w:vAlign w:val="center"/>
            <w:hideMark/>
          </w:tcPr>
          <w:p w14:paraId="1A2FE145" w14:textId="62C95EBE" w:rsidR="00C972CB" w:rsidRDefault="002457F6">
            <w:pPr>
              <w:pStyle w:val="P68B1DB1-Normal11"/>
              <w:spacing w:line="276" w:lineRule="auto"/>
              <w:rPr>
                <w:noProof/>
              </w:rPr>
            </w:pPr>
            <w:r>
              <w:rPr>
                <w:noProof/>
              </w:rPr>
              <w:t xml:space="preserve">Par vismaz 500000 samazināt līdzvērtīgo iedzīvotāju skaitu, kas dzīvo aglomerācijās, kuras neatbilst Padomes Direktīvai 91/271/EEK par komunālo notekūdeņu pienācīgu </w:t>
            </w:r>
            <w:r>
              <w:rPr>
                <w:noProof/>
              </w:rPr>
              <w:t>savākšanu un attīrīšanu;</w:t>
            </w:r>
          </w:p>
        </w:tc>
      </w:tr>
      <w:tr w:rsidR="00C972CB" w14:paraId="50BF13D9" w14:textId="77777777">
        <w:trPr>
          <w:trHeight w:val="313"/>
          <w:jc w:val="center"/>
        </w:trPr>
        <w:tc>
          <w:tcPr>
            <w:tcW w:w="1130" w:type="dxa"/>
            <w:shd w:val="clear" w:color="auto" w:fill="C6EFCE"/>
            <w:noWrap/>
            <w:vAlign w:val="center"/>
            <w:hideMark/>
          </w:tcPr>
          <w:p w14:paraId="282C3497" w14:textId="77777777" w:rsidR="00C972CB" w:rsidRDefault="002457F6">
            <w:pPr>
              <w:pStyle w:val="P68B1DB1-Normal11"/>
              <w:spacing w:line="276" w:lineRule="auto"/>
              <w:jc w:val="center"/>
              <w:rPr>
                <w:noProof/>
              </w:rPr>
            </w:pPr>
            <w:r>
              <w:rPr>
                <w:noProof/>
              </w:rPr>
              <w:t>M2C4–38</w:t>
            </w:r>
          </w:p>
        </w:tc>
        <w:tc>
          <w:tcPr>
            <w:tcW w:w="1560" w:type="dxa"/>
            <w:shd w:val="clear" w:color="auto" w:fill="C6EFCE"/>
            <w:noWrap/>
            <w:vAlign w:val="center"/>
            <w:hideMark/>
          </w:tcPr>
          <w:p w14:paraId="42EA41D9" w14:textId="77777777" w:rsidR="00C972CB" w:rsidRDefault="002457F6">
            <w:pPr>
              <w:pStyle w:val="P68B1DB1-Normal11"/>
              <w:spacing w:line="276" w:lineRule="auto"/>
              <w:jc w:val="center"/>
              <w:rPr>
                <w:noProof/>
              </w:rPr>
            </w:pPr>
            <w:r>
              <w:rPr>
                <w:noProof/>
              </w:rPr>
              <w:t>Ieguldījums 4.4. Ieguldījumi kanalizācijā un attīrīšanā</w:t>
            </w:r>
          </w:p>
        </w:tc>
        <w:tc>
          <w:tcPr>
            <w:tcW w:w="1134" w:type="dxa"/>
            <w:shd w:val="clear" w:color="auto" w:fill="C6EFCE"/>
            <w:noWrap/>
            <w:vAlign w:val="center"/>
            <w:hideMark/>
          </w:tcPr>
          <w:p w14:paraId="2FECF621" w14:textId="77777777" w:rsidR="00C972CB" w:rsidRDefault="002457F6">
            <w:pPr>
              <w:pStyle w:val="P68B1DB1-Normal11"/>
              <w:spacing w:line="276" w:lineRule="auto"/>
              <w:jc w:val="center"/>
              <w:rPr>
                <w:noProof/>
              </w:rPr>
            </w:pPr>
            <w:r>
              <w:rPr>
                <w:noProof/>
              </w:rPr>
              <w:t>Mērķa</w:t>
            </w:r>
          </w:p>
        </w:tc>
        <w:tc>
          <w:tcPr>
            <w:tcW w:w="1559" w:type="dxa"/>
            <w:shd w:val="clear" w:color="auto" w:fill="C6EFCE"/>
            <w:noWrap/>
            <w:vAlign w:val="center"/>
            <w:hideMark/>
          </w:tcPr>
          <w:p w14:paraId="30AB10BA" w14:textId="77777777" w:rsidR="00C972CB" w:rsidRDefault="002457F6">
            <w:pPr>
              <w:pStyle w:val="P68B1DB1-Normal11"/>
              <w:spacing w:line="276" w:lineRule="auto"/>
              <w:jc w:val="center"/>
              <w:rPr>
                <w:noProof/>
              </w:rPr>
            </w:pPr>
            <w:r>
              <w:rPr>
                <w:noProof/>
              </w:rPr>
              <w:t>Kanalizācija un attīrīšana T2</w:t>
            </w:r>
          </w:p>
        </w:tc>
        <w:tc>
          <w:tcPr>
            <w:tcW w:w="1383" w:type="dxa"/>
            <w:shd w:val="clear" w:color="auto" w:fill="C6EFCE"/>
            <w:noWrap/>
            <w:vAlign w:val="center"/>
            <w:hideMark/>
          </w:tcPr>
          <w:p w14:paraId="2DAD8703" w14:textId="77777777" w:rsidR="00C972CB" w:rsidRDefault="002457F6">
            <w:pPr>
              <w:pStyle w:val="P68B1DB1-Normal11"/>
              <w:spacing w:line="276" w:lineRule="auto"/>
              <w:jc w:val="center"/>
              <w:rPr>
                <w:noProof/>
              </w:rPr>
            </w:pPr>
            <w:r>
              <w:rPr>
                <w:noProof/>
              </w:rPr>
              <w:t>NEPIEMĒRO</w:t>
            </w:r>
          </w:p>
        </w:tc>
        <w:tc>
          <w:tcPr>
            <w:tcW w:w="1094" w:type="dxa"/>
            <w:shd w:val="clear" w:color="auto" w:fill="C6EFCE"/>
            <w:noWrap/>
            <w:vAlign w:val="center"/>
            <w:hideMark/>
          </w:tcPr>
          <w:p w14:paraId="752156F4" w14:textId="77777777" w:rsidR="00C972CB" w:rsidRDefault="002457F6">
            <w:pPr>
              <w:pStyle w:val="P68B1DB1-Normal11"/>
              <w:spacing w:line="276" w:lineRule="auto"/>
              <w:jc w:val="center"/>
              <w:rPr>
                <w:noProof/>
              </w:rPr>
            </w:pPr>
            <w:r>
              <w:rPr>
                <w:noProof/>
              </w:rPr>
              <w:t>Skaits</w:t>
            </w:r>
          </w:p>
        </w:tc>
        <w:tc>
          <w:tcPr>
            <w:tcW w:w="1290" w:type="dxa"/>
            <w:shd w:val="clear" w:color="auto" w:fill="C6EFCE"/>
            <w:noWrap/>
            <w:vAlign w:val="center"/>
            <w:hideMark/>
          </w:tcPr>
          <w:p w14:paraId="1B11B8D1" w14:textId="7A5E8B1D" w:rsidR="00C972CB" w:rsidRDefault="002457F6">
            <w:pPr>
              <w:pStyle w:val="P68B1DB1-Normal11"/>
              <w:spacing w:line="276" w:lineRule="auto"/>
              <w:jc w:val="center"/>
              <w:rPr>
                <w:noProof/>
              </w:rPr>
            </w:pPr>
            <w:r>
              <w:rPr>
                <w:noProof/>
              </w:rPr>
              <w:t>500 000</w:t>
            </w:r>
          </w:p>
        </w:tc>
        <w:tc>
          <w:tcPr>
            <w:tcW w:w="1194" w:type="dxa"/>
            <w:shd w:val="clear" w:color="auto" w:fill="C6EFCE"/>
            <w:noWrap/>
            <w:vAlign w:val="center"/>
            <w:hideMark/>
          </w:tcPr>
          <w:p w14:paraId="11EBEC3E" w14:textId="534EF601" w:rsidR="00C972CB" w:rsidRDefault="002457F6">
            <w:pPr>
              <w:pStyle w:val="P68B1DB1-Normal11"/>
              <w:spacing w:line="276" w:lineRule="auto"/>
              <w:jc w:val="center"/>
              <w:rPr>
                <w:noProof/>
              </w:rPr>
            </w:pPr>
            <w:r>
              <w:rPr>
                <w:noProof/>
              </w:rPr>
              <w:t>2 250 000</w:t>
            </w:r>
          </w:p>
        </w:tc>
        <w:tc>
          <w:tcPr>
            <w:tcW w:w="916" w:type="dxa"/>
            <w:shd w:val="clear" w:color="auto" w:fill="C6EFCE"/>
            <w:noWrap/>
            <w:vAlign w:val="center"/>
            <w:hideMark/>
          </w:tcPr>
          <w:p w14:paraId="22D2B07C" w14:textId="77777777" w:rsidR="00C972CB" w:rsidRDefault="002457F6">
            <w:pPr>
              <w:pStyle w:val="P68B1DB1-Normal11"/>
              <w:spacing w:line="276" w:lineRule="auto"/>
              <w:jc w:val="center"/>
              <w:rPr>
                <w:noProof/>
              </w:rPr>
            </w:pPr>
            <w:r>
              <w:rPr>
                <w:noProof/>
              </w:rPr>
              <w:t>1. CET.</w:t>
            </w:r>
          </w:p>
        </w:tc>
        <w:tc>
          <w:tcPr>
            <w:tcW w:w="638" w:type="dxa"/>
            <w:shd w:val="clear" w:color="auto" w:fill="C6EFCE"/>
            <w:noWrap/>
            <w:vAlign w:val="center"/>
            <w:hideMark/>
          </w:tcPr>
          <w:p w14:paraId="07C9541A" w14:textId="77777777" w:rsidR="00C972CB" w:rsidRDefault="002457F6">
            <w:pPr>
              <w:pStyle w:val="P68B1DB1-Normal11"/>
              <w:spacing w:line="276" w:lineRule="auto"/>
              <w:jc w:val="center"/>
              <w:rPr>
                <w:noProof/>
              </w:rPr>
            </w:pPr>
            <w:r>
              <w:rPr>
                <w:noProof/>
              </w:rPr>
              <w:t>2026</w:t>
            </w:r>
          </w:p>
        </w:tc>
        <w:tc>
          <w:tcPr>
            <w:tcW w:w="4116" w:type="dxa"/>
            <w:shd w:val="clear" w:color="auto" w:fill="C6EFCE"/>
            <w:noWrap/>
            <w:vAlign w:val="center"/>
            <w:hideMark/>
          </w:tcPr>
          <w:p w14:paraId="51AC0EC2" w14:textId="73CC6DBC" w:rsidR="00C972CB" w:rsidRDefault="002457F6">
            <w:pPr>
              <w:pStyle w:val="P68B1DB1-Normal11"/>
              <w:spacing w:line="276" w:lineRule="auto"/>
              <w:rPr>
                <w:noProof/>
              </w:rPr>
            </w:pPr>
            <w:r>
              <w:rPr>
                <w:noProof/>
              </w:rPr>
              <w:t xml:space="preserve">Par vismaz 2250000 samazināt līdzvērtīgo iedzīvotāju skaitu, kas dzīvo </w:t>
            </w:r>
            <w:r>
              <w:rPr>
                <w:noProof/>
              </w:rPr>
              <w:t>aglomerācijās, kuras neatbilst Padomes Direktīvai 91/271/EEK par komunālo notekūdeņu pienācīgu savākšanu un attīrīšanu;</w:t>
            </w:r>
          </w:p>
        </w:tc>
      </w:tr>
    </w:tbl>
    <w:p w14:paraId="4D6950D6" w14:textId="77777777" w:rsidR="00C972CB" w:rsidRDefault="00C972CB">
      <w:pPr>
        <w:tabs>
          <w:tab w:val="left" w:pos="4252"/>
        </w:tabs>
        <w:rPr>
          <w:i/>
          <w:noProof/>
        </w:rPr>
        <w:sectPr w:rsidR="00C972CB">
          <w:headerReference w:type="even" r:id="rId182"/>
          <w:headerReference w:type="default" r:id="rId183"/>
          <w:footerReference w:type="even" r:id="rId184"/>
          <w:footerReference w:type="default" r:id="rId185"/>
          <w:headerReference w:type="first" r:id="rId186"/>
          <w:footerReference w:type="first" r:id="rId187"/>
          <w:pgSz w:w="16839" w:h="11907" w:orient="landscape"/>
          <w:pgMar w:top="1134" w:right="1134" w:bottom="1134" w:left="1134" w:header="567" w:footer="567" w:gutter="0"/>
          <w:cols w:space="720"/>
          <w:docGrid w:linePitch="360"/>
        </w:sectPr>
      </w:pPr>
    </w:p>
    <w:p w14:paraId="57329DDB" w14:textId="50C69B98" w:rsidR="00C972CB" w:rsidRDefault="002457F6">
      <w:pPr>
        <w:pStyle w:val="Heading2"/>
        <w:numPr>
          <w:ilvl w:val="0"/>
          <w:numId w:val="0"/>
        </w:numPr>
        <w:rPr>
          <w:noProof/>
        </w:rPr>
      </w:pPr>
      <w:r>
        <w:rPr>
          <w:noProof/>
        </w:rPr>
        <w:t>H. 3. MISIJAS 1. KOMPONENTS: Ilgtspējīga transporta infrastruktūra</w:t>
      </w:r>
    </w:p>
    <w:p w14:paraId="4BDECF12" w14:textId="77777777" w:rsidR="00C972CB" w:rsidRDefault="00C972CB">
      <w:pPr>
        <w:spacing w:before="120" w:after="120"/>
        <w:jc w:val="both"/>
        <w:rPr>
          <w:noProof/>
        </w:rPr>
      </w:pPr>
    </w:p>
    <w:p w14:paraId="3DBAD0B0"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H.1. </w:t>
      </w:r>
      <w:r>
        <w:rPr>
          <w:noProof/>
        </w:rPr>
        <w:tab/>
      </w:r>
      <w:r>
        <w:rPr>
          <w:b/>
          <w:i w:val="0"/>
          <w:noProof/>
          <w:u w:val="single"/>
        </w:rPr>
        <w:t>Neatmaksājamam finansiālajam atbalstam pieteikto reformu un investīciju apraksts</w:t>
      </w:r>
    </w:p>
    <w:p w14:paraId="42E4C009" w14:textId="77777777" w:rsidR="00C972CB" w:rsidRDefault="002457F6">
      <w:pPr>
        <w:pStyle w:val="P68B1DB1-Normal17"/>
        <w:spacing w:before="120" w:after="120"/>
        <w:jc w:val="both"/>
        <w:rPr>
          <w:noProof/>
        </w:rPr>
      </w:pPr>
      <w:r>
        <w:rPr>
          <w:noProof/>
        </w:rPr>
        <w:t>NEPIEMĒRO</w:t>
      </w:r>
    </w:p>
    <w:p w14:paraId="5CA7F9C7" w14:textId="77777777" w:rsidR="00C972CB" w:rsidRDefault="002457F6">
      <w:pPr>
        <w:pStyle w:val="Heading3"/>
        <w:numPr>
          <w:ilvl w:val="0"/>
          <w:numId w:val="0"/>
        </w:numPr>
        <w:ind w:left="850" w:hanging="850"/>
        <w:rPr>
          <w:b/>
          <w:i w:val="0"/>
          <w:noProof/>
          <w:u w:val="single"/>
        </w:rPr>
      </w:pPr>
      <w:r>
        <w:rPr>
          <w:b/>
          <w:i w:val="0"/>
          <w:noProof/>
          <w:u w:val="single"/>
        </w:rPr>
        <w:t xml:space="preserve">H.2. </w:t>
      </w:r>
      <w:r>
        <w:rPr>
          <w:noProof/>
        </w:rPr>
        <w:tab/>
      </w:r>
      <w:r>
        <w:rPr>
          <w:b/>
          <w:i w:val="0"/>
          <w:noProof/>
          <w:u w:val="single"/>
        </w:rPr>
        <w:t>Atskaites punkti, mērķrādītāji, citi rādītāji un neatmaksājamā finansiālā atbalsta uzraudzības un īstenošanas grafiks</w:t>
      </w:r>
    </w:p>
    <w:p w14:paraId="33261F56" w14:textId="77777777" w:rsidR="00C972CB" w:rsidRDefault="002457F6">
      <w:pPr>
        <w:pStyle w:val="P68B1DB1-Normal15"/>
        <w:spacing w:before="120" w:after="120"/>
        <w:jc w:val="both"/>
        <w:rPr>
          <w:noProof/>
        </w:rPr>
      </w:pPr>
      <w:r>
        <w:rPr>
          <w:noProof/>
        </w:rPr>
        <w:t>NEPIEMĒRO</w:t>
      </w:r>
    </w:p>
    <w:p w14:paraId="588CEA20" w14:textId="77777777" w:rsidR="00C972CB" w:rsidRDefault="00C972CB">
      <w:pPr>
        <w:spacing w:before="120" w:after="120"/>
        <w:ind w:left="709"/>
        <w:jc w:val="both"/>
        <w:rPr>
          <w:noProof/>
        </w:rPr>
        <w:sectPr w:rsidR="00C972CB">
          <w:headerReference w:type="even" r:id="rId188"/>
          <w:headerReference w:type="default" r:id="rId189"/>
          <w:footerReference w:type="even" r:id="rId190"/>
          <w:footerReference w:type="default" r:id="rId191"/>
          <w:headerReference w:type="first" r:id="rId192"/>
          <w:footerReference w:type="first" r:id="rId193"/>
          <w:pgSz w:w="11907" w:h="16839"/>
          <w:pgMar w:top="1440" w:right="1440" w:bottom="1440" w:left="1440" w:header="567" w:footer="567" w:gutter="0"/>
          <w:cols w:space="720"/>
          <w:docGrid w:linePitch="360"/>
        </w:sectPr>
      </w:pPr>
    </w:p>
    <w:p w14:paraId="30FEBD32"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H.3. </w:t>
      </w:r>
      <w:r>
        <w:rPr>
          <w:noProof/>
        </w:rPr>
        <w:tab/>
      </w:r>
      <w:r>
        <w:rPr>
          <w:b/>
          <w:i w:val="0"/>
          <w:noProof/>
          <w:u w:val="single"/>
        </w:rPr>
        <w:t xml:space="preserve">Aizdevumam pieteikto reformu un investīciju apraksts </w:t>
      </w:r>
    </w:p>
    <w:p w14:paraId="37ACEC66" w14:textId="77777777" w:rsidR="00C972CB" w:rsidRDefault="002457F6">
      <w:pPr>
        <w:spacing w:before="120" w:after="120"/>
        <w:jc w:val="both"/>
        <w:rPr>
          <w:noProof/>
        </w:rPr>
      </w:pPr>
      <w:r>
        <w:rPr>
          <w:noProof/>
        </w:rPr>
        <w:t>Ieguldījumi šajā komponentā atbalsta dzelzceļa infrastruktūras izvēršanu (ātrgaitas, kravu pārvadājumi, reģionālie dzelzceļi, Eiropas Dzelzceļa satiksmes vadības sistēma). Tās pap</w:t>
      </w:r>
      <w:r>
        <w:rPr>
          <w:noProof/>
        </w:rPr>
        <w:t>ildina reformas, kuru mērķis ir paātrināt ieguldījumus dzelzceļa infrastruktūrā un uzlabot ceļu infrastruktūras kvalitāti. Uzņēmējdarbības vides reformas komponents ietver pasākumu, kas rada papildu stimulus reģioniem izsludināt konkursus par saviem reģion</w:t>
      </w:r>
      <w:r>
        <w:rPr>
          <w:noProof/>
        </w:rPr>
        <w:t>ālajiem dzelzceļa sabiedrisko pakalpojumu līgumiem. Šis komponents ietver pasākumus, kuru mērķis ir attīstīt ūdeņraža izmantošanu dzelzceļos.</w:t>
      </w:r>
    </w:p>
    <w:p w14:paraId="7FF5D899" w14:textId="77777777" w:rsidR="00C972CB" w:rsidRDefault="002457F6">
      <w:pPr>
        <w:spacing w:before="120" w:after="120"/>
        <w:jc w:val="both"/>
        <w:rPr>
          <w:noProof/>
        </w:rPr>
      </w:pPr>
      <w:r>
        <w:rPr>
          <w:noProof/>
        </w:rPr>
        <w:t xml:space="preserve">Ar šo komponentu tiek atbalstīts 2019. gada valstij adresētais ieteikums Nr. 3, kurā Itālija tiek mudināta “ar </w:t>
      </w:r>
      <w:r>
        <w:rPr>
          <w:noProof/>
        </w:rPr>
        <w:t>investīcijām saistīto ekonomikas politiku vērst uz (..) infrastruktūras kvalitāti, ņemot vērā reģionālās atšķirības”, un 2020. gada valstij adresēto ieteikumu Nr. 3 par “Front-gatavu publisko investīciju projektiem” un “investīciju koncentrēšanu uz zaļo un</w:t>
      </w:r>
      <w:r>
        <w:rPr>
          <w:noProof/>
        </w:rPr>
        <w:t xml:space="preserve"> digitālo pārkārtošanos, jo īpaši uz tīru un efektīvu enerģijas ražošanu un izmantošanu, pētniecību un inovāciju, ilgtspējīgu sabiedrisko transportu, atkritumu un ūdens apsaimniekošanu, kā arī pastiprinātu digitālo infrastruktūru, lai nodrošinātu pamatpaka</w:t>
      </w:r>
      <w:r>
        <w:rPr>
          <w:noProof/>
        </w:rPr>
        <w:t>lpojumu sniegšanu”.</w:t>
      </w:r>
    </w:p>
    <w:p w14:paraId="158353BB" w14:textId="77777777" w:rsidR="00C972CB" w:rsidRDefault="002457F6">
      <w:pPr>
        <w:spacing w:before="120" w:after="120"/>
        <w:jc w:val="both"/>
        <w:rPr>
          <w:noProof/>
        </w:rPr>
      </w:pPr>
      <w:r>
        <w:rPr>
          <w:noProof/>
        </w:rPr>
        <w:t>Paredzams, ka neviens pasākums šajā komponentā būtiski nekaitēs vides mērķiem Regulas (ES) 2020/852 17. panta nozīmē, ņemot vērā atveseļošanas un noturības plānā izklāstīto pasākumu aprakstu un mazināšanas pasākumus saskaņā ar DNSH tehn</w:t>
      </w:r>
      <w:r>
        <w:rPr>
          <w:noProof/>
        </w:rPr>
        <w:t xml:space="preserve">iskajiem norādījumiem (2021/C58/01).  </w:t>
      </w:r>
    </w:p>
    <w:p w14:paraId="6A2FE102" w14:textId="77777777" w:rsidR="00C972CB" w:rsidRDefault="002457F6">
      <w:pPr>
        <w:pStyle w:val="P68B1DB1-Normal2"/>
        <w:spacing w:before="120" w:after="120"/>
        <w:jc w:val="both"/>
        <w:rPr>
          <w:noProof/>
        </w:rPr>
      </w:pPr>
      <w:r>
        <w:rPr>
          <w:noProof/>
        </w:rPr>
        <w:t xml:space="preserve">Reforma — Infrastruktūras un transporta ministrijas (MIT) un dzelzceļa infrastruktūras pārvaldītāja </w:t>
      </w:r>
      <w:r>
        <w:rPr>
          <w:i/>
          <w:noProof/>
        </w:rPr>
        <w:t>Rete Ferroviaria Italiana</w:t>
      </w:r>
      <w:r>
        <w:rPr>
          <w:noProof/>
        </w:rPr>
        <w:t>līguma apstiprināšanas procesa paātrināšana</w:t>
      </w:r>
    </w:p>
    <w:p w14:paraId="49D7ECC8" w14:textId="77777777" w:rsidR="00C972CB" w:rsidRDefault="002457F6">
      <w:pPr>
        <w:spacing w:before="120" w:after="120"/>
        <w:jc w:val="both"/>
        <w:rPr>
          <w:noProof/>
        </w:rPr>
      </w:pPr>
      <w:r>
        <w:rPr>
          <w:noProof/>
        </w:rPr>
        <w:t>Šīs reformas mērķis ir atcelt prasību, ka parlam</w:t>
      </w:r>
      <w:r>
        <w:rPr>
          <w:noProof/>
        </w:rPr>
        <w:t xml:space="preserve">entārajām komisijām ir jāsniedz atzinums par dzelzceļa infrastruktūras pārvaldītāja </w:t>
      </w:r>
      <w:r>
        <w:rPr>
          <w:i/>
          <w:noProof/>
        </w:rPr>
        <w:t>Rete Ferroviaria Italiana</w:t>
      </w:r>
      <w:r>
        <w:rPr>
          <w:noProof/>
        </w:rPr>
        <w:t xml:space="preserve"> ieguldījumu sarakstu </w:t>
      </w:r>
      <w:r>
        <w:rPr>
          <w:i/>
          <w:noProof/>
        </w:rPr>
        <w:t>Contratti di Programma (CdP)</w:t>
      </w:r>
      <w:r>
        <w:rPr>
          <w:noProof/>
        </w:rPr>
        <w:t>. Parlamenta komisijas sniedz atzinumu par investīciju stratēģisko programmu.</w:t>
      </w:r>
    </w:p>
    <w:p w14:paraId="7BA39370" w14:textId="77777777" w:rsidR="00C972CB" w:rsidRDefault="002457F6">
      <w:pPr>
        <w:pStyle w:val="P68B1DB1-Normal2"/>
        <w:spacing w:before="120" w:after="120"/>
        <w:jc w:val="both"/>
        <w:rPr>
          <w:noProof/>
        </w:rPr>
      </w:pPr>
      <w:r>
        <w:rPr>
          <w:noProof/>
        </w:rPr>
        <w:t>Reforma. Projektu a</w:t>
      </w:r>
      <w:r>
        <w:rPr>
          <w:noProof/>
        </w:rPr>
        <w:t>pstiprināšanas procesa paātrināšana</w:t>
      </w:r>
    </w:p>
    <w:p w14:paraId="4D5C2746" w14:textId="77777777" w:rsidR="00C972CB" w:rsidRDefault="002457F6">
      <w:pPr>
        <w:spacing w:before="120" w:after="120"/>
        <w:jc w:val="both"/>
        <w:rPr>
          <w:noProof/>
        </w:rPr>
      </w:pPr>
      <w:r>
        <w:rPr>
          <w:noProof/>
        </w:rPr>
        <w:t>Šīs reformas mērķis ir pieņemt tiesību aktus, kas ļauj prognozēt darbu veikšanas vietas norādi “ekonomiskās tehniskās iespējamības projekta” (PFTE) laikā, nevis gaidīt galīgo projekta izstrādes posmu. Papildu atļaujas, k</w:t>
      </w:r>
      <w:r>
        <w:rPr>
          <w:noProof/>
        </w:rPr>
        <w:t>o PFTE nevar iegūt, tiks saņemtas turpmākajos projekta izstrādes posmos, nesasaucot “Conferenza dei Servizi” kā izņēmumu no Likuma Nr. 241/1990. Šīs izmaiņas samazina atļauju piešķiršanas laiku projektiem no 11 līdz 6 mēnešiem.</w:t>
      </w:r>
    </w:p>
    <w:p w14:paraId="635B7E5F" w14:textId="77777777" w:rsidR="00C972CB" w:rsidRDefault="002457F6">
      <w:pPr>
        <w:pStyle w:val="P68B1DB1-Normal2"/>
        <w:spacing w:before="120" w:after="120"/>
        <w:jc w:val="both"/>
        <w:rPr>
          <w:noProof/>
        </w:rPr>
      </w:pPr>
      <w:r>
        <w:rPr>
          <w:noProof/>
        </w:rPr>
        <w:t xml:space="preserve">Ieguldījums 1.1 — ātrgaitas </w:t>
      </w:r>
      <w:r>
        <w:rPr>
          <w:noProof/>
        </w:rPr>
        <w:t>dzelzceļa savienojumi ar dienvidiem pasažieru un kravu pārvadājumiem</w:t>
      </w:r>
    </w:p>
    <w:p w14:paraId="480BE977" w14:textId="7E438F29" w:rsidR="00C972CB" w:rsidRDefault="002457F6">
      <w:pPr>
        <w:spacing w:before="120" w:after="120"/>
        <w:jc w:val="both"/>
        <w:rPr>
          <w:noProof/>
        </w:rPr>
      </w:pPr>
      <w:r>
        <w:rPr>
          <w:noProof/>
        </w:rPr>
        <w:t xml:space="preserve">Šo ieguldījumu veido 119 km ātrgaitas dzelzceļa infrastruktūras būvniecība pasažieru un kravu pārvadājumiem līnijās Napoli-Bari, Salerno-Reggio un Palermo-Katānijā. </w:t>
      </w:r>
    </w:p>
    <w:p w14:paraId="0C0843BD" w14:textId="77777777" w:rsidR="00C972CB" w:rsidRDefault="002457F6">
      <w:pPr>
        <w:spacing w:before="120" w:after="120"/>
        <w:jc w:val="both"/>
        <w:rPr>
          <w:noProof/>
        </w:rPr>
      </w:pPr>
      <w:r>
        <w:rPr>
          <w:noProof/>
        </w:rPr>
        <w:t>Novērtējot un apstipr</w:t>
      </w:r>
      <w:r>
        <w:rPr>
          <w:noProof/>
        </w:rPr>
        <w:t>inot katru attiecīgo projektu vai/investīciju, ievēro visus noteikumus un procedūras, kas noteiktas ES Direktīvas 92/43/EEK 6. panta 3. un 4. punktā, un ievēro valsts pamatnostādnes par ietekmes novērtējumu, kas publicētas Itālijas Republikas Oficiālajā Vē</w:t>
      </w:r>
      <w:r>
        <w:rPr>
          <w:noProof/>
        </w:rPr>
        <w:t>stnesī Nr. 303, 2019. gada 28. decembrī.</w:t>
      </w:r>
    </w:p>
    <w:p w14:paraId="341B6468" w14:textId="77777777" w:rsidR="00C972CB" w:rsidRDefault="002457F6">
      <w:pPr>
        <w:spacing w:before="120" w:after="120"/>
        <w:jc w:val="both"/>
        <w:rPr>
          <w:noProof/>
        </w:rPr>
      </w:pPr>
      <w:r>
        <w:rPr>
          <w:noProof/>
        </w:rPr>
        <w:t>Paredzams, ka šis pasākums neradīs būtisku kaitējumu vides mērķiem Regulas (ES) 2020/852 17. panta nozīmē, ņemot vērā pasākuma aprakstu un atveseļošanas un noturības plānā izklāstītos riska mazināšanas pasākumus sas</w:t>
      </w:r>
      <w:r>
        <w:rPr>
          <w:noProof/>
        </w:rPr>
        <w:t>kaņā ar DNSH tehniskajiem norādījumiem (2021/C58/01).</w:t>
      </w:r>
    </w:p>
    <w:p w14:paraId="19E7ACD8" w14:textId="77777777" w:rsidR="00C972CB" w:rsidRDefault="002457F6">
      <w:pPr>
        <w:pStyle w:val="P68B1DB1-Normal2"/>
        <w:spacing w:before="120" w:after="120"/>
        <w:jc w:val="both"/>
        <w:rPr>
          <w:noProof/>
        </w:rPr>
      </w:pPr>
      <w:r>
        <w:rPr>
          <w:noProof/>
        </w:rPr>
        <w:t>Ieguldījums — ātrgaitas līnijas ziemeļos, kas savieno ar pārējo Eiropu</w:t>
      </w:r>
    </w:p>
    <w:p w14:paraId="67DEA3BF" w14:textId="7DE8ABCE" w:rsidR="00C972CB" w:rsidRDefault="002457F6">
      <w:pPr>
        <w:spacing w:before="120" w:after="120"/>
        <w:jc w:val="both"/>
        <w:rPr>
          <w:noProof/>
        </w:rPr>
      </w:pPr>
      <w:r>
        <w:rPr>
          <w:noProof/>
        </w:rPr>
        <w:t>Šīs investīcijas ietver 165 km garu ātrgaitas dzelzceļa infrastruktūras pasažieru un kravu būvniecību līnijās Breša-Verona-Vicenza-</w:t>
      </w:r>
      <w:r>
        <w:rPr>
          <w:noProof/>
        </w:rPr>
        <w:t>Padova, Ligūrija-Alpi. Novērtējot un apstiprinot katru attiecīgo projektu/investīciju, ievēro visus noteikumus un procedūras, kas noteiktas ES Direktīvas 92/43/EEK 6. panta 3. un 4. punktā, un ievēro valsts pamatnostādnes par ietekmes novērtējumu, kas publ</w:t>
      </w:r>
      <w:r>
        <w:rPr>
          <w:noProof/>
        </w:rPr>
        <w:t>icētas Itālijas Republikas Oficiālajā Vēstnesī Nr. 303, 2019. gada 28. decembrī.</w:t>
      </w:r>
    </w:p>
    <w:p w14:paraId="633CC8F3" w14:textId="77777777" w:rsidR="00C972CB" w:rsidRDefault="002457F6">
      <w:pPr>
        <w:spacing w:before="120" w:after="120"/>
        <w:jc w:val="both"/>
        <w:rPr>
          <w:noProof/>
        </w:rPr>
      </w:pPr>
      <w:r>
        <w:rPr>
          <w:noProof/>
        </w:rPr>
        <w:t>Paredzams, ka šis pasākums nenodarīs būtisku kaitējumu vides mērķiem Regulas (ES) 2020/852 17. panta nozīmē, ņemot vērā pasākuma aprakstu un mazināšanas pasākumus, kas izklāst</w:t>
      </w:r>
      <w:r>
        <w:rPr>
          <w:noProof/>
        </w:rPr>
        <w:t>īti atveseļošanas un noturības plānā saskaņā ar NBK tehniskajiem norādījumiem (2021/C58/01), un atskaites punktus un mērķrādītājus, kas Itālijai jāsasniedz.</w:t>
      </w:r>
    </w:p>
    <w:p w14:paraId="2DF60811" w14:textId="77777777" w:rsidR="00C972CB" w:rsidRDefault="002457F6">
      <w:pPr>
        <w:spacing w:before="120" w:after="120"/>
        <w:jc w:val="both"/>
        <w:rPr>
          <w:noProof/>
        </w:rPr>
      </w:pPr>
      <w:r>
        <w:rPr>
          <w:noProof/>
        </w:rPr>
        <w:t xml:space="preserve">Attiecībā uz segmentu Rho-Parabiago tiks veikts pozitīvs ietekmes uz vidi novērtējums, kas pilnībā </w:t>
      </w:r>
      <w:r>
        <w:rPr>
          <w:noProof/>
        </w:rPr>
        <w:t>un pēc būtības atbilst juridiskajiem kritērijiem, pilnībā iekļaujot visus ietekmes uz vidi novērtējuma rezultātus un nosacījumus, ja tas nepieciešams, lai panāktu atbilstību NBK tehniskajiem norādījumiem (2021/C58/01). IVN tiek publicēts un pabeigts saskaņ</w:t>
      </w:r>
      <w:r>
        <w:rPr>
          <w:noProof/>
        </w:rPr>
        <w:t>ā ar Direktīvu 2011/92/ES, kā arī attiecīgajiem novērtējumiem saistībā ar Direktīvu 2000/60/EK un Direktīvu 92/43/EEK, tostarp nepieciešamo ietekmes mazināšanas pasākumu īstenošanu. Visus pasākumus, kas IVN ietvaros noteikti kā nepieciešami, lai nodrošināt</w:t>
      </w:r>
      <w:r>
        <w:rPr>
          <w:noProof/>
        </w:rPr>
        <w:t>u atbilstību NBK tehniskajiem norādījumiem (2021/C58/01), integrē projektā un ievēro infrastruktūras būvniecības, ekspluatācijas un dezekspluatācijas posmos.</w:t>
      </w:r>
    </w:p>
    <w:p w14:paraId="52A03C55" w14:textId="77777777" w:rsidR="00C972CB" w:rsidRDefault="002457F6">
      <w:pPr>
        <w:pStyle w:val="P68B1DB1-Normal2"/>
        <w:spacing w:before="120" w:after="120"/>
        <w:jc w:val="both"/>
        <w:rPr>
          <w:noProof/>
        </w:rPr>
      </w:pPr>
      <w:r>
        <w:rPr>
          <w:noProof/>
        </w:rPr>
        <w:t>Ieguldījums 1.3. Diagonālie savienojumi</w:t>
      </w:r>
    </w:p>
    <w:p w14:paraId="68375FA5" w14:textId="73EA0093" w:rsidR="00C972CB" w:rsidRDefault="002457F6">
      <w:pPr>
        <w:spacing w:before="120" w:after="120"/>
        <w:jc w:val="both"/>
        <w:rPr>
          <w:noProof/>
        </w:rPr>
      </w:pPr>
      <w:r>
        <w:rPr>
          <w:noProof/>
        </w:rPr>
        <w:t>Šis ieguldījums ietver ātrgaitas dzelzceļu būvniecību 27 k</w:t>
      </w:r>
      <w:r>
        <w:rPr>
          <w:noProof/>
        </w:rPr>
        <w:t>m garumā gan pasažieru, gan kravu pārvadājumiem līnijās Orte-Falconara e Taranto -Metaponto-Potenza-Battipaglia. Novērtējot un apstiprinot katru attiecīgo projektu/investīciju, ievēro visus noteikumus un procedūras, kas noteiktas ES Direktīvas 92/43/EEK 6.</w:t>
      </w:r>
      <w:r>
        <w:rPr>
          <w:noProof/>
        </w:rPr>
        <w:t xml:space="preserve"> panta 3. un 4. punktā, un ievēro valsts pamatnostādnes par ietekmes novērtējumu, kas publicētas Itālijas Republikas Oficiālajā Vēstnesī Nr. 303, 2019. gada 28. decembrī.</w:t>
      </w:r>
    </w:p>
    <w:p w14:paraId="2F5D23D2" w14:textId="77777777" w:rsidR="00C972CB" w:rsidRDefault="002457F6">
      <w:pPr>
        <w:pStyle w:val="P68B1DB1-Normal2"/>
        <w:spacing w:before="120" w:after="120"/>
        <w:jc w:val="both"/>
        <w:rPr>
          <w:noProof/>
        </w:rPr>
      </w:pPr>
      <w:r>
        <w:rPr>
          <w:noProof/>
        </w:rPr>
        <w:t>Ieguldījums 1.4. Eiropas Dzelzceļa transporta vadības sistēma (ERTMS)</w:t>
      </w:r>
    </w:p>
    <w:p w14:paraId="2333F1D4" w14:textId="77777777" w:rsidR="00C972CB" w:rsidRDefault="002457F6">
      <w:pPr>
        <w:spacing w:before="120" w:after="120"/>
        <w:jc w:val="both"/>
        <w:rPr>
          <w:noProof/>
        </w:rPr>
      </w:pPr>
      <w:r>
        <w:rPr>
          <w:noProof/>
        </w:rPr>
        <w:t>Šis ieguldījums</w:t>
      </w:r>
      <w:r>
        <w:rPr>
          <w:noProof/>
        </w:rPr>
        <w:t xml:space="preserve"> ietver 2,785 km garu dzelzceļa līniju aprīkošanu ar Eiropas Dzelzceļa transporta vadības sistēmu (ERTMS) saskaņā ar ERTMS Eiropas stratēģisko izvēršanas plānu.  </w:t>
      </w:r>
    </w:p>
    <w:p w14:paraId="1AD110E2" w14:textId="77777777" w:rsidR="00C972CB" w:rsidRDefault="002457F6">
      <w:pPr>
        <w:pStyle w:val="P68B1DB1-Normal2"/>
        <w:spacing w:before="120" w:after="120"/>
        <w:jc w:val="both"/>
        <w:rPr>
          <w:noProof/>
        </w:rPr>
      </w:pPr>
      <w:r>
        <w:rPr>
          <w:noProof/>
        </w:rPr>
        <w:t>Ieguldījums 1.5. Lielpilsētu mezglu un galveno nacionālo saikņu stiprināšana</w:t>
      </w:r>
    </w:p>
    <w:p w14:paraId="618170C9" w14:textId="01D2B5D2" w:rsidR="00C972CB" w:rsidRDefault="002457F6">
      <w:pPr>
        <w:spacing w:before="120" w:after="120"/>
        <w:jc w:val="both"/>
        <w:rPr>
          <w:noProof/>
        </w:rPr>
      </w:pPr>
      <w:r>
        <w:rPr>
          <w:noProof/>
        </w:rPr>
        <w:t xml:space="preserve">Šis ieguldījums </w:t>
      </w:r>
      <w:r>
        <w:rPr>
          <w:noProof/>
        </w:rPr>
        <w:t>ietver vismaz 1,280 km garu dzelzceļa līnijas posmu, kas uzbūvēti 12 lielpilsētu mezglos, un galvenos valsts savienojumus (Ligūrijas-Alpu, Boloņas-Venēcijas-Triestes/Udīnas, Boloņas-Milāno, Boloņas-Veronas-Brennero, Centrālās un Ziemeļtirēnu līnijas, Adrij</w:t>
      </w:r>
      <w:r>
        <w:rPr>
          <w:noProof/>
        </w:rPr>
        <w:t>as un Jonijas jūras savienojums, pilsētu mezgli un reģionālās līnijas; Kravas termināļi). Novērtējot un apstiprinot katru attiecīgo projektu vai ieguldījumu, ievēro visus noteikumus un procedūras, kas noteiktas ES Direktīvas 92/43/EEK 6. panta 3. un 4. pun</w:t>
      </w:r>
      <w:r>
        <w:rPr>
          <w:noProof/>
        </w:rPr>
        <w:t>ktā, un ievēro valsts pamatnostādnes par ietekmes novērtējumu, kas publicētas Itālijas Republikas Oficiālajā Vēstnesī Nr. 303, 2019. gada 28. decembrī.</w:t>
      </w:r>
    </w:p>
    <w:p w14:paraId="3DD0C22F" w14:textId="77777777" w:rsidR="00C972CB" w:rsidRDefault="002457F6">
      <w:pPr>
        <w:pStyle w:val="P68B1DB1-Normal2"/>
        <w:spacing w:before="120" w:after="120"/>
        <w:jc w:val="both"/>
        <w:rPr>
          <w:noProof/>
        </w:rPr>
      </w:pPr>
      <w:r>
        <w:rPr>
          <w:noProof/>
        </w:rPr>
        <w:t>Ieguldījums 1.6. Reģionālo līniju stiprināšana — reģionālo dzelzceļu modernizācija (vadības RFI)</w:t>
      </w:r>
    </w:p>
    <w:p w14:paraId="0CB665E3" w14:textId="08519029" w:rsidR="00C972CB" w:rsidRDefault="002457F6">
      <w:pPr>
        <w:spacing w:before="120" w:after="120"/>
        <w:jc w:val="both"/>
        <w:rPr>
          <w:noProof/>
        </w:rPr>
      </w:pPr>
      <w:r>
        <w:rPr>
          <w:noProof/>
        </w:rPr>
        <w:t>Šo iegu</w:t>
      </w:r>
      <w:r>
        <w:rPr>
          <w:noProof/>
        </w:rPr>
        <w:t xml:space="preserve">ldījumu veido 646 km lielu reģionālo līniju modernizācija, kuru īpašumtiesības ir nodotas </w:t>
      </w:r>
      <w:r>
        <w:rPr>
          <w:i/>
          <w:noProof/>
        </w:rPr>
        <w:t>Rete Ferroviaria Italiana (RFI)</w:t>
      </w:r>
      <w:r>
        <w:rPr>
          <w:noProof/>
        </w:rPr>
        <w:t xml:space="preserve"> vai pakāpeniski tiks nodotas uzņēmumam Rete Ferroviaria Italiana (RFI). Novērtējot un apstiprinot katru attiecīgo projektu vai ieguldī</w:t>
      </w:r>
      <w:r>
        <w:rPr>
          <w:noProof/>
        </w:rPr>
        <w:t>jumu, ievēro visus noteikumus un procedūras, kas noteiktas ES Direktīvas 92/43/EEK 6. panta 3. un 4. punktā, un ievēro valsts pamatnostādnes par ietekmes novērtējumu, kas publicētas Itālijas Republikas Oficiālajā Vēstnesī Nr. 303, 2019. gada 28. decembrī.</w:t>
      </w:r>
    </w:p>
    <w:p w14:paraId="4C6F5CA7" w14:textId="77777777" w:rsidR="00C972CB" w:rsidRDefault="002457F6">
      <w:pPr>
        <w:spacing w:before="120" w:after="120"/>
        <w:jc w:val="both"/>
        <w:rPr>
          <w:noProof/>
        </w:rPr>
      </w:pPr>
      <w:r>
        <w:rPr>
          <w:noProof/>
        </w:rPr>
        <w:t>Intervences ir plānotas šādās pozīcijās:</w:t>
      </w:r>
    </w:p>
    <w:p w14:paraId="67424C6E" w14:textId="77777777" w:rsidR="00C972CB" w:rsidRDefault="002457F6">
      <w:pPr>
        <w:numPr>
          <w:ilvl w:val="0"/>
          <w:numId w:val="48"/>
        </w:numPr>
        <w:spacing w:before="120" w:after="120" w:line="259" w:lineRule="auto"/>
        <w:ind w:left="360"/>
        <w:contextualSpacing/>
        <w:jc w:val="both"/>
        <w:rPr>
          <w:noProof/>
        </w:rPr>
      </w:pPr>
      <w:r>
        <w:rPr>
          <w:noProof/>
        </w:rPr>
        <w:t>Pjemonta: Torino Cerese-Canavesana modernizācija un modernizācija: satiksmes plūsmu regularitātes uzlabošana;</w:t>
      </w:r>
    </w:p>
    <w:p w14:paraId="757B0906" w14:textId="77777777" w:rsidR="00C972CB" w:rsidRDefault="002457F6">
      <w:pPr>
        <w:numPr>
          <w:ilvl w:val="0"/>
          <w:numId w:val="48"/>
        </w:numPr>
        <w:spacing w:before="120" w:after="120" w:line="259" w:lineRule="auto"/>
        <w:ind w:left="360"/>
        <w:contextualSpacing/>
        <w:jc w:val="both"/>
        <w:rPr>
          <w:noProof/>
        </w:rPr>
      </w:pPr>
      <w:r>
        <w:rPr>
          <w:noProof/>
        </w:rPr>
        <w:t>Friuli-Venēcija Džūlija: FuC dzelzceļš: infrastruktūras un tehnoloģiskie darbi Udine-Cividale līnijā: sat</w:t>
      </w:r>
      <w:r>
        <w:rPr>
          <w:noProof/>
        </w:rPr>
        <w:t>iksmes plūsmu regularitātes uzlabošana;</w:t>
      </w:r>
    </w:p>
    <w:p w14:paraId="0C162F0F" w14:textId="77777777" w:rsidR="00C972CB" w:rsidRDefault="002457F6">
      <w:pPr>
        <w:numPr>
          <w:ilvl w:val="0"/>
          <w:numId w:val="48"/>
        </w:numPr>
        <w:spacing w:before="120" w:after="120" w:line="259" w:lineRule="auto"/>
        <w:ind w:left="360"/>
        <w:contextualSpacing/>
        <w:jc w:val="both"/>
        <w:rPr>
          <w:noProof/>
        </w:rPr>
      </w:pPr>
      <w:r>
        <w:rPr>
          <w:noProof/>
        </w:rPr>
        <w:t>Umbrijā: Umbrian Central Railway (FCU): infrastruktūras un tehnoloģiju intervences;</w:t>
      </w:r>
    </w:p>
    <w:p w14:paraId="4A17F9F0" w14:textId="77777777" w:rsidR="00C972CB" w:rsidRDefault="002457F6">
      <w:pPr>
        <w:numPr>
          <w:ilvl w:val="0"/>
          <w:numId w:val="48"/>
        </w:numPr>
        <w:spacing w:before="120" w:after="120" w:line="259" w:lineRule="auto"/>
        <w:ind w:left="360"/>
        <w:contextualSpacing/>
        <w:jc w:val="both"/>
        <w:rPr>
          <w:noProof/>
        </w:rPr>
      </w:pPr>
      <w:r>
        <w:rPr>
          <w:noProof/>
        </w:rPr>
        <w:t>Kampānija (EAV): Līnijas Cancello-Benevento stiprināšana un modernizācija: dzelzceļa ekspluatācijas drošības standartu uzlabošana;</w:t>
      </w:r>
    </w:p>
    <w:p w14:paraId="14DC3B77" w14:textId="77777777" w:rsidR="00C972CB" w:rsidRDefault="002457F6">
      <w:pPr>
        <w:numPr>
          <w:ilvl w:val="0"/>
          <w:numId w:val="48"/>
        </w:numPr>
        <w:spacing w:before="120" w:after="120" w:line="259" w:lineRule="auto"/>
        <w:ind w:left="360"/>
        <w:contextualSpacing/>
        <w:jc w:val="both"/>
        <w:rPr>
          <w:noProof/>
        </w:rPr>
      </w:pPr>
      <w:r>
        <w:rPr>
          <w:noProof/>
        </w:rPr>
        <w:t>Apūlija: Bari-Bitritto līnija: infrastruktūras modernizācija: atbilstību valsts dzelzceļa infrastruktūras tehniskajiem/regulatīvajiem standartiem; Ferrovie del Sud Est (FSE): Bari-Taranto līnijas infrastruktūras modernizācija: intervence ļauj pielāgoties R</w:t>
      </w:r>
      <w:r>
        <w:rPr>
          <w:noProof/>
        </w:rPr>
        <w:t>FI veiktspējas standartiem un savstarpējas izmantojamības tehniskajām specifikācijām; FSE: SCMT/ERTMS iekārtu pabeigšana tīklā: satiksmes veiktspējas uzlabošana, jaudas optimizācija, drošības standartu uzlabošana; FSE: Intermodālo centru izveide un 20 stac</w:t>
      </w:r>
      <w:r>
        <w:rPr>
          <w:noProof/>
        </w:rPr>
        <w:t>iju modernizācija: intervences mērķis ir uzlabot staciju pieejamību un izveidot vietas dzelzceļa autobusu, dzelzceļa-privāto automobiļu un dzelzceļa velosipēdu apmaiņai;</w:t>
      </w:r>
    </w:p>
    <w:p w14:paraId="5FE1FE73" w14:textId="77777777" w:rsidR="00C972CB" w:rsidRDefault="002457F6">
      <w:pPr>
        <w:numPr>
          <w:ilvl w:val="0"/>
          <w:numId w:val="48"/>
        </w:numPr>
        <w:spacing w:before="120" w:after="120" w:line="259" w:lineRule="auto"/>
        <w:ind w:left="360"/>
        <w:contextualSpacing/>
        <w:jc w:val="both"/>
        <w:rPr>
          <w:noProof/>
        </w:rPr>
      </w:pPr>
      <w:r>
        <w:rPr>
          <w:noProof/>
        </w:rPr>
        <w:t>Kalabrija: Rosarno-S. Ferdinando līnija: Rosarno un San Ferdinando līniju aprīkojuma m</w:t>
      </w:r>
      <w:r>
        <w:rPr>
          <w:noProof/>
        </w:rPr>
        <w:t>odernizācija savienošanai ar Gioia Tauro.</w:t>
      </w:r>
    </w:p>
    <w:p w14:paraId="7BEB60C8" w14:textId="77777777" w:rsidR="00C972CB" w:rsidRDefault="002457F6">
      <w:pPr>
        <w:pStyle w:val="P68B1DB1-Normal2"/>
        <w:spacing w:before="120" w:after="120"/>
        <w:jc w:val="both"/>
        <w:rPr>
          <w:noProof/>
        </w:rPr>
      </w:pPr>
      <w:r>
        <w:rPr>
          <w:noProof/>
        </w:rPr>
        <w:t>Ieguldījums 1.7. — Dienvidu dzelzceļu modernizācija, elektrifikācija un noturība</w:t>
      </w:r>
    </w:p>
    <w:p w14:paraId="0FECE526" w14:textId="56AE2D8B" w:rsidR="00C972CB" w:rsidRDefault="002457F6">
      <w:pPr>
        <w:spacing w:before="120" w:after="120"/>
        <w:jc w:val="both"/>
        <w:rPr>
          <w:noProof/>
        </w:rPr>
      </w:pPr>
      <w:r>
        <w:rPr>
          <w:noProof/>
        </w:rPr>
        <w:t xml:space="preserve">Šīs investīcijas ietver 650 km dzelzceļa modernizāciju, elektrifikāciju un noturību dienvidos. Šā ieguldījuma līgumi cita starpā </w:t>
      </w:r>
      <w:r>
        <w:rPr>
          <w:noProof/>
        </w:rPr>
        <w:t>attiecas uz Olbijas lidostas savienojumu, Augustas ostas savienojumu, Decimomannu-Villamassargia līnijas divkāršošanu, Potencas-Fedžas savienojuma modernizāciju, Brindisi intermodālo savienojumu. Novērtējot un apstiprinot katru attiecīgo projektu vai iegul</w:t>
      </w:r>
      <w:r>
        <w:rPr>
          <w:noProof/>
        </w:rPr>
        <w:t>dījumu, ievēro visus noteikumus un procedūras, kas noteiktas ES Direktīvas 92/43/EEK 6. panta 3. un 4. punktā, un ievēro valsts pamatnostādnes par ietekmes novērtējumu, kas publicētas Itālijas Republikas Oficiālajā Vēstnesī Nr. 303, 2019. gada 28. decembrī</w:t>
      </w:r>
      <w:r>
        <w:rPr>
          <w:noProof/>
        </w:rPr>
        <w:t>.</w:t>
      </w:r>
    </w:p>
    <w:p w14:paraId="0E1FAC76" w14:textId="77777777" w:rsidR="00C972CB" w:rsidRDefault="002457F6">
      <w:pPr>
        <w:pStyle w:val="P68B1DB1-Normal2"/>
        <w:spacing w:before="120" w:after="120"/>
        <w:jc w:val="both"/>
        <w:rPr>
          <w:noProof/>
        </w:rPr>
      </w:pPr>
      <w:r>
        <w:rPr>
          <w:noProof/>
        </w:rPr>
        <w:t>Ieguldījums — dzelzceļa staciju modernizācija (</w:t>
      </w:r>
      <w:r>
        <w:rPr>
          <w:i/>
          <w:noProof/>
        </w:rPr>
        <w:t>Rete Ferroviaria Italiana (RFI)</w:t>
      </w:r>
      <w:r>
        <w:rPr>
          <w:noProof/>
        </w:rPr>
        <w:t xml:space="preserve"> pārvaldība; dienvidos)</w:t>
      </w:r>
    </w:p>
    <w:p w14:paraId="7027F38C" w14:textId="77777777" w:rsidR="00C972CB" w:rsidRDefault="002457F6">
      <w:pPr>
        <w:spacing w:before="120" w:after="120"/>
        <w:jc w:val="both"/>
        <w:rPr>
          <w:noProof/>
        </w:rPr>
      </w:pPr>
      <w:r>
        <w:rPr>
          <w:noProof/>
        </w:rPr>
        <w:t>Šis ieguldījums paredz modernizēt 38 dzelzceļa stacijas un padarīt tās pieejamas saskaņā ar Komisijas Regulu (ES) Nr. 1300/2014 un ES dzelzceļa drošības</w:t>
      </w:r>
      <w:r>
        <w:rPr>
          <w:noProof/>
        </w:rPr>
        <w:t xml:space="preserve"> noteikumiem. Novērtējot un apstiprinot katru attiecīgo projektu vai ieguldījumu, ievēro visus noteikumus un procedūras, kas noteiktas ES Direktīvas 92/43/EEK 6. panta 3. un 4. punktā, un ievēro valsts pamatnostādnes par ietekmes novērtējumu, kas publicēta</w:t>
      </w:r>
      <w:r>
        <w:rPr>
          <w:noProof/>
        </w:rPr>
        <w:t>s Itālijas Republikas Oficiālajā Vēstnesī Nr. 303, 2019. gada 28. decembrī.</w:t>
      </w:r>
    </w:p>
    <w:p w14:paraId="47B7230B" w14:textId="77777777" w:rsidR="00C972CB" w:rsidRDefault="002457F6">
      <w:pPr>
        <w:pStyle w:val="P68B1DB1-Normal2"/>
        <w:spacing w:before="120" w:after="120"/>
        <w:jc w:val="both"/>
        <w:rPr>
          <w:noProof/>
        </w:rPr>
      </w:pPr>
      <w:r>
        <w:rPr>
          <w:noProof/>
        </w:rPr>
        <w:t xml:space="preserve">Ieguldījums 1.9 — Starpreģionu savienojumi </w:t>
      </w:r>
    </w:p>
    <w:p w14:paraId="57C82719" w14:textId="77777777" w:rsidR="00C972CB" w:rsidRDefault="002457F6">
      <w:pPr>
        <w:spacing w:before="120" w:after="120"/>
        <w:jc w:val="both"/>
        <w:rPr>
          <w:noProof/>
        </w:rPr>
      </w:pPr>
      <w:r>
        <w:rPr>
          <w:noProof/>
        </w:rPr>
        <w:t>Šīs investīcijas ietver iejaukšanās paātrināšanu 221 km garumā no šādām līnijām:</w:t>
      </w:r>
    </w:p>
    <w:p w14:paraId="3490DC93" w14:textId="77777777" w:rsidR="00C972CB" w:rsidRDefault="002457F6">
      <w:pPr>
        <w:pStyle w:val="ListParagraph"/>
        <w:numPr>
          <w:ilvl w:val="0"/>
          <w:numId w:val="91"/>
        </w:numPr>
        <w:rPr>
          <w:noProof/>
        </w:rPr>
      </w:pPr>
      <w:r>
        <w:rPr>
          <w:noProof/>
        </w:rPr>
        <w:t>Milāna — Dženova</w:t>
      </w:r>
    </w:p>
    <w:p w14:paraId="346ABBDC" w14:textId="77777777" w:rsidR="00C972CB" w:rsidRDefault="002457F6">
      <w:pPr>
        <w:pStyle w:val="ListParagraph"/>
        <w:numPr>
          <w:ilvl w:val="0"/>
          <w:numId w:val="91"/>
        </w:numPr>
        <w:rPr>
          <w:noProof/>
        </w:rPr>
      </w:pPr>
      <w:r>
        <w:rPr>
          <w:noProof/>
        </w:rPr>
        <w:t>Palermo — Katānija (linea storica)</w:t>
      </w:r>
    </w:p>
    <w:p w14:paraId="7DB5B332" w14:textId="77777777" w:rsidR="00C972CB" w:rsidRDefault="002457F6">
      <w:pPr>
        <w:pStyle w:val="ListParagraph"/>
        <w:numPr>
          <w:ilvl w:val="0"/>
          <w:numId w:val="91"/>
        </w:numPr>
        <w:rPr>
          <w:noProof/>
        </w:rPr>
      </w:pPr>
      <w:r>
        <w:rPr>
          <w:noProof/>
        </w:rPr>
        <w:t>Bat</w:t>
      </w:r>
      <w:r>
        <w:rPr>
          <w:noProof/>
        </w:rPr>
        <w:t>tipaglia-Potenza</w:t>
      </w:r>
    </w:p>
    <w:p w14:paraId="3EA881EC" w14:textId="77777777" w:rsidR="00C972CB" w:rsidRDefault="002457F6">
      <w:pPr>
        <w:pStyle w:val="ListParagraph"/>
        <w:numPr>
          <w:ilvl w:val="0"/>
          <w:numId w:val="91"/>
        </w:numPr>
        <w:rPr>
          <w:noProof/>
        </w:rPr>
      </w:pPr>
      <w:r>
        <w:rPr>
          <w:noProof/>
        </w:rPr>
        <w:t>Orte — Falconara.</w:t>
      </w:r>
    </w:p>
    <w:p w14:paraId="618CFED8" w14:textId="77777777" w:rsidR="00C972CB" w:rsidRDefault="002457F6">
      <w:pPr>
        <w:rPr>
          <w:noProof/>
        </w:rPr>
      </w:pPr>
      <w:r>
        <w:rPr>
          <w:noProof/>
        </w:rPr>
        <w:t>Ieguldījumu mērķis ir uzlabot pašreizējo infrastruktūru darbību, izmantojot intervences, kas varētu ietvert:</w:t>
      </w:r>
    </w:p>
    <w:p w14:paraId="79198293" w14:textId="77777777" w:rsidR="00C972CB" w:rsidRDefault="002457F6">
      <w:pPr>
        <w:pStyle w:val="ListParagraph"/>
        <w:numPr>
          <w:ilvl w:val="0"/>
          <w:numId w:val="92"/>
        </w:numPr>
        <w:rPr>
          <w:noProof/>
        </w:rPr>
      </w:pPr>
      <w:r>
        <w:rPr>
          <w:noProof/>
        </w:rPr>
        <w:t xml:space="preserve">izmaiņas staciju balstvirsmas plānos (PRG — Piano Regolatore Generale); </w:t>
      </w:r>
    </w:p>
    <w:p w14:paraId="62B346FF" w14:textId="77777777" w:rsidR="00C972CB" w:rsidRDefault="002457F6">
      <w:pPr>
        <w:pStyle w:val="ListParagraph"/>
        <w:numPr>
          <w:ilvl w:val="0"/>
          <w:numId w:val="92"/>
        </w:numPr>
        <w:rPr>
          <w:noProof/>
        </w:rPr>
      </w:pPr>
      <w:r>
        <w:rPr>
          <w:noProof/>
        </w:rPr>
        <w:t>ERTMS;</w:t>
      </w:r>
    </w:p>
    <w:p w14:paraId="12B79FBF" w14:textId="77777777" w:rsidR="00C972CB" w:rsidRDefault="002457F6">
      <w:pPr>
        <w:pStyle w:val="ListParagraph"/>
        <w:numPr>
          <w:ilvl w:val="0"/>
          <w:numId w:val="92"/>
        </w:numPr>
        <w:rPr>
          <w:noProof/>
        </w:rPr>
      </w:pPr>
      <w:r>
        <w:rPr>
          <w:noProof/>
        </w:rPr>
        <w:t>kustības vadības sistēmas, piemē</w:t>
      </w:r>
      <w:r>
        <w:rPr>
          <w:noProof/>
        </w:rPr>
        <w:t>ram, ACC (aparato Centrale Computerizzato) un ACCM (aparato Centrale a calcolatore Multistazione) konfigurācija un/vai modifikācija</w:t>
      </w:r>
    </w:p>
    <w:p w14:paraId="29782693" w14:textId="7215F67E" w:rsidR="00C972CB" w:rsidRDefault="002457F6">
      <w:pPr>
        <w:pStyle w:val="ListParagraph"/>
        <w:numPr>
          <w:ilvl w:val="0"/>
          <w:numId w:val="92"/>
        </w:numPr>
        <w:rPr>
          <w:noProof/>
        </w:rPr>
      </w:pPr>
      <w:r>
        <w:rPr>
          <w:noProof/>
        </w:rPr>
        <w:t>citi fiziskās infrastruktūras uzlabojumi, kas varētu ietvert dzelzceļa gultu, aprīkojumu un citus intervences pasākumus, kas</w:t>
      </w:r>
      <w:r>
        <w:rPr>
          <w:noProof/>
        </w:rPr>
        <w:t xml:space="preserve"> saistīti ar infrastruktūru.</w:t>
      </w:r>
    </w:p>
    <w:p w14:paraId="016C941F" w14:textId="77777777" w:rsidR="00C972CB" w:rsidRDefault="002457F6">
      <w:pPr>
        <w:pStyle w:val="P68B1DB1-Normal2"/>
        <w:spacing w:before="120" w:after="120"/>
        <w:jc w:val="both"/>
        <w:rPr>
          <w:noProof/>
        </w:rPr>
      </w:pPr>
      <w:r>
        <w:rPr>
          <w:noProof/>
        </w:rPr>
        <w:t>Reforma — “Vadlīnijas risku klasificēšanai un pārvaldībai, drošības novērtēšanai un esošo tiltu uzraudzībai” pieņemšana</w:t>
      </w:r>
    </w:p>
    <w:p w14:paraId="3D7B1E03" w14:textId="77777777" w:rsidR="00C972CB" w:rsidRDefault="002457F6">
      <w:pPr>
        <w:spacing w:before="120" w:after="120"/>
        <w:jc w:val="both"/>
        <w:rPr>
          <w:noProof/>
        </w:rPr>
      </w:pPr>
      <w:r>
        <w:rPr>
          <w:noProof/>
        </w:rPr>
        <w:t>Šī reforma ietver risku klasifikācijas un pārvaldības pamatnostādņu pieņemšanu, drošības novērtēšanu un eso</w:t>
      </w:r>
      <w:r>
        <w:rPr>
          <w:noProof/>
        </w:rPr>
        <w:t>šo tiltu uzraudzību. “Pamatnostādņu” pieņemšanu, kas ļauj piemērot kopīgus standartus un metodiku visam valsts ceļu tīklam.</w:t>
      </w:r>
    </w:p>
    <w:p w14:paraId="373B2E23" w14:textId="77777777" w:rsidR="00C972CB" w:rsidRDefault="002457F6">
      <w:pPr>
        <w:pStyle w:val="P68B1DB1-Normal2"/>
        <w:spacing w:before="120" w:after="120"/>
        <w:jc w:val="both"/>
        <w:rPr>
          <w:noProof/>
        </w:rPr>
      </w:pPr>
      <w:r>
        <w:rPr>
          <w:noProof/>
        </w:rPr>
        <w:t>Reforma — tiltu īpašuma un cauruduktu nodošana no zemākā līmeņa sarindojuma ceļiem uz augstāka ranga ceļiem</w:t>
      </w:r>
    </w:p>
    <w:p w14:paraId="7465B9DF" w14:textId="77777777" w:rsidR="00C972CB" w:rsidRDefault="002457F6">
      <w:pPr>
        <w:spacing w:before="120" w:after="120" w:line="300" w:lineRule="atLeast"/>
        <w:jc w:val="both"/>
        <w:rPr>
          <w:noProof/>
        </w:rPr>
      </w:pPr>
      <w:r>
        <w:rPr>
          <w:noProof/>
        </w:rPr>
        <w:t>Šī reforma ietver tiltu,</w:t>
      </w:r>
      <w:r>
        <w:rPr>
          <w:noProof/>
        </w:rPr>
        <w:t xml:space="preserve"> cauruļvadu un pārvadu īpašumtiesību nodošanu no zemāka tipa ceļiem uz augstāka tipa ceļiem (automaģistrālēm un galvenajiem piepilsētas ceļiem), kas ļauj palielināt ceļu tīkla vispārējo drošību, jo tiltus, viaduktus un pārbrauktuves uztur ANAS un/vai autom</w:t>
      </w:r>
      <w:r>
        <w:rPr>
          <w:noProof/>
        </w:rPr>
        <w:t>aģistrāļu koncesionāri, kuriem ir labākas plānošanas un uzturēšanas spējas nekā atsevišķām pašvaldībām vai provincēm.</w:t>
      </w:r>
    </w:p>
    <w:p w14:paraId="7D9892F3" w14:textId="77777777" w:rsidR="00C972CB" w:rsidRDefault="002457F6">
      <w:pPr>
        <w:pStyle w:val="Heading3"/>
        <w:numPr>
          <w:ilvl w:val="0"/>
          <w:numId w:val="0"/>
        </w:numPr>
        <w:ind w:left="850" w:hanging="850"/>
        <w:rPr>
          <w:b/>
          <w:i w:val="0"/>
          <w:noProof/>
          <w:u w:val="single"/>
        </w:rPr>
      </w:pPr>
      <w:r>
        <w:rPr>
          <w:b/>
          <w:i w:val="0"/>
          <w:noProof/>
          <w:u w:val="single"/>
        </w:rPr>
        <w:t xml:space="preserve">H.4. </w:t>
      </w:r>
      <w:r>
        <w:rPr>
          <w:noProof/>
        </w:rPr>
        <w:tab/>
      </w:r>
      <w:r>
        <w:rPr>
          <w:b/>
          <w:i w:val="0"/>
          <w:noProof/>
          <w:u w:val="single"/>
        </w:rPr>
        <w:t xml:space="preserve">Atskaites punkti, mērķrādītāji, citi rādītāji un aizdevuma uzraudzības un īstenošanas grafiks </w:t>
      </w:r>
    </w:p>
    <w:p w14:paraId="614A66B1" w14:textId="77777777" w:rsidR="00C972CB" w:rsidRDefault="00C972CB">
      <w:pPr>
        <w:spacing w:before="120" w:after="120"/>
        <w:ind w:left="709"/>
        <w:contextualSpacing/>
        <w:jc w:val="both"/>
        <w:rPr>
          <w:noProof/>
        </w:rPr>
      </w:pPr>
    </w:p>
    <w:p w14:paraId="7E527C39" w14:textId="77777777" w:rsidR="00C972CB" w:rsidRDefault="00C972CB">
      <w:pPr>
        <w:spacing w:before="120" w:after="120"/>
        <w:ind w:left="709"/>
        <w:contextualSpacing/>
        <w:jc w:val="both"/>
        <w:rPr>
          <w:noProof/>
        </w:rPr>
        <w:sectPr w:rsidR="00C972CB" w:rsidSect="000D3774">
          <w:headerReference w:type="even" r:id="rId194"/>
          <w:headerReference w:type="default" r:id="rId195"/>
          <w:footerReference w:type="even" r:id="rId196"/>
          <w:footerReference w:type="default" r:id="rId197"/>
          <w:headerReference w:type="first" r:id="rId198"/>
          <w:footerReference w:type="first" r:id="rId199"/>
          <w:pgSz w:w="11907" w:h="16839"/>
          <w:pgMar w:top="1134" w:right="1134" w:bottom="1134" w:left="1134" w:header="567" w:footer="567" w:gutter="0"/>
          <w:cols w:space="720"/>
          <w:docGrid w:linePitch="360"/>
        </w:sectPr>
      </w:pPr>
    </w:p>
    <w:tbl>
      <w:tblPr>
        <w:tblW w:w="52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2"/>
        <w:gridCol w:w="1274"/>
        <w:gridCol w:w="1418"/>
        <w:gridCol w:w="1555"/>
        <w:gridCol w:w="993"/>
        <w:gridCol w:w="1134"/>
        <w:gridCol w:w="853"/>
        <w:gridCol w:w="850"/>
        <w:gridCol w:w="850"/>
        <w:gridCol w:w="3661"/>
      </w:tblGrid>
      <w:tr w:rsidR="00C972CB" w14:paraId="13D8FF7B" w14:textId="77777777">
        <w:trPr>
          <w:trHeight w:val="939"/>
          <w:tblHeader/>
          <w:jc w:val="right"/>
        </w:trPr>
        <w:tc>
          <w:tcPr>
            <w:tcW w:w="369" w:type="pct"/>
            <w:vMerge w:val="restart"/>
            <w:shd w:val="clear" w:color="auto" w:fill="C6D9F1" w:themeFill="text2" w:themeFillTint="33"/>
            <w:vAlign w:val="center"/>
            <w:hideMark/>
          </w:tcPr>
          <w:p w14:paraId="3D749470" w14:textId="3637DCA1" w:rsidR="00C972CB" w:rsidRDefault="002457F6">
            <w:pPr>
              <w:pStyle w:val="P68B1DB1-Normal9"/>
              <w:jc w:val="center"/>
              <w:rPr>
                <w:noProof/>
              </w:rPr>
            </w:pPr>
            <w:r>
              <w:rPr>
                <w:noProof/>
              </w:rPr>
              <w:t>Kārtas numurs</w:t>
            </w:r>
          </w:p>
        </w:tc>
        <w:tc>
          <w:tcPr>
            <w:tcW w:w="511" w:type="pct"/>
            <w:vMerge w:val="restart"/>
            <w:shd w:val="clear" w:color="auto" w:fill="C6D9F1" w:themeFill="text2" w:themeFillTint="33"/>
            <w:vAlign w:val="center"/>
            <w:hideMark/>
          </w:tcPr>
          <w:p w14:paraId="3C6F5EBC" w14:textId="77777777" w:rsidR="00C972CB" w:rsidRDefault="002457F6">
            <w:pPr>
              <w:pStyle w:val="P68B1DB1-Normal9"/>
              <w:jc w:val="center"/>
              <w:rPr>
                <w:noProof/>
              </w:rPr>
            </w:pPr>
            <w:r>
              <w:rPr>
                <w:noProof/>
              </w:rPr>
              <w:t>Pasākums (reforma vai investīcija)</w:t>
            </w:r>
          </w:p>
        </w:tc>
        <w:tc>
          <w:tcPr>
            <w:tcW w:w="417" w:type="pct"/>
            <w:vMerge w:val="restart"/>
            <w:shd w:val="clear" w:color="auto" w:fill="C6D9F1" w:themeFill="text2" w:themeFillTint="33"/>
            <w:vAlign w:val="center"/>
            <w:hideMark/>
          </w:tcPr>
          <w:p w14:paraId="1792282B" w14:textId="77777777" w:rsidR="00C972CB" w:rsidRDefault="002457F6">
            <w:pPr>
              <w:pStyle w:val="P68B1DB1-Normal9"/>
              <w:jc w:val="center"/>
              <w:rPr>
                <w:noProof/>
              </w:rPr>
            </w:pPr>
            <w:r>
              <w:rPr>
                <w:noProof/>
              </w:rPr>
              <w:t>Atskaites punkts/mērķrādītājs</w:t>
            </w:r>
          </w:p>
        </w:tc>
        <w:tc>
          <w:tcPr>
            <w:tcW w:w="464" w:type="pct"/>
            <w:vMerge w:val="restart"/>
            <w:shd w:val="clear" w:color="auto" w:fill="C6D9F1" w:themeFill="text2" w:themeFillTint="33"/>
            <w:vAlign w:val="center"/>
            <w:hideMark/>
          </w:tcPr>
          <w:p w14:paraId="5D1BB33D" w14:textId="77777777" w:rsidR="00C972CB" w:rsidRDefault="002457F6">
            <w:pPr>
              <w:pStyle w:val="P68B1DB1-Normal9"/>
              <w:jc w:val="center"/>
              <w:rPr>
                <w:noProof/>
              </w:rPr>
            </w:pPr>
            <w:r>
              <w:rPr>
                <w:noProof/>
              </w:rPr>
              <w:t>Uzvārds</w:t>
            </w:r>
          </w:p>
        </w:tc>
        <w:tc>
          <w:tcPr>
            <w:tcW w:w="509" w:type="pct"/>
            <w:vMerge w:val="restart"/>
            <w:shd w:val="clear" w:color="auto" w:fill="C6D9F1" w:themeFill="text2" w:themeFillTint="33"/>
            <w:vAlign w:val="center"/>
            <w:hideMark/>
          </w:tcPr>
          <w:p w14:paraId="0AB81F27"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975" w:type="pct"/>
            <w:gridSpan w:val="3"/>
            <w:shd w:val="clear" w:color="auto" w:fill="C6D9F1" w:themeFill="text2" w:themeFillTint="33"/>
            <w:vAlign w:val="center"/>
            <w:hideMark/>
          </w:tcPr>
          <w:p w14:paraId="548FD589"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556" w:type="pct"/>
            <w:gridSpan w:val="2"/>
            <w:shd w:val="clear" w:color="auto" w:fill="C6D9F1" w:themeFill="text2" w:themeFillTint="33"/>
            <w:vAlign w:val="center"/>
            <w:hideMark/>
          </w:tcPr>
          <w:p w14:paraId="2CFFD5B7" w14:textId="77777777" w:rsidR="00C972CB" w:rsidRDefault="002457F6">
            <w:pPr>
              <w:pStyle w:val="P68B1DB1-Normal9"/>
              <w:jc w:val="center"/>
              <w:rPr>
                <w:noProof/>
              </w:rPr>
            </w:pPr>
            <w:r>
              <w:rPr>
                <w:noProof/>
              </w:rPr>
              <w:t>Orientējošs pabeigšanas termiņš</w:t>
            </w:r>
          </w:p>
        </w:tc>
        <w:tc>
          <w:tcPr>
            <w:tcW w:w="1198" w:type="pct"/>
            <w:vMerge w:val="restart"/>
            <w:shd w:val="clear" w:color="auto" w:fill="C6D9F1" w:themeFill="text2" w:themeFillTint="33"/>
            <w:vAlign w:val="center"/>
            <w:hideMark/>
          </w:tcPr>
          <w:p w14:paraId="6DB6AB5D" w14:textId="77777777" w:rsidR="00C972CB" w:rsidRDefault="002457F6">
            <w:pPr>
              <w:pStyle w:val="P68B1DB1-Normal9"/>
              <w:jc w:val="center"/>
              <w:rPr>
                <w:noProof/>
              </w:rPr>
            </w:pPr>
            <w:r>
              <w:rPr>
                <w:noProof/>
              </w:rPr>
              <w:t>Apraksts par katru atska</w:t>
            </w:r>
            <w:r>
              <w:rPr>
                <w:noProof/>
              </w:rPr>
              <w:t>ites punktu un mērķrādītāju</w:t>
            </w:r>
          </w:p>
        </w:tc>
      </w:tr>
      <w:tr w:rsidR="00C972CB" w14:paraId="24260B7A" w14:textId="77777777">
        <w:trPr>
          <w:trHeight w:val="1027"/>
          <w:tblHeader/>
          <w:jc w:val="right"/>
        </w:trPr>
        <w:tc>
          <w:tcPr>
            <w:tcW w:w="369" w:type="pct"/>
            <w:vMerge/>
            <w:vAlign w:val="center"/>
            <w:hideMark/>
          </w:tcPr>
          <w:p w14:paraId="06CDCC5B" w14:textId="77777777" w:rsidR="00C972CB" w:rsidRDefault="00C972CB">
            <w:pPr>
              <w:jc w:val="center"/>
              <w:rPr>
                <w:rFonts w:ascii="Arial Narrow" w:hAnsi="Arial Narrow"/>
                <w:b/>
                <w:noProof/>
                <w:sz w:val="20"/>
              </w:rPr>
            </w:pPr>
          </w:p>
        </w:tc>
        <w:tc>
          <w:tcPr>
            <w:tcW w:w="511" w:type="pct"/>
            <w:vMerge/>
            <w:vAlign w:val="center"/>
            <w:hideMark/>
          </w:tcPr>
          <w:p w14:paraId="20257B27" w14:textId="77777777" w:rsidR="00C972CB" w:rsidRDefault="00C972CB">
            <w:pPr>
              <w:jc w:val="center"/>
              <w:rPr>
                <w:rFonts w:ascii="Arial Narrow" w:hAnsi="Arial Narrow"/>
                <w:b/>
                <w:noProof/>
                <w:sz w:val="20"/>
              </w:rPr>
            </w:pPr>
          </w:p>
        </w:tc>
        <w:tc>
          <w:tcPr>
            <w:tcW w:w="417" w:type="pct"/>
            <w:vMerge/>
            <w:vAlign w:val="center"/>
            <w:hideMark/>
          </w:tcPr>
          <w:p w14:paraId="58F25491" w14:textId="77777777" w:rsidR="00C972CB" w:rsidRDefault="00C972CB">
            <w:pPr>
              <w:jc w:val="center"/>
              <w:rPr>
                <w:rFonts w:ascii="Arial Narrow" w:hAnsi="Arial Narrow"/>
                <w:b/>
                <w:noProof/>
                <w:sz w:val="20"/>
              </w:rPr>
            </w:pPr>
          </w:p>
        </w:tc>
        <w:tc>
          <w:tcPr>
            <w:tcW w:w="464" w:type="pct"/>
            <w:vMerge/>
            <w:vAlign w:val="center"/>
            <w:hideMark/>
          </w:tcPr>
          <w:p w14:paraId="63A330DD" w14:textId="77777777" w:rsidR="00C972CB" w:rsidRDefault="00C972CB">
            <w:pPr>
              <w:jc w:val="center"/>
              <w:rPr>
                <w:rFonts w:ascii="Arial Narrow" w:hAnsi="Arial Narrow"/>
                <w:b/>
                <w:noProof/>
                <w:sz w:val="20"/>
              </w:rPr>
            </w:pPr>
          </w:p>
        </w:tc>
        <w:tc>
          <w:tcPr>
            <w:tcW w:w="509" w:type="pct"/>
            <w:vMerge/>
            <w:vAlign w:val="center"/>
            <w:hideMark/>
          </w:tcPr>
          <w:p w14:paraId="06968799" w14:textId="77777777" w:rsidR="00C972CB" w:rsidRDefault="00C972CB">
            <w:pPr>
              <w:jc w:val="center"/>
              <w:rPr>
                <w:rFonts w:ascii="Arial Narrow" w:hAnsi="Arial Narrow"/>
                <w:b/>
                <w:noProof/>
                <w:sz w:val="20"/>
              </w:rPr>
            </w:pPr>
          </w:p>
        </w:tc>
        <w:tc>
          <w:tcPr>
            <w:tcW w:w="325" w:type="pct"/>
            <w:shd w:val="clear" w:color="auto" w:fill="C6D9F1" w:themeFill="text2" w:themeFillTint="33"/>
            <w:vAlign w:val="center"/>
            <w:hideMark/>
          </w:tcPr>
          <w:p w14:paraId="57DCAEFB" w14:textId="77777777" w:rsidR="00C972CB" w:rsidRDefault="002457F6">
            <w:pPr>
              <w:pStyle w:val="P68B1DB1-Normal9"/>
              <w:jc w:val="center"/>
              <w:rPr>
                <w:noProof/>
              </w:rPr>
            </w:pPr>
            <w:r>
              <w:rPr>
                <w:noProof/>
              </w:rPr>
              <w:t>Mēra vienība</w:t>
            </w:r>
          </w:p>
        </w:tc>
        <w:tc>
          <w:tcPr>
            <w:tcW w:w="371" w:type="pct"/>
            <w:shd w:val="clear" w:color="auto" w:fill="C6D9F1" w:themeFill="text2" w:themeFillTint="33"/>
            <w:vAlign w:val="center"/>
            <w:hideMark/>
          </w:tcPr>
          <w:p w14:paraId="4831A814" w14:textId="77777777" w:rsidR="00C972CB" w:rsidRDefault="002457F6">
            <w:pPr>
              <w:pStyle w:val="P68B1DB1-Normal9"/>
              <w:jc w:val="center"/>
              <w:rPr>
                <w:noProof/>
              </w:rPr>
            </w:pPr>
            <w:r>
              <w:rPr>
                <w:noProof/>
              </w:rPr>
              <w:t>Pamatscenārijs</w:t>
            </w:r>
          </w:p>
        </w:tc>
        <w:tc>
          <w:tcPr>
            <w:tcW w:w="279" w:type="pct"/>
            <w:shd w:val="clear" w:color="auto" w:fill="C6D9F1" w:themeFill="text2" w:themeFillTint="33"/>
            <w:vAlign w:val="center"/>
            <w:hideMark/>
          </w:tcPr>
          <w:p w14:paraId="3409D963" w14:textId="77777777" w:rsidR="00C972CB" w:rsidRDefault="002457F6">
            <w:pPr>
              <w:pStyle w:val="P68B1DB1-Normal9"/>
              <w:jc w:val="center"/>
              <w:rPr>
                <w:noProof/>
              </w:rPr>
            </w:pPr>
            <w:r>
              <w:rPr>
                <w:noProof/>
              </w:rPr>
              <w:t>Mērķis</w:t>
            </w:r>
          </w:p>
        </w:tc>
        <w:tc>
          <w:tcPr>
            <w:tcW w:w="278" w:type="pct"/>
            <w:shd w:val="clear" w:color="auto" w:fill="C6D9F1" w:themeFill="text2" w:themeFillTint="33"/>
            <w:vAlign w:val="center"/>
            <w:hideMark/>
          </w:tcPr>
          <w:p w14:paraId="78E587CC" w14:textId="77777777" w:rsidR="00C972CB" w:rsidRDefault="002457F6">
            <w:pPr>
              <w:pStyle w:val="P68B1DB1-Normal9"/>
              <w:jc w:val="center"/>
              <w:rPr>
                <w:noProof/>
              </w:rPr>
            </w:pPr>
            <w:r>
              <w:rPr>
                <w:noProof/>
              </w:rPr>
              <w:t>Ceturtdaļa</w:t>
            </w:r>
          </w:p>
        </w:tc>
        <w:tc>
          <w:tcPr>
            <w:tcW w:w="278" w:type="pct"/>
            <w:shd w:val="clear" w:color="auto" w:fill="C6D9F1" w:themeFill="text2" w:themeFillTint="33"/>
            <w:vAlign w:val="center"/>
            <w:hideMark/>
          </w:tcPr>
          <w:p w14:paraId="18979F56" w14:textId="77777777" w:rsidR="00C972CB" w:rsidRDefault="002457F6">
            <w:pPr>
              <w:pStyle w:val="P68B1DB1-Normal9"/>
              <w:jc w:val="center"/>
              <w:rPr>
                <w:noProof/>
              </w:rPr>
            </w:pPr>
            <w:r>
              <w:rPr>
                <w:noProof/>
              </w:rPr>
              <w:t>Gadā</w:t>
            </w:r>
          </w:p>
        </w:tc>
        <w:tc>
          <w:tcPr>
            <w:tcW w:w="1198" w:type="pct"/>
            <w:vMerge/>
            <w:vAlign w:val="center"/>
            <w:hideMark/>
          </w:tcPr>
          <w:p w14:paraId="0BC87465" w14:textId="77777777" w:rsidR="00C972CB" w:rsidRDefault="00C972CB">
            <w:pPr>
              <w:jc w:val="center"/>
              <w:rPr>
                <w:rFonts w:ascii="Arial Narrow" w:hAnsi="Arial Narrow"/>
                <w:b/>
                <w:noProof/>
                <w:sz w:val="20"/>
              </w:rPr>
            </w:pPr>
          </w:p>
        </w:tc>
      </w:tr>
      <w:tr w:rsidR="00C972CB" w14:paraId="1B7C6295" w14:textId="77777777">
        <w:trPr>
          <w:trHeight w:val="2818"/>
          <w:jc w:val="right"/>
        </w:trPr>
        <w:tc>
          <w:tcPr>
            <w:tcW w:w="369" w:type="pct"/>
            <w:shd w:val="clear" w:color="auto" w:fill="C6EFCE"/>
            <w:noWrap/>
            <w:vAlign w:val="center"/>
            <w:hideMark/>
          </w:tcPr>
          <w:p w14:paraId="6293176B" w14:textId="77777777" w:rsidR="00C972CB" w:rsidRDefault="002457F6">
            <w:pPr>
              <w:pStyle w:val="P68B1DB1-Normal11"/>
              <w:jc w:val="center"/>
              <w:rPr>
                <w:noProof/>
              </w:rPr>
            </w:pPr>
            <w:r>
              <w:rPr>
                <w:noProof/>
              </w:rPr>
              <w:t>M3C1–1</w:t>
            </w:r>
          </w:p>
        </w:tc>
        <w:tc>
          <w:tcPr>
            <w:tcW w:w="511" w:type="pct"/>
            <w:shd w:val="clear" w:color="auto" w:fill="C6EFCE"/>
            <w:noWrap/>
            <w:vAlign w:val="center"/>
          </w:tcPr>
          <w:p w14:paraId="3FF64461" w14:textId="77777777" w:rsidR="00C972CB" w:rsidRDefault="002457F6">
            <w:pPr>
              <w:pStyle w:val="P68B1DB1-Normal11"/>
              <w:jc w:val="center"/>
              <w:rPr>
                <w:noProof/>
              </w:rPr>
            </w:pPr>
            <w:r>
              <w:rPr>
                <w:noProof/>
              </w:rPr>
              <w:t>Reforma. Nolīguma starp MIT un RFI apstiprināšanas procesa paātrināšana</w:t>
            </w:r>
          </w:p>
        </w:tc>
        <w:tc>
          <w:tcPr>
            <w:tcW w:w="417" w:type="pct"/>
            <w:shd w:val="clear" w:color="auto" w:fill="C6EFCE"/>
            <w:noWrap/>
            <w:vAlign w:val="center"/>
            <w:hideMark/>
          </w:tcPr>
          <w:p w14:paraId="65AA1547" w14:textId="77777777" w:rsidR="00C972CB" w:rsidRDefault="002457F6">
            <w:pPr>
              <w:pStyle w:val="P68B1DB1-Normal11"/>
              <w:jc w:val="center"/>
              <w:rPr>
                <w:noProof/>
              </w:rPr>
            </w:pPr>
            <w:r>
              <w:rPr>
                <w:noProof/>
              </w:rPr>
              <w:t>Starpposma mērķis</w:t>
            </w:r>
          </w:p>
        </w:tc>
        <w:tc>
          <w:tcPr>
            <w:tcW w:w="464" w:type="pct"/>
            <w:shd w:val="clear" w:color="auto" w:fill="C6EFCE"/>
            <w:noWrap/>
            <w:vAlign w:val="center"/>
          </w:tcPr>
          <w:p w14:paraId="48FF2F0B" w14:textId="77777777" w:rsidR="00C972CB" w:rsidRDefault="002457F6">
            <w:pPr>
              <w:pStyle w:val="P68B1DB1-Normal11"/>
              <w:jc w:val="center"/>
              <w:rPr>
                <w:noProof/>
              </w:rPr>
            </w:pPr>
            <w:r>
              <w:rPr>
                <w:noProof/>
              </w:rPr>
              <w:t xml:space="preserve">Stājas spēkā tiesību akta grozījums par Contratti di Programma (CdP) </w:t>
            </w:r>
            <w:r>
              <w:rPr>
                <w:noProof/>
              </w:rPr>
              <w:t>apstiprināšanas procesu</w:t>
            </w:r>
          </w:p>
        </w:tc>
        <w:tc>
          <w:tcPr>
            <w:tcW w:w="509" w:type="pct"/>
            <w:shd w:val="clear" w:color="auto" w:fill="C6EFCE"/>
            <w:noWrap/>
            <w:vAlign w:val="center"/>
            <w:hideMark/>
          </w:tcPr>
          <w:p w14:paraId="00BC8235" w14:textId="77777777" w:rsidR="00C972CB" w:rsidRDefault="002457F6">
            <w:pPr>
              <w:pStyle w:val="P68B1DB1-Normal11"/>
              <w:jc w:val="center"/>
              <w:rPr>
                <w:noProof/>
              </w:rPr>
            </w:pPr>
            <w:r>
              <w:rPr>
                <w:noProof/>
              </w:rPr>
              <w:t>Likuma norma, kas norāda, ka stājas spēkā tiesību akta grozījums par Contratti di Programma apstiprināšanas procesu</w:t>
            </w:r>
          </w:p>
        </w:tc>
        <w:tc>
          <w:tcPr>
            <w:tcW w:w="325" w:type="pct"/>
            <w:shd w:val="clear" w:color="auto" w:fill="C6EFCE"/>
            <w:noWrap/>
            <w:vAlign w:val="center"/>
            <w:hideMark/>
          </w:tcPr>
          <w:p w14:paraId="5ADBCA20" w14:textId="77777777" w:rsidR="00C972CB" w:rsidRDefault="002457F6">
            <w:pPr>
              <w:pStyle w:val="P68B1DB1-Normal11"/>
              <w:jc w:val="center"/>
              <w:rPr>
                <w:noProof/>
              </w:rPr>
            </w:pPr>
            <w:r>
              <w:rPr>
                <w:noProof/>
              </w:rPr>
              <w:t>NEPIEMĒRO</w:t>
            </w:r>
          </w:p>
        </w:tc>
        <w:tc>
          <w:tcPr>
            <w:tcW w:w="371" w:type="pct"/>
            <w:shd w:val="clear" w:color="auto" w:fill="C6EFCE"/>
            <w:noWrap/>
            <w:vAlign w:val="center"/>
          </w:tcPr>
          <w:p w14:paraId="3CE6012C" w14:textId="77777777" w:rsidR="00C972CB" w:rsidRDefault="002457F6">
            <w:pPr>
              <w:pStyle w:val="P68B1DB1-Normal11"/>
              <w:jc w:val="center"/>
              <w:rPr>
                <w:noProof/>
              </w:rPr>
            </w:pPr>
            <w:r>
              <w:rPr>
                <w:noProof/>
              </w:rPr>
              <w:t>NEPIEMĒRO</w:t>
            </w:r>
          </w:p>
        </w:tc>
        <w:tc>
          <w:tcPr>
            <w:tcW w:w="279" w:type="pct"/>
            <w:shd w:val="clear" w:color="auto" w:fill="C6EFCE"/>
            <w:noWrap/>
            <w:vAlign w:val="center"/>
          </w:tcPr>
          <w:p w14:paraId="5EC7C83A" w14:textId="77777777" w:rsidR="00C972CB" w:rsidRDefault="002457F6">
            <w:pPr>
              <w:pStyle w:val="P68B1DB1-Normal11"/>
              <w:jc w:val="center"/>
              <w:rPr>
                <w:noProof/>
              </w:rPr>
            </w:pPr>
            <w:r>
              <w:rPr>
                <w:noProof/>
              </w:rPr>
              <w:t>NEPIEMĒRO</w:t>
            </w:r>
          </w:p>
        </w:tc>
        <w:tc>
          <w:tcPr>
            <w:tcW w:w="278" w:type="pct"/>
            <w:shd w:val="clear" w:color="auto" w:fill="C6EFCE"/>
            <w:noWrap/>
            <w:vAlign w:val="center"/>
            <w:hideMark/>
          </w:tcPr>
          <w:p w14:paraId="315951B5" w14:textId="77777777" w:rsidR="00C972CB" w:rsidRDefault="002457F6">
            <w:pPr>
              <w:pStyle w:val="P68B1DB1-Normal11"/>
              <w:jc w:val="center"/>
              <w:rPr>
                <w:noProof/>
              </w:rPr>
            </w:pPr>
            <w:r>
              <w:rPr>
                <w:noProof/>
              </w:rPr>
              <w:t>4. CET.</w:t>
            </w:r>
          </w:p>
        </w:tc>
        <w:tc>
          <w:tcPr>
            <w:tcW w:w="278" w:type="pct"/>
            <w:shd w:val="clear" w:color="auto" w:fill="C6EFCE"/>
            <w:noWrap/>
            <w:vAlign w:val="center"/>
            <w:hideMark/>
          </w:tcPr>
          <w:p w14:paraId="4AA0512A" w14:textId="77777777" w:rsidR="00C972CB" w:rsidRDefault="002457F6">
            <w:pPr>
              <w:pStyle w:val="P68B1DB1-Normal11"/>
              <w:jc w:val="center"/>
              <w:rPr>
                <w:noProof/>
              </w:rPr>
            </w:pPr>
            <w:r>
              <w:rPr>
                <w:noProof/>
              </w:rPr>
              <w:t>2021</w:t>
            </w:r>
          </w:p>
        </w:tc>
        <w:tc>
          <w:tcPr>
            <w:tcW w:w="1198" w:type="pct"/>
            <w:shd w:val="clear" w:color="auto" w:fill="C6EFCE"/>
            <w:noWrap/>
            <w:vAlign w:val="center"/>
            <w:hideMark/>
          </w:tcPr>
          <w:p w14:paraId="03568BE2" w14:textId="77777777" w:rsidR="00C972CB" w:rsidRDefault="002457F6">
            <w:pPr>
              <w:pStyle w:val="P68B1DB1-ListParagraph13"/>
              <w:ind w:left="40"/>
              <w:jc w:val="left"/>
              <w:rPr>
                <w:noProof/>
              </w:rPr>
            </w:pPr>
            <w:r>
              <w:rPr>
                <w:noProof/>
              </w:rPr>
              <w:t xml:space="preserve">Tiesību akta grozījums saīsina dzelzceļa infrastruktūras pārvaldītāja </w:t>
            </w:r>
            <w:r>
              <w:rPr>
                <w:i/>
                <w:noProof/>
              </w:rPr>
              <w:t>Ret</w:t>
            </w:r>
            <w:r>
              <w:rPr>
                <w:i/>
                <w:noProof/>
              </w:rPr>
              <w:t>e Ferroviaria Italiana</w:t>
            </w:r>
            <w:r>
              <w:rPr>
                <w:noProof/>
              </w:rPr>
              <w:t>Conratti di Programma (CdP) apstiprināšanas laiku.</w:t>
            </w:r>
          </w:p>
          <w:p w14:paraId="2A41057D" w14:textId="77777777" w:rsidR="00C972CB" w:rsidRDefault="00C972CB">
            <w:pPr>
              <w:rPr>
                <w:rFonts w:ascii="Arial Narrow" w:hAnsi="Arial Narrow"/>
                <w:noProof/>
                <w:color w:val="006100"/>
                <w:sz w:val="20"/>
              </w:rPr>
            </w:pPr>
          </w:p>
        </w:tc>
      </w:tr>
      <w:tr w:rsidR="00C972CB" w14:paraId="20DBF3BC" w14:textId="77777777">
        <w:trPr>
          <w:trHeight w:val="3100"/>
          <w:jc w:val="right"/>
        </w:trPr>
        <w:tc>
          <w:tcPr>
            <w:tcW w:w="369" w:type="pct"/>
            <w:shd w:val="clear" w:color="auto" w:fill="C6EFCE"/>
            <w:noWrap/>
            <w:vAlign w:val="center"/>
            <w:hideMark/>
          </w:tcPr>
          <w:p w14:paraId="0DDE9D43" w14:textId="77777777" w:rsidR="00C972CB" w:rsidRDefault="002457F6">
            <w:pPr>
              <w:pStyle w:val="P68B1DB1-Normal11"/>
              <w:jc w:val="center"/>
              <w:rPr>
                <w:noProof/>
              </w:rPr>
            </w:pPr>
            <w:r>
              <w:rPr>
                <w:noProof/>
              </w:rPr>
              <w:t>M3C1–2</w:t>
            </w:r>
          </w:p>
        </w:tc>
        <w:tc>
          <w:tcPr>
            <w:tcW w:w="511" w:type="pct"/>
            <w:shd w:val="clear" w:color="auto" w:fill="C6EFCE"/>
            <w:noWrap/>
            <w:vAlign w:val="center"/>
          </w:tcPr>
          <w:p w14:paraId="3043D07C" w14:textId="77777777" w:rsidR="00C972CB" w:rsidRDefault="002457F6">
            <w:pPr>
              <w:pStyle w:val="P68B1DB1-Normal11"/>
              <w:jc w:val="center"/>
              <w:rPr>
                <w:noProof/>
              </w:rPr>
            </w:pPr>
            <w:r>
              <w:rPr>
                <w:noProof/>
              </w:rPr>
              <w:t>Reforma. Projektu apstiprināšanas procesa paātrināšana</w:t>
            </w:r>
          </w:p>
        </w:tc>
        <w:tc>
          <w:tcPr>
            <w:tcW w:w="417" w:type="pct"/>
            <w:shd w:val="clear" w:color="auto" w:fill="C6EFCE"/>
            <w:noWrap/>
            <w:vAlign w:val="center"/>
            <w:hideMark/>
          </w:tcPr>
          <w:p w14:paraId="34A1E0EA" w14:textId="77777777" w:rsidR="00C972CB" w:rsidRDefault="002457F6">
            <w:pPr>
              <w:pStyle w:val="P68B1DB1-Normal11"/>
              <w:jc w:val="center"/>
              <w:rPr>
                <w:noProof/>
              </w:rPr>
            </w:pPr>
            <w:r>
              <w:rPr>
                <w:noProof/>
              </w:rPr>
              <w:t>Starpposma mērķis</w:t>
            </w:r>
          </w:p>
        </w:tc>
        <w:tc>
          <w:tcPr>
            <w:tcW w:w="464" w:type="pct"/>
            <w:shd w:val="clear" w:color="auto" w:fill="C6EFCE"/>
            <w:noWrap/>
            <w:vAlign w:val="center"/>
          </w:tcPr>
          <w:p w14:paraId="413E4FDE" w14:textId="77777777" w:rsidR="00C972CB" w:rsidRDefault="002457F6">
            <w:pPr>
              <w:pStyle w:val="P68B1DB1-Normal11"/>
              <w:jc w:val="center"/>
              <w:rPr>
                <w:noProof/>
              </w:rPr>
            </w:pPr>
            <w:r>
              <w:rPr>
                <w:noProof/>
              </w:rPr>
              <w:t>Tādu regulatīvu izmaiņu stāšanās spēkā, kas samazina atļauju piešķiršanas laiku projektiem no 11 līdz</w:t>
            </w:r>
            <w:r>
              <w:rPr>
                <w:noProof/>
              </w:rPr>
              <w:t xml:space="preserve"> sešiem mēnešiem</w:t>
            </w:r>
          </w:p>
        </w:tc>
        <w:tc>
          <w:tcPr>
            <w:tcW w:w="509" w:type="pct"/>
            <w:shd w:val="clear" w:color="auto" w:fill="C6EFCE"/>
            <w:noWrap/>
            <w:vAlign w:val="center"/>
            <w:hideMark/>
          </w:tcPr>
          <w:p w14:paraId="0E8ACFD8" w14:textId="77777777" w:rsidR="00C972CB" w:rsidRDefault="002457F6">
            <w:pPr>
              <w:pStyle w:val="P68B1DB1-Normal11"/>
              <w:jc w:val="center"/>
              <w:rPr>
                <w:noProof/>
              </w:rPr>
            </w:pPr>
            <w:r>
              <w:rPr>
                <w:noProof/>
              </w:rPr>
              <w:t>Likuma noteikums, kas norāda, ka stājas spēkā regulatīvās izmaiņas, kas samazina atļaujas piešķiršanas laiku no 11 līdz sešiem mēnešiem.</w:t>
            </w:r>
          </w:p>
        </w:tc>
        <w:tc>
          <w:tcPr>
            <w:tcW w:w="325" w:type="pct"/>
            <w:shd w:val="clear" w:color="auto" w:fill="C6EFCE"/>
            <w:noWrap/>
            <w:vAlign w:val="center"/>
            <w:hideMark/>
          </w:tcPr>
          <w:p w14:paraId="7E543CEC" w14:textId="77777777" w:rsidR="00C972CB" w:rsidRDefault="002457F6">
            <w:pPr>
              <w:pStyle w:val="P68B1DB1-Normal11"/>
              <w:jc w:val="center"/>
              <w:rPr>
                <w:noProof/>
              </w:rPr>
            </w:pPr>
            <w:r>
              <w:rPr>
                <w:noProof/>
              </w:rPr>
              <w:t>NEPIEMĒRO</w:t>
            </w:r>
          </w:p>
        </w:tc>
        <w:tc>
          <w:tcPr>
            <w:tcW w:w="371" w:type="pct"/>
            <w:shd w:val="clear" w:color="auto" w:fill="C6EFCE"/>
            <w:noWrap/>
            <w:vAlign w:val="center"/>
          </w:tcPr>
          <w:p w14:paraId="00B2376E" w14:textId="77777777" w:rsidR="00C972CB" w:rsidRDefault="002457F6">
            <w:pPr>
              <w:pStyle w:val="P68B1DB1-Normal11"/>
              <w:jc w:val="center"/>
              <w:rPr>
                <w:noProof/>
              </w:rPr>
            </w:pPr>
            <w:r>
              <w:rPr>
                <w:noProof/>
              </w:rPr>
              <w:t>NEPIEMĒRO</w:t>
            </w:r>
          </w:p>
        </w:tc>
        <w:tc>
          <w:tcPr>
            <w:tcW w:w="279" w:type="pct"/>
            <w:shd w:val="clear" w:color="auto" w:fill="C6EFCE"/>
            <w:noWrap/>
            <w:vAlign w:val="center"/>
          </w:tcPr>
          <w:p w14:paraId="500516A8" w14:textId="77777777" w:rsidR="00C972CB" w:rsidRDefault="002457F6">
            <w:pPr>
              <w:pStyle w:val="P68B1DB1-Normal11"/>
              <w:jc w:val="center"/>
              <w:rPr>
                <w:noProof/>
              </w:rPr>
            </w:pPr>
            <w:r>
              <w:rPr>
                <w:noProof/>
              </w:rPr>
              <w:t>NEPIEMĒRO</w:t>
            </w:r>
          </w:p>
        </w:tc>
        <w:tc>
          <w:tcPr>
            <w:tcW w:w="278" w:type="pct"/>
            <w:shd w:val="clear" w:color="auto" w:fill="C6EFCE"/>
            <w:noWrap/>
            <w:vAlign w:val="center"/>
            <w:hideMark/>
          </w:tcPr>
          <w:p w14:paraId="6E42FE80" w14:textId="77777777" w:rsidR="00C972CB" w:rsidRDefault="002457F6">
            <w:pPr>
              <w:pStyle w:val="P68B1DB1-Normal11"/>
              <w:jc w:val="center"/>
              <w:rPr>
                <w:noProof/>
              </w:rPr>
            </w:pPr>
            <w:r>
              <w:rPr>
                <w:noProof/>
              </w:rPr>
              <w:t>4. CET.</w:t>
            </w:r>
          </w:p>
        </w:tc>
        <w:tc>
          <w:tcPr>
            <w:tcW w:w="278" w:type="pct"/>
            <w:shd w:val="clear" w:color="auto" w:fill="C6EFCE"/>
            <w:noWrap/>
            <w:vAlign w:val="center"/>
            <w:hideMark/>
          </w:tcPr>
          <w:p w14:paraId="1B2A6725" w14:textId="77777777" w:rsidR="00C972CB" w:rsidRDefault="002457F6">
            <w:pPr>
              <w:pStyle w:val="P68B1DB1-Normal11"/>
              <w:jc w:val="center"/>
              <w:rPr>
                <w:noProof/>
              </w:rPr>
            </w:pPr>
            <w:r>
              <w:rPr>
                <w:noProof/>
              </w:rPr>
              <w:t>2021</w:t>
            </w:r>
          </w:p>
        </w:tc>
        <w:tc>
          <w:tcPr>
            <w:tcW w:w="1198" w:type="pct"/>
            <w:shd w:val="clear" w:color="auto" w:fill="C6EFCE"/>
            <w:noWrap/>
            <w:vAlign w:val="center"/>
            <w:hideMark/>
          </w:tcPr>
          <w:p w14:paraId="44C3A69F" w14:textId="77777777" w:rsidR="00C972CB" w:rsidRDefault="002457F6">
            <w:pPr>
              <w:pStyle w:val="P68B1DB1-Normal11"/>
              <w:spacing w:before="100" w:beforeAutospacing="1" w:after="165"/>
              <w:rPr>
                <w:noProof/>
              </w:rPr>
            </w:pPr>
            <w:r>
              <w:rPr>
                <w:noProof/>
              </w:rPr>
              <w:t xml:space="preserve">Regulatīvās izmaiņas samazina atļauju piešķiršanas laiku </w:t>
            </w:r>
            <w:r>
              <w:rPr>
                <w:noProof/>
              </w:rPr>
              <w:t>projektiem no 11 līdz sešiem mēnešiem.</w:t>
            </w:r>
          </w:p>
        </w:tc>
      </w:tr>
      <w:tr w:rsidR="00C972CB" w14:paraId="2B8B5520" w14:textId="77777777">
        <w:trPr>
          <w:trHeight w:val="313"/>
          <w:jc w:val="right"/>
        </w:trPr>
        <w:tc>
          <w:tcPr>
            <w:tcW w:w="369" w:type="pct"/>
            <w:shd w:val="clear" w:color="auto" w:fill="C6EFCE"/>
            <w:noWrap/>
            <w:vAlign w:val="center"/>
            <w:hideMark/>
          </w:tcPr>
          <w:p w14:paraId="31224233" w14:textId="77777777" w:rsidR="00C972CB" w:rsidRDefault="002457F6">
            <w:pPr>
              <w:pStyle w:val="P68B1DB1-Normal11"/>
              <w:jc w:val="center"/>
              <w:rPr>
                <w:noProof/>
              </w:rPr>
            </w:pPr>
            <w:r>
              <w:rPr>
                <w:noProof/>
              </w:rPr>
              <w:t>M3C1–3</w:t>
            </w:r>
          </w:p>
        </w:tc>
        <w:tc>
          <w:tcPr>
            <w:tcW w:w="511" w:type="pct"/>
            <w:shd w:val="clear" w:color="auto" w:fill="C6EFCE"/>
            <w:noWrap/>
            <w:vAlign w:val="center"/>
            <w:hideMark/>
          </w:tcPr>
          <w:p w14:paraId="0A525C46" w14:textId="77777777" w:rsidR="00C972CB" w:rsidRDefault="002457F6">
            <w:pPr>
              <w:pStyle w:val="P68B1DB1-Normal11"/>
              <w:jc w:val="center"/>
              <w:rPr>
                <w:noProof/>
              </w:rPr>
            </w:pPr>
            <w:r>
              <w:rPr>
                <w:noProof/>
              </w:rPr>
              <w:t>Ieguldījums 1.1 — ātrgaitas dzelzceļa savienojumi ar dienvidiem pasažieru un kravu pārvadājumiem</w:t>
            </w:r>
          </w:p>
        </w:tc>
        <w:tc>
          <w:tcPr>
            <w:tcW w:w="417" w:type="pct"/>
            <w:shd w:val="clear" w:color="auto" w:fill="C6EFCE"/>
            <w:noWrap/>
            <w:vAlign w:val="center"/>
            <w:hideMark/>
          </w:tcPr>
          <w:p w14:paraId="14AA9052" w14:textId="77777777" w:rsidR="00C972CB" w:rsidRDefault="002457F6">
            <w:pPr>
              <w:pStyle w:val="P68B1DB1-Normal11"/>
              <w:jc w:val="center"/>
              <w:rPr>
                <w:noProof/>
              </w:rPr>
            </w:pPr>
            <w:r>
              <w:rPr>
                <w:noProof/>
              </w:rPr>
              <w:t>Starpposma mērķis</w:t>
            </w:r>
          </w:p>
        </w:tc>
        <w:tc>
          <w:tcPr>
            <w:tcW w:w="464" w:type="pct"/>
            <w:shd w:val="clear" w:color="auto" w:fill="C6EFCE"/>
            <w:noWrap/>
            <w:vAlign w:val="center"/>
            <w:hideMark/>
          </w:tcPr>
          <w:p w14:paraId="6E6F57AD" w14:textId="77777777" w:rsidR="00C972CB" w:rsidRDefault="002457F6">
            <w:pPr>
              <w:pStyle w:val="P68B1DB1-Normal11"/>
              <w:jc w:val="center"/>
              <w:rPr>
                <w:noProof/>
              </w:rPr>
            </w:pPr>
            <w:r>
              <w:rPr>
                <w:noProof/>
              </w:rPr>
              <w:t xml:space="preserve">Līguma slēgšanas tiesību piešķiršana ātrgaitas dzelzceļa būvniecībai līnijās Napoli-Bari un </w:t>
            </w:r>
            <w:r>
              <w:rPr>
                <w:noProof/>
              </w:rPr>
              <w:t>Palermo-Catania</w:t>
            </w:r>
          </w:p>
        </w:tc>
        <w:tc>
          <w:tcPr>
            <w:tcW w:w="509" w:type="pct"/>
            <w:shd w:val="clear" w:color="auto" w:fill="C6EFCE"/>
            <w:noWrap/>
            <w:vAlign w:val="center"/>
            <w:hideMark/>
          </w:tcPr>
          <w:p w14:paraId="40838966" w14:textId="77777777" w:rsidR="00C972CB" w:rsidRDefault="002457F6">
            <w:pPr>
              <w:pStyle w:val="P68B1DB1-Normal11"/>
              <w:jc w:val="center"/>
              <w:rPr>
                <w:noProof/>
              </w:rPr>
            </w:pPr>
            <w:r>
              <w:rPr>
                <w:noProof/>
              </w:rPr>
              <w:t>Paziņojums par visu publiskā iepirkuma līgumu slēgšanas tiesību piešķiršanu ātrgaitas dzelzceļa būvniecībai līnijās Napoli-Bari un Palermo-Katānija</w:t>
            </w:r>
          </w:p>
        </w:tc>
        <w:tc>
          <w:tcPr>
            <w:tcW w:w="325" w:type="pct"/>
            <w:shd w:val="clear" w:color="auto" w:fill="C6EFCE"/>
            <w:noWrap/>
            <w:vAlign w:val="center"/>
            <w:hideMark/>
          </w:tcPr>
          <w:p w14:paraId="113AEA25" w14:textId="77777777" w:rsidR="00C972CB" w:rsidRDefault="002457F6">
            <w:pPr>
              <w:pStyle w:val="P68B1DB1-Normal11"/>
              <w:jc w:val="center"/>
              <w:rPr>
                <w:noProof/>
              </w:rPr>
            </w:pPr>
            <w:r>
              <w:rPr>
                <w:noProof/>
              </w:rPr>
              <w:t>NEPIEMĒRO</w:t>
            </w:r>
          </w:p>
        </w:tc>
        <w:tc>
          <w:tcPr>
            <w:tcW w:w="371" w:type="pct"/>
            <w:shd w:val="clear" w:color="auto" w:fill="C6EFCE"/>
            <w:noWrap/>
            <w:vAlign w:val="center"/>
            <w:hideMark/>
          </w:tcPr>
          <w:p w14:paraId="1C3549FC" w14:textId="77777777" w:rsidR="00C972CB" w:rsidRDefault="002457F6">
            <w:pPr>
              <w:pStyle w:val="P68B1DB1-Normal11"/>
              <w:jc w:val="center"/>
              <w:rPr>
                <w:noProof/>
              </w:rPr>
            </w:pPr>
            <w:r>
              <w:rPr>
                <w:noProof/>
              </w:rPr>
              <w:t>NEPIEMĒRO</w:t>
            </w:r>
          </w:p>
        </w:tc>
        <w:tc>
          <w:tcPr>
            <w:tcW w:w="279" w:type="pct"/>
            <w:shd w:val="clear" w:color="auto" w:fill="C6EFCE"/>
            <w:noWrap/>
            <w:vAlign w:val="center"/>
            <w:hideMark/>
          </w:tcPr>
          <w:p w14:paraId="43641965" w14:textId="77777777" w:rsidR="00C972CB" w:rsidRDefault="002457F6">
            <w:pPr>
              <w:pStyle w:val="P68B1DB1-Normal11"/>
              <w:jc w:val="center"/>
              <w:rPr>
                <w:noProof/>
              </w:rPr>
            </w:pPr>
            <w:r>
              <w:rPr>
                <w:noProof/>
              </w:rPr>
              <w:t>NEPIEMĒRO</w:t>
            </w:r>
          </w:p>
        </w:tc>
        <w:tc>
          <w:tcPr>
            <w:tcW w:w="278" w:type="pct"/>
            <w:shd w:val="clear" w:color="auto" w:fill="C6EFCE"/>
            <w:noWrap/>
            <w:vAlign w:val="center"/>
            <w:hideMark/>
          </w:tcPr>
          <w:p w14:paraId="722F1127" w14:textId="77777777" w:rsidR="00C972CB" w:rsidRDefault="002457F6">
            <w:pPr>
              <w:pStyle w:val="P68B1DB1-Normal11"/>
              <w:jc w:val="center"/>
              <w:rPr>
                <w:noProof/>
              </w:rPr>
            </w:pPr>
            <w:r>
              <w:rPr>
                <w:noProof/>
              </w:rPr>
              <w:t>4. CET.</w:t>
            </w:r>
          </w:p>
        </w:tc>
        <w:tc>
          <w:tcPr>
            <w:tcW w:w="278" w:type="pct"/>
            <w:shd w:val="clear" w:color="auto" w:fill="C6EFCE"/>
            <w:noWrap/>
            <w:vAlign w:val="center"/>
            <w:hideMark/>
          </w:tcPr>
          <w:p w14:paraId="12B200BA" w14:textId="77777777" w:rsidR="00C972CB" w:rsidRDefault="002457F6">
            <w:pPr>
              <w:pStyle w:val="P68B1DB1-Normal11"/>
              <w:jc w:val="center"/>
              <w:rPr>
                <w:noProof/>
              </w:rPr>
            </w:pPr>
            <w:r>
              <w:rPr>
                <w:noProof/>
              </w:rPr>
              <w:t>2022</w:t>
            </w:r>
          </w:p>
        </w:tc>
        <w:tc>
          <w:tcPr>
            <w:tcW w:w="1198" w:type="pct"/>
            <w:shd w:val="clear" w:color="auto" w:fill="C6EFCE"/>
            <w:noWrap/>
            <w:vAlign w:val="center"/>
            <w:hideMark/>
          </w:tcPr>
          <w:p w14:paraId="51D2A747" w14:textId="77777777" w:rsidR="00C972CB" w:rsidRDefault="002457F6">
            <w:pPr>
              <w:pStyle w:val="P68B1DB1-Normal11"/>
              <w:spacing w:before="120" w:after="120"/>
              <w:rPr>
                <w:noProof/>
              </w:rPr>
            </w:pPr>
            <w:r>
              <w:rPr>
                <w:noProof/>
              </w:rPr>
              <w:t xml:space="preserve">Paziņojums par visu publiskā iepirkuma līgumu </w:t>
            </w:r>
            <w:r>
              <w:rPr>
                <w:noProof/>
              </w:rPr>
              <w:t>slēgšanas tiesību piešķiršanu ātrgaitas dzelzceļa būvniecībai līnijās Napoli-Bari un Palermo-Catania, pilnībā ievērojot publiskā iepirkuma noteikumus</w:t>
            </w:r>
          </w:p>
          <w:p w14:paraId="1968221E" w14:textId="77777777" w:rsidR="00C972CB" w:rsidRDefault="002457F6">
            <w:pPr>
              <w:pStyle w:val="P68B1DB1-Normal11"/>
              <w:spacing w:before="120" w:after="120"/>
              <w:rPr>
                <w:noProof/>
              </w:rPr>
            </w:pPr>
            <w:r>
              <w:rPr>
                <w:noProof/>
              </w:rPr>
              <w:t>Līgums(-i) attiecas uz šādām šo pozīciju daļām:</w:t>
            </w:r>
          </w:p>
          <w:p w14:paraId="4AF18BC6" w14:textId="77777777" w:rsidR="00C972CB" w:rsidRDefault="002457F6">
            <w:pPr>
              <w:pStyle w:val="P68B1DB1-Normal11"/>
              <w:spacing w:before="120" w:after="120"/>
              <w:rPr>
                <w:noProof/>
              </w:rPr>
            </w:pPr>
            <w:r>
              <w:rPr>
                <w:noProof/>
              </w:rPr>
              <w:t>Neapole-Bari līnija: Orsara-Bovino</w:t>
            </w:r>
          </w:p>
          <w:p w14:paraId="2F8C1195" w14:textId="4AF652BD" w:rsidR="00C972CB" w:rsidRDefault="002457F6">
            <w:pPr>
              <w:pStyle w:val="P68B1DB1-Normal11"/>
              <w:spacing w:before="120" w:after="120"/>
              <w:rPr>
                <w:noProof/>
              </w:rPr>
            </w:pPr>
            <w:r>
              <w:rPr>
                <w:noProof/>
              </w:rPr>
              <w:t>Palermo-Katānijas līnij</w:t>
            </w:r>
            <w:r>
              <w:rPr>
                <w:noProof/>
              </w:rPr>
              <w:t>a:  Catenanuova — Dittaino un Dittaino — Enna</w:t>
            </w:r>
          </w:p>
        </w:tc>
      </w:tr>
      <w:tr w:rsidR="00C972CB" w14:paraId="1F16674D" w14:textId="77777777">
        <w:trPr>
          <w:trHeight w:val="313"/>
          <w:jc w:val="right"/>
        </w:trPr>
        <w:tc>
          <w:tcPr>
            <w:tcW w:w="369" w:type="pct"/>
            <w:shd w:val="clear" w:color="auto" w:fill="C6EFCE"/>
            <w:noWrap/>
            <w:vAlign w:val="center"/>
            <w:hideMark/>
          </w:tcPr>
          <w:p w14:paraId="1B4D77DB" w14:textId="77777777" w:rsidR="00C972CB" w:rsidRDefault="002457F6">
            <w:pPr>
              <w:pStyle w:val="P68B1DB1-Normal11"/>
              <w:jc w:val="center"/>
              <w:rPr>
                <w:noProof/>
              </w:rPr>
            </w:pPr>
            <w:r>
              <w:rPr>
                <w:noProof/>
              </w:rPr>
              <w:t>M3C1–4</w:t>
            </w:r>
          </w:p>
        </w:tc>
        <w:tc>
          <w:tcPr>
            <w:tcW w:w="511" w:type="pct"/>
            <w:shd w:val="clear" w:color="auto" w:fill="C6EFCE"/>
            <w:noWrap/>
            <w:vAlign w:val="center"/>
            <w:hideMark/>
          </w:tcPr>
          <w:p w14:paraId="05FBCE20" w14:textId="77777777" w:rsidR="00C972CB" w:rsidRDefault="002457F6">
            <w:pPr>
              <w:pStyle w:val="P68B1DB1-Normal11"/>
              <w:jc w:val="center"/>
              <w:rPr>
                <w:noProof/>
              </w:rPr>
            </w:pPr>
            <w:r>
              <w:rPr>
                <w:noProof/>
              </w:rPr>
              <w:t>Ieguldījums 1.1 — ātrgaitas dzelzceļa savienojumi ar dienvidiem pasažieru un kravu pārvadājumiem</w:t>
            </w:r>
          </w:p>
        </w:tc>
        <w:tc>
          <w:tcPr>
            <w:tcW w:w="417" w:type="pct"/>
            <w:shd w:val="clear" w:color="auto" w:fill="C6EFCE"/>
            <w:noWrap/>
            <w:vAlign w:val="center"/>
            <w:hideMark/>
          </w:tcPr>
          <w:p w14:paraId="281F52A1" w14:textId="77777777" w:rsidR="00C972CB" w:rsidRDefault="002457F6">
            <w:pPr>
              <w:pStyle w:val="P68B1DB1-Normal11"/>
              <w:jc w:val="center"/>
              <w:rPr>
                <w:noProof/>
              </w:rPr>
            </w:pPr>
            <w:r>
              <w:rPr>
                <w:noProof/>
              </w:rPr>
              <w:t>Starpposma mērķis</w:t>
            </w:r>
          </w:p>
        </w:tc>
        <w:tc>
          <w:tcPr>
            <w:tcW w:w="464" w:type="pct"/>
            <w:shd w:val="clear" w:color="auto" w:fill="C6EFCE"/>
            <w:noWrap/>
            <w:vAlign w:val="center"/>
            <w:hideMark/>
          </w:tcPr>
          <w:p w14:paraId="54B1BC62" w14:textId="77777777" w:rsidR="00C972CB" w:rsidRDefault="002457F6">
            <w:pPr>
              <w:pStyle w:val="P68B1DB1-Normal11"/>
              <w:jc w:val="center"/>
              <w:rPr>
                <w:noProof/>
              </w:rPr>
            </w:pPr>
            <w:r>
              <w:rPr>
                <w:noProof/>
              </w:rPr>
              <w:t xml:space="preserve">Līguma slēgšanas tiesību piešķiršana ātrgaitas dzelzceļa būvniecībai līnijās Salerno </w:t>
            </w:r>
            <w:r>
              <w:rPr>
                <w:noProof/>
              </w:rPr>
              <w:t>Reggio Calabria</w:t>
            </w:r>
          </w:p>
        </w:tc>
        <w:tc>
          <w:tcPr>
            <w:tcW w:w="509" w:type="pct"/>
            <w:shd w:val="clear" w:color="auto" w:fill="C6EFCE"/>
            <w:noWrap/>
            <w:vAlign w:val="center"/>
            <w:hideMark/>
          </w:tcPr>
          <w:p w14:paraId="4194E9E5" w14:textId="77777777" w:rsidR="00C972CB" w:rsidRDefault="002457F6">
            <w:pPr>
              <w:pStyle w:val="P68B1DB1-Normal19"/>
              <w:jc w:val="center"/>
              <w:rPr>
                <w:noProof/>
                <w:color w:val="006100"/>
              </w:rPr>
            </w:pPr>
            <w:r>
              <w:rPr>
                <w:noProof/>
                <w:color w:val="006100"/>
              </w:rPr>
              <w:t xml:space="preserve">Paziņojums par daudznozaru līguma slēgšanas tiesību piešķiršanuātrgaitas dzelzceļa būvniecībai līnijā Salerno-Reggio Calabria </w:t>
            </w:r>
          </w:p>
        </w:tc>
        <w:tc>
          <w:tcPr>
            <w:tcW w:w="325" w:type="pct"/>
            <w:shd w:val="clear" w:color="auto" w:fill="C6EFCE"/>
            <w:noWrap/>
            <w:vAlign w:val="center"/>
            <w:hideMark/>
          </w:tcPr>
          <w:p w14:paraId="08DDDE6C" w14:textId="77777777" w:rsidR="00C972CB" w:rsidRDefault="002457F6">
            <w:pPr>
              <w:pStyle w:val="P68B1DB1-Normal11"/>
              <w:jc w:val="center"/>
              <w:rPr>
                <w:noProof/>
              </w:rPr>
            </w:pPr>
            <w:r>
              <w:rPr>
                <w:noProof/>
              </w:rPr>
              <w:t>NEPIEMĒRO</w:t>
            </w:r>
          </w:p>
        </w:tc>
        <w:tc>
          <w:tcPr>
            <w:tcW w:w="371" w:type="pct"/>
            <w:shd w:val="clear" w:color="auto" w:fill="C6EFCE"/>
            <w:noWrap/>
            <w:vAlign w:val="center"/>
            <w:hideMark/>
          </w:tcPr>
          <w:p w14:paraId="42AA7BBF" w14:textId="77777777" w:rsidR="00C972CB" w:rsidRDefault="002457F6">
            <w:pPr>
              <w:pStyle w:val="P68B1DB1-Normal11"/>
              <w:jc w:val="center"/>
              <w:rPr>
                <w:noProof/>
              </w:rPr>
            </w:pPr>
            <w:r>
              <w:rPr>
                <w:noProof/>
              </w:rPr>
              <w:t>NEPIEMĒRO</w:t>
            </w:r>
          </w:p>
        </w:tc>
        <w:tc>
          <w:tcPr>
            <w:tcW w:w="279" w:type="pct"/>
            <w:shd w:val="clear" w:color="auto" w:fill="C6EFCE"/>
            <w:noWrap/>
            <w:vAlign w:val="center"/>
            <w:hideMark/>
          </w:tcPr>
          <w:p w14:paraId="215A362A" w14:textId="77777777" w:rsidR="00C972CB" w:rsidRDefault="002457F6">
            <w:pPr>
              <w:pStyle w:val="P68B1DB1-Normal11"/>
              <w:jc w:val="center"/>
              <w:rPr>
                <w:noProof/>
              </w:rPr>
            </w:pPr>
            <w:r>
              <w:rPr>
                <w:noProof/>
              </w:rPr>
              <w:t>NEPIEMĒRO</w:t>
            </w:r>
          </w:p>
        </w:tc>
        <w:tc>
          <w:tcPr>
            <w:tcW w:w="278" w:type="pct"/>
            <w:shd w:val="clear" w:color="auto" w:fill="C6EFCE"/>
            <w:noWrap/>
            <w:vAlign w:val="center"/>
            <w:hideMark/>
          </w:tcPr>
          <w:p w14:paraId="1CDCB2B1" w14:textId="6BC256D1" w:rsidR="00C972CB" w:rsidRDefault="002457F6">
            <w:pPr>
              <w:pStyle w:val="P68B1DB1-Normal11"/>
              <w:jc w:val="center"/>
              <w:rPr>
                <w:noProof/>
              </w:rPr>
            </w:pPr>
            <w:r>
              <w:rPr>
                <w:noProof/>
              </w:rPr>
              <w:t>4. CET.</w:t>
            </w:r>
          </w:p>
        </w:tc>
        <w:tc>
          <w:tcPr>
            <w:tcW w:w="278" w:type="pct"/>
            <w:shd w:val="clear" w:color="auto" w:fill="C6EFCE"/>
            <w:noWrap/>
            <w:vAlign w:val="center"/>
            <w:hideMark/>
          </w:tcPr>
          <w:p w14:paraId="59BFE413" w14:textId="4A78EC8B" w:rsidR="00C972CB" w:rsidRDefault="002457F6">
            <w:pPr>
              <w:pStyle w:val="P68B1DB1-Normal11"/>
              <w:jc w:val="center"/>
              <w:rPr>
                <w:noProof/>
              </w:rPr>
            </w:pPr>
            <w:r>
              <w:rPr>
                <w:noProof/>
              </w:rPr>
              <w:t>2023</w:t>
            </w:r>
          </w:p>
        </w:tc>
        <w:tc>
          <w:tcPr>
            <w:tcW w:w="1198" w:type="pct"/>
            <w:shd w:val="clear" w:color="auto" w:fill="C6EFCE"/>
            <w:noWrap/>
            <w:vAlign w:val="center"/>
            <w:hideMark/>
          </w:tcPr>
          <w:p w14:paraId="319D9A73" w14:textId="77777777" w:rsidR="00C972CB" w:rsidRDefault="002457F6">
            <w:pPr>
              <w:pStyle w:val="P68B1DB1-Normal11"/>
              <w:spacing w:before="120" w:after="120"/>
              <w:rPr>
                <w:noProof/>
              </w:rPr>
            </w:pPr>
            <w:r>
              <w:rPr>
                <w:noProof/>
              </w:rPr>
              <w:t xml:space="preserve">Paziņojums par daudznozaru līguma slēgšanas tiesību piešķiršanu </w:t>
            </w:r>
            <w:r>
              <w:rPr>
                <w:noProof/>
              </w:rPr>
              <w:t>ātrgaitas dzelzceļa būvniecībai līnijā Salerno Reggio Calabria.</w:t>
            </w:r>
          </w:p>
          <w:p w14:paraId="063AF6B0" w14:textId="77777777" w:rsidR="00C972CB" w:rsidRDefault="002457F6">
            <w:pPr>
              <w:pStyle w:val="P68B1DB1-Normal11"/>
              <w:spacing w:before="120" w:after="120"/>
              <w:rPr>
                <w:noProof/>
              </w:rPr>
            </w:pPr>
            <w:r>
              <w:rPr>
                <w:noProof/>
              </w:rPr>
              <w:t>Līgums attiecas uz šādām šīs rindas daļām: Battipaglia — Romagnano</w:t>
            </w:r>
          </w:p>
        </w:tc>
      </w:tr>
      <w:tr w:rsidR="00C972CB" w14:paraId="57ACAA29" w14:textId="77777777">
        <w:trPr>
          <w:trHeight w:val="309"/>
          <w:jc w:val="right"/>
        </w:trPr>
        <w:tc>
          <w:tcPr>
            <w:tcW w:w="369" w:type="pct"/>
            <w:shd w:val="clear" w:color="auto" w:fill="C6EFCE"/>
            <w:noWrap/>
            <w:vAlign w:val="center"/>
          </w:tcPr>
          <w:p w14:paraId="3985B2A4" w14:textId="77777777" w:rsidR="00C972CB" w:rsidRDefault="002457F6">
            <w:pPr>
              <w:pStyle w:val="P68B1DB1-Normal11"/>
              <w:jc w:val="center"/>
              <w:rPr>
                <w:noProof/>
              </w:rPr>
            </w:pPr>
            <w:r>
              <w:rPr>
                <w:noProof/>
              </w:rPr>
              <w:t>M3C1–6</w:t>
            </w:r>
          </w:p>
        </w:tc>
        <w:tc>
          <w:tcPr>
            <w:tcW w:w="511" w:type="pct"/>
            <w:shd w:val="clear" w:color="auto" w:fill="C6EFCE"/>
            <w:noWrap/>
            <w:vAlign w:val="center"/>
          </w:tcPr>
          <w:p w14:paraId="592303DC" w14:textId="77777777" w:rsidR="00C972CB" w:rsidRDefault="002457F6">
            <w:pPr>
              <w:pStyle w:val="P68B1DB1-Normal11"/>
              <w:jc w:val="center"/>
              <w:rPr>
                <w:noProof/>
              </w:rPr>
            </w:pPr>
            <w:r>
              <w:rPr>
                <w:noProof/>
              </w:rPr>
              <w:t>Ieguldījums 1.1 — ātrgaitas dzelzceļa savienojumi ar dienvidiem pasažieru un kravu pārvadājumiem</w:t>
            </w:r>
          </w:p>
        </w:tc>
        <w:tc>
          <w:tcPr>
            <w:tcW w:w="417" w:type="pct"/>
            <w:shd w:val="clear" w:color="auto" w:fill="C6EFCE"/>
            <w:noWrap/>
            <w:vAlign w:val="center"/>
          </w:tcPr>
          <w:p w14:paraId="2F57F74C"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5CB6F96C" w14:textId="77777777" w:rsidR="00C972CB" w:rsidRDefault="002457F6">
            <w:pPr>
              <w:pStyle w:val="P68B1DB1-Normal11"/>
              <w:jc w:val="center"/>
              <w:rPr>
                <w:noProof/>
              </w:rPr>
            </w:pPr>
            <w:r>
              <w:rPr>
                <w:noProof/>
              </w:rPr>
              <w:t xml:space="preserve">Ātrgaitas </w:t>
            </w:r>
            <w:r>
              <w:rPr>
                <w:noProof/>
              </w:rPr>
              <w:t>dzelzceļš gan pasažieriem, gan kravu pārvadājumiem līnijās Napoli-Bari, Salerno-Reggio Calabria, Palermo-Catania</w:t>
            </w:r>
          </w:p>
        </w:tc>
        <w:tc>
          <w:tcPr>
            <w:tcW w:w="509" w:type="pct"/>
            <w:shd w:val="clear" w:color="auto" w:fill="C6EFCE"/>
            <w:noWrap/>
            <w:vAlign w:val="center"/>
          </w:tcPr>
          <w:p w14:paraId="728B83C4"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6D4AE6BE"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6D8300A1" w14:textId="77777777" w:rsidR="00C972CB" w:rsidRDefault="002457F6">
            <w:pPr>
              <w:pStyle w:val="P68B1DB1-Normal11"/>
              <w:jc w:val="center"/>
              <w:rPr>
                <w:noProof/>
              </w:rPr>
            </w:pPr>
            <w:r>
              <w:rPr>
                <w:noProof/>
              </w:rPr>
              <w:t>37</w:t>
            </w:r>
          </w:p>
        </w:tc>
        <w:tc>
          <w:tcPr>
            <w:tcW w:w="279" w:type="pct"/>
            <w:shd w:val="clear" w:color="auto" w:fill="C6EFCE"/>
            <w:noWrap/>
            <w:vAlign w:val="center"/>
          </w:tcPr>
          <w:p w14:paraId="2C1F84FB" w14:textId="310EDAF0" w:rsidR="00C972CB" w:rsidRDefault="002457F6">
            <w:pPr>
              <w:pStyle w:val="P68B1DB1-Normal11"/>
              <w:jc w:val="center"/>
              <w:rPr>
                <w:noProof/>
              </w:rPr>
            </w:pPr>
            <w:r>
              <w:rPr>
                <w:noProof/>
              </w:rPr>
              <w:t>119</w:t>
            </w:r>
          </w:p>
        </w:tc>
        <w:tc>
          <w:tcPr>
            <w:tcW w:w="278" w:type="pct"/>
            <w:shd w:val="clear" w:color="auto" w:fill="C6EFCE"/>
            <w:noWrap/>
            <w:vAlign w:val="center"/>
          </w:tcPr>
          <w:p w14:paraId="503D67A6" w14:textId="77777777" w:rsidR="00C972CB" w:rsidRDefault="002457F6">
            <w:pPr>
              <w:pStyle w:val="P68B1DB1-Normal11"/>
              <w:jc w:val="center"/>
              <w:rPr>
                <w:noProof/>
              </w:rPr>
            </w:pPr>
            <w:r>
              <w:rPr>
                <w:noProof/>
              </w:rPr>
              <w:t>2. CET.</w:t>
            </w:r>
          </w:p>
        </w:tc>
        <w:tc>
          <w:tcPr>
            <w:tcW w:w="278" w:type="pct"/>
            <w:shd w:val="clear" w:color="auto" w:fill="C6EFCE"/>
            <w:noWrap/>
            <w:vAlign w:val="center"/>
          </w:tcPr>
          <w:p w14:paraId="5EBE3CAB" w14:textId="77777777" w:rsidR="00C972CB" w:rsidRDefault="002457F6">
            <w:pPr>
              <w:pStyle w:val="P68B1DB1-Normal11"/>
              <w:jc w:val="center"/>
              <w:rPr>
                <w:noProof/>
              </w:rPr>
            </w:pPr>
            <w:r>
              <w:rPr>
                <w:noProof/>
              </w:rPr>
              <w:t>2026</w:t>
            </w:r>
          </w:p>
        </w:tc>
        <w:tc>
          <w:tcPr>
            <w:tcW w:w="1198" w:type="pct"/>
            <w:shd w:val="clear" w:color="auto" w:fill="C6EFCE"/>
            <w:noWrap/>
            <w:vAlign w:val="center"/>
          </w:tcPr>
          <w:p w14:paraId="432A6581" w14:textId="77777777" w:rsidR="00C972CB" w:rsidRDefault="002457F6">
            <w:pPr>
              <w:pStyle w:val="P68B1DB1-Normal11"/>
              <w:spacing w:before="120" w:after="120"/>
              <w:rPr>
                <w:noProof/>
              </w:rPr>
            </w:pPr>
            <w:r>
              <w:rPr>
                <w:noProof/>
              </w:rPr>
              <w:t xml:space="preserve">119 km ātrgaitas dzelzceļa gan pasažieru, gan kravu pārvadājumiem līnijās Napoli-Bari, Salerno-Reggio </w:t>
            </w:r>
            <w:r>
              <w:rPr>
                <w:noProof/>
              </w:rPr>
              <w:t>Calabria, Palermo-Catania, kas ir gatava atļaujas saņemšanai un ekspluatācijas fāzēm.</w:t>
            </w:r>
          </w:p>
          <w:p w14:paraId="4C84E998" w14:textId="77777777" w:rsidR="00C972CB" w:rsidRDefault="002457F6">
            <w:pPr>
              <w:pStyle w:val="P68B1DB1-Normal11"/>
              <w:rPr>
                <w:noProof/>
              </w:rPr>
            </w:pPr>
            <w:r>
              <w:rPr>
                <w:noProof/>
              </w:rPr>
              <w:t>Paredzamais sadalījums ir šāds:</w:t>
            </w:r>
          </w:p>
          <w:p w14:paraId="22023CFE" w14:textId="77777777" w:rsidR="00C972CB" w:rsidRDefault="00C972CB">
            <w:pPr>
              <w:rPr>
                <w:rFonts w:ascii="Arial Narrow" w:hAnsi="Arial Narrow"/>
                <w:noProof/>
                <w:color w:val="006100"/>
                <w:sz w:val="20"/>
              </w:rPr>
            </w:pPr>
          </w:p>
          <w:p w14:paraId="4AEAAEC5" w14:textId="77777777" w:rsidR="00C972CB" w:rsidRDefault="002457F6">
            <w:pPr>
              <w:pStyle w:val="P68B1DB1-Normal19"/>
              <w:rPr>
                <w:noProof/>
              </w:rPr>
            </w:pPr>
            <w:r>
              <w:rPr>
                <w:noProof/>
                <w:color w:val="006100"/>
              </w:rPr>
              <w:t>Neapole-Bari līnija 49 km;</w:t>
            </w:r>
            <w:r>
              <w:rPr>
                <w:noProof/>
              </w:rPr>
              <w:t xml:space="preserve"> </w:t>
            </w:r>
          </w:p>
          <w:p w14:paraId="11DD4392" w14:textId="77777777" w:rsidR="00C972CB" w:rsidRDefault="002457F6">
            <w:pPr>
              <w:pStyle w:val="P68B1DB1-Normal11"/>
              <w:rPr>
                <w:noProof/>
              </w:rPr>
            </w:pPr>
            <w:r>
              <w:rPr>
                <w:noProof/>
              </w:rPr>
              <w:t>no kā:</w:t>
            </w:r>
          </w:p>
          <w:p w14:paraId="283F94E2" w14:textId="1B3F0768" w:rsidR="00C972CB" w:rsidRDefault="002457F6">
            <w:pPr>
              <w:pStyle w:val="P68B1DB1-Normal11"/>
              <w:rPr>
                <w:noProof/>
              </w:rPr>
            </w:pPr>
            <w:r>
              <w:rPr>
                <w:noProof/>
              </w:rPr>
              <w:t>Frasso — telese 11</w:t>
            </w:r>
          </w:p>
          <w:p w14:paraId="2A3F695C" w14:textId="75612744" w:rsidR="00C972CB" w:rsidRDefault="002457F6">
            <w:pPr>
              <w:pStyle w:val="P68B1DB1-Normal11"/>
              <w:rPr>
                <w:noProof/>
              </w:rPr>
            </w:pPr>
            <w:r>
              <w:rPr>
                <w:noProof/>
              </w:rPr>
              <w:t>Telese — Vitulano 19 km</w:t>
            </w:r>
          </w:p>
          <w:p w14:paraId="5DB9BE4B" w14:textId="38128373" w:rsidR="00C972CB" w:rsidRDefault="002457F6">
            <w:pPr>
              <w:pStyle w:val="P68B1DB1-Normal11"/>
              <w:rPr>
                <w:noProof/>
              </w:rPr>
            </w:pPr>
            <w:r>
              <w:rPr>
                <w:noProof/>
              </w:rPr>
              <w:t>Apice — Hirpinia 19 km</w:t>
            </w:r>
          </w:p>
          <w:p w14:paraId="39C63536" w14:textId="77777777" w:rsidR="00C972CB" w:rsidRDefault="00C972CB">
            <w:pPr>
              <w:rPr>
                <w:rFonts w:ascii="Arial Narrow" w:hAnsi="Arial Narrow"/>
                <w:noProof/>
                <w:sz w:val="20"/>
              </w:rPr>
            </w:pPr>
          </w:p>
          <w:p w14:paraId="03F43D06" w14:textId="21F2044D" w:rsidR="00C972CB" w:rsidRDefault="002457F6">
            <w:pPr>
              <w:pStyle w:val="P68B1DB1-Normal11"/>
              <w:rPr>
                <w:noProof/>
              </w:rPr>
            </w:pPr>
            <w:r>
              <w:rPr>
                <w:noProof/>
              </w:rPr>
              <w:t>Salerno — Calabria Reggio 33 km</w:t>
            </w:r>
          </w:p>
          <w:p w14:paraId="4BD5D1F1" w14:textId="4A148F13" w:rsidR="00C972CB" w:rsidRDefault="002457F6">
            <w:pPr>
              <w:pStyle w:val="P68B1DB1-Normal11"/>
              <w:rPr>
                <w:noProof/>
              </w:rPr>
            </w:pPr>
            <w:r>
              <w:rPr>
                <w:noProof/>
              </w:rPr>
              <w:t xml:space="preserve">no </w:t>
            </w:r>
            <w:r>
              <w:rPr>
                <w:noProof/>
              </w:rPr>
              <w:t>tiem Battipaglia-Romagnano 33 km</w:t>
            </w:r>
          </w:p>
          <w:p w14:paraId="64E3DE52" w14:textId="77777777" w:rsidR="00C972CB" w:rsidRDefault="00C972CB">
            <w:pPr>
              <w:rPr>
                <w:rFonts w:ascii="Arial Narrow" w:hAnsi="Arial Narrow"/>
                <w:noProof/>
                <w:color w:val="006100"/>
                <w:sz w:val="20"/>
              </w:rPr>
            </w:pPr>
          </w:p>
          <w:p w14:paraId="14D4CC7A" w14:textId="5524FE2A" w:rsidR="00C972CB" w:rsidRDefault="002457F6">
            <w:pPr>
              <w:pStyle w:val="P68B1DB1-Normal11"/>
              <w:rPr>
                <w:noProof/>
              </w:rPr>
            </w:pPr>
            <w:r>
              <w:rPr>
                <w:noProof/>
              </w:rPr>
              <w:t>Palermo — Katānijas līnija, no kuriem 37 km:</w:t>
            </w:r>
          </w:p>
          <w:p w14:paraId="3C557121" w14:textId="1D1B1630" w:rsidR="00C972CB" w:rsidRDefault="002457F6">
            <w:pPr>
              <w:pStyle w:val="P68B1DB1-Normal11"/>
              <w:rPr>
                <w:noProof/>
              </w:rPr>
            </w:pPr>
            <w:r>
              <w:rPr>
                <w:noProof/>
              </w:rPr>
              <w:t>Katenanuova — Dittaino 22 km</w:t>
            </w:r>
          </w:p>
          <w:p w14:paraId="34E1DB73" w14:textId="77777777" w:rsidR="00C972CB" w:rsidRDefault="002457F6">
            <w:pPr>
              <w:pStyle w:val="P68B1DB1-Normal11"/>
              <w:rPr>
                <w:noProof/>
              </w:rPr>
            </w:pPr>
            <w:r>
              <w:rPr>
                <w:noProof/>
              </w:rPr>
              <w:t>Dittanio — Enna 15 km</w:t>
            </w:r>
          </w:p>
        </w:tc>
      </w:tr>
      <w:tr w:rsidR="00C972CB" w14:paraId="3BE60C4E" w14:textId="77777777">
        <w:trPr>
          <w:trHeight w:val="309"/>
          <w:jc w:val="right"/>
        </w:trPr>
        <w:tc>
          <w:tcPr>
            <w:tcW w:w="369" w:type="pct"/>
            <w:shd w:val="clear" w:color="auto" w:fill="C6EFCE"/>
            <w:noWrap/>
            <w:vAlign w:val="center"/>
          </w:tcPr>
          <w:p w14:paraId="1608C981" w14:textId="237017B2" w:rsidR="00C972CB" w:rsidRDefault="002457F6">
            <w:pPr>
              <w:pStyle w:val="P68B1DB1-Normal11"/>
              <w:jc w:val="center"/>
              <w:rPr>
                <w:noProof/>
              </w:rPr>
            </w:pPr>
            <w:r>
              <w:rPr>
                <w:noProof/>
              </w:rPr>
              <w:t>M3C1–23</w:t>
            </w:r>
          </w:p>
        </w:tc>
        <w:tc>
          <w:tcPr>
            <w:tcW w:w="511" w:type="pct"/>
            <w:shd w:val="clear" w:color="auto" w:fill="C6EFCE"/>
            <w:noWrap/>
            <w:vAlign w:val="center"/>
          </w:tcPr>
          <w:p w14:paraId="6A270ED6" w14:textId="77777777" w:rsidR="00C972CB" w:rsidRDefault="002457F6">
            <w:pPr>
              <w:pStyle w:val="P68B1DB1-Normal11"/>
              <w:jc w:val="center"/>
              <w:rPr>
                <w:noProof/>
              </w:rPr>
            </w:pPr>
            <w:r>
              <w:rPr>
                <w:noProof/>
              </w:rPr>
              <w:t>Ieguldījums 1.9</w:t>
            </w:r>
          </w:p>
          <w:p w14:paraId="777111B0" w14:textId="77777777" w:rsidR="00C972CB" w:rsidRDefault="002457F6">
            <w:pPr>
              <w:pStyle w:val="P68B1DB1-Normal11"/>
              <w:jc w:val="center"/>
              <w:rPr>
                <w:noProof/>
              </w:rPr>
            </w:pPr>
            <w:r>
              <w:rPr>
                <w:noProof/>
              </w:rPr>
              <w:t>Starpreģionālie savienojumi</w:t>
            </w:r>
          </w:p>
        </w:tc>
        <w:tc>
          <w:tcPr>
            <w:tcW w:w="417" w:type="pct"/>
            <w:shd w:val="clear" w:color="auto" w:fill="C6EFCE"/>
            <w:noWrap/>
            <w:vAlign w:val="center"/>
          </w:tcPr>
          <w:p w14:paraId="47C086FF"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4007BA6E" w14:textId="77777777" w:rsidR="00C972CB" w:rsidRDefault="002457F6">
            <w:pPr>
              <w:pStyle w:val="P68B1DB1-Normal11"/>
              <w:jc w:val="center"/>
              <w:rPr>
                <w:noProof/>
              </w:rPr>
            </w:pPr>
            <w:r>
              <w:rPr>
                <w:noProof/>
              </w:rPr>
              <w:t>Ieguldījums 1.9</w:t>
            </w:r>
          </w:p>
          <w:p w14:paraId="0387E6FB" w14:textId="77777777" w:rsidR="00C972CB" w:rsidRDefault="002457F6">
            <w:pPr>
              <w:pStyle w:val="P68B1DB1-Normal11"/>
              <w:jc w:val="center"/>
              <w:rPr>
                <w:noProof/>
              </w:rPr>
            </w:pPr>
            <w:r>
              <w:rPr>
                <w:noProof/>
              </w:rPr>
              <w:t>Starpreģionālie savienojumi</w:t>
            </w:r>
          </w:p>
        </w:tc>
        <w:tc>
          <w:tcPr>
            <w:tcW w:w="509" w:type="pct"/>
            <w:shd w:val="clear" w:color="auto" w:fill="C6EFCE"/>
            <w:noWrap/>
            <w:vAlign w:val="center"/>
          </w:tcPr>
          <w:p w14:paraId="0FB4D692"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27985909"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1A9C7860" w14:textId="77777777" w:rsidR="00C972CB" w:rsidRDefault="002457F6">
            <w:pPr>
              <w:pStyle w:val="P68B1DB1-Normal11"/>
              <w:jc w:val="center"/>
              <w:rPr>
                <w:noProof/>
              </w:rPr>
            </w:pPr>
            <w:r>
              <w:rPr>
                <w:noProof/>
              </w:rPr>
              <w:t>0</w:t>
            </w:r>
          </w:p>
        </w:tc>
        <w:tc>
          <w:tcPr>
            <w:tcW w:w="279" w:type="pct"/>
            <w:shd w:val="clear" w:color="auto" w:fill="C6EFCE"/>
            <w:noWrap/>
            <w:vAlign w:val="center"/>
          </w:tcPr>
          <w:p w14:paraId="7FC2C700" w14:textId="77777777" w:rsidR="00C972CB" w:rsidRDefault="002457F6">
            <w:pPr>
              <w:pStyle w:val="P68B1DB1-Normal11"/>
              <w:jc w:val="center"/>
              <w:rPr>
                <w:noProof/>
              </w:rPr>
            </w:pPr>
            <w:r>
              <w:rPr>
                <w:noProof/>
              </w:rPr>
              <w:t xml:space="preserve">70 </w:t>
            </w:r>
          </w:p>
        </w:tc>
        <w:tc>
          <w:tcPr>
            <w:tcW w:w="278" w:type="pct"/>
            <w:shd w:val="clear" w:color="auto" w:fill="C6EFCE"/>
            <w:noWrap/>
            <w:vAlign w:val="center"/>
          </w:tcPr>
          <w:p w14:paraId="6E5939D1" w14:textId="77777777" w:rsidR="00C972CB" w:rsidRDefault="002457F6">
            <w:pPr>
              <w:pStyle w:val="P68B1DB1-Normal11"/>
              <w:jc w:val="center"/>
              <w:rPr>
                <w:noProof/>
              </w:rPr>
            </w:pPr>
            <w:r>
              <w:rPr>
                <w:noProof/>
              </w:rPr>
              <w:t>4. CET.</w:t>
            </w:r>
          </w:p>
        </w:tc>
        <w:tc>
          <w:tcPr>
            <w:tcW w:w="278" w:type="pct"/>
            <w:shd w:val="clear" w:color="auto" w:fill="C6EFCE"/>
            <w:noWrap/>
            <w:vAlign w:val="center"/>
          </w:tcPr>
          <w:p w14:paraId="700BF9A3" w14:textId="77777777" w:rsidR="00C972CB" w:rsidRDefault="002457F6">
            <w:pPr>
              <w:pStyle w:val="P68B1DB1-Normal11"/>
              <w:jc w:val="center"/>
              <w:rPr>
                <w:noProof/>
              </w:rPr>
            </w:pPr>
            <w:r>
              <w:rPr>
                <w:noProof/>
              </w:rPr>
              <w:t>2025</w:t>
            </w:r>
          </w:p>
        </w:tc>
        <w:tc>
          <w:tcPr>
            <w:tcW w:w="1198" w:type="pct"/>
            <w:shd w:val="clear" w:color="auto" w:fill="C6EFCE"/>
            <w:noWrap/>
            <w:vAlign w:val="center"/>
          </w:tcPr>
          <w:p w14:paraId="1674E604" w14:textId="5C9BD304" w:rsidR="00C972CB" w:rsidRDefault="002457F6">
            <w:pPr>
              <w:pStyle w:val="P68B1DB1-Normal11"/>
              <w:rPr>
                <w:noProof/>
              </w:rPr>
            </w:pPr>
            <w:r>
              <w:rPr>
                <w:noProof/>
              </w:rPr>
              <w:t>Tika paātrināti 70 km starpreģionālo savienojumu</w:t>
            </w:r>
          </w:p>
          <w:p w14:paraId="1DA8EE6A" w14:textId="77777777" w:rsidR="00C972CB" w:rsidRDefault="00C972CB">
            <w:pPr>
              <w:rPr>
                <w:rFonts w:ascii="Arial Narrow" w:hAnsi="Arial Narrow"/>
                <w:noProof/>
                <w:color w:val="006100"/>
                <w:sz w:val="20"/>
              </w:rPr>
            </w:pPr>
          </w:p>
          <w:p w14:paraId="74CF0C81" w14:textId="77777777" w:rsidR="00C972CB" w:rsidRDefault="002457F6">
            <w:pPr>
              <w:pStyle w:val="P68B1DB1-Normal11"/>
              <w:rPr>
                <w:noProof/>
              </w:rPr>
            </w:pPr>
            <w:r>
              <w:rPr>
                <w:noProof/>
              </w:rPr>
              <w:t>Modernizējamās līnijas ir šādas:</w:t>
            </w:r>
          </w:p>
          <w:p w14:paraId="461FB350" w14:textId="77777777" w:rsidR="00C972CB" w:rsidRDefault="00C972CB">
            <w:pPr>
              <w:rPr>
                <w:rFonts w:ascii="Arial Narrow" w:hAnsi="Arial Narrow"/>
                <w:noProof/>
                <w:color w:val="006100"/>
                <w:sz w:val="20"/>
              </w:rPr>
            </w:pPr>
          </w:p>
          <w:p w14:paraId="492EE70B" w14:textId="77777777" w:rsidR="00C972CB" w:rsidRDefault="002457F6">
            <w:pPr>
              <w:pStyle w:val="P68B1DB1-Normal11"/>
              <w:rPr>
                <w:noProof/>
              </w:rPr>
            </w:pPr>
            <w:r>
              <w:rPr>
                <w:noProof/>
              </w:rPr>
              <w:t xml:space="preserve">Milāna Dženova </w:t>
            </w:r>
          </w:p>
          <w:p w14:paraId="571A9D10" w14:textId="77777777" w:rsidR="00C972CB" w:rsidRDefault="002457F6">
            <w:pPr>
              <w:pStyle w:val="P68B1DB1-Normal11"/>
              <w:rPr>
                <w:noProof/>
              </w:rPr>
            </w:pPr>
            <w:r>
              <w:rPr>
                <w:noProof/>
              </w:rPr>
              <w:t>Palermo Katānija (linea storica)</w:t>
            </w:r>
          </w:p>
          <w:p w14:paraId="055BC8E9" w14:textId="330848F4" w:rsidR="00C972CB" w:rsidRDefault="002457F6">
            <w:pPr>
              <w:pStyle w:val="P68B1DB1-Normal11"/>
              <w:rPr>
                <w:noProof/>
              </w:rPr>
            </w:pPr>
            <w:r>
              <w:rPr>
                <w:noProof/>
              </w:rPr>
              <w:t xml:space="preserve">Battipaglia Potenza </w:t>
            </w:r>
          </w:p>
          <w:p w14:paraId="2D3741DA" w14:textId="77777777" w:rsidR="00C972CB" w:rsidRDefault="002457F6">
            <w:pPr>
              <w:pStyle w:val="P68B1DB1-Normal11"/>
              <w:rPr>
                <w:noProof/>
              </w:rPr>
            </w:pPr>
            <w:r>
              <w:rPr>
                <w:noProof/>
              </w:rPr>
              <w:t xml:space="preserve">Orte Falkonara </w:t>
            </w:r>
          </w:p>
        </w:tc>
      </w:tr>
      <w:tr w:rsidR="00C972CB" w14:paraId="098FEC64" w14:textId="77777777">
        <w:trPr>
          <w:trHeight w:val="309"/>
          <w:jc w:val="right"/>
        </w:trPr>
        <w:tc>
          <w:tcPr>
            <w:tcW w:w="369" w:type="pct"/>
            <w:shd w:val="clear" w:color="auto" w:fill="C6EFCE"/>
            <w:noWrap/>
            <w:vAlign w:val="center"/>
          </w:tcPr>
          <w:p w14:paraId="0372EA73" w14:textId="3E9DF4C2" w:rsidR="00C972CB" w:rsidRDefault="002457F6">
            <w:pPr>
              <w:pStyle w:val="P68B1DB1-Normal11"/>
              <w:jc w:val="center"/>
              <w:rPr>
                <w:noProof/>
              </w:rPr>
            </w:pPr>
            <w:r>
              <w:rPr>
                <w:noProof/>
              </w:rPr>
              <w:t>M3C1–24</w:t>
            </w:r>
          </w:p>
        </w:tc>
        <w:tc>
          <w:tcPr>
            <w:tcW w:w="511" w:type="pct"/>
            <w:shd w:val="clear" w:color="auto" w:fill="C6EFCE"/>
            <w:noWrap/>
            <w:vAlign w:val="center"/>
          </w:tcPr>
          <w:p w14:paraId="6A98F6A5" w14:textId="77777777" w:rsidR="00C972CB" w:rsidRDefault="002457F6">
            <w:pPr>
              <w:pStyle w:val="P68B1DB1-Normal11"/>
              <w:jc w:val="center"/>
              <w:rPr>
                <w:noProof/>
              </w:rPr>
            </w:pPr>
            <w:r>
              <w:rPr>
                <w:noProof/>
              </w:rPr>
              <w:t>Ieguldījums 1.9</w:t>
            </w:r>
          </w:p>
          <w:p w14:paraId="093B12FA" w14:textId="77777777" w:rsidR="00C972CB" w:rsidRDefault="002457F6">
            <w:pPr>
              <w:pStyle w:val="P68B1DB1-Normal11"/>
              <w:jc w:val="center"/>
              <w:rPr>
                <w:noProof/>
              </w:rPr>
            </w:pPr>
            <w:r>
              <w:rPr>
                <w:noProof/>
              </w:rPr>
              <w:t>Starpreģionālie savienojumi</w:t>
            </w:r>
          </w:p>
        </w:tc>
        <w:tc>
          <w:tcPr>
            <w:tcW w:w="417" w:type="pct"/>
            <w:shd w:val="clear" w:color="auto" w:fill="C6EFCE"/>
            <w:noWrap/>
            <w:vAlign w:val="center"/>
          </w:tcPr>
          <w:p w14:paraId="3A53BE0A"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39AE4878" w14:textId="77777777" w:rsidR="00C972CB" w:rsidRDefault="002457F6">
            <w:pPr>
              <w:pStyle w:val="P68B1DB1-Normal11"/>
              <w:jc w:val="center"/>
              <w:rPr>
                <w:noProof/>
              </w:rPr>
            </w:pPr>
            <w:r>
              <w:rPr>
                <w:noProof/>
              </w:rPr>
              <w:t xml:space="preserve">Ieguldījums </w:t>
            </w:r>
            <w:r>
              <w:rPr>
                <w:noProof/>
              </w:rPr>
              <w:t>1.9</w:t>
            </w:r>
          </w:p>
          <w:p w14:paraId="6E1EFE54" w14:textId="77777777" w:rsidR="00C972CB" w:rsidRDefault="002457F6">
            <w:pPr>
              <w:pStyle w:val="P68B1DB1-Normal11"/>
              <w:jc w:val="center"/>
              <w:rPr>
                <w:noProof/>
              </w:rPr>
            </w:pPr>
            <w:r>
              <w:rPr>
                <w:noProof/>
              </w:rPr>
              <w:t>Starpreģionālie savienojumi</w:t>
            </w:r>
          </w:p>
        </w:tc>
        <w:tc>
          <w:tcPr>
            <w:tcW w:w="509" w:type="pct"/>
            <w:shd w:val="clear" w:color="auto" w:fill="C6EFCE"/>
            <w:noWrap/>
            <w:vAlign w:val="center"/>
          </w:tcPr>
          <w:p w14:paraId="360FDB72"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196272DE"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70DD68F1" w14:textId="77777777" w:rsidR="00C972CB" w:rsidRDefault="002457F6">
            <w:pPr>
              <w:pStyle w:val="P68B1DB1-Normal11"/>
              <w:jc w:val="center"/>
              <w:rPr>
                <w:noProof/>
              </w:rPr>
            </w:pPr>
            <w:r>
              <w:rPr>
                <w:noProof/>
              </w:rPr>
              <w:t>70</w:t>
            </w:r>
          </w:p>
        </w:tc>
        <w:tc>
          <w:tcPr>
            <w:tcW w:w="279" w:type="pct"/>
            <w:shd w:val="clear" w:color="auto" w:fill="C6EFCE"/>
            <w:noWrap/>
            <w:vAlign w:val="center"/>
          </w:tcPr>
          <w:p w14:paraId="790FCB86" w14:textId="77777777" w:rsidR="00C972CB" w:rsidRDefault="002457F6">
            <w:pPr>
              <w:pStyle w:val="P68B1DB1-Normal11"/>
              <w:jc w:val="center"/>
              <w:rPr>
                <w:noProof/>
              </w:rPr>
            </w:pPr>
            <w:r>
              <w:rPr>
                <w:noProof/>
              </w:rPr>
              <w:t>221</w:t>
            </w:r>
          </w:p>
        </w:tc>
        <w:tc>
          <w:tcPr>
            <w:tcW w:w="278" w:type="pct"/>
            <w:shd w:val="clear" w:color="auto" w:fill="C6EFCE"/>
            <w:noWrap/>
            <w:vAlign w:val="center"/>
          </w:tcPr>
          <w:p w14:paraId="6DFFDC1F" w14:textId="77777777" w:rsidR="00C972CB" w:rsidRDefault="002457F6">
            <w:pPr>
              <w:pStyle w:val="P68B1DB1-Normal11"/>
              <w:jc w:val="center"/>
              <w:rPr>
                <w:noProof/>
              </w:rPr>
            </w:pPr>
            <w:r>
              <w:rPr>
                <w:noProof/>
              </w:rPr>
              <w:t>2. CET.</w:t>
            </w:r>
          </w:p>
        </w:tc>
        <w:tc>
          <w:tcPr>
            <w:tcW w:w="278" w:type="pct"/>
            <w:shd w:val="clear" w:color="auto" w:fill="C6EFCE"/>
            <w:noWrap/>
            <w:vAlign w:val="center"/>
          </w:tcPr>
          <w:p w14:paraId="0BAC88A0" w14:textId="77777777" w:rsidR="00C972CB" w:rsidRDefault="002457F6">
            <w:pPr>
              <w:pStyle w:val="P68B1DB1-Normal11"/>
              <w:jc w:val="center"/>
              <w:rPr>
                <w:noProof/>
              </w:rPr>
            </w:pPr>
            <w:r>
              <w:rPr>
                <w:noProof/>
              </w:rPr>
              <w:t>2026</w:t>
            </w:r>
          </w:p>
        </w:tc>
        <w:tc>
          <w:tcPr>
            <w:tcW w:w="1198" w:type="pct"/>
            <w:shd w:val="clear" w:color="auto" w:fill="C6EFCE"/>
            <w:noWrap/>
            <w:vAlign w:val="center"/>
          </w:tcPr>
          <w:p w14:paraId="7502233C" w14:textId="77777777" w:rsidR="00C972CB" w:rsidRDefault="002457F6">
            <w:pPr>
              <w:pStyle w:val="P68B1DB1-Normal11"/>
              <w:rPr>
                <w:noProof/>
              </w:rPr>
            </w:pPr>
            <w:r>
              <w:rPr>
                <w:noProof/>
              </w:rPr>
              <w:t>Kopumā paātrinājās 221 km starpreģionālo savienojumu.</w:t>
            </w:r>
          </w:p>
          <w:p w14:paraId="6E0EAF14" w14:textId="77777777" w:rsidR="00C972CB" w:rsidRDefault="00C972CB">
            <w:pPr>
              <w:rPr>
                <w:rFonts w:ascii="Arial Narrow" w:hAnsi="Arial Narrow"/>
                <w:noProof/>
                <w:color w:val="006100"/>
                <w:sz w:val="20"/>
              </w:rPr>
            </w:pPr>
          </w:p>
          <w:p w14:paraId="445F7CE3" w14:textId="77777777" w:rsidR="00C972CB" w:rsidRDefault="002457F6">
            <w:pPr>
              <w:pStyle w:val="P68B1DB1-Normal11"/>
              <w:rPr>
                <w:noProof/>
              </w:rPr>
            </w:pPr>
            <w:r>
              <w:rPr>
                <w:noProof/>
              </w:rPr>
              <w:t>Modernizējamās līnijas ir šādas:</w:t>
            </w:r>
          </w:p>
          <w:p w14:paraId="1E46FC97" w14:textId="77777777" w:rsidR="00C972CB" w:rsidRDefault="00C972CB">
            <w:pPr>
              <w:rPr>
                <w:rFonts w:ascii="Arial Narrow" w:hAnsi="Arial Narrow"/>
                <w:noProof/>
                <w:color w:val="006100"/>
                <w:sz w:val="20"/>
              </w:rPr>
            </w:pPr>
          </w:p>
          <w:p w14:paraId="2454E474" w14:textId="77777777" w:rsidR="00C972CB" w:rsidRDefault="002457F6">
            <w:pPr>
              <w:pStyle w:val="P68B1DB1-Normal11"/>
              <w:rPr>
                <w:noProof/>
              </w:rPr>
            </w:pPr>
            <w:r>
              <w:rPr>
                <w:noProof/>
              </w:rPr>
              <w:t>Milāna Dženova (70 km)</w:t>
            </w:r>
          </w:p>
          <w:p w14:paraId="67CD0770" w14:textId="77777777" w:rsidR="00C972CB" w:rsidRDefault="002457F6">
            <w:pPr>
              <w:pStyle w:val="P68B1DB1-Normal11"/>
              <w:rPr>
                <w:noProof/>
              </w:rPr>
            </w:pPr>
            <w:r>
              <w:rPr>
                <w:noProof/>
              </w:rPr>
              <w:t>Palermo Katānija (linea storica) (84 km)</w:t>
            </w:r>
          </w:p>
          <w:p w14:paraId="3FA33099" w14:textId="77777777" w:rsidR="00C972CB" w:rsidRDefault="002457F6">
            <w:pPr>
              <w:pStyle w:val="P68B1DB1-Normal11"/>
              <w:rPr>
                <w:noProof/>
              </w:rPr>
            </w:pPr>
            <w:r>
              <w:rPr>
                <w:noProof/>
              </w:rPr>
              <w:t>Battipaglia Potenza (60 km)</w:t>
            </w:r>
          </w:p>
          <w:p w14:paraId="728C4069" w14:textId="77777777" w:rsidR="00C972CB" w:rsidRDefault="002457F6">
            <w:pPr>
              <w:pStyle w:val="P68B1DB1-Normal11"/>
              <w:rPr>
                <w:noProof/>
              </w:rPr>
            </w:pPr>
            <w:r>
              <w:rPr>
                <w:noProof/>
              </w:rPr>
              <w:t xml:space="preserve">Orte </w:t>
            </w:r>
            <w:r>
              <w:rPr>
                <w:noProof/>
              </w:rPr>
              <w:t>Falconara (7 km)</w:t>
            </w:r>
          </w:p>
        </w:tc>
      </w:tr>
      <w:tr w:rsidR="00C972CB" w14:paraId="7B4689C0" w14:textId="77777777">
        <w:trPr>
          <w:trHeight w:val="309"/>
          <w:jc w:val="right"/>
        </w:trPr>
        <w:tc>
          <w:tcPr>
            <w:tcW w:w="369" w:type="pct"/>
            <w:shd w:val="clear" w:color="auto" w:fill="C6EFCE"/>
            <w:noWrap/>
            <w:vAlign w:val="center"/>
          </w:tcPr>
          <w:p w14:paraId="716C6FB3" w14:textId="77777777" w:rsidR="00C972CB" w:rsidRDefault="002457F6">
            <w:pPr>
              <w:pStyle w:val="P68B1DB1-Normal11"/>
              <w:jc w:val="center"/>
              <w:rPr>
                <w:noProof/>
              </w:rPr>
            </w:pPr>
            <w:r>
              <w:rPr>
                <w:noProof/>
              </w:rPr>
              <w:t>M3C1–9</w:t>
            </w:r>
          </w:p>
        </w:tc>
        <w:tc>
          <w:tcPr>
            <w:tcW w:w="511" w:type="pct"/>
            <w:shd w:val="clear" w:color="auto" w:fill="C6EFCE"/>
            <w:noWrap/>
            <w:vAlign w:val="center"/>
          </w:tcPr>
          <w:p w14:paraId="680608C8" w14:textId="77777777" w:rsidR="00C972CB" w:rsidRDefault="002457F6">
            <w:pPr>
              <w:pStyle w:val="P68B1DB1-Normal11"/>
              <w:jc w:val="center"/>
              <w:rPr>
                <w:noProof/>
              </w:rPr>
            </w:pPr>
            <w:r>
              <w:rPr>
                <w:noProof/>
              </w:rPr>
              <w:t>Ieguldījums — ātrgaitas līnijas ziemeļos, kas savienojas ar Eiropas pārējo daļu</w:t>
            </w:r>
          </w:p>
        </w:tc>
        <w:tc>
          <w:tcPr>
            <w:tcW w:w="417" w:type="pct"/>
            <w:shd w:val="clear" w:color="auto" w:fill="C6EFCE"/>
            <w:noWrap/>
            <w:vAlign w:val="center"/>
          </w:tcPr>
          <w:p w14:paraId="4A8BCA14"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6FD450E8" w14:textId="74A1794A" w:rsidR="00C972CB" w:rsidRDefault="002457F6">
            <w:pPr>
              <w:pStyle w:val="P68B1DB1-Normal11"/>
              <w:jc w:val="center"/>
              <w:rPr>
                <w:noProof/>
              </w:rPr>
            </w:pPr>
            <w:r>
              <w:rPr>
                <w:noProof/>
              </w:rPr>
              <w:t>Ātrgaitas dzelzceļš gan pasažieriem, gan kravu pārvadājumiem līnijās Breša-Verona-Vicenza-Padova; Ligūrija-Alpi.</w:t>
            </w:r>
          </w:p>
        </w:tc>
        <w:tc>
          <w:tcPr>
            <w:tcW w:w="509" w:type="pct"/>
            <w:shd w:val="clear" w:color="auto" w:fill="C6EFCE"/>
            <w:noWrap/>
            <w:vAlign w:val="center"/>
          </w:tcPr>
          <w:p w14:paraId="3F30C6D9"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4D494255"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0E828602" w14:textId="77777777" w:rsidR="00C972CB" w:rsidRDefault="002457F6">
            <w:pPr>
              <w:pStyle w:val="P68B1DB1-Normal11"/>
              <w:jc w:val="center"/>
              <w:rPr>
                <w:noProof/>
              </w:rPr>
            </w:pPr>
            <w:r>
              <w:rPr>
                <w:noProof/>
              </w:rPr>
              <w:t>0</w:t>
            </w:r>
          </w:p>
        </w:tc>
        <w:tc>
          <w:tcPr>
            <w:tcW w:w="279" w:type="pct"/>
            <w:shd w:val="clear" w:color="auto" w:fill="C6EFCE"/>
            <w:noWrap/>
            <w:vAlign w:val="center"/>
          </w:tcPr>
          <w:p w14:paraId="405BA702" w14:textId="77777777" w:rsidR="00C972CB" w:rsidRDefault="002457F6">
            <w:pPr>
              <w:pStyle w:val="P68B1DB1-Normal11"/>
              <w:jc w:val="center"/>
              <w:rPr>
                <w:noProof/>
              </w:rPr>
            </w:pPr>
            <w:r>
              <w:rPr>
                <w:noProof/>
              </w:rPr>
              <w:t>165</w:t>
            </w:r>
          </w:p>
        </w:tc>
        <w:tc>
          <w:tcPr>
            <w:tcW w:w="278" w:type="pct"/>
            <w:shd w:val="clear" w:color="auto" w:fill="C6EFCE"/>
            <w:noWrap/>
            <w:vAlign w:val="center"/>
          </w:tcPr>
          <w:p w14:paraId="1722DEFB" w14:textId="77777777" w:rsidR="00C972CB" w:rsidRDefault="002457F6">
            <w:pPr>
              <w:pStyle w:val="P68B1DB1-Normal11"/>
              <w:jc w:val="center"/>
              <w:rPr>
                <w:noProof/>
              </w:rPr>
            </w:pPr>
            <w:r>
              <w:rPr>
                <w:noProof/>
              </w:rPr>
              <w:t>2. CET.</w:t>
            </w:r>
          </w:p>
        </w:tc>
        <w:tc>
          <w:tcPr>
            <w:tcW w:w="278" w:type="pct"/>
            <w:shd w:val="clear" w:color="auto" w:fill="C6EFCE"/>
            <w:noWrap/>
            <w:vAlign w:val="center"/>
          </w:tcPr>
          <w:p w14:paraId="2FD10233" w14:textId="77777777" w:rsidR="00C972CB" w:rsidRDefault="002457F6">
            <w:pPr>
              <w:pStyle w:val="P68B1DB1-Normal11"/>
              <w:jc w:val="center"/>
              <w:rPr>
                <w:noProof/>
              </w:rPr>
            </w:pPr>
            <w:r>
              <w:rPr>
                <w:noProof/>
              </w:rPr>
              <w:t>2026</w:t>
            </w:r>
          </w:p>
        </w:tc>
        <w:tc>
          <w:tcPr>
            <w:tcW w:w="1198" w:type="pct"/>
            <w:shd w:val="clear" w:color="auto" w:fill="C6EFCE"/>
            <w:noWrap/>
            <w:vAlign w:val="center"/>
          </w:tcPr>
          <w:p w14:paraId="004E2F28" w14:textId="3512941C" w:rsidR="00C972CB" w:rsidRDefault="002457F6">
            <w:pPr>
              <w:pStyle w:val="P68B1DB1-Normal11"/>
              <w:rPr>
                <w:noProof/>
              </w:rPr>
            </w:pPr>
            <w:r>
              <w:rPr>
                <w:noProof/>
              </w:rPr>
              <w:t>165 km ātrgaitas dzelzceļa gan pasažieru, gan kravu pārvadājumiem līnijās Brescia-Verona-Vicenza-Padova; Ligūrija-Alpi ir uzbūvēta, gatava apstiprināšanai un ekspluatācijas fāzei.</w:t>
            </w:r>
          </w:p>
          <w:p w14:paraId="5273AFBA" w14:textId="77777777" w:rsidR="00C972CB" w:rsidRDefault="00C972CB">
            <w:pPr>
              <w:rPr>
                <w:rFonts w:ascii="Arial Narrow" w:hAnsi="Arial Narrow"/>
                <w:noProof/>
                <w:color w:val="006100"/>
                <w:sz w:val="20"/>
              </w:rPr>
            </w:pPr>
          </w:p>
          <w:p w14:paraId="3B295421" w14:textId="77777777" w:rsidR="00C972CB" w:rsidRDefault="002457F6">
            <w:pPr>
              <w:pStyle w:val="P68B1DB1-Normal11"/>
              <w:rPr>
                <w:noProof/>
              </w:rPr>
            </w:pPr>
            <w:r>
              <w:rPr>
                <w:noProof/>
              </w:rPr>
              <w:t>165 km būvē šādos segmentos:</w:t>
            </w:r>
          </w:p>
          <w:p w14:paraId="3B8D4AE2" w14:textId="77777777" w:rsidR="00C972CB" w:rsidRDefault="00C972CB">
            <w:pPr>
              <w:rPr>
                <w:rFonts w:ascii="Arial Narrow" w:hAnsi="Arial Narrow"/>
                <w:noProof/>
                <w:color w:val="006100"/>
                <w:sz w:val="20"/>
              </w:rPr>
            </w:pPr>
          </w:p>
          <w:p w14:paraId="367E9239" w14:textId="77777777" w:rsidR="00C972CB" w:rsidRDefault="002457F6">
            <w:pPr>
              <w:pStyle w:val="P68B1DB1-Normal11"/>
              <w:rPr>
                <w:noProof/>
              </w:rPr>
            </w:pPr>
            <w:r>
              <w:rPr>
                <w:noProof/>
              </w:rPr>
              <w:t>Breša-Verona, 48 km</w:t>
            </w:r>
          </w:p>
          <w:p w14:paraId="30BC718B" w14:textId="77777777" w:rsidR="00C972CB" w:rsidRDefault="002457F6">
            <w:pPr>
              <w:pStyle w:val="P68B1DB1-Normal11"/>
              <w:rPr>
                <w:noProof/>
              </w:rPr>
            </w:pPr>
            <w:r>
              <w:rPr>
                <w:noProof/>
              </w:rPr>
              <w:t>Verona-Bivio-Vincenz</w:t>
            </w:r>
            <w:r>
              <w:rPr>
                <w:noProof/>
              </w:rPr>
              <w:t>a, 44 km</w:t>
            </w:r>
          </w:p>
          <w:p w14:paraId="485CBD5C" w14:textId="77777777" w:rsidR="00C972CB" w:rsidRDefault="002457F6">
            <w:pPr>
              <w:pStyle w:val="P68B1DB1-Normal11"/>
              <w:rPr>
                <w:noProof/>
              </w:rPr>
            </w:pPr>
            <w:r>
              <w:rPr>
                <w:noProof/>
              </w:rPr>
              <w:t>Dženovas mezgls un trešais Džovi šķērso 53 km</w:t>
            </w:r>
          </w:p>
          <w:p w14:paraId="28D9406D" w14:textId="77777777" w:rsidR="00C972CB" w:rsidRDefault="002457F6">
            <w:pPr>
              <w:pStyle w:val="P68B1DB1-Normal11"/>
              <w:rPr>
                <w:noProof/>
              </w:rPr>
            </w:pPr>
            <w:r>
              <w:rPr>
                <w:noProof/>
              </w:rPr>
              <w:t>Ro-Parabiago 9 km</w:t>
            </w:r>
          </w:p>
          <w:p w14:paraId="31894C72" w14:textId="77777777" w:rsidR="00C972CB" w:rsidRDefault="002457F6">
            <w:pPr>
              <w:pStyle w:val="P68B1DB1-Normal11"/>
              <w:rPr>
                <w:noProof/>
              </w:rPr>
            </w:pPr>
            <w:r>
              <w:rPr>
                <w:noProof/>
              </w:rPr>
              <w:t>Pavia-Milano-Rogoredo 11 km</w:t>
            </w:r>
          </w:p>
        </w:tc>
      </w:tr>
      <w:tr w:rsidR="00C972CB" w14:paraId="418BDFAD" w14:textId="77777777">
        <w:trPr>
          <w:trHeight w:val="3419"/>
          <w:jc w:val="right"/>
        </w:trPr>
        <w:tc>
          <w:tcPr>
            <w:tcW w:w="369" w:type="pct"/>
            <w:shd w:val="clear" w:color="auto" w:fill="C6EFCE"/>
            <w:noWrap/>
            <w:vAlign w:val="center"/>
          </w:tcPr>
          <w:p w14:paraId="5C1F90DF" w14:textId="77777777" w:rsidR="00C972CB" w:rsidRDefault="002457F6">
            <w:pPr>
              <w:pStyle w:val="P68B1DB1-Normal11"/>
              <w:jc w:val="center"/>
              <w:rPr>
                <w:noProof/>
              </w:rPr>
            </w:pPr>
            <w:r>
              <w:rPr>
                <w:noProof/>
              </w:rPr>
              <w:t>M3C1–10</w:t>
            </w:r>
          </w:p>
        </w:tc>
        <w:tc>
          <w:tcPr>
            <w:tcW w:w="511" w:type="pct"/>
            <w:shd w:val="clear" w:color="auto" w:fill="C6EFCE"/>
            <w:noWrap/>
            <w:vAlign w:val="center"/>
          </w:tcPr>
          <w:p w14:paraId="42059A3F" w14:textId="77777777" w:rsidR="00C972CB" w:rsidRDefault="002457F6">
            <w:pPr>
              <w:pStyle w:val="P68B1DB1-Normal11"/>
              <w:jc w:val="center"/>
              <w:rPr>
                <w:noProof/>
              </w:rPr>
            </w:pPr>
            <w:r>
              <w:rPr>
                <w:noProof/>
              </w:rPr>
              <w:t>Ieguldījums 1.3. Diagonālie savienojumi</w:t>
            </w:r>
          </w:p>
        </w:tc>
        <w:tc>
          <w:tcPr>
            <w:tcW w:w="417" w:type="pct"/>
            <w:shd w:val="clear" w:color="auto" w:fill="C6EFCE"/>
            <w:noWrap/>
            <w:vAlign w:val="center"/>
          </w:tcPr>
          <w:p w14:paraId="6BFB378E" w14:textId="77777777" w:rsidR="00C972CB" w:rsidRDefault="002457F6">
            <w:pPr>
              <w:pStyle w:val="P68B1DB1-Normal11"/>
              <w:jc w:val="center"/>
              <w:rPr>
                <w:noProof/>
              </w:rPr>
            </w:pPr>
            <w:r>
              <w:rPr>
                <w:noProof/>
              </w:rPr>
              <w:t>Starpposma mērķis</w:t>
            </w:r>
          </w:p>
        </w:tc>
        <w:tc>
          <w:tcPr>
            <w:tcW w:w="464" w:type="pct"/>
            <w:shd w:val="clear" w:color="auto" w:fill="C6EFCE"/>
            <w:noWrap/>
            <w:vAlign w:val="center"/>
          </w:tcPr>
          <w:p w14:paraId="1F8F262B" w14:textId="11AE10F9" w:rsidR="00C972CB" w:rsidRDefault="002457F6">
            <w:pPr>
              <w:pStyle w:val="P68B1DB1-Normal11"/>
              <w:jc w:val="center"/>
              <w:rPr>
                <w:noProof/>
              </w:rPr>
            </w:pPr>
            <w:r>
              <w:rPr>
                <w:noProof/>
              </w:rPr>
              <w:t xml:space="preserve">Līguma slēgšanas tiesību piešķiršana par savienojumu būvniecību līnijās Orte-Falconara </w:t>
            </w:r>
            <w:r>
              <w:rPr>
                <w:noProof/>
              </w:rPr>
              <w:t>un Taranto-Metaponto-Potenza-Battipaglia</w:t>
            </w:r>
          </w:p>
        </w:tc>
        <w:tc>
          <w:tcPr>
            <w:tcW w:w="509" w:type="pct"/>
            <w:shd w:val="clear" w:color="auto" w:fill="C6EFCE"/>
            <w:noWrap/>
            <w:vAlign w:val="center"/>
          </w:tcPr>
          <w:p w14:paraId="51B80288" w14:textId="0A4525EB" w:rsidR="00C972CB" w:rsidRDefault="002457F6">
            <w:pPr>
              <w:pStyle w:val="P68B1DB1-Normal19"/>
              <w:jc w:val="center"/>
              <w:rPr>
                <w:noProof/>
                <w:color w:val="006100"/>
              </w:rPr>
            </w:pPr>
            <w:r>
              <w:rPr>
                <w:noProof/>
                <w:color w:val="006100"/>
              </w:rPr>
              <w:t>Paziņojums par daudznozaru līguma slēgšanas tiesību piešķiršanuātrgaitas dzelzceļa būvniecībai līnijās Orte-Falconara un Taranto-Metaponto-Potenza-Battipaglia</w:t>
            </w:r>
          </w:p>
        </w:tc>
        <w:tc>
          <w:tcPr>
            <w:tcW w:w="325" w:type="pct"/>
            <w:shd w:val="clear" w:color="auto" w:fill="C6EFCE"/>
            <w:noWrap/>
            <w:vAlign w:val="center"/>
          </w:tcPr>
          <w:p w14:paraId="1B45FD1E" w14:textId="77777777" w:rsidR="00C972CB" w:rsidRDefault="002457F6">
            <w:pPr>
              <w:pStyle w:val="P68B1DB1-Normal11"/>
              <w:jc w:val="center"/>
              <w:rPr>
                <w:noProof/>
              </w:rPr>
            </w:pPr>
            <w:r>
              <w:rPr>
                <w:noProof/>
              </w:rPr>
              <w:t>NEPIEMĒRO</w:t>
            </w:r>
          </w:p>
        </w:tc>
        <w:tc>
          <w:tcPr>
            <w:tcW w:w="371" w:type="pct"/>
            <w:shd w:val="clear" w:color="auto" w:fill="C6EFCE"/>
            <w:noWrap/>
            <w:vAlign w:val="center"/>
          </w:tcPr>
          <w:p w14:paraId="670C15FA" w14:textId="77777777" w:rsidR="00C972CB" w:rsidRDefault="002457F6">
            <w:pPr>
              <w:pStyle w:val="P68B1DB1-Normal11"/>
              <w:jc w:val="center"/>
              <w:rPr>
                <w:noProof/>
              </w:rPr>
            </w:pPr>
            <w:r>
              <w:rPr>
                <w:noProof/>
              </w:rPr>
              <w:t>NEPIEMĒRO</w:t>
            </w:r>
          </w:p>
        </w:tc>
        <w:tc>
          <w:tcPr>
            <w:tcW w:w="279" w:type="pct"/>
            <w:shd w:val="clear" w:color="auto" w:fill="C6EFCE"/>
            <w:noWrap/>
            <w:vAlign w:val="center"/>
          </w:tcPr>
          <w:p w14:paraId="55B40CDB" w14:textId="77777777" w:rsidR="00C972CB" w:rsidRDefault="002457F6">
            <w:pPr>
              <w:pStyle w:val="P68B1DB1-Normal11"/>
              <w:jc w:val="center"/>
              <w:rPr>
                <w:noProof/>
              </w:rPr>
            </w:pPr>
            <w:r>
              <w:rPr>
                <w:noProof/>
              </w:rPr>
              <w:t>NEPIEMĒRO</w:t>
            </w:r>
          </w:p>
        </w:tc>
        <w:tc>
          <w:tcPr>
            <w:tcW w:w="278" w:type="pct"/>
            <w:shd w:val="clear" w:color="auto" w:fill="C6EFCE"/>
            <w:noWrap/>
            <w:vAlign w:val="center"/>
          </w:tcPr>
          <w:p w14:paraId="775E231E" w14:textId="77777777" w:rsidR="00C972CB" w:rsidRDefault="002457F6">
            <w:pPr>
              <w:pStyle w:val="P68B1DB1-Normal11"/>
              <w:jc w:val="center"/>
              <w:rPr>
                <w:noProof/>
              </w:rPr>
            </w:pPr>
            <w:r>
              <w:rPr>
                <w:noProof/>
              </w:rPr>
              <w:t>1. CET.</w:t>
            </w:r>
          </w:p>
        </w:tc>
        <w:tc>
          <w:tcPr>
            <w:tcW w:w="278" w:type="pct"/>
            <w:shd w:val="clear" w:color="auto" w:fill="C6EFCE"/>
            <w:noWrap/>
            <w:vAlign w:val="center"/>
          </w:tcPr>
          <w:p w14:paraId="717635E0" w14:textId="77777777" w:rsidR="00C972CB" w:rsidRDefault="002457F6">
            <w:pPr>
              <w:pStyle w:val="P68B1DB1-Normal11"/>
              <w:jc w:val="center"/>
              <w:rPr>
                <w:noProof/>
              </w:rPr>
            </w:pPr>
            <w:r>
              <w:rPr>
                <w:noProof/>
              </w:rPr>
              <w:t>2024</w:t>
            </w:r>
          </w:p>
        </w:tc>
        <w:tc>
          <w:tcPr>
            <w:tcW w:w="1198" w:type="pct"/>
            <w:shd w:val="clear" w:color="auto" w:fill="C6EFCE"/>
            <w:noWrap/>
            <w:vAlign w:val="center"/>
          </w:tcPr>
          <w:p w14:paraId="5EFDB581" w14:textId="4785C734" w:rsidR="00C972CB" w:rsidRDefault="002457F6">
            <w:pPr>
              <w:pStyle w:val="P68B1DB1-Normal11"/>
              <w:rPr>
                <w:noProof/>
              </w:rPr>
            </w:pPr>
            <w:r>
              <w:rPr>
                <w:noProof/>
              </w:rPr>
              <w:t xml:space="preserve">Paziņojums </w:t>
            </w:r>
            <w:r>
              <w:rPr>
                <w:noProof/>
              </w:rPr>
              <w:t>par daudzdisciplīnu līguma slēgšanas tiesību piešķiršanu savienojumu būvniecībai līnijās Orte-Falconara un Taranto-Metaponto-Potenza-Battipaglia.</w:t>
            </w:r>
          </w:p>
          <w:p w14:paraId="4628FBB1" w14:textId="77777777" w:rsidR="00C972CB" w:rsidRDefault="00C972CB">
            <w:pPr>
              <w:rPr>
                <w:rFonts w:ascii="Arial Narrow" w:hAnsi="Arial Narrow"/>
                <w:noProof/>
                <w:color w:val="006100"/>
                <w:sz w:val="20"/>
              </w:rPr>
            </w:pPr>
          </w:p>
          <w:p w14:paraId="2D4C895F" w14:textId="77777777" w:rsidR="00C972CB" w:rsidRDefault="002457F6">
            <w:pPr>
              <w:pStyle w:val="P68B1DB1-Normal11"/>
              <w:rPr>
                <w:noProof/>
              </w:rPr>
            </w:pPr>
            <w:r>
              <w:rPr>
                <w:noProof/>
              </w:rPr>
              <w:t xml:space="preserve">Līgums(-i) attiecas uz šādām pozīcijām: </w:t>
            </w:r>
          </w:p>
          <w:p w14:paraId="6C3ED3B5" w14:textId="77777777" w:rsidR="00C972CB" w:rsidRDefault="00C972CB">
            <w:pPr>
              <w:rPr>
                <w:rFonts w:ascii="Arial Narrow" w:hAnsi="Arial Narrow"/>
                <w:noProof/>
                <w:color w:val="006100"/>
                <w:sz w:val="20"/>
              </w:rPr>
            </w:pPr>
          </w:p>
          <w:p w14:paraId="414CAA8F" w14:textId="08DBF8BA" w:rsidR="00C972CB" w:rsidRDefault="002457F6">
            <w:pPr>
              <w:pStyle w:val="P68B1DB1-Normal11"/>
              <w:rPr>
                <w:noProof/>
              </w:rPr>
            </w:pPr>
            <w:r>
              <w:rPr>
                <w:noProof/>
              </w:rPr>
              <w:t>Orte-Falkonara</w:t>
            </w:r>
          </w:p>
          <w:p w14:paraId="353807B1" w14:textId="77777777" w:rsidR="00C972CB" w:rsidRDefault="002457F6">
            <w:pPr>
              <w:pStyle w:val="P68B1DB1-Normal11"/>
              <w:rPr>
                <w:noProof/>
              </w:rPr>
            </w:pPr>
            <w:r>
              <w:rPr>
                <w:noProof/>
              </w:rPr>
              <w:t>Taranto-Metaponto-Potenza-Battipaglia</w:t>
            </w:r>
          </w:p>
        </w:tc>
      </w:tr>
      <w:tr w:rsidR="00C972CB" w14:paraId="6B74F548" w14:textId="77777777">
        <w:trPr>
          <w:trHeight w:val="309"/>
          <w:jc w:val="right"/>
        </w:trPr>
        <w:tc>
          <w:tcPr>
            <w:tcW w:w="369" w:type="pct"/>
            <w:shd w:val="clear" w:color="auto" w:fill="C6EFCE"/>
            <w:noWrap/>
            <w:vAlign w:val="center"/>
          </w:tcPr>
          <w:p w14:paraId="2E10C98A" w14:textId="77777777" w:rsidR="00C972CB" w:rsidRDefault="002457F6">
            <w:pPr>
              <w:pStyle w:val="P68B1DB1-Normal11"/>
              <w:jc w:val="center"/>
              <w:rPr>
                <w:noProof/>
              </w:rPr>
            </w:pPr>
            <w:r>
              <w:rPr>
                <w:noProof/>
              </w:rPr>
              <w:t>M3C1–11</w:t>
            </w:r>
          </w:p>
        </w:tc>
        <w:tc>
          <w:tcPr>
            <w:tcW w:w="511" w:type="pct"/>
            <w:shd w:val="clear" w:color="auto" w:fill="C6EFCE"/>
            <w:noWrap/>
            <w:vAlign w:val="center"/>
          </w:tcPr>
          <w:p w14:paraId="551076DE" w14:textId="77777777" w:rsidR="00C972CB" w:rsidRDefault="002457F6">
            <w:pPr>
              <w:pStyle w:val="P68B1DB1-Normal11"/>
              <w:jc w:val="center"/>
              <w:rPr>
                <w:noProof/>
              </w:rPr>
            </w:pPr>
            <w:r>
              <w:rPr>
                <w:noProof/>
              </w:rPr>
              <w:t>Ieguldījums 1.3. Diagonālie savienojumi</w:t>
            </w:r>
          </w:p>
        </w:tc>
        <w:tc>
          <w:tcPr>
            <w:tcW w:w="417" w:type="pct"/>
            <w:shd w:val="clear" w:color="auto" w:fill="C6EFCE"/>
            <w:noWrap/>
            <w:vAlign w:val="center"/>
          </w:tcPr>
          <w:p w14:paraId="73AD0447"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4F8A0BA2" w14:textId="77777777" w:rsidR="00C972CB" w:rsidRDefault="002457F6">
            <w:pPr>
              <w:pStyle w:val="P68B1DB1-Normal11"/>
              <w:jc w:val="center"/>
              <w:rPr>
                <w:noProof/>
              </w:rPr>
            </w:pPr>
            <w:r>
              <w:rPr>
                <w:noProof/>
              </w:rPr>
              <w:t>Ātrgaitas dzelzceļš gan pasažieriem, gan kravu pārvadājumiem Orte-Falconara un Taranto-Metaponto-Potenza-Battipaglia</w:t>
            </w:r>
          </w:p>
        </w:tc>
        <w:tc>
          <w:tcPr>
            <w:tcW w:w="509" w:type="pct"/>
            <w:shd w:val="clear" w:color="auto" w:fill="C6EFCE"/>
            <w:noWrap/>
            <w:vAlign w:val="center"/>
          </w:tcPr>
          <w:p w14:paraId="7DED18CB"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0BDD26E0"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3E290E0E" w14:textId="77777777" w:rsidR="00C972CB" w:rsidRDefault="002457F6">
            <w:pPr>
              <w:pStyle w:val="P68B1DB1-Normal11"/>
              <w:jc w:val="center"/>
              <w:rPr>
                <w:noProof/>
              </w:rPr>
            </w:pPr>
            <w:r>
              <w:rPr>
                <w:noProof/>
              </w:rPr>
              <w:t>0</w:t>
            </w:r>
          </w:p>
        </w:tc>
        <w:tc>
          <w:tcPr>
            <w:tcW w:w="279" w:type="pct"/>
            <w:shd w:val="clear" w:color="auto" w:fill="C6EFCE"/>
            <w:noWrap/>
            <w:vAlign w:val="center"/>
          </w:tcPr>
          <w:p w14:paraId="380AD309" w14:textId="31A81A0D" w:rsidR="00C972CB" w:rsidRDefault="002457F6">
            <w:pPr>
              <w:pStyle w:val="P68B1DB1-Normal11"/>
              <w:jc w:val="center"/>
              <w:rPr>
                <w:noProof/>
              </w:rPr>
            </w:pPr>
            <w:r>
              <w:rPr>
                <w:noProof/>
              </w:rPr>
              <w:t>27</w:t>
            </w:r>
          </w:p>
        </w:tc>
        <w:tc>
          <w:tcPr>
            <w:tcW w:w="278" w:type="pct"/>
            <w:shd w:val="clear" w:color="auto" w:fill="C6EFCE"/>
            <w:noWrap/>
            <w:vAlign w:val="center"/>
          </w:tcPr>
          <w:p w14:paraId="124EDCE2" w14:textId="77777777" w:rsidR="00C972CB" w:rsidRDefault="002457F6">
            <w:pPr>
              <w:pStyle w:val="P68B1DB1-Normal11"/>
              <w:jc w:val="center"/>
              <w:rPr>
                <w:noProof/>
              </w:rPr>
            </w:pPr>
            <w:r>
              <w:rPr>
                <w:noProof/>
              </w:rPr>
              <w:t>2. CET.</w:t>
            </w:r>
          </w:p>
        </w:tc>
        <w:tc>
          <w:tcPr>
            <w:tcW w:w="278" w:type="pct"/>
            <w:shd w:val="clear" w:color="auto" w:fill="C6EFCE"/>
            <w:noWrap/>
            <w:vAlign w:val="center"/>
          </w:tcPr>
          <w:p w14:paraId="767C910E" w14:textId="77777777" w:rsidR="00C972CB" w:rsidRDefault="002457F6">
            <w:pPr>
              <w:pStyle w:val="P68B1DB1-Normal11"/>
              <w:jc w:val="center"/>
              <w:rPr>
                <w:noProof/>
              </w:rPr>
            </w:pPr>
            <w:r>
              <w:rPr>
                <w:noProof/>
              </w:rPr>
              <w:t>2026</w:t>
            </w:r>
          </w:p>
        </w:tc>
        <w:tc>
          <w:tcPr>
            <w:tcW w:w="1198" w:type="pct"/>
            <w:shd w:val="clear" w:color="auto" w:fill="C6EFCE"/>
            <w:noWrap/>
            <w:vAlign w:val="center"/>
          </w:tcPr>
          <w:p w14:paraId="23D5C6D1" w14:textId="77777777" w:rsidR="00C972CB" w:rsidRDefault="002457F6">
            <w:pPr>
              <w:pStyle w:val="P68B1DB1-Normal11"/>
              <w:rPr>
                <w:noProof/>
              </w:rPr>
            </w:pPr>
            <w:r>
              <w:rPr>
                <w:noProof/>
              </w:rPr>
              <w:t>27 km ātrgaitas dzelzceļa pasažieru un kravu pārvadājumiem</w:t>
            </w:r>
            <w:r>
              <w:rPr>
                <w:noProof/>
              </w:rPr>
              <w:t xml:space="preserve"> līnijās Orte-Falconara un Taranto -Metaponto-Potenza-Battipaglia, kas ir gatava atļaujas saņemšanai un ekspluatācijas fāzēm.</w:t>
            </w:r>
          </w:p>
          <w:p w14:paraId="5B38F5CC" w14:textId="77777777" w:rsidR="00C972CB" w:rsidRDefault="00C972CB">
            <w:pPr>
              <w:rPr>
                <w:rFonts w:ascii="Arial Narrow" w:hAnsi="Arial Narrow"/>
                <w:noProof/>
                <w:color w:val="006100"/>
                <w:sz w:val="20"/>
              </w:rPr>
            </w:pPr>
          </w:p>
          <w:p w14:paraId="333A83F4" w14:textId="77777777" w:rsidR="00C972CB" w:rsidRDefault="002457F6">
            <w:pPr>
              <w:pStyle w:val="P68B1DB1-Normal11"/>
              <w:rPr>
                <w:noProof/>
              </w:rPr>
            </w:pPr>
            <w:r>
              <w:rPr>
                <w:noProof/>
              </w:rPr>
              <w:t>27 km sadalījums ir šāds:</w:t>
            </w:r>
          </w:p>
          <w:p w14:paraId="77E17B19" w14:textId="77777777" w:rsidR="00C972CB" w:rsidRDefault="00C972CB">
            <w:pPr>
              <w:rPr>
                <w:rFonts w:ascii="Arial Narrow" w:hAnsi="Arial Narrow"/>
                <w:noProof/>
                <w:color w:val="006100"/>
                <w:sz w:val="20"/>
              </w:rPr>
            </w:pPr>
          </w:p>
          <w:p w14:paraId="203C6299" w14:textId="6EEA46A1" w:rsidR="00C972CB" w:rsidRDefault="002457F6">
            <w:pPr>
              <w:pStyle w:val="P68B1DB1-Normal11"/>
              <w:rPr>
                <w:noProof/>
              </w:rPr>
            </w:pPr>
            <w:r>
              <w:rPr>
                <w:noProof/>
              </w:rPr>
              <w:t>Orte-Falconara, 13 km</w:t>
            </w:r>
          </w:p>
          <w:p w14:paraId="4544621E" w14:textId="77777777" w:rsidR="00C972CB" w:rsidRDefault="002457F6">
            <w:pPr>
              <w:pStyle w:val="P68B1DB1-Normal11"/>
              <w:rPr>
                <w:noProof/>
              </w:rPr>
            </w:pPr>
            <w:r>
              <w:rPr>
                <w:noProof/>
              </w:rPr>
              <w:t>Taranto — Metaponto — Potenza — Battipaglia, 14 km</w:t>
            </w:r>
          </w:p>
        </w:tc>
      </w:tr>
      <w:tr w:rsidR="00C972CB" w14:paraId="4C5F9F6E" w14:textId="77777777">
        <w:trPr>
          <w:trHeight w:val="309"/>
          <w:jc w:val="right"/>
        </w:trPr>
        <w:tc>
          <w:tcPr>
            <w:tcW w:w="369" w:type="pct"/>
            <w:shd w:val="clear" w:color="auto" w:fill="C6EFCE"/>
            <w:noWrap/>
            <w:vAlign w:val="center"/>
          </w:tcPr>
          <w:p w14:paraId="00F2C9F0" w14:textId="77777777" w:rsidR="00C972CB" w:rsidRDefault="002457F6">
            <w:pPr>
              <w:pStyle w:val="P68B1DB1-Normal11"/>
              <w:jc w:val="center"/>
              <w:rPr>
                <w:noProof/>
              </w:rPr>
            </w:pPr>
            <w:r>
              <w:rPr>
                <w:noProof/>
              </w:rPr>
              <w:t>M3C1–12</w:t>
            </w:r>
          </w:p>
        </w:tc>
        <w:tc>
          <w:tcPr>
            <w:tcW w:w="511" w:type="pct"/>
            <w:shd w:val="clear" w:color="auto" w:fill="C6EFCE"/>
            <w:noWrap/>
            <w:vAlign w:val="center"/>
          </w:tcPr>
          <w:p w14:paraId="7D39BC8C" w14:textId="77777777" w:rsidR="00C972CB" w:rsidRDefault="002457F6">
            <w:pPr>
              <w:pStyle w:val="P68B1DB1-Normal11"/>
              <w:jc w:val="center"/>
              <w:rPr>
                <w:noProof/>
              </w:rPr>
            </w:pPr>
            <w:r>
              <w:rPr>
                <w:noProof/>
              </w:rPr>
              <w:t xml:space="preserve">Ieguldījums 1.4. </w:t>
            </w:r>
            <w:r>
              <w:rPr>
                <w:noProof/>
              </w:rPr>
              <w:t>Eiropas Dzelzceļa transporta vadības sistēmas (ERTMS) ieviešana</w:t>
            </w:r>
          </w:p>
        </w:tc>
        <w:tc>
          <w:tcPr>
            <w:tcW w:w="417" w:type="pct"/>
            <w:shd w:val="clear" w:color="auto" w:fill="C6EFCE"/>
            <w:noWrap/>
            <w:vAlign w:val="center"/>
          </w:tcPr>
          <w:p w14:paraId="2B034830" w14:textId="77777777" w:rsidR="00C972CB" w:rsidRDefault="002457F6">
            <w:pPr>
              <w:pStyle w:val="P68B1DB1-Normal11"/>
              <w:jc w:val="center"/>
              <w:rPr>
                <w:noProof/>
              </w:rPr>
            </w:pPr>
            <w:r>
              <w:rPr>
                <w:noProof/>
              </w:rPr>
              <w:t>Starpposma mērķis</w:t>
            </w:r>
          </w:p>
        </w:tc>
        <w:tc>
          <w:tcPr>
            <w:tcW w:w="464" w:type="pct"/>
            <w:shd w:val="clear" w:color="auto" w:fill="C6EFCE"/>
            <w:noWrap/>
            <w:vAlign w:val="center"/>
          </w:tcPr>
          <w:p w14:paraId="37F52C16" w14:textId="77777777" w:rsidR="00C972CB" w:rsidRDefault="002457F6">
            <w:pPr>
              <w:pStyle w:val="P68B1DB1-Normal11"/>
              <w:jc w:val="center"/>
              <w:rPr>
                <w:noProof/>
              </w:rPr>
            </w:pPr>
            <w:r>
              <w:rPr>
                <w:noProof/>
              </w:rPr>
              <w:t>Eiropas Dzelzceļa transporta vadības sistēmas līgumu slēgšanas tiesību piešķiršana</w:t>
            </w:r>
          </w:p>
        </w:tc>
        <w:tc>
          <w:tcPr>
            <w:tcW w:w="509" w:type="pct"/>
            <w:shd w:val="clear" w:color="auto" w:fill="C6EFCE"/>
            <w:noWrap/>
            <w:vAlign w:val="center"/>
          </w:tcPr>
          <w:p w14:paraId="53A908E1" w14:textId="77777777" w:rsidR="00C972CB" w:rsidRDefault="002457F6">
            <w:pPr>
              <w:pStyle w:val="P68B1DB1-Normal11"/>
              <w:jc w:val="center"/>
              <w:rPr>
                <w:noProof/>
              </w:rPr>
            </w:pPr>
            <w:r>
              <w:rPr>
                <w:noProof/>
              </w:rPr>
              <w:t>Paziņojums par visu publiskā iepirkuma līgumu slēgšanas tiesību piešķiršanu Eiropas Dzelzce</w:t>
            </w:r>
            <w:r>
              <w:rPr>
                <w:noProof/>
              </w:rPr>
              <w:t>ļa transporta vadības sistēmas ieviešanai</w:t>
            </w:r>
          </w:p>
        </w:tc>
        <w:tc>
          <w:tcPr>
            <w:tcW w:w="325" w:type="pct"/>
            <w:shd w:val="clear" w:color="auto" w:fill="C6EFCE"/>
            <w:noWrap/>
            <w:vAlign w:val="center"/>
          </w:tcPr>
          <w:p w14:paraId="16C6851E" w14:textId="77777777" w:rsidR="00C972CB" w:rsidRDefault="002457F6">
            <w:pPr>
              <w:pStyle w:val="P68B1DB1-Normal11"/>
              <w:jc w:val="center"/>
              <w:rPr>
                <w:noProof/>
              </w:rPr>
            </w:pPr>
            <w:r>
              <w:rPr>
                <w:noProof/>
              </w:rPr>
              <w:t>NEPIEMĒRO</w:t>
            </w:r>
          </w:p>
        </w:tc>
        <w:tc>
          <w:tcPr>
            <w:tcW w:w="371" w:type="pct"/>
            <w:shd w:val="clear" w:color="auto" w:fill="C6EFCE"/>
            <w:noWrap/>
            <w:vAlign w:val="center"/>
          </w:tcPr>
          <w:p w14:paraId="58EDA085" w14:textId="77777777" w:rsidR="00C972CB" w:rsidRDefault="002457F6">
            <w:pPr>
              <w:pStyle w:val="P68B1DB1-Normal11"/>
              <w:jc w:val="center"/>
              <w:rPr>
                <w:noProof/>
              </w:rPr>
            </w:pPr>
            <w:r>
              <w:rPr>
                <w:noProof/>
              </w:rPr>
              <w:t>NEPIEMĒRO</w:t>
            </w:r>
          </w:p>
        </w:tc>
        <w:tc>
          <w:tcPr>
            <w:tcW w:w="279" w:type="pct"/>
            <w:shd w:val="clear" w:color="auto" w:fill="C6EFCE"/>
            <w:noWrap/>
            <w:vAlign w:val="center"/>
          </w:tcPr>
          <w:p w14:paraId="2F33F93E" w14:textId="77777777" w:rsidR="00C972CB" w:rsidRDefault="002457F6">
            <w:pPr>
              <w:pStyle w:val="P68B1DB1-Normal11"/>
              <w:jc w:val="center"/>
              <w:rPr>
                <w:noProof/>
              </w:rPr>
            </w:pPr>
            <w:r>
              <w:rPr>
                <w:noProof/>
              </w:rPr>
              <w:t>NEPIEMĒRO</w:t>
            </w:r>
          </w:p>
        </w:tc>
        <w:tc>
          <w:tcPr>
            <w:tcW w:w="278" w:type="pct"/>
            <w:shd w:val="clear" w:color="auto" w:fill="C6EFCE"/>
            <w:noWrap/>
            <w:vAlign w:val="center"/>
          </w:tcPr>
          <w:p w14:paraId="77ED7AB7" w14:textId="77777777" w:rsidR="00C972CB" w:rsidRDefault="002457F6">
            <w:pPr>
              <w:pStyle w:val="P68B1DB1-Normal11"/>
              <w:jc w:val="center"/>
              <w:rPr>
                <w:noProof/>
              </w:rPr>
            </w:pPr>
            <w:r>
              <w:rPr>
                <w:noProof/>
              </w:rPr>
              <w:t>4. CET.</w:t>
            </w:r>
          </w:p>
        </w:tc>
        <w:tc>
          <w:tcPr>
            <w:tcW w:w="278" w:type="pct"/>
            <w:shd w:val="clear" w:color="auto" w:fill="C6EFCE"/>
            <w:noWrap/>
            <w:vAlign w:val="center"/>
          </w:tcPr>
          <w:p w14:paraId="6C89AB59" w14:textId="77777777" w:rsidR="00C972CB" w:rsidRDefault="002457F6">
            <w:pPr>
              <w:pStyle w:val="P68B1DB1-Normal11"/>
              <w:jc w:val="center"/>
              <w:rPr>
                <w:noProof/>
              </w:rPr>
            </w:pPr>
            <w:r>
              <w:rPr>
                <w:noProof/>
              </w:rPr>
              <w:t>2022</w:t>
            </w:r>
          </w:p>
        </w:tc>
        <w:tc>
          <w:tcPr>
            <w:tcW w:w="1198" w:type="pct"/>
            <w:shd w:val="clear" w:color="auto" w:fill="C6EFCE"/>
            <w:noWrap/>
            <w:vAlign w:val="center"/>
          </w:tcPr>
          <w:p w14:paraId="787F72AF" w14:textId="77777777" w:rsidR="00C972CB" w:rsidRDefault="002457F6">
            <w:pPr>
              <w:pStyle w:val="P68B1DB1-Normal11"/>
              <w:rPr>
                <w:noProof/>
              </w:rPr>
            </w:pPr>
            <w:r>
              <w:rPr>
                <w:noProof/>
              </w:rPr>
              <w:t>Paziņojums par visu publiskā iepirkuma līgumu slēgšanas tiesību piešķiršanu Eiropas Dzelzceļa transporta vadības sistēmas (ERTMS) ieviešanai</w:t>
            </w:r>
          </w:p>
        </w:tc>
      </w:tr>
      <w:tr w:rsidR="00C972CB" w14:paraId="166C3B5C" w14:textId="77777777">
        <w:trPr>
          <w:trHeight w:val="309"/>
          <w:jc w:val="right"/>
        </w:trPr>
        <w:tc>
          <w:tcPr>
            <w:tcW w:w="369" w:type="pct"/>
            <w:shd w:val="clear" w:color="auto" w:fill="C6EFCE"/>
            <w:noWrap/>
            <w:vAlign w:val="center"/>
          </w:tcPr>
          <w:p w14:paraId="0B74228B" w14:textId="77777777" w:rsidR="00C972CB" w:rsidRDefault="002457F6">
            <w:pPr>
              <w:pStyle w:val="P68B1DB1-Normal11"/>
              <w:jc w:val="center"/>
              <w:rPr>
                <w:noProof/>
              </w:rPr>
            </w:pPr>
            <w:r>
              <w:rPr>
                <w:noProof/>
              </w:rPr>
              <w:t>M3C1–13</w:t>
            </w:r>
          </w:p>
        </w:tc>
        <w:tc>
          <w:tcPr>
            <w:tcW w:w="511" w:type="pct"/>
            <w:shd w:val="clear" w:color="auto" w:fill="C6EFCE"/>
            <w:noWrap/>
            <w:vAlign w:val="center"/>
          </w:tcPr>
          <w:p w14:paraId="015DF156" w14:textId="77777777" w:rsidR="00C972CB" w:rsidRDefault="002457F6">
            <w:pPr>
              <w:pStyle w:val="P68B1DB1-Normal11"/>
              <w:jc w:val="center"/>
              <w:rPr>
                <w:noProof/>
              </w:rPr>
            </w:pPr>
            <w:r>
              <w:rPr>
                <w:noProof/>
              </w:rPr>
              <w:t xml:space="preserve">Ieguldījums 1.4. </w:t>
            </w:r>
            <w:r>
              <w:rPr>
                <w:noProof/>
              </w:rPr>
              <w:t>Eiropas Dzelzceļa transporta vadības sistēmas (ERTMS) ieviešana</w:t>
            </w:r>
          </w:p>
        </w:tc>
        <w:tc>
          <w:tcPr>
            <w:tcW w:w="417" w:type="pct"/>
            <w:shd w:val="clear" w:color="auto" w:fill="C6EFCE"/>
            <w:noWrap/>
            <w:vAlign w:val="center"/>
          </w:tcPr>
          <w:p w14:paraId="0C00249F"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7C8999F6" w14:textId="77777777" w:rsidR="00C972CB" w:rsidRDefault="002457F6">
            <w:pPr>
              <w:pStyle w:val="P68B1DB1-Normal11"/>
              <w:jc w:val="center"/>
              <w:rPr>
                <w:noProof/>
              </w:rPr>
            </w:pPr>
            <w:r>
              <w:rPr>
                <w:noProof/>
              </w:rPr>
              <w:t>1 400 km dzelzceļa līniju, kas aprīkotas ar Eiropas Dzelzceļa transporta vadības sistēmu</w:t>
            </w:r>
          </w:p>
        </w:tc>
        <w:tc>
          <w:tcPr>
            <w:tcW w:w="509" w:type="pct"/>
            <w:shd w:val="clear" w:color="auto" w:fill="C6EFCE"/>
            <w:noWrap/>
            <w:vAlign w:val="center"/>
          </w:tcPr>
          <w:p w14:paraId="45E47288"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680AACE3"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7C97665D" w14:textId="77777777" w:rsidR="00C972CB" w:rsidRDefault="002457F6">
            <w:pPr>
              <w:pStyle w:val="P68B1DB1-Normal11"/>
              <w:jc w:val="center"/>
              <w:rPr>
                <w:noProof/>
              </w:rPr>
            </w:pPr>
            <w:r>
              <w:rPr>
                <w:noProof/>
              </w:rPr>
              <w:t>0</w:t>
            </w:r>
          </w:p>
        </w:tc>
        <w:tc>
          <w:tcPr>
            <w:tcW w:w="279" w:type="pct"/>
            <w:shd w:val="clear" w:color="auto" w:fill="C6EFCE"/>
            <w:noWrap/>
            <w:vAlign w:val="center"/>
          </w:tcPr>
          <w:p w14:paraId="573EFF2F" w14:textId="1DA02704" w:rsidR="00C972CB" w:rsidRDefault="002457F6">
            <w:pPr>
              <w:pStyle w:val="P68B1DB1-Normal11"/>
              <w:jc w:val="center"/>
              <w:rPr>
                <w:noProof/>
              </w:rPr>
            </w:pPr>
            <w:r>
              <w:rPr>
                <w:noProof/>
              </w:rPr>
              <w:t>1 400</w:t>
            </w:r>
          </w:p>
        </w:tc>
        <w:tc>
          <w:tcPr>
            <w:tcW w:w="278" w:type="pct"/>
            <w:shd w:val="clear" w:color="auto" w:fill="C6EFCE"/>
            <w:noWrap/>
            <w:vAlign w:val="center"/>
          </w:tcPr>
          <w:p w14:paraId="26D0A297" w14:textId="77777777" w:rsidR="00C972CB" w:rsidRDefault="002457F6">
            <w:pPr>
              <w:pStyle w:val="P68B1DB1-Normal11"/>
              <w:jc w:val="center"/>
              <w:rPr>
                <w:noProof/>
              </w:rPr>
            </w:pPr>
            <w:r>
              <w:rPr>
                <w:noProof/>
              </w:rPr>
              <w:t>2. CET.</w:t>
            </w:r>
          </w:p>
        </w:tc>
        <w:tc>
          <w:tcPr>
            <w:tcW w:w="278" w:type="pct"/>
            <w:shd w:val="clear" w:color="auto" w:fill="C6EFCE"/>
            <w:noWrap/>
            <w:vAlign w:val="center"/>
          </w:tcPr>
          <w:p w14:paraId="2CFA3FA4" w14:textId="77777777" w:rsidR="00C972CB" w:rsidRDefault="002457F6">
            <w:pPr>
              <w:pStyle w:val="P68B1DB1-Normal11"/>
              <w:jc w:val="center"/>
              <w:rPr>
                <w:noProof/>
              </w:rPr>
            </w:pPr>
            <w:r>
              <w:rPr>
                <w:noProof/>
              </w:rPr>
              <w:t>2025</w:t>
            </w:r>
          </w:p>
        </w:tc>
        <w:tc>
          <w:tcPr>
            <w:tcW w:w="1198" w:type="pct"/>
            <w:shd w:val="clear" w:color="auto" w:fill="C6EFCE"/>
            <w:noWrap/>
            <w:vAlign w:val="center"/>
          </w:tcPr>
          <w:p w14:paraId="176846AE" w14:textId="035D7A0A" w:rsidR="00C972CB" w:rsidRDefault="002457F6">
            <w:pPr>
              <w:pStyle w:val="P68B1DB1-Normal11"/>
              <w:rPr>
                <w:noProof/>
              </w:rPr>
            </w:pPr>
            <w:r>
              <w:rPr>
                <w:noProof/>
              </w:rPr>
              <w:t xml:space="preserve">1 400 km dzelzceļu, kas aprīkoti ar Eiropas Dzelzceļa </w:t>
            </w:r>
            <w:r>
              <w:rPr>
                <w:noProof/>
              </w:rPr>
              <w:t>transporta vadības sistēmu saskaņā ar Eiropas izvēršanas plānu un ir gatavi atļaujas piešķiršanai un ekspluatācijas posmiem.</w:t>
            </w:r>
          </w:p>
        </w:tc>
      </w:tr>
      <w:tr w:rsidR="00C972CB" w14:paraId="284E6805" w14:textId="77777777">
        <w:trPr>
          <w:trHeight w:val="309"/>
          <w:jc w:val="right"/>
        </w:trPr>
        <w:tc>
          <w:tcPr>
            <w:tcW w:w="369" w:type="pct"/>
            <w:shd w:val="clear" w:color="auto" w:fill="C6EFCE"/>
            <w:noWrap/>
            <w:vAlign w:val="center"/>
          </w:tcPr>
          <w:p w14:paraId="512DEA19" w14:textId="77777777" w:rsidR="00C972CB" w:rsidRDefault="002457F6">
            <w:pPr>
              <w:pStyle w:val="P68B1DB1-Normal11"/>
              <w:jc w:val="center"/>
              <w:rPr>
                <w:noProof/>
              </w:rPr>
            </w:pPr>
            <w:r>
              <w:rPr>
                <w:noProof/>
              </w:rPr>
              <w:t>M3C1–14</w:t>
            </w:r>
          </w:p>
        </w:tc>
        <w:tc>
          <w:tcPr>
            <w:tcW w:w="511" w:type="pct"/>
            <w:shd w:val="clear" w:color="auto" w:fill="C6EFCE"/>
            <w:noWrap/>
            <w:vAlign w:val="center"/>
          </w:tcPr>
          <w:p w14:paraId="697AAB54" w14:textId="77777777" w:rsidR="00C972CB" w:rsidRDefault="002457F6">
            <w:pPr>
              <w:pStyle w:val="P68B1DB1-Normal11"/>
              <w:jc w:val="center"/>
              <w:rPr>
                <w:noProof/>
              </w:rPr>
            </w:pPr>
            <w:r>
              <w:rPr>
                <w:noProof/>
              </w:rPr>
              <w:t>Ieguldījums 1.4. Eiropas Dzelzceļa transporta vadības sistēmas (ERTMS) ieviešana</w:t>
            </w:r>
          </w:p>
        </w:tc>
        <w:tc>
          <w:tcPr>
            <w:tcW w:w="417" w:type="pct"/>
            <w:shd w:val="clear" w:color="auto" w:fill="C6EFCE"/>
            <w:noWrap/>
            <w:vAlign w:val="center"/>
          </w:tcPr>
          <w:p w14:paraId="220BA516"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33C9023A" w14:textId="77777777" w:rsidR="00C972CB" w:rsidRDefault="002457F6">
            <w:pPr>
              <w:pStyle w:val="P68B1DB1-Normal11"/>
              <w:jc w:val="center"/>
              <w:rPr>
                <w:noProof/>
              </w:rPr>
            </w:pPr>
            <w:r>
              <w:rPr>
                <w:noProof/>
              </w:rPr>
              <w:t xml:space="preserve"> 2 785 km dzelzceļa līnijas, kas aprīkotas ar Eiropas Dzelzceļa transporta vadības sistēmu</w:t>
            </w:r>
          </w:p>
        </w:tc>
        <w:tc>
          <w:tcPr>
            <w:tcW w:w="509" w:type="pct"/>
            <w:shd w:val="clear" w:color="auto" w:fill="C6EFCE"/>
            <w:noWrap/>
            <w:vAlign w:val="center"/>
          </w:tcPr>
          <w:p w14:paraId="41673E9E"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30D9FB2E"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3585EE00" w14:textId="373700DF" w:rsidR="00C972CB" w:rsidRDefault="002457F6">
            <w:pPr>
              <w:pStyle w:val="P68B1DB1-Normal11"/>
              <w:jc w:val="center"/>
              <w:rPr>
                <w:noProof/>
              </w:rPr>
            </w:pPr>
            <w:r>
              <w:rPr>
                <w:noProof/>
              </w:rPr>
              <w:t>1 400</w:t>
            </w:r>
          </w:p>
        </w:tc>
        <w:tc>
          <w:tcPr>
            <w:tcW w:w="279" w:type="pct"/>
            <w:shd w:val="clear" w:color="auto" w:fill="C6EFCE"/>
            <w:noWrap/>
            <w:vAlign w:val="center"/>
          </w:tcPr>
          <w:p w14:paraId="6E084B1E" w14:textId="4E23924A" w:rsidR="00C972CB" w:rsidRDefault="002457F6">
            <w:pPr>
              <w:pStyle w:val="P68B1DB1-Normal11"/>
              <w:jc w:val="center"/>
              <w:rPr>
                <w:noProof/>
              </w:rPr>
            </w:pPr>
            <w:r>
              <w:rPr>
                <w:noProof/>
              </w:rPr>
              <w:t>2 785</w:t>
            </w:r>
          </w:p>
        </w:tc>
        <w:tc>
          <w:tcPr>
            <w:tcW w:w="278" w:type="pct"/>
            <w:shd w:val="clear" w:color="auto" w:fill="C6EFCE"/>
            <w:noWrap/>
            <w:vAlign w:val="center"/>
          </w:tcPr>
          <w:p w14:paraId="4F36A4ED" w14:textId="77777777" w:rsidR="00C972CB" w:rsidRDefault="002457F6">
            <w:pPr>
              <w:pStyle w:val="P68B1DB1-Normal11"/>
              <w:jc w:val="center"/>
              <w:rPr>
                <w:noProof/>
              </w:rPr>
            </w:pPr>
            <w:r>
              <w:rPr>
                <w:noProof/>
              </w:rPr>
              <w:t>2. CET.</w:t>
            </w:r>
          </w:p>
        </w:tc>
        <w:tc>
          <w:tcPr>
            <w:tcW w:w="278" w:type="pct"/>
            <w:shd w:val="clear" w:color="auto" w:fill="C6EFCE"/>
            <w:noWrap/>
            <w:vAlign w:val="center"/>
          </w:tcPr>
          <w:p w14:paraId="7E61E8A4" w14:textId="77777777" w:rsidR="00C972CB" w:rsidRDefault="002457F6">
            <w:pPr>
              <w:pStyle w:val="P68B1DB1-Normal11"/>
              <w:jc w:val="center"/>
              <w:rPr>
                <w:noProof/>
              </w:rPr>
            </w:pPr>
            <w:r>
              <w:rPr>
                <w:noProof/>
              </w:rPr>
              <w:t>2026</w:t>
            </w:r>
          </w:p>
        </w:tc>
        <w:tc>
          <w:tcPr>
            <w:tcW w:w="1198" w:type="pct"/>
            <w:shd w:val="clear" w:color="auto" w:fill="C6EFCE"/>
            <w:noWrap/>
            <w:vAlign w:val="center"/>
          </w:tcPr>
          <w:p w14:paraId="0D26E5E6" w14:textId="1F299FD7" w:rsidR="00C972CB" w:rsidRDefault="002457F6">
            <w:pPr>
              <w:pStyle w:val="P68B1DB1-Normal11"/>
              <w:spacing w:before="120" w:after="120"/>
              <w:rPr>
                <w:noProof/>
              </w:rPr>
            </w:pPr>
            <w:r>
              <w:rPr>
                <w:noProof/>
              </w:rPr>
              <w:t xml:space="preserve">2 785 km gari dzelzceļi, kas aprīkoti ar Eiropas Dzelzceļa transporta vadības sistēmu saskaņā ar Eiropas Dzelzceļa </w:t>
            </w:r>
            <w:r>
              <w:rPr>
                <w:noProof/>
              </w:rPr>
              <w:t>transporta vadības sistēmu saskaņā ar Eiropas stratēģisko izvēršanas plānu, ir gatavi atļaujas piešķiršanai un ekspluatācijas posmiem.</w:t>
            </w:r>
          </w:p>
        </w:tc>
      </w:tr>
      <w:tr w:rsidR="00C972CB" w14:paraId="47967D1C" w14:textId="77777777">
        <w:trPr>
          <w:trHeight w:val="309"/>
          <w:jc w:val="right"/>
        </w:trPr>
        <w:tc>
          <w:tcPr>
            <w:tcW w:w="369" w:type="pct"/>
            <w:shd w:val="clear" w:color="auto" w:fill="C6EFCE"/>
            <w:noWrap/>
            <w:vAlign w:val="center"/>
          </w:tcPr>
          <w:p w14:paraId="62F95BE2" w14:textId="77777777" w:rsidR="00C972CB" w:rsidRDefault="002457F6">
            <w:pPr>
              <w:pStyle w:val="P68B1DB1-Normal11"/>
              <w:jc w:val="center"/>
              <w:rPr>
                <w:noProof/>
              </w:rPr>
            </w:pPr>
            <w:r>
              <w:rPr>
                <w:noProof/>
              </w:rPr>
              <w:t>M3C1–15</w:t>
            </w:r>
          </w:p>
        </w:tc>
        <w:tc>
          <w:tcPr>
            <w:tcW w:w="511" w:type="pct"/>
            <w:shd w:val="clear" w:color="auto" w:fill="C6EFCE"/>
            <w:noWrap/>
            <w:vAlign w:val="center"/>
          </w:tcPr>
          <w:p w14:paraId="1346E5AA" w14:textId="77777777" w:rsidR="00C972CB" w:rsidRDefault="002457F6">
            <w:pPr>
              <w:pStyle w:val="P68B1DB1-Normal11"/>
              <w:jc w:val="center"/>
              <w:rPr>
                <w:noProof/>
              </w:rPr>
            </w:pPr>
            <w:r>
              <w:rPr>
                <w:noProof/>
              </w:rPr>
              <w:t>Ieguldījums 1.5. Lielpilsētu mezglu un galveno valsts saikņu stiprināšana</w:t>
            </w:r>
          </w:p>
        </w:tc>
        <w:tc>
          <w:tcPr>
            <w:tcW w:w="417" w:type="pct"/>
            <w:shd w:val="clear" w:color="auto" w:fill="C6EFCE"/>
            <w:noWrap/>
            <w:vAlign w:val="center"/>
          </w:tcPr>
          <w:p w14:paraId="21E56834"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78DB4444" w14:textId="77777777" w:rsidR="00C972CB" w:rsidRDefault="002457F6">
            <w:pPr>
              <w:pStyle w:val="P68B1DB1-Normal11"/>
              <w:jc w:val="center"/>
              <w:rPr>
                <w:noProof/>
              </w:rPr>
            </w:pPr>
            <w:r>
              <w:rPr>
                <w:noProof/>
              </w:rPr>
              <w:t>Modernizēti līnijas posmi 700 km</w:t>
            </w:r>
            <w:r>
              <w:rPr>
                <w:noProof/>
              </w:rPr>
              <w:t xml:space="preserve"> garumā, kas uzbūvēti lielpilsētu mezglos un galvenajos valsts savienojumos</w:t>
            </w:r>
          </w:p>
        </w:tc>
        <w:tc>
          <w:tcPr>
            <w:tcW w:w="509" w:type="pct"/>
            <w:shd w:val="clear" w:color="auto" w:fill="C6EFCE"/>
            <w:noWrap/>
            <w:vAlign w:val="center"/>
          </w:tcPr>
          <w:p w14:paraId="0ED6D972"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63609DE3"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0C960581" w14:textId="77777777" w:rsidR="00C972CB" w:rsidRDefault="002457F6">
            <w:pPr>
              <w:pStyle w:val="P68B1DB1-Normal11"/>
              <w:jc w:val="center"/>
              <w:rPr>
                <w:noProof/>
              </w:rPr>
            </w:pPr>
            <w:r>
              <w:rPr>
                <w:noProof/>
              </w:rPr>
              <w:t>0</w:t>
            </w:r>
          </w:p>
        </w:tc>
        <w:tc>
          <w:tcPr>
            <w:tcW w:w="279" w:type="pct"/>
            <w:shd w:val="clear" w:color="auto" w:fill="C6EFCE"/>
            <w:noWrap/>
            <w:vAlign w:val="center"/>
          </w:tcPr>
          <w:p w14:paraId="725DD8E3" w14:textId="77777777" w:rsidR="00C972CB" w:rsidRDefault="002457F6">
            <w:pPr>
              <w:pStyle w:val="P68B1DB1-Normal11"/>
              <w:jc w:val="center"/>
              <w:rPr>
                <w:noProof/>
              </w:rPr>
            </w:pPr>
            <w:r>
              <w:rPr>
                <w:noProof/>
              </w:rPr>
              <w:t>700</w:t>
            </w:r>
          </w:p>
        </w:tc>
        <w:tc>
          <w:tcPr>
            <w:tcW w:w="278" w:type="pct"/>
            <w:shd w:val="clear" w:color="auto" w:fill="C6EFCE"/>
            <w:noWrap/>
            <w:vAlign w:val="center"/>
          </w:tcPr>
          <w:p w14:paraId="1556710E" w14:textId="77777777" w:rsidR="00C972CB" w:rsidRDefault="002457F6">
            <w:pPr>
              <w:pStyle w:val="P68B1DB1-Normal11"/>
              <w:jc w:val="center"/>
              <w:rPr>
                <w:noProof/>
              </w:rPr>
            </w:pPr>
            <w:r>
              <w:rPr>
                <w:noProof/>
              </w:rPr>
              <w:t>4. CET.</w:t>
            </w:r>
          </w:p>
        </w:tc>
        <w:tc>
          <w:tcPr>
            <w:tcW w:w="278" w:type="pct"/>
            <w:shd w:val="clear" w:color="auto" w:fill="C6EFCE"/>
            <w:noWrap/>
            <w:vAlign w:val="center"/>
          </w:tcPr>
          <w:p w14:paraId="303BF1D7" w14:textId="77777777" w:rsidR="00C972CB" w:rsidRDefault="002457F6">
            <w:pPr>
              <w:pStyle w:val="P68B1DB1-Normal11"/>
              <w:jc w:val="center"/>
              <w:rPr>
                <w:noProof/>
              </w:rPr>
            </w:pPr>
            <w:r>
              <w:rPr>
                <w:noProof/>
              </w:rPr>
              <w:t>2024</w:t>
            </w:r>
          </w:p>
        </w:tc>
        <w:tc>
          <w:tcPr>
            <w:tcW w:w="1198" w:type="pct"/>
            <w:shd w:val="clear" w:color="auto" w:fill="C6EFCE"/>
            <w:noWrap/>
            <w:vAlign w:val="center"/>
          </w:tcPr>
          <w:p w14:paraId="06B99116" w14:textId="77777777" w:rsidR="00C972CB" w:rsidRDefault="002457F6">
            <w:pPr>
              <w:pStyle w:val="P68B1DB1-Normal11"/>
              <w:rPr>
                <w:noProof/>
              </w:rPr>
            </w:pPr>
            <w:r>
              <w:rPr>
                <w:noProof/>
              </w:rPr>
              <w:t xml:space="preserve">Vismaz 700 km modernizētu līniju posmu, kas uzbūvēti lielpilsētu mezglos un galvenajos valsts savienojumos, gatavi atļaujas piešķiršanai un </w:t>
            </w:r>
            <w:r>
              <w:rPr>
                <w:noProof/>
              </w:rPr>
              <w:t>ekspluatācijas posmiem.</w:t>
            </w:r>
          </w:p>
          <w:p w14:paraId="17FFB384" w14:textId="77777777" w:rsidR="00C972CB" w:rsidRDefault="00C972CB">
            <w:pPr>
              <w:rPr>
                <w:rFonts w:ascii="Arial Narrow" w:hAnsi="Arial Narrow"/>
                <w:noProof/>
                <w:color w:val="006100"/>
                <w:sz w:val="20"/>
              </w:rPr>
            </w:pPr>
          </w:p>
        </w:tc>
      </w:tr>
      <w:tr w:rsidR="00C972CB" w14:paraId="7C3BDEBA" w14:textId="77777777">
        <w:trPr>
          <w:trHeight w:val="309"/>
          <w:jc w:val="right"/>
        </w:trPr>
        <w:tc>
          <w:tcPr>
            <w:tcW w:w="369" w:type="pct"/>
            <w:shd w:val="clear" w:color="auto" w:fill="C6EFCE"/>
            <w:noWrap/>
            <w:vAlign w:val="center"/>
          </w:tcPr>
          <w:p w14:paraId="734A70D0" w14:textId="77777777" w:rsidR="00C972CB" w:rsidRDefault="002457F6">
            <w:pPr>
              <w:pStyle w:val="P68B1DB1-Normal11"/>
              <w:jc w:val="center"/>
              <w:rPr>
                <w:noProof/>
              </w:rPr>
            </w:pPr>
            <w:r>
              <w:rPr>
                <w:noProof/>
              </w:rPr>
              <w:t>M3C1–16</w:t>
            </w:r>
          </w:p>
        </w:tc>
        <w:tc>
          <w:tcPr>
            <w:tcW w:w="511" w:type="pct"/>
            <w:shd w:val="clear" w:color="auto" w:fill="C6EFCE"/>
            <w:noWrap/>
            <w:vAlign w:val="center"/>
          </w:tcPr>
          <w:p w14:paraId="09D6CD02" w14:textId="77777777" w:rsidR="00C972CB" w:rsidRDefault="002457F6">
            <w:pPr>
              <w:pStyle w:val="P68B1DB1-Normal11"/>
              <w:jc w:val="center"/>
              <w:rPr>
                <w:noProof/>
              </w:rPr>
            </w:pPr>
            <w:r>
              <w:rPr>
                <w:noProof/>
              </w:rPr>
              <w:t>Ieguldījums 1.5. Lielpilsētu mezglu un galveno valsts saikņu stiprināšana</w:t>
            </w:r>
          </w:p>
        </w:tc>
        <w:tc>
          <w:tcPr>
            <w:tcW w:w="417" w:type="pct"/>
            <w:shd w:val="clear" w:color="auto" w:fill="C6EFCE"/>
            <w:noWrap/>
            <w:vAlign w:val="center"/>
          </w:tcPr>
          <w:p w14:paraId="10837981"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1ED9110C" w14:textId="77777777" w:rsidR="00C972CB" w:rsidRDefault="002457F6">
            <w:pPr>
              <w:pStyle w:val="P68B1DB1-Normal11"/>
              <w:jc w:val="center"/>
              <w:rPr>
                <w:noProof/>
              </w:rPr>
            </w:pPr>
            <w:r>
              <w:rPr>
                <w:noProof/>
              </w:rPr>
              <w:t>Modernizēti līnijas posmi 1 280 km garumā, kas uzbūvēti lielpilsētu mezglos un galvenajos valsts savienojumos</w:t>
            </w:r>
          </w:p>
        </w:tc>
        <w:tc>
          <w:tcPr>
            <w:tcW w:w="509" w:type="pct"/>
            <w:shd w:val="clear" w:color="auto" w:fill="C6EFCE"/>
            <w:noWrap/>
            <w:vAlign w:val="center"/>
          </w:tcPr>
          <w:p w14:paraId="086FC245"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427C7A6D"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3C718BA1" w14:textId="77777777" w:rsidR="00C972CB" w:rsidRDefault="002457F6">
            <w:pPr>
              <w:pStyle w:val="P68B1DB1-Normal11"/>
              <w:jc w:val="center"/>
              <w:rPr>
                <w:noProof/>
              </w:rPr>
            </w:pPr>
            <w:r>
              <w:rPr>
                <w:noProof/>
              </w:rPr>
              <w:t>700</w:t>
            </w:r>
          </w:p>
        </w:tc>
        <w:tc>
          <w:tcPr>
            <w:tcW w:w="279" w:type="pct"/>
            <w:shd w:val="clear" w:color="auto" w:fill="C6EFCE"/>
            <w:noWrap/>
            <w:vAlign w:val="center"/>
          </w:tcPr>
          <w:p w14:paraId="6B0665C5" w14:textId="20F73F89" w:rsidR="00C972CB" w:rsidRDefault="002457F6">
            <w:pPr>
              <w:pStyle w:val="P68B1DB1-Normal11"/>
              <w:jc w:val="center"/>
              <w:rPr>
                <w:noProof/>
              </w:rPr>
            </w:pPr>
            <w:r>
              <w:rPr>
                <w:noProof/>
              </w:rPr>
              <w:t>1 280</w:t>
            </w:r>
          </w:p>
        </w:tc>
        <w:tc>
          <w:tcPr>
            <w:tcW w:w="278" w:type="pct"/>
            <w:shd w:val="clear" w:color="auto" w:fill="C6EFCE"/>
            <w:noWrap/>
            <w:vAlign w:val="center"/>
          </w:tcPr>
          <w:p w14:paraId="6F7B1EF0" w14:textId="77777777" w:rsidR="00C972CB" w:rsidRDefault="002457F6">
            <w:pPr>
              <w:pStyle w:val="P68B1DB1-Normal11"/>
              <w:jc w:val="center"/>
              <w:rPr>
                <w:noProof/>
              </w:rPr>
            </w:pPr>
            <w:r>
              <w:rPr>
                <w:noProof/>
              </w:rPr>
              <w:t xml:space="preserve">2. </w:t>
            </w:r>
            <w:r>
              <w:rPr>
                <w:noProof/>
              </w:rPr>
              <w:t>CET.</w:t>
            </w:r>
          </w:p>
        </w:tc>
        <w:tc>
          <w:tcPr>
            <w:tcW w:w="278" w:type="pct"/>
            <w:shd w:val="clear" w:color="auto" w:fill="C6EFCE"/>
            <w:noWrap/>
            <w:vAlign w:val="center"/>
          </w:tcPr>
          <w:p w14:paraId="615EDE70" w14:textId="77777777" w:rsidR="00C972CB" w:rsidRDefault="002457F6">
            <w:pPr>
              <w:pStyle w:val="P68B1DB1-Normal11"/>
              <w:jc w:val="center"/>
              <w:rPr>
                <w:noProof/>
              </w:rPr>
            </w:pPr>
            <w:r>
              <w:rPr>
                <w:noProof/>
              </w:rPr>
              <w:t>2026</w:t>
            </w:r>
          </w:p>
        </w:tc>
        <w:tc>
          <w:tcPr>
            <w:tcW w:w="1198" w:type="pct"/>
            <w:shd w:val="clear" w:color="auto" w:fill="C6EFCE"/>
            <w:noWrap/>
            <w:vAlign w:val="center"/>
          </w:tcPr>
          <w:p w14:paraId="0F885545" w14:textId="56AA0DB7" w:rsidR="00C972CB" w:rsidRDefault="002457F6">
            <w:pPr>
              <w:pStyle w:val="P68B1DB1-Normal11"/>
              <w:rPr>
                <w:noProof/>
              </w:rPr>
            </w:pPr>
            <w:r>
              <w:rPr>
                <w:noProof/>
              </w:rPr>
              <w:t>Vismaz 1 280 km uzlaboto/modernizēto līniju posmi, kas uzbūvēti lielpilsētu mezglos un galvenajos valsts savienojumos un ir gatavi atļaujas piešķiršanai un ekspluatācijas posmiem</w:t>
            </w:r>
          </w:p>
        </w:tc>
      </w:tr>
      <w:tr w:rsidR="00C972CB" w14:paraId="3EF9A146" w14:textId="77777777">
        <w:trPr>
          <w:trHeight w:val="309"/>
          <w:jc w:val="right"/>
        </w:trPr>
        <w:tc>
          <w:tcPr>
            <w:tcW w:w="369" w:type="pct"/>
            <w:shd w:val="clear" w:color="auto" w:fill="C6EFCE"/>
            <w:noWrap/>
            <w:vAlign w:val="center"/>
          </w:tcPr>
          <w:p w14:paraId="1FDC7B49" w14:textId="77777777" w:rsidR="00C972CB" w:rsidRDefault="002457F6">
            <w:pPr>
              <w:pStyle w:val="P68B1DB1-Normal11"/>
              <w:jc w:val="center"/>
              <w:rPr>
                <w:noProof/>
              </w:rPr>
            </w:pPr>
            <w:r>
              <w:rPr>
                <w:noProof/>
              </w:rPr>
              <w:t>M3C1–17</w:t>
            </w:r>
          </w:p>
        </w:tc>
        <w:tc>
          <w:tcPr>
            <w:tcW w:w="511" w:type="pct"/>
            <w:shd w:val="clear" w:color="auto" w:fill="C6EFCE"/>
            <w:noWrap/>
            <w:vAlign w:val="center"/>
          </w:tcPr>
          <w:p w14:paraId="687260C8" w14:textId="77777777" w:rsidR="00C972CB" w:rsidRDefault="002457F6">
            <w:pPr>
              <w:pStyle w:val="P68B1DB1-Normal11"/>
              <w:jc w:val="center"/>
              <w:rPr>
                <w:noProof/>
              </w:rPr>
            </w:pPr>
            <w:r>
              <w:rPr>
                <w:noProof/>
              </w:rPr>
              <w:t xml:space="preserve">Ieguldījums 1.7. Dzelzceļa modernizācija, elektrifikācija </w:t>
            </w:r>
            <w:r>
              <w:rPr>
                <w:noProof/>
              </w:rPr>
              <w:t>un noturība dienvidos</w:t>
            </w:r>
          </w:p>
        </w:tc>
        <w:tc>
          <w:tcPr>
            <w:tcW w:w="417" w:type="pct"/>
            <w:shd w:val="clear" w:color="auto" w:fill="C6EFCE"/>
            <w:noWrap/>
            <w:vAlign w:val="center"/>
          </w:tcPr>
          <w:p w14:paraId="06F7BA84" w14:textId="77777777" w:rsidR="00C972CB" w:rsidRDefault="00C972CB">
            <w:pPr>
              <w:jc w:val="center"/>
              <w:rPr>
                <w:rFonts w:ascii="Arial Narrow" w:hAnsi="Arial Narrow"/>
                <w:noProof/>
                <w:color w:val="006100"/>
                <w:sz w:val="20"/>
              </w:rPr>
            </w:pPr>
          </w:p>
          <w:p w14:paraId="68BB15F8" w14:textId="77777777" w:rsidR="00C972CB" w:rsidRDefault="002457F6">
            <w:pPr>
              <w:pStyle w:val="P68B1DB1-Normal11"/>
              <w:jc w:val="center"/>
              <w:rPr>
                <w:noProof/>
              </w:rPr>
            </w:pPr>
            <w:r>
              <w:rPr>
                <w:noProof/>
              </w:rPr>
              <w:t xml:space="preserve">Mērķa </w:t>
            </w:r>
          </w:p>
        </w:tc>
        <w:tc>
          <w:tcPr>
            <w:tcW w:w="464" w:type="pct"/>
            <w:shd w:val="clear" w:color="auto" w:fill="C6EFCE"/>
            <w:noWrap/>
            <w:vAlign w:val="center"/>
          </w:tcPr>
          <w:p w14:paraId="6C46B7E3" w14:textId="4ED18C18" w:rsidR="00C972CB" w:rsidRDefault="002457F6">
            <w:pPr>
              <w:pStyle w:val="P68B1DB1-Normal11"/>
              <w:jc w:val="center"/>
              <w:rPr>
                <w:noProof/>
              </w:rPr>
            </w:pPr>
            <w:r>
              <w:rPr>
                <w:noProof/>
              </w:rPr>
              <w:t>Pabeigti 150 km darbi, kas saistīti ar dzelzceļu modernizāciju, elektrifikāciju un noturību dienvidos, gatavi atļaujas piešķiršanai un ekspluatācijas posmiem.</w:t>
            </w:r>
          </w:p>
        </w:tc>
        <w:tc>
          <w:tcPr>
            <w:tcW w:w="509" w:type="pct"/>
            <w:shd w:val="clear" w:color="auto" w:fill="C6EFCE"/>
            <w:noWrap/>
            <w:vAlign w:val="center"/>
          </w:tcPr>
          <w:p w14:paraId="35F825F1"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6AFB40EF"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7655624F" w14:textId="77777777" w:rsidR="00C972CB" w:rsidRDefault="002457F6">
            <w:pPr>
              <w:pStyle w:val="P68B1DB1-Normal11"/>
              <w:jc w:val="center"/>
              <w:rPr>
                <w:noProof/>
              </w:rPr>
            </w:pPr>
            <w:r>
              <w:rPr>
                <w:noProof/>
              </w:rPr>
              <w:t>0</w:t>
            </w:r>
          </w:p>
        </w:tc>
        <w:tc>
          <w:tcPr>
            <w:tcW w:w="279" w:type="pct"/>
            <w:shd w:val="clear" w:color="auto" w:fill="C6EFCE"/>
            <w:noWrap/>
            <w:vAlign w:val="center"/>
          </w:tcPr>
          <w:p w14:paraId="2F49AE89" w14:textId="77777777" w:rsidR="00C972CB" w:rsidRDefault="002457F6">
            <w:pPr>
              <w:pStyle w:val="P68B1DB1-Normal11"/>
              <w:jc w:val="center"/>
              <w:rPr>
                <w:noProof/>
              </w:rPr>
            </w:pPr>
            <w:r>
              <w:rPr>
                <w:noProof/>
              </w:rPr>
              <w:t>150</w:t>
            </w:r>
          </w:p>
        </w:tc>
        <w:tc>
          <w:tcPr>
            <w:tcW w:w="278" w:type="pct"/>
            <w:shd w:val="clear" w:color="auto" w:fill="C6EFCE"/>
            <w:noWrap/>
            <w:vAlign w:val="center"/>
          </w:tcPr>
          <w:p w14:paraId="38B996EF" w14:textId="77777777" w:rsidR="00C972CB" w:rsidRDefault="002457F6">
            <w:pPr>
              <w:pStyle w:val="P68B1DB1-Normal11"/>
              <w:jc w:val="center"/>
              <w:rPr>
                <w:noProof/>
              </w:rPr>
            </w:pPr>
            <w:r>
              <w:rPr>
                <w:noProof/>
              </w:rPr>
              <w:t>4. CET.</w:t>
            </w:r>
          </w:p>
        </w:tc>
        <w:tc>
          <w:tcPr>
            <w:tcW w:w="278" w:type="pct"/>
            <w:shd w:val="clear" w:color="auto" w:fill="C6EFCE"/>
            <w:noWrap/>
            <w:vAlign w:val="center"/>
          </w:tcPr>
          <w:p w14:paraId="42E02E82" w14:textId="77777777" w:rsidR="00C972CB" w:rsidRDefault="002457F6">
            <w:pPr>
              <w:pStyle w:val="P68B1DB1-Normal11"/>
              <w:jc w:val="center"/>
              <w:rPr>
                <w:noProof/>
              </w:rPr>
            </w:pPr>
            <w:r>
              <w:rPr>
                <w:noProof/>
              </w:rPr>
              <w:t>2023</w:t>
            </w:r>
          </w:p>
        </w:tc>
        <w:tc>
          <w:tcPr>
            <w:tcW w:w="1198" w:type="pct"/>
            <w:shd w:val="clear" w:color="auto" w:fill="C6EFCE"/>
            <w:noWrap/>
            <w:vAlign w:val="center"/>
          </w:tcPr>
          <w:p w14:paraId="2D650958" w14:textId="77777777" w:rsidR="00C972CB" w:rsidRDefault="002457F6">
            <w:pPr>
              <w:pStyle w:val="P68B1DB1-Normal11"/>
              <w:spacing w:before="120" w:after="120"/>
              <w:rPr>
                <w:noProof/>
              </w:rPr>
            </w:pPr>
            <w:r>
              <w:rPr>
                <w:noProof/>
              </w:rPr>
              <w:t xml:space="preserve">Darbu pabeigšana vismaz 150 km garumā, kas saistīti ar dienvidu dzelzceļu modernizāciju, elektrifikāciju un noturību un ir gatavi atļaujas piešķiršanai un ekspluatācijas posmiem. </w:t>
            </w:r>
          </w:p>
          <w:p w14:paraId="18243FD3" w14:textId="77777777" w:rsidR="00C972CB" w:rsidRDefault="002457F6">
            <w:pPr>
              <w:pStyle w:val="P68B1DB1-Normal11"/>
              <w:spacing w:before="120" w:after="120"/>
              <w:rPr>
                <w:noProof/>
              </w:rPr>
            </w:pPr>
            <w:r>
              <w:rPr>
                <w:noProof/>
              </w:rPr>
              <w:t>150 km attiecas uz šādām līnijām:</w:t>
            </w:r>
          </w:p>
          <w:p w14:paraId="41B146BD" w14:textId="77777777" w:rsidR="00C972CB" w:rsidRDefault="002457F6">
            <w:pPr>
              <w:pStyle w:val="P68B1DB1-Normal11"/>
              <w:spacing w:before="120" w:after="120"/>
              <w:rPr>
                <w:noProof/>
              </w:rPr>
            </w:pPr>
            <w:r>
              <w:rPr>
                <w:noProof/>
              </w:rPr>
              <w:t>Molizes reģions</w:t>
            </w:r>
          </w:p>
          <w:p w14:paraId="48F38645" w14:textId="77777777" w:rsidR="00C972CB" w:rsidRDefault="002457F6">
            <w:pPr>
              <w:pStyle w:val="P68B1DB1-ListParagraph13"/>
              <w:numPr>
                <w:ilvl w:val="0"/>
                <w:numId w:val="48"/>
              </w:numPr>
              <w:ind w:left="393"/>
              <w:jc w:val="left"/>
              <w:rPr>
                <w:noProof/>
              </w:rPr>
            </w:pPr>
            <w:r>
              <w:rPr>
                <w:noProof/>
              </w:rPr>
              <w:t>Roma-Venafro-Campobasso-Te</w:t>
            </w:r>
            <w:r>
              <w:rPr>
                <w:noProof/>
              </w:rPr>
              <w:t>rmoli;</w:t>
            </w:r>
          </w:p>
          <w:p w14:paraId="4172D517" w14:textId="77777777" w:rsidR="00C972CB" w:rsidRDefault="002457F6">
            <w:pPr>
              <w:pStyle w:val="P68B1DB1-Normal11"/>
              <w:spacing w:before="120" w:after="120"/>
              <w:rPr>
                <w:noProof/>
              </w:rPr>
            </w:pPr>
            <w:r>
              <w:rPr>
                <w:noProof/>
              </w:rPr>
              <w:t>Apūlijas reģions</w:t>
            </w:r>
          </w:p>
          <w:p w14:paraId="6D65ACE4" w14:textId="77777777" w:rsidR="00C972CB" w:rsidRDefault="002457F6">
            <w:pPr>
              <w:pStyle w:val="P68B1DB1-ListParagraph13"/>
              <w:numPr>
                <w:ilvl w:val="0"/>
                <w:numId w:val="48"/>
              </w:numPr>
              <w:ind w:left="535"/>
              <w:jc w:val="left"/>
              <w:rPr>
                <w:noProof/>
              </w:rPr>
            </w:pPr>
            <w:r>
              <w:rPr>
                <w:noProof/>
              </w:rPr>
              <w:t>Peskara-Foggia</w:t>
            </w:r>
          </w:p>
          <w:p w14:paraId="70A6A95A" w14:textId="77777777" w:rsidR="00C972CB" w:rsidRDefault="002457F6">
            <w:pPr>
              <w:pStyle w:val="P68B1DB1-ListParagraph13"/>
              <w:numPr>
                <w:ilvl w:val="0"/>
                <w:numId w:val="48"/>
              </w:numPr>
              <w:ind w:left="535"/>
              <w:jc w:val="left"/>
              <w:rPr>
                <w:noProof/>
              </w:rPr>
            </w:pPr>
            <w:r>
              <w:rPr>
                <w:noProof/>
              </w:rPr>
              <w:t>Potenza-Foggia</w:t>
            </w:r>
          </w:p>
          <w:p w14:paraId="44BBCBB8" w14:textId="77777777" w:rsidR="00C972CB" w:rsidRDefault="002457F6">
            <w:pPr>
              <w:pStyle w:val="P68B1DB1-ListParagraph13"/>
              <w:numPr>
                <w:ilvl w:val="0"/>
                <w:numId w:val="48"/>
              </w:numPr>
              <w:ind w:left="535"/>
              <w:jc w:val="left"/>
              <w:rPr>
                <w:noProof/>
              </w:rPr>
            </w:pPr>
            <w:r>
              <w:rPr>
                <w:noProof/>
              </w:rPr>
              <w:t>Saites Brindisi</w:t>
            </w:r>
          </w:p>
          <w:p w14:paraId="73832C94" w14:textId="77777777" w:rsidR="00C972CB" w:rsidRDefault="002457F6">
            <w:pPr>
              <w:pStyle w:val="P68B1DB1-ListParagraph13"/>
              <w:numPr>
                <w:ilvl w:val="0"/>
                <w:numId w:val="48"/>
              </w:numPr>
              <w:ind w:left="535"/>
              <w:jc w:val="left"/>
              <w:rPr>
                <w:noProof/>
              </w:rPr>
            </w:pPr>
            <w:r>
              <w:rPr>
                <w:noProof/>
              </w:rPr>
              <w:t>Saites “Taranto”</w:t>
            </w:r>
          </w:p>
          <w:p w14:paraId="0A5228B3" w14:textId="77777777" w:rsidR="00C972CB" w:rsidRDefault="002457F6">
            <w:pPr>
              <w:pStyle w:val="P68B1DB1-Normal11"/>
              <w:spacing w:before="120" w:after="120"/>
              <w:rPr>
                <w:noProof/>
              </w:rPr>
            </w:pPr>
            <w:r>
              <w:rPr>
                <w:noProof/>
              </w:rPr>
              <w:t>Kalabrijas reģions</w:t>
            </w:r>
          </w:p>
          <w:p w14:paraId="0CF0031E" w14:textId="77777777" w:rsidR="00C972CB" w:rsidRDefault="002457F6">
            <w:pPr>
              <w:pStyle w:val="P68B1DB1-ListParagraph13"/>
              <w:numPr>
                <w:ilvl w:val="0"/>
                <w:numId w:val="48"/>
              </w:numPr>
              <w:ind w:left="535"/>
              <w:jc w:val="left"/>
              <w:rPr>
                <w:noProof/>
              </w:rPr>
            </w:pPr>
            <w:r>
              <w:rPr>
                <w:noProof/>
              </w:rPr>
              <w:t>Jonian Sibari-Catanzaro Lido-/Lamezia Terme</w:t>
            </w:r>
          </w:p>
          <w:p w14:paraId="6EB45031" w14:textId="77777777" w:rsidR="00C972CB" w:rsidRDefault="002457F6">
            <w:pPr>
              <w:pStyle w:val="P68B1DB1-Normal11"/>
              <w:spacing w:before="120" w:after="120"/>
              <w:rPr>
                <w:noProof/>
              </w:rPr>
            </w:pPr>
            <w:r>
              <w:rPr>
                <w:noProof/>
              </w:rPr>
              <w:t>Bazilikatas reģions</w:t>
            </w:r>
          </w:p>
          <w:p w14:paraId="16754DC8" w14:textId="77777777" w:rsidR="00C972CB" w:rsidRDefault="002457F6">
            <w:pPr>
              <w:pStyle w:val="P68B1DB1-ListParagraph13"/>
              <w:numPr>
                <w:ilvl w:val="0"/>
                <w:numId w:val="48"/>
              </w:numPr>
              <w:ind w:left="535"/>
              <w:jc w:val="left"/>
              <w:rPr>
                <w:noProof/>
              </w:rPr>
            </w:pPr>
            <w:r>
              <w:rPr>
                <w:noProof/>
              </w:rPr>
              <w:t>Ferrandina-Matera</w:t>
            </w:r>
          </w:p>
          <w:p w14:paraId="2D35AD60" w14:textId="77777777" w:rsidR="00C972CB" w:rsidRDefault="002457F6">
            <w:pPr>
              <w:pStyle w:val="P68B1DB1-Normal11"/>
              <w:spacing w:before="120" w:after="120"/>
              <w:rPr>
                <w:noProof/>
              </w:rPr>
            </w:pPr>
            <w:r>
              <w:rPr>
                <w:noProof/>
              </w:rPr>
              <w:t>Kampānijas reģions</w:t>
            </w:r>
          </w:p>
          <w:p w14:paraId="7F490CCB" w14:textId="77777777" w:rsidR="00C972CB" w:rsidRDefault="002457F6">
            <w:pPr>
              <w:pStyle w:val="P68B1DB1-ListParagraph13"/>
              <w:numPr>
                <w:ilvl w:val="0"/>
                <w:numId w:val="48"/>
              </w:numPr>
              <w:ind w:left="535"/>
              <w:jc w:val="left"/>
              <w:rPr>
                <w:noProof/>
              </w:rPr>
            </w:pPr>
            <w:r>
              <w:rPr>
                <w:noProof/>
              </w:rPr>
              <w:t>Salerno Arechi — Aeroporto Pontecagnano</w:t>
            </w:r>
          </w:p>
          <w:p w14:paraId="307CCE8B" w14:textId="77777777" w:rsidR="00C972CB" w:rsidRDefault="002457F6">
            <w:pPr>
              <w:pStyle w:val="P68B1DB1-Normal11"/>
              <w:rPr>
                <w:noProof/>
              </w:rPr>
            </w:pPr>
            <w:r>
              <w:rPr>
                <w:noProof/>
              </w:rPr>
              <w:t>Sicīlijas</w:t>
            </w:r>
            <w:r>
              <w:rPr>
                <w:noProof/>
              </w:rPr>
              <w:t xml:space="preserve"> reģions</w:t>
            </w:r>
          </w:p>
          <w:p w14:paraId="3F0C7BA5" w14:textId="77777777" w:rsidR="00C972CB" w:rsidRDefault="00C972CB">
            <w:pPr>
              <w:rPr>
                <w:rFonts w:ascii="Arial Narrow" w:hAnsi="Arial Narrow"/>
                <w:noProof/>
                <w:color w:val="006100"/>
                <w:sz w:val="20"/>
              </w:rPr>
            </w:pPr>
          </w:p>
          <w:p w14:paraId="5CF037EA" w14:textId="77777777" w:rsidR="00C972CB" w:rsidRDefault="002457F6">
            <w:pPr>
              <w:pStyle w:val="P68B1DB1-ListParagraph13"/>
              <w:numPr>
                <w:ilvl w:val="0"/>
                <w:numId w:val="48"/>
              </w:numPr>
              <w:ind w:left="535"/>
              <w:jc w:val="left"/>
              <w:rPr>
                <w:noProof/>
              </w:rPr>
            </w:pPr>
            <w:r>
              <w:rPr>
                <w:noProof/>
              </w:rPr>
              <w:t>Palermo — Agrigento — Porto Empedocle</w:t>
            </w:r>
          </w:p>
          <w:p w14:paraId="069DF716" w14:textId="77777777" w:rsidR="00C972CB" w:rsidRDefault="002457F6">
            <w:pPr>
              <w:pStyle w:val="P68B1DB1-ListParagraph13"/>
              <w:numPr>
                <w:ilvl w:val="0"/>
                <w:numId w:val="48"/>
              </w:numPr>
              <w:ind w:left="535"/>
              <w:jc w:val="left"/>
              <w:rPr>
                <w:noProof/>
              </w:rPr>
            </w:pPr>
            <w:r>
              <w:rPr>
                <w:noProof/>
              </w:rPr>
              <w:t>Saite uz Augustas ostu</w:t>
            </w:r>
          </w:p>
          <w:p w14:paraId="751CA9C2" w14:textId="77777777" w:rsidR="00C972CB" w:rsidRDefault="002457F6">
            <w:pPr>
              <w:pStyle w:val="P68B1DB1-ListParagraph13"/>
              <w:numPr>
                <w:ilvl w:val="0"/>
                <w:numId w:val="48"/>
              </w:numPr>
              <w:ind w:left="535"/>
              <w:jc w:val="left"/>
              <w:rPr>
                <w:noProof/>
              </w:rPr>
            </w:pPr>
            <w:r>
              <w:rPr>
                <w:noProof/>
              </w:rPr>
              <w:t>Savienojums ar lidostu Trapani Birgi</w:t>
            </w:r>
          </w:p>
          <w:p w14:paraId="67A95C1A" w14:textId="77777777" w:rsidR="00C972CB" w:rsidRDefault="002457F6">
            <w:pPr>
              <w:pStyle w:val="P68B1DB1-Normal11"/>
              <w:rPr>
                <w:noProof/>
              </w:rPr>
            </w:pPr>
            <w:r>
              <w:rPr>
                <w:noProof/>
              </w:rPr>
              <w:t>Sardegnas reģions</w:t>
            </w:r>
          </w:p>
          <w:p w14:paraId="673F4F8C" w14:textId="77777777" w:rsidR="00C972CB" w:rsidRDefault="002457F6">
            <w:pPr>
              <w:pStyle w:val="P68B1DB1-ListParagraph13"/>
              <w:numPr>
                <w:ilvl w:val="0"/>
                <w:numId w:val="48"/>
              </w:numPr>
              <w:ind w:left="535"/>
              <w:jc w:val="left"/>
              <w:rPr>
                <w:noProof/>
              </w:rPr>
            </w:pPr>
            <w:r>
              <w:rPr>
                <w:noProof/>
              </w:rPr>
              <w:t xml:space="preserve">Dzelzceļa savienojums ar Obia lidostu </w:t>
            </w:r>
          </w:p>
          <w:p w14:paraId="02DBA29A" w14:textId="77777777" w:rsidR="00C972CB" w:rsidRDefault="002457F6">
            <w:pPr>
              <w:pStyle w:val="P68B1DB1-ListParagraph13"/>
              <w:numPr>
                <w:ilvl w:val="0"/>
                <w:numId w:val="48"/>
              </w:numPr>
              <w:ind w:left="535"/>
              <w:jc w:val="left"/>
              <w:rPr>
                <w:noProof/>
              </w:rPr>
            </w:pPr>
            <w:r>
              <w:rPr>
                <w:noProof/>
              </w:rPr>
              <w:t>Kāpurķēde Decimomannu-Villamassargia</w:t>
            </w:r>
          </w:p>
        </w:tc>
      </w:tr>
      <w:tr w:rsidR="00C972CB" w14:paraId="108290E6" w14:textId="77777777">
        <w:trPr>
          <w:trHeight w:val="309"/>
          <w:jc w:val="right"/>
        </w:trPr>
        <w:tc>
          <w:tcPr>
            <w:tcW w:w="369" w:type="pct"/>
            <w:shd w:val="clear" w:color="auto" w:fill="C6EFCE"/>
            <w:noWrap/>
            <w:vAlign w:val="center"/>
          </w:tcPr>
          <w:p w14:paraId="09ACBE2C" w14:textId="77777777" w:rsidR="00C972CB" w:rsidRDefault="002457F6">
            <w:pPr>
              <w:pStyle w:val="P68B1DB1-Normal11"/>
              <w:jc w:val="center"/>
              <w:rPr>
                <w:noProof/>
              </w:rPr>
            </w:pPr>
            <w:r>
              <w:rPr>
                <w:noProof/>
              </w:rPr>
              <w:t>M3C1–17.bis</w:t>
            </w:r>
          </w:p>
        </w:tc>
        <w:tc>
          <w:tcPr>
            <w:tcW w:w="511" w:type="pct"/>
            <w:shd w:val="clear" w:color="auto" w:fill="C6EFCE"/>
            <w:noWrap/>
            <w:vAlign w:val="center"/>
          </w:tcPr>
          <w:p w14:paraId="430849E4" w14:textId="77777777" w:rsidR="00C972CB" w:rsidRDefault="002457F6">
            <w:pPr>
              <w:pStyle w:val="P68B1DB1-Normal11"/>
              <w:jc w:val="center"/>
              <w:rPr>
                <w:noProof/>
              </w:rPr>
            </w:pPr>
            <w:r>
              <w:rPr>
                <w:noProof/>
              </w:rPr>
              <w:t>Ieguldījums 1.7. Dzelzceļa modernizācija,</w:t>
            </w:r>
            <w:r>
              <w:rPr>
                <w:noProof/>
              </w:rPr>
              <w:t xml:space="preserve"> elektrifikācija un noturība dienvidos</w:t>
            </w:r>
          </w:p>
        </w:tc>
        <w:tc>
          <w:tcPr>
            <w:tcW w:w="417" w:type="pct"/>
            <w:shd w:val="clear" w:color="auto" w:fill="C6EFCE"/>
            <w:noWrap/>
            <w:vAlign w:val="center"/>
          </w:tcPr>
          <w:p w14:paraId="30079A9A"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2EC2D991" w14:textId="6E743864" w:rsidR="00C972CB" w:rsidRDefault="002457F6">
            <w:pPr>
              <w:pStyle w:val="P68B1DB1-Normal11"/>
              <w:jc w:val="center"/>
              <w:rPr>
                <w:noProof/>
              </w:rPr>
            </w:pPr>
            <w:r>
              <w:rPr>
                <w:noProof/>
              </w:rPr>
              <w:t>650 km garumā pabeigti darbi, kas saistīti ar dzelzceļu modernizāciju, elektrifikāciju un noturību dienvidos, gatavi atļaujas piešķiršanai un ekspluatācijas posmiem.</w:t>
            </w:r>
          </w:p>
        </w:tc>
        <w:tc>
          <w:tcPr>
            <w:tcW w:w="509" w:type="pct"/>
            <w:shd w:val="clear" w:color="auto" w:fill="C6EFCE"/>
            <w:noWrap/>
            <w:vAlign w:val="center"/>
          </w:tcPr>
          <w:p w14:paraId="04215E6E"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0F3051C5"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4BBDA1B2" w14:textId="77777777" w:rsidR="00C972CB" w:rsidRDefault="002457F6">
            <w:pPr>
              <w:pStyle w:val="P68B1DB1-Normal11"/>
              <w:jc w:val="center"/>
              <w:rPr>
                <w:noProof/>
              </w:rPr>
            </w:pPr>
            <w:r>
              <w:rPr>
                <w:noProof/>
              </w:rPr>
              <w:t>150</w:t>
            </w:r>
          </w:p>
        </w:tc>
        <w:tc>
          <w:tcPr>
            <w:tcW w:w="279" w:type="pct"/>
            <w:shd w:val="clear" w:color="auto" w:fill="C6EFCE"/>
            <w:noWrap/>
            <w:vAlign w:val="center"/>
          </w:tcPr>
          <w:p w14:paraId="44F10D2B" w14:textId="77777777" w:rsidR="00C972CB" w:rsidRDefault="002457F6">
            <w:pPr>
              <w:pStyle w:val="P68B1DB1-Normal11"/>
              <w:jc w:val="center"/>
              <w:rPr>
                <w:noProof/>
              </w:rPr>
            </w:pPr>
            <w:r>
              <w:rPr>
                <w:noProof/>
              </w:rPr>
              <w:t>650</w:t>
            </w:r>
          </w:p>
        </w:tc>
        <w:tc>
          <w:tcPr>
            <w:tcW w:w="278" w:type="pct"/>
            <w:shd w:val="clear" w:color="auto" w:fill="C6EFCE"/>
            <w:noWrap/>
            <w:vAlign w:val="center"/>
          </w:tcPr>
          <w:p w14:paraId="6E930CD9" w14:textId="77777777" w:rsidR="00C972CB" w:rsidRDefault="002457F6">
            <w:pPr>
              <w:pStyle w:val="P68B1DB1-Normal11"/>
              <w:jc w:val="center"/>
              <w:rPr>
                <w:noProof/>
              </w:rPr>
            </w:pPr>
            <w:r>
              <w:rPr>
                <w:noProof/>
              </w:rPr>
              <w:t>2. CET.</w:t>
            </w:r>
          </w:p>
        </w:tc>
        <w:tc>
          <w:tcPr>
            <w:tcW w:w="278" w:type="pct"/>
            <w:shd w:val="clear" w:color="auto" w:fill="C6EFCE"/>
            <w:noWrap/>
            <w:vAlign w:val="center"/>
          </w:tcPr>
          <w:p w14:paraId="1A60E60F" w14:textId="77777777" w:rsidR="00C972CB" w:rsidRDefault="002457F6">
            <w:pPr>
              <w:pStyle w:val="P68B1DB1-Normal11"/>
              <w:jc w:val="center"/>
              <w:rPr>
                <w:noProof/>
              </w:rPr>
            </w:pPr>
            <w:r>
              <w:rPr>
                <w:noProof/>
              </w:rPr>
              <w:t>2026</w:t>
            </w:r>
          </w:p>
        </w:tc>
        <w:tc>
          <w:tcPr>
            <w:tcW w:w="1198" w:type="pct"/>
            <w:shd w:val="clear" w:color="auto" w:fill="C6EFCE"/>
            <w:noWrap/>
            <w:vAlign w:val="center"/>
          </w:tcPr>
          <w:p w14:paraId="12667F6E" w14:textId="77777777" w:rsidR="00C972CB" w:rsidRDefault="002457F6">
            <w:pPr>
              <w:pStyle w:val="P68B1DB1-Normal11"/>
              <w:spacing w:before="120" w:after="120"/>
              <w:rPr>
                <w:noProof/>
              </w:rPr>
            </w:pPr>
            <w:r>
              <w:rPr>
                <w:noProof/>
              </w:rPr>
              <w:t xml:space="preserve">Darbu pabeigšana vismaz 650 km garumā, kas saistīti ar dienvidu dzelzceļu modernizāciju, elektrifikāciju un noturību un ir gatavi atļaujas piešķiršanai un ekspluatācijas posmiem. </w:t>
            </w:r>
          </w:p>
          <w:p w14:paraId="0133585C" w14:textId="77777777" w:rsidR="00C972CB" w:rsidRDefault="002457F6">
            <w:pPr>
              <w:pStyle w:val="P68B1DB1-Normal11"/>
              <w:spacing w:before="120" w:after="120"/>
              <w:rPr>
                <w:noProof/>
              </w:rPr>
            </w:pPr>
            <w:r>
              <w:rPr>
                <w:noProof/>
              </w:rPr>
              <w:t>Intervence attiecas uz šādām pozīcijām:</w:t>
            </w:r>
          </w:p>
          <w:p w14:paraId="29D17A25" w14:textId="77777777" w:rsidR="00C972CB" w:rsidRDefault="002457F6">
            <w:pPr>
              <w:pStyle w:val="P68B1DB1-Normal11"/>
              <w:spacing w:before="120" w:after="120"/>
              <w:rPr>
                <w:noProof/>
              </w:rPr>
            </w:pPr>
            <w:r>
              <w:rPr>
                <w:noProof/>
              </w:rPr>
              <w:t>Molizes reģions</w:t>
            </w:r>
          </w:p>
          <w:p w14:paraId="6447A42C" w14:textId="77777777" w:rsidR="00C972CB" w:rsidRDefault="002457F6">
            <w:pPr>
              <w:pStyle w:val="P68B1DB1-ListParagraph13"/>
              <w:numPr>
                <w:ilvl w:val="0"/>
                <w:numId w:val="48"/>
              </w:numPr>
              <w:ind w:left="535"/>
              <w:jc w:val="left"/>
              <w:rPr>
                <w:noProof/>
              </w:rPr>
            </w:pPr>
            <w:r>
              <w:rPr>
                <w:noProof/>
              </w:rPr>
              <w:t>Roma-Venafro-Campoba</w:t>
            </w:r>
            <w:r>
              <w:rPr>
                <w:noProof/>
              </w:rPr>
              <w:t>sso-Termoli;</w:t>
            </w:r>
          </w:p>
          <w:p w14:paraId="2B72234F" w14:textId="77777777" w:rsidR="00C972CB" w:rsidRDefault="002457F6">
            <w:pPr>
              <w:pStyle w:val="P68B1DB1-Normal11"/>
              <w:spacing w:before="120" w:after="120"/>
              <w:rPr>
                <w:noProof/>
              </w:rPr>
            </w:pPr>
            <w:r>
              <w:rPr>
                <w:noProof/>
              </w:rPr>
              <w:t>Apūlijas reģions</w:t>
            </w:r>
          </w:p>
          <w:p w14:paraId="54C15E79" w14:textId="77777777" w:rsidR="00C972CB" w:rsidRDefault="002457F6">
            <w:pPr>
              <w:pStyle w:val="P68B1DB1-ListParagraph13"/>
              <w:numPr>
                <w:ilvl w:val="0"/>
                <w:numId w:val="48"/>
              </w:numPr>
              <w:ind w:left="535"/>
              <w:jc w:val="left"/>
              <w:rPr>
                <w:noProof/>
              </w:rPr>
            </w:pPr>
            <w:r>
              <w:rPr>
                <w:noProof/>
              </w:rPr>
              <w:t>Peskara-Foggia</w:t>
            </w:r>
          </w:p>
          <w:p w14:paraId="19521A75" w14:textId="77777777" w:rsidR="00C972CB" w:rsidRDefault="002457F6">
            <w:pPr>
              <w:pStyle w:val="P68B1DB1-ListParagraph13"/>
              <w:numPr>
                <w:ilvl w:val="0"/>
                <w:numId w:val="48"/>
              </w:numPr>
              <w:ind w:left="535"/>
              <w:jc w:val="left"/>
              <w:rPr>
                <w:noProof/>
              </w:rPr>
            </w:pPr>
            <w:r>
              <w:rPr>
                <w:noProof/>
              </w:rPr>
              <w:t>Potenza-Foggia</w:t>
            </w:r>
          </w:p>
          <w:p w14:paraId="7DCDAD74" w14:textId="77777777" w:rsidR="00C972CB" w:rsidRDefault="002457F6">
            <w:pPr>
              <w:pStyle w:val="P68B1DB1-ListParagraph13"/>
              <w:numPr>
                <w:ilvl w:val="0"/>
                <w:numId w:val="48"/>
              </w:numPr>
              <w:ind w:left="535"/>
              <w:jc w:val="left"/>
              <w:rPr>
                <w:noProof/>
              </w:rPr>
            </w:pPr>
            <w:r>
              <w:rPr>
                <w:noProof/>
              </w:rPr>
              <w:t>Saites Brindisi</w:t>
            </w:r>
          </w:p>
          <w:p w14:paraId="568428C2" w14:textId="77777777" w:rsidR="00C972CB" w:rsidRDefault="002457F6">
            <w:pPr>
              <w:pStyle w:val="P68B1DB1-ListParagraph13"/>
              <w:numPr>
                <w:ilvl w:val="0"/>
                <w:numId w:val="48"/>
              </w:numPr>
              <w:ind w:left="535"/>
              <w:jc w:val="left"/>
              <w:rPr>
                <w:noProof/>
              </w:rPr>
            </w:pPr>
            <w:r>
              <w:rPr>
                <w:noProof/>
              </w:rPr>
              <w:t>Saites “Taranto”</w:t>
            </w:r>
          </w:p>
          <w:p w14:paraId="271C90CA" w14:textId="77777777" w:rsidR="00C972CB" w:rsidRDefault="002457F6">
            <w:pPr>
              <w:pStyle w:val="P68B1DB1-Normal11"/>
              <w:spacing w:before="120" w:after="120"/>
              <w:rPr>
                <w:noProof/>
              </w:rPr>
            </w:pPr>
            <w:r>
              <w:rPr>
                <w:noProof/>
              </w:rPr>
              <w:t>Kalabrijas reģions</w:t>
            </w:r>
          </w:p>
          <w:p w14:paraId="0DEB67F5" w14:textId="77777777" w:rsidR="00C972CB" w:rsidRDefault="002457F6">
            <w:pPr>
              <w:pStyle w:val="P68B1DB1-ListParagraph13"/>
              <w:numPr>
                <w:ilvl w:val="0"/>
                <w:numId w:val="48"/>
              </w:numPr>
              <w:ind w:left="535"/>
              <w:jc w:val="left"/>
              <w:rPr>
                <w:noProof/>
              </w:rPr>
            </w:pPr>
            <w:r>
              <w:rPr>
                <w:noProof/>
              </w:rPr>
              <w:t>Jonian Sibari-Catanzaro Lido-Lamezia Terme</w:t>
            </w:r>
          </w:p>
          <w:p w14:paraId="1AFFDBED" w14:textId="77777777" w:rsidR="00C972CB" w:rsidRDefault="002457F6">
            <w:pPr>
              <w:pStyle w:val="P68B1DB1-Normal11"/>
              <w:spacing w:before="120" w:after="120"/>
              <w:rPr>
                <w:noProof/>
              </w:rPr>
            </w:pPr>
            <w:r>
              <w:rPr>
                <w:noProof/>
              </w:rPr>
              <w:t>Bazilikatas reģions</w:t>
            </w:r>
          </w:p>
          <w:p w14:paraId="64A4D63B" w14:textId="77777777" w:rsidR="00C972CB" w:rsidRDefault="002457F6">
            <w:pPr>
              <w:pStyle w:val="P68B1DB1-ListParagraph13"/>
              <w:numPr>
                <w:ilvl w:val="0"/>
                <w:numId w:val="48"/>
              </w:numPr>
              <w:ind w:left="535"/>
              <w:jc w:val="left"/>
              <w:rPr>
                <w:noProof/>
              </w:rPr>
            </w:pPr>
            <w:r>
              <w:rPr>
                <w:noProof/>
              </w:rPr>
              <w:t>Ferrandina-Matera</w:t>
            </w:r>
          </w:p>
          <w:p w14:paraId="22BB8C0C" w14:textId="77777777" w:rsidR="00C972CB" w:rsidRDefault="002457F6">
            <w:pPr>
              <w:pStyle w:val="P68B1DB1-Normal11"/>
              <w:spacing w:before="120" w:after="120"/>
              <w:rPr>
                <w:noProof/>
              </w:rPr>
            </w:pPr>
            <w:r>
              <w:rPr>
                <w:noProof/>
              </w:rPr>
              <w:t>Kampānijas reģions</w:t>
            </w:r>
          </w:p>
          <w:p w14:paraId="0FF87072" w14:textId="77777777" w:rsidR="00C972CB" w:rsidRDefault="002457F6">
            <w:pPr>
              <w:pStyle w:val="P68B1DB1-ListParagraph13"/>
              <w:numPr>
                <w:ilvl w:val="0"/>
                <w:numId w:val="48"/>
              </w:numPr>
              <w:ind w:left="535"/>
              <w:jc w:val="left"/>
              <w:rPr>
                <w:noProof/>
              </w:rPr>
            </w:pPr>
            <w:r>
              <w:rPr>
                <w:noProof/>
              </w:rPr>
              <w:t>Salerno Arechi — Aeroporto Pontecagnano</w:t>
            </w:r>
          </w:p>
          <w:p w14:paraId="48FE6ED9" w14:textId="77777777" w:rsidR="00C972CB" w:rsidRDefault="002457F6">
            <w:pPr>
              <w:pStyle w:val="P68B1DB1-Normal11"/>
              <w:rPr>
                <w:noProof/>
              </w:rPr>
            </w:pPr>
            <w:r>
              <w:rPr>
                <w:noProof/>
              </w:rPr>
              <w:t>Sicīlijas reģions</w:t>
            </w:r>
          </w:p>
          <w:p w14:paraId="63EF65D4" w14:textId="77777777" w:rsidR="00C972CB" w:rsidRDefault="002457F6">
            <w:pPr>
              <w:pStyle w:val="P68B1DB1-ListParagraph13"/>
              <w:numPr>
                <w:ilvl w:val="0"/>
                <w:numId w:val="48"/>
              </w:numPr>
              <w:ind w:left="535"/>
              <w:jc w:val="left"/>
              <w:rPr>
                <w:noProof/>
              </w:rPr>
            </w:pPr>
            <w:r>
              <w:rPr>
                <w:noProof/>
              </w:rPr>
              <w:t>Agrigento — Porto Empedocle</w:t>
            </w:r>
          </w:p>
          <w:p w14:paraId="72225E8A" w14:textId="77777777" w:rsidR="00C972CB" w:rsidRDefault="002457F6">
            <w:pPr>
              <w:pStyle w:val="P68B1DB1-ListParagraph13"/>
              <w:numPr>
                <w:ilvl w:val="0"/>
                <w:numId w:val="48"/>
              </w:numPr>
              <w:ind w:left="535"/>
              <w:jc w:val="left"/>
              <w:rPr>
                <w:noProof/>
              </w:rPr>
            </w:pPr>
            <w:r>
              <w:rPr>
                <w:noProof/>
              </w:rPr>
              <w:t>Saite uz Augustas ostu</w:t>
            </w:r>
          </w:p>
          <w:p w14:paraId="2B91BCE2" w14:textId="77777777" w:rsidR="00C972CB" w:rsidRDefault="002457F6">
            <w:pPr>
              <w:pStyle w:val="P68B1DB1-ListParagraph13"/>
              <w:numPr>
                <w:ilvl w:val="0"/>
                <w:numId w:val="48"/>
              </w:numPr>
              <w:ind w:left="535"/>
              <w:jc w:val="left"/>
              <w:rPr>
                <w:noProof/>
              </w:rPr>
            </w:pPr>
            <w:r>
              <w:rPr>
                <w:noProof/>
              </w:rPr>
              <w:t>Savienojums ar lidostu Trapani Birgi</w:t>
            </w:r>
          </w:p>
          <w:p w14:paraId="1108018C" w14:textId="77777777" w:rsidR="00C972CB" w:rsidRDefault="002457F6">
            <w:pPr>
              <w:pStyle w:val="P68B1DB1-Normal11"/>
              <w:rPr>
                <w:noProof/>
              </w:rPr>
            </w:pPr>
            <w:r>
              <w:rPr>
                <w:noProof/>
              </w:rPr>
              <w:t>Sardegnas reģions</w:t>
            </w:r>
          </w:p>
          <w:p w14:paraId="7B300A5C" w14:textId="77777777" w:rsidR="00C972CB" w:rsidRDefault="002457F6">
            <w:pPr>
              <w:pStyle w:val="P68B1DB1-ListParagraph13"/>
              <w:numPr>
                <w:ilvl w:val="0"/>
                <w:numId w:val="48"/>
              </w:numPr>
              <w:ind w:left="677" w:hanging="458"/>
              <w:jc w:val="left"/>
              <w:rPr>
                <w:noProof/>
              </w:rPr>
            </w:pPr>
            <w:r>
              <w:rPr>
                <w:noProof/>
              </w:rPr>
              <w:t xml:space="preserve">Dzelzceļa savienojums ar Olbijas lidostu </w:t>
            </w:r>
          </w:p>
          <w:p w14:paraId="7D0A5598" w14:textId="77777777" w:rsidR="00C972CB" w:rsidRDefault="002457F6">
            <w:pPr>
              <w:pStyle w:val="P68B1DB1-ListParagraph13"/>
              <w:numPr>
                <w:ilvl w:val="0"/>
                <w:numId w:val="48"/>
              </w:numPr>
              <w:ind w:left="677" w:hanging="458"/>
              <w:jc w:val="left"/>
              <w:rPr>
                <w:noProof/>
              </w:rPr>
            </w:pPr>
            <w:r>
              <w:rPr>
                <w:noProof/>
              </w:rPr>
              <w:t>Kāpurķēde Decimomannu-Villamassargia</w:t>
            </w:r>
          </w:p>
        </w:tc>
      </w:tr>
      <w:tr w:rsidR="00C972CB" w14:paraId="2BD62269" w14:textId="77777777">
        <w:trPr>
          <w:trHeight w:val="309"/>
          <w:jc w:val="right"/>
        </w:trPr>
        <w:tc>
          <w:tcPr>
            <w:tcW w:w="369" w:type="pct"/>
            <w:shd w:val="clear" w:color="auto" w:fill="C6EFCE"/>
            <w:noWrap/>
            <w:vAlign w:val="center"/>
          </w:tcPr>
          <w:p w14:paraId="7BFD7196" w14:textId="77777777" w:rsidR="00C972CB" w:rsidRDefault="002457F6">
            <w:pPr>
              <w:pStyle w:val="P68B1DB1-Normal11"/>
              <w:jc w:val="center"/>
              <w:rPr>
                <w:noProof/>
              </w:rPr>
            </w:pPr>
            <w:r>
              <w:rPr>
                <w:noProof/>
              </w:rPr>
              <w:t>M3C1–18</w:t>
            </w:r>
          </w:p>
        </w:tc>
        <w:tc>
          <w:tcPr>
            <w:tcW w:w="511" w:type="pct"/>
            <w:shd w:val="clear" w:color="auto" w:fill="C6EFCE"/>
            <w:noWrap/>
            <w:vAlign w:val="center"/>
          </w:tcPr>
          <w:p w14:paraId="44FB83E0" w14:textId="77777777" w:rsidR="00C972CB" w:rsidRDefault="002457F6">
            <w:pPr>
              <w:pStyle w:val="P68B1DB1-Normal11"/>
              <w:jc w:val="center"/>
              <w:rPr>
                <w:noProof/>
              </w:rPr>
            </w:pPr>
            <w:r>
              <w:rPr>
                <w:noProof/>
              </w:rPr>
              <w:t xml:space="preserve">Ieguldījums 1.6. Reģionālo līniju </w:t>
            </w:r>
            <w:r>
              <w:rPr>
                <w:noProof/>
              </w:rPr>
              <w:t>stiprināšana — reģionālo dzelzceļu modernizācija (vadības RFI)</w:t>
            </w:r>
          </w:p>
        </w:tc>
        <w:tc>
          <w:tcPr>
            <w:tcW w:w="417" w:type="pct"/>
            <w:shd w:val="clear" w:color="auto" w:fill="C6EFCE"/>
            <w:noWrap/>
            <w:vAlign w:val="center"/>
          </w:tcPr>
          <w:p w14:paraId="7FFEEFEE"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72476935" w14:textId="77777777" w:rsidR="00C972CB" w:rsidRDefault="002457F6">
            <w:pPr>
              <w:pStyle w:val="P68B1DB1-Normal11"/>
              <w:jc w:val="center"/>
              <w:rPr>
                <w:noProof/>
              </w:rPr>
            </w:pPr>
            <w:r>
              <w:rPr>
                <w:noProof/>
              </w:rPr>
              <w:t>Modernizētas reģionālās līnijas, gatavas atļaujas piešķiršanai un ekspluatācijas posmiem</w:t>
            </w:r>
          </w:p>
        </w:tc>
        <w:tc>
          <w:tcPr>
            <w:tcW w:w="509" w:type="pct"/>
            <w:shd w:val="clear" w:color="auto" w:fill="C6EFCE"/>
            <w:noWrap/>
            <w:vAlign w:val="center"/>
          </w:tcPr>
          <w:p w14:paraId="389BF7E3"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52818D04"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4F0BAC37" w14:textId="77777777" w:rsidR="00C972CB" w:rsidRDefault="002457F6">
            <w:pPr>
              <w:pStyle w:val="P68B1DB1-Normal11"/>
              <w:jc w:val="center"/>
              <w:rPr>
                <w:noProof/>
              </w:rPr>
            </w:pPr>
            <w:r>
              <w:rPr>
                <w:noProof/>
              </w:rPr>
              <w:t>0</w:t>
            </w:r>
          </w:p>
        </w:tc>
        <w:tc>
          <w:tcPr>
            <w:tcW w:w="279" w:type="pct"/>
            <w:shd w:val="clear" w:color="auto" w:fill="C6EFCE"/>
            <w:noWrap/>
            <w:vAlign w:val="center"/>
          </w:tcPr>
          <w:p w14:paraId="0DDAAB0D" w14:textId="77777777" w:rsidR="00C972CB" w:rsidRDefault="002457F6">
            <w:pPr>
              <w:pStyle w:val="P68B1DB1-Normal11"/>
              <w:jc w:val="center"/>
              <w:rPr>
                <w:noProof/>
              </w:rPr>
            </w:pPr>
            <w:r>
              <w:rPr>
                <w:noProof/>
              </w:rPr>
              <w:t>646</w:t>
            </w:r>
          </w:p>
        </w:tc>
        <w:tc>
          <w:tcPr>
            <w:tcW w:w="278" w:type="pct"/>
            <w:shd w:val="clear" w:color="auto" w:fill="C6EFCE"/>
            <w:noWrap/>
            <w:vAlign w:val="center"/>
          </w:tcPr>
          <w:p w14:paraId="18E0C8DF" w14:textId="77777777" w:rsidR="00C972CB" w:rsidRDefault="002457F6">
            <w:pPr>
              <w:pStyle w:val="P68B1DB1-Normal11"/>
              <w:jc w:val="center"/>
              <w:rPr>
                <w:noProof/>
              </w:rPr>
            </w:pPr>
            <w:r>
              <w:rPr>
                <w:noProof/>
              </w:rPr>
              <w:t>2. CET.</w:t>
            </w:r>
          </w:p>
        </w:tc>
        <w:tc>
          <w:tcPr>
            <w:tcW w:w="278" w:type="pct"/>
            <w:shd w:val="clear" w:color="auto" w:fill="C6EFCE"/>
            <w:noWrap/>
            <w:vAlign w:val="center"/>
          </w:tcPr>
          <w:p w14:paraId="0286E0DE" w14:textId="77777777" w:rsidR="00C972CB" w:rsidRDefault="002457F6">
            <w:pPr>
              <w:pStyle w:val="P68B1DB1-Normal11"/>
              <w:jc w:val="center"/>
              <w:rPr>
                <w:noProof/>
              </w:rPr>
            </w:pPr>
            <w:r>
              <w:rPr>
                <w:noProof/>
              </w:rPr>
              <w:t>2026</w:t>
            </w:r>
          </w:p>
        </w:tc>
        <w:tc>
          <w:tcPr>
            <w:tcW w:w="1198" w:type="pct"/>
            <w:shd w:val="clear" w:color="auto" w:fill="C6EFCE"/>
            <w:noWrap/>
            <w:vAlign w:val="center"/>
          </w:tcPr>
          <w:p w14:paraId="7B454788" w14:textId="7AE31069" w:rsidR="00C972CB" w:rsidRDefault="002457F6">
            <w:pPr>
              <w:pStyle w:val="P68B1DB1-Normal11"/>
              <w:rPr>
                <w:noProof/>
              </w:rPr>
            </w:pPr>
            <w:r>
              <w:rPr>
                <w:noProof/>
              </w:rPr>
              <w:t xml:space="preserve">646 km modernizētu reģionālo līniju, kas ir gatavas atļaujas </w:t>
            </w:r>
            <w:r>
              <w:rPr>
                <w:noProof/>
              </w:rPr>
              <w:t>piešķiršanai un ekspluatācijas posmiem.</w:t>
            </w:r>
          </w:p>
        </w:tc>
      </w:tr>
      <w:tr w:rsidR="00C972CB" w14:paraId="56F129E5" w14:textId="77777777">
        <w:trPr>
          <w:trHeight w:val="309"/>
          <w:jc w:val="right"/>
        </w:trPr>
        <w:tc>
          <w:tcPr>
            <w:tcW w:w="369" w:type="pct"/>
            <w:shd w:val="clear" w:color="auto" w:fill="C6EFCE"/>
            <w:noWrap/>
            <w:vAlign w:val="center"/>
          </w:tcPr>
          <w:p w14:paraId="50F2E3FF" w14:textId="77777777" w:rsidR="00C972CB" w:rsidRDefault="002457F6">
            <w:pPr>
              <w:pStyle w:val="P68B1DB1-Normal11"/>
              <w:jc w:val="center"/>
              <w:rPr>
                <w:noProof/>
              </w:rPr>
            </w:pPr>
            <w:r>
              <w:rPr>
                <w:noProof/>
              </w:rPr>
              <w:t>M3C1–19</w:t>
            </w:r>
          </w:p>
        </w:tc>
        <w:tc>
          <w:tcPr>
            <w:tcW w:w="511" w:type="pct"/>
            <w:shd w:val="clear" w:color="auto" w:fill="C6EFCE"/>
            <w:noWrap/>
            <w:vAlign w:val="center"/>
          </w:tcPr>
          <w:p w14:paraId="11217CEA" w14:textId="77777777" w:rsidR="00C972CB" w:rsidRDefault="002457F6">
            <w:pPr>
              <w:pStyle w:val="P68B1DB1-Normal11"/>
              <w:jc w:val="center"/>
              <w:rPr>
                <w:noProof/>
              </w:rPr>
            </w:pPr>
            <w:r>
              <w:rPr>
                <w:noProof/>
              </w:rPr>
              <w:t>Ieguldījums Nr. 1.8 — Dzelzceļa staciju modernizācija (RFI pārvaldība; dienvidos)</w:t>
            </w:r>
          </w:p>
        </w:tc>
        <w:tc>
          <w:tcPr>
            <w:tcW w:w="417" w:type="pct"/>
            <w:shd w:val="clear" w:color="auto" w:fill="C6EFCE"/>
            <w:noWrap/>
            <w:vAlign w:val="center"/>
          </w:tcPr>
          <w:p w14:paraId="4CC1D73A"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436AAB14" w14:textId="77777777" w:rsidR="00C972CB" w:rsidRDefault="002457F6">
            <w:pPr>
              <w:pStyle w:val="P68B1DB1-Normal11"/>
              <w:jc w:val="center"/>
              <w:rPr>
                <w:noProof/>
              </w:rPr>
            </w:pPr>
            <w:r>
              <w:rPr>
                <w:noProof/>
              </w:rPr>
              <w:t>Modernizētas un pieejamas dzelzceļa stacijas</w:t>
            </w:r>
          </w:p>
        </w:tc>
        <w:tc>
          <w:tcPr>
            <w:tcW w:w="509" w:type="pct"/>
            <w:shd w:val="clear" w:color="auto" w:fill="C6EFCE"/>
            <w:noWrap/>
            <w:vAlign w:val="center"/>
          </w:tcPr>
          <w:p w14:paraId="6E320464"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0FDF6046"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077D1F4C" w14:textId="77777777" w:rsidR="00C972CB" w:rsidRDefault="002457F6">
            <w:pPr>
              <w:pStyle w:val="P68B1DB1-Normal11"/>
              <w:jc w:val="center"/>
              <w:rPr>
                <w:noProof/>
              </w:rPr>
            </w:pPr>
            <w:r>
              <w:rPr>
                <w:noProof/>
              </w:rPr>
              <w:t>0</w:t>
            </w:r>
          </w:p>
        </w:tc>
        <w:tc>
          <w:tcPr>
            <w:tcW w:w="279" w:type="pct"/>
            <w:shd w:val="clear" w:color="auto" w:fill="C6EFCE"/>
            <w:noWrap/>
            <w:vAlign w:val="center"/>
          </w:tcPr>
          <w:p w14:paraId="66264D1F" w14:textId="77777777" w:rsidR="00C972CB" w:rsidRDefault="002457F6">
            <w:pPr>
              <w:pStyle w:val="P68B1DB1-Normal11"/>
              <w:jc w:val="center"/>
              <w:rPr>
                <w:noProof/>
              </w:rPr>
            </w:pPr>
            <w:r>
              <w:rPr>
                <w:noProof/>
              </w:rPr>
              <w:t>10</w:t>
            </w:r>
          </w:p>
        </w:tc>
        <w:tc>
          <w:tcPr>
            <w:tcW w:w="278" w:type="pct"/>
            <w:shd w:val="clear" w:color="auto" w:fill="C6EFCE"/>
            <w:noWrap/>
            <w:vAlign w:val="center"/>
          </w:tcPr>
          <w:p w14:paraId="66698609" w14:textId="77777777" w:rsidR="00C972CB" w:rsidRDefault="002457F6">
            <w:pPr>
              <w:pStyle w:val="P68B1DB1-Normal11"/>
              <w:jc w:val="center"/>
              <w:rPr>
                <w:noProof/>
              </w:rPr>
            </w:pPr>
            <w:r>
              <w:rPr>
                <w:noProof/>
              </w:rPr>
              <w:t>4. CET.</w:t>
            </w:r>
          </w:p>
        </w:tc>
        <w:tc>
          <w:tcPr>
            <w:tcW w:w="278" w:type="pct"/>
            <w:shd w:val="clear" w:color="auto" w:fill="C6EFCE"/>
            <w:noWrap/>
            <w:vAlign w:val="center"/>
          </w:tcPr>
          <w:p w14:paraId="7947F70F" w14:textId="77777777" w:rsidR="00C972CB" w:rsidRDefault="002457F6">
            <w:pPr>
              <w:pStyle w:val="P68B1DB1-Normal11"/>
              <w:jc w:val="center"/>
              <w:rPr>
                <w:noProof/>
              </w:rPr>
            </w:pPr>
            <w:r>
              <w:rPr>
                <w:noProof/>
              </w:rPr>
              <w:t>2024</w:t>
            </w:r>
          </w:p>
        </w:tc>
        <w:tc>
          <w:tcPr>
            <w:tcW w:w="1198" w:type="pct"/>
            <w:shd w:val="clear" w:color="auto" w:fill="C6EFCE"/>
            <w:noWrap/>
            <w:vAlign w:val="center"/>
          </w:tcPr>
          <w:p w14:paraId="58DDFAF3" w14:textId="77777777" w:rsidR="00C972CB" w:rsidRDefault="002457F6">
            <w:pPr>
              <w:pStyle w:val="P68B1DB1-Normal11"/>
              <w:rPr>
                <w:noProof/>
              </w:rPr>
            </w:pPr>
            <w:r>
              <w:rPr>
                <w:noProof/>
              </w:rPr>
              <w:t xml:space="preserve">Desmit dzelzceļa stacijas ir </w:t>
            </w:r>
            <w:r>
              <w:rPr>
                <w:noProof/>
              </w:rPr>
              <w:t>modernizētas un pieejamas saskaņā ar Komisijas Regulu (ES) Nr. 1300/2014 un ES dzelzceļa drošības noteikumiem.</w:t>
            </w:r>
          </w:p>
        </w:tc>
      </w:tr>
      <w:tr w:rsidR="00C972CB" w14:paraId="24A9EBF8" w14:textId="77777777">
        <w:trPr>
          <w:trHeight w:val="309"/>
          <w:jc w:val="right"/>
        </w:trPr>
        <w:tc>
          <w:tcPr>
            <w:tcW w:w="369" w:type="pct"/>
            <w:shd w:val="clear" w:color="auto" w:fill="C6EFCE"/>
            <w:noWrap/>
            <w:vAlign w:val="center"/>
          </w:tcPr>
          <w:p w14:paraId="7CE12C6D" w14:textId="77777777" w:rsidR="00C972CB" w:rsidRDefault="002457F6">
            <w:pPr>
              <w:pStyle w:val="P68B1DB1-Normal11"/>
              <w:jc w:val="center"/>
              <w:rPr>
                <w:noProof/>
              </w:rPr>
            </w:pPr>
            <w:r>
              <w:rPr>
                <w:noProof/>
              </w:rPr>
              <w:t>M3C1–20</w:t>
            </w:r>
          </w:p>
        </w:tc>
        <w:tc>
          <w:tcPr>
            <w:tcW w:w="511" w:type="pct"/>
            <w:shd w:val="clear" w:color="auto" w:fill="C6EFCE"/>
            <w:noWrap/>
            <w:vAlign w:val="center"/>
          </w:tcPr>
          <w:p w14:paraId="65724390" w14:textId="77777777" w:rsidR="00C972CB" w:rsidRDefault="002457F6">
            <w:pPr>
              <w:pStyle w:val="P68B1DB1-Normal11"/>
              <w:jc w:val="center"/>
              <w:rPr>
                <w:noProof/>
              </w:rPr>
            </w:pPr>
            <w:r>
              <w:rPr>
                <w:noProof/>
              </w:rPr>
              <w:t>Ieguldījums Nr. 1.8 — Dzelzceļa staciju modernizācija (RFI pārvaldība; dienvidos)</w:t>
            </w:r>
          </w:p>
        </w:tc>
        <w:tc>
          <w:tcPr>
            <w:tcW w:w="417" w:type="pct"/>
            <w:shd w:val="clear" w:color="auto" w:fill="C6EFCE"/>
            <w:noWrap/>
            <w:vAlign w:val="center"/>
          </w:tcPr>
          <w:p w14:paraId="6B96CFCA" w14:textId="77777777" w:rsidR="00C972CB" w:rsidRDefault="002457F6">
            <w:pPr>
              <w:pStyle w:val="P68B1DB1-Normal11"/>
              <w:jc w:val="center"/>
              <w:rPr>
                <w:noProof/>
              </w:rPr>
            </w:pPr>
            <w:r>
              <w:rPr>
                <w:noProof/>
              </w:rPr>
              <w:t>Mērķa</w:t>
            </w:r>
          </w:p>
        </w:tc>
        <w:tc>
          <w:tcPr>
            <w:tcW w:w="464" w:type="pct"/>
            <w:shd w:val="clear" w:color="auto" w:fill="C6EFCE"/>
            <w:noWrap/>
            <w:vAlign w:val="center"/>
          </w:tcPr>
          <w:p w14:paraId="13AE687B" w14:textId="77777777" w:rsidR="00C972CB" w:rsidRDefault="002457F6">
            <w:pPr>
              <w:pStyle w:val="P68B1DB1-Normal11"/>
              <w:jc w:val="center"/>
              <w:rPr>
                <w:noProof/>
              </w:rPr>
            </w:pPr>
            <w:r>
              <w:rPr>
                <w:noProof/>
              </w:rPr>
              <w:t>Modernizētas un pieejamas dzelzceļa stacijas</w:t>
            </w:r>
          </w:p>
        </w:tc>
        <w:tc>
          <w:tcPr>
            <w:tcW w:w="509" w:type="pct"/>
            <w:shd w:val="clear" w:color="auto" w:fill="C6EFCE"/>
            <w:noWrap/>
            <w:vAlign w:val="center"/>
          </w:tcPr>
          <w:p w14:paraId="24EADFF9" w14:textId="77777777" w:rsidR="00C972CB" w:rsidRDefault="002457F6">
            <w:pPr>
              <w:pStyle w:val="P68B1DB1-Normal11"/>
              <w:jc w:val="center"/>
              <w:rPr>
                <w:noProof/>
              </w:rPr>
            </w:pPr>
            <w:r>
              <w:rPr>
                <w:noProof/>
              </w:rPr>
              <w:t>NEPIEMĒRO</w:t>
            </w:r>
          </w:p>
        </w:tc>
        <w:tc>
          <w:tcPr>
            <w:tcW w:w="325" w:type="pct"/>
            <w:shd w:val="clear" w:color="auto" w:fill="C6EFCE"/>
            <w:noWrap/>
            <w:vAlign w:val="center"/>
          </w:tcPr>
          <w:p w14:paraId="619F0A27" w14:textId="77777777" w:rsidR="00C972CB" w:rsidRDefault="002457F6">
            <w:pPr>
              <w:pStyle w:val="P68B1DB1-Normal11"/>
              <w:jc w:val="center"/>
              <w:rPr>
                <w:noProof/>
              </w:rPr>
            </w:pPr>
            <w:r>
              <w:rPr>
                <w:noProof/>
              </w:rPr>
              <w:t>Skaits</w:t>
            </w:r>
          </w:p>
        </w:tc>
        <w:tc>
          <w:tcPr>
            <w:tcW w:w="371" w:type="pct"/>
            <w:shd w:val="clear" w:color="auto" w:fill="C6EFCE"/>
            <w:noWrap/>
            <w:vAlign w:val="center"/>
          </w:tcPr>
          <w:p w14:paraId="2D556AF0" w14:textId="77777777" w:rsidR="00C972CB" w:rsidRDefault="002457F6">
            <w:pPr>
              <w:pStyle w:val="P68B1DB1-Normal11"/>
              <w:jc w:val="center"/>
              <w:rPr>
                <w:noProof/>
              </w:rPr>
            </w:pPr>
            <w:r>
              <w:rPr>
                <w:noProof/>
              </w:rPr>
              <w:t>10</w:t>
            </w:r>
          </w:p>
        </w:tc>
        <w:tc>
          <w:tcPr>
            <w:tcW w:w="279" w:type="pct"/>
            <w:shd w:val="clear" w:color="auto" w:fill="C6EFCE"/>
            <w:noWrap/>
            <w:vAlign w:val="center"/>
          </w:tcPr>
          <w:p w14:paraId="40F43AD3" w14:textId="77777777" w:rsidR="00C972CB" w:rsidRDefault="002457F6">
            <w:pPr>
              <w:pStyle w:val="P68B1DB1-Normal11"/>
              <w:jc w:val="center"/>
              <w:rPr>
                <w:noProof/>
              </w:rPr>
            </w:pPr>
            <w:r>
              <w:rPr>
                <w:noProof/>
              </w:rPr>
              <w:t>38</w:t>
            </w:r>
          </w:p>
        </w:tc>
        <w:tc>
          <w:tcPr>
            <w:tcW w:w="278" w:type="pct"/>
            <w:shd w:val="clear" w:color="auto" w:fill="C6EFCE"/>
            <w:noWrap/>
            <w:vAlign w:val="center"/>
          </w:tcPr>
          <w:p w14:paraId="74818EFC" w14:textId="77777777" w:rsidR="00C972CB" w:rsidRDefault="002457F6">
            <w:pPr>
              <w:pStyle w:val="P68B1DB1-Normal11"/>
              <w:jc w:val="center"/>
              <w:rPr>
                <w:noProof/>
              </w:rPr>
            </w:pPr>
            <w:r>
              <w:rPr>
                <w:noProof/>
              </w:rPr>
              <w:t>2. CET.</w:t>
            </w:r>
          </w:p>
        </w:tc>
        <w:tc>
          <w:tcPr>
            <w:tcW w:w="278" w:type="pct"/>
            <w:shd w:val="clear" w:color="auto" w:fill="C6EFCE"/>
            <w:noWrap/>
            <w:vAlign w:val="center"/>
          </w:tcPr>
          <w:p w14:paraId="29574DB0" w14:textId="77777777" w:rsidR="00C972CB" w:rsidRDefault="002457F6">
            <w:pPr>
              <w:pStyle w:val="P68B1DB1-Normal11"/>
              <w:jc w:val="center"/>
              <w:rPr>
                <w:noProof/>
              </w:rPr>
            </w:pPr>
            <w:r>
              <w:rPr>
                <w:noProof/>
              </w:rPr>
              <w:t>2026</w:t>
            </w:r>
          </w:p>
        </w:tc>
        <w:tc>
          <w:tcPr>
            <w:tcW w:w="1198" w:type="pct"/>
            <w:shd w:val="clear" w:color="auto" w:fill="C6EFCE"/>
            <w:noWrap/>
            <w:vAlign w:val="center"/>
          </w:tcPr>
          <w:p w14:paraId="154C2165" w14:textId="77777777" w:rsidR="00C972CB" w:rsidRDefault="002457F6">
            <w:pPr>
              <w:pStyle w:val="P68B1DB1-Normal11"/>
              <w:spacing w:before="120"/>
              <w:rPr>
                <w:noProof/>
              </w:rPr>
            </w:pPr>
            <w:r>
              <w:rPr>
                <w:noProof/>
              </w:rPr>
              <w:t>38 dzelzceļa stacijas ir modernizētas un pieejamas saskaņā ar Komisijas Regulu (ES) Nr. 1300/2014 un ES dzelzceļa drošības noteikumiem.</w:t>
            </w:r>
          </w:p>
        </w:tc>
      </w:tr>
      <w:tr w:rsidR="00C972CB" w14:paraId="445C368E" w14:textId="77777777">
        <w:trPr>
          <w:trHeight w:val="309"/>
          <w:jc w:val="right"/>
        </w:trPr>
        <w:tc>
          <w:tcPr>
            <w:tcW w:w="369" w:type="pct"/>
            <w:shd w:val="clear" w:color="auto" w:fill="C6EFCE"/>
            <w:noWrap/>
            <w:vAlign w:val="center"/>
          </w:tcPr>
          <w:p w14:paraId="25CE5F7D" w14:textId="77777777" w:rsidR="00C972CB" w:rsidRDefault="002457F6">
            <w:pPr>
              <w:pStyle w:val="P68B1DB1-Normal11"/>
              <w:jc w:val="center"/>
              <w:rPr>
                <w:noProof/>
              </w:rPr>
            </w:pPr>
            <w:r>
              <w:rPr>
                <w:noProof/>
              </w:rPr>
              <w:t>M3C1–21</w:t>
            </w:r>
          </w:p>
        </w:tc>
        <w:tc>
          <w:tcPr>
            <w:tcW w:w="511" w:type="pct"/>
            <w:shd w:val="clear" w:color="auto" w:fill="C6EFCE"/>
            <w:noWrap/>
            <w:vAlign w:val="center"/>
          </w:tcPr>
          <w:p w14:paraId="79320271" w14:textId="77777777" w:rsidR="00C972CB" w:rsidRDefault="002457F6">
            <w:pPr>
              <w:pStyle w:val="P68B1DB1-Normal11"/>
              <w:jc w:val="center"/>
              <w:rPr>
                <w:noProof/>
              </w:rPr>
            </w:pPr>
            <w:r>
              <w:rPr>
                <w:noProof/>
              </w:rPr>
              <w:t xml:space="preserve">Reforma — nesen pieņemtā “Dekrēta vienkāršošana” (kas pārveidots par 2020. </w:t>
            </w:r>
            <w:r>
              <w:rPr>
                <w:noProof/>
              </w:rPr>
              <w:t>gada 11. septembra Likumu Nr. 120) īstenošana, izdodot dekrētu par “Vadlīniju par risku klasifikāciju un pārvaldību, drošības novērtēšanu un esošo tiltu uzraudzību” pieņemšanu</w:t>
            </w:r>
          </w:p>
        </w:tc>
        <w:tc>
          <w:tcPr>
            <w:tcW w:w="417" w:type="pct"/>
            <w:shd w:val="clear" w:color="auto" w:fill="C6EFCE"/>
            <w:noWrap/>
            <w:vAlign w:val="center"/>
          </w:tcPr>
          <w:p w14:paraId="0E94A68F" w14:textId="77777777" w:rsidR="00C972CB" w:rsidRDefault="002457F6">
            <w:pPr>
              <w:pStyle w:val="P68B1DB1-Normal11"/>
              <w:jc w:val="center"/>
              <w:rPr>
                <w:noProof/>
              </w:rPr>
            </w:pPr>
            <w:r>
              <w:rPr>
                <w:noProof/>
              </w:rPr>
              <w:t>Starpposma mērķis</w:t>
            </w:r>
          </w:p>
        </w:tc>
        <w:tc>
          <w:tcPr>
            <w:tcW w:w="464" w:type="pct"/>
            <w:shd w:val="clear" w:color="auto" w:fill="C6EFCE"/>
            <w:noWrap/>
            <w:vAlign w:val="center"/>
          </w:tcPr>
          <w:p w14:paraId="77C67903" w14:textId="77777777" w:rsidR="00C972CB" w:rsidRDefault="002457F6">
            <w:pPr>
              <w:pStyle w:val="P68B1DB1-Normal11"/>
              <w:jc w:val="center"/>
              <w:rPr>
                <w:noProof/>
              </w:rPr>
            </w:pPr>
            <w:r>
              <w:rPr>
                <w:noProof/>
              </w:rPr>
              <w:t>Stājas spēkā “risku klasifikācijas un pārvaldības, drošības no</w:t>
            </w:r>
            <w:r>
              <w:rPr>
                <w:noProof/>
              </w:rPr>
              <w:t>vērtēšanas un esošo tiltu uzraudzības pamatnostādnes”</w:t>
            </w:r>
          </w:p>
        </w:tc>
        <w:tc>
          <w:tcPr>
            <w:tcW w:w="509" w:type="pct"/>
            <w:shd w:val="clear" w:color="auto" w:fill="C6EFCE"/>
            <w:noWrap/>
            <w:vAlign w:val="center"/>
          </w:tcPr>
          <w:p w14:paraId="141D69B8" w14:textId="77777777" w:rsidR="00C972CB" w:rsidRDefault="002457F6">
            <w:pPr>
              <w:pStyle w:val="P68B1DB1-Normal11"/>
              <w:jc w:val="center"/>
              <w:rPr>
                <w:noProof/>
              </w:rPr>
            </w:pPr>
            <w:r>
              <w:rPr>
                <w:noProof/>
              </w:rPr>
              <w:t>Noteikums dekrētā, kurā norādīts, ka stājas spēkā dekrēts, ar ko pieņem “Vadlīnijas risku klasificēšanai un pārvaldībai, drošības novērtēšanai un esošo tiltu uzraudzībai”</w:t>
            </w:r>
          </w:p>
        </w:tc>
        <w:tc>
          <w:tcPr>
            <w:tcW w:w="325" w:type="pct"/>
            <w:shd w:val="clear" w:color="auto" w:fill="C6EFCE"/>
            <w:noWrap/>
            <w:vAlign w:val="center"/>
          </w:tcPr>
          <w:p w14:paraId="476D749C" w14:textId="77777777" w:rsidR="00C972CB" w:rsidRDefault="002457F6">
            <w:pPr>
              <w:pStyle w:val="P68B1DB1-Normal11"/>
              <w:jc w:val="center"/>
              <w:rPr>
                <w:noProof/>
              </w:rPr>
            </w:pPr>
            <w:r>
              <w:rPr>
                <w:noProof/>
              </w:rPr>
              <w:t>NEPIEMĒRO</w:t>
            </w:r>
          </w:p>
        </w:tc>
        <w:tc>
          <w:tcPr>
            <w:tcW w:w="371" w:type="pct"/>
            <w:shd w:val="clear" w:color="auto" w:fill="C6EFCE"/>
            <w:noWrap/>
            <w:vAlign w:val="center"/>
          </w:tcPr>
          <w:p w14:paraId="4D1F6A6D" w14:textId="77777777" w:rsidR="00C972CB" w:rsidRDefault="002457F6">
            <w:pPr>
              <w:pStyle w:val="P68B1DB1-Normal11"/>
              <w:jc w:val="center"/>
              <w:rPr>
                <w:noProof/>
              </w:rPr>
            </w:pPr>
            <w:r>
              <w:rPr>
                <w:noProof/>
              </w:rPr>
              <w:t>NEPIEMĒRO</w:t>
            </w:r>
          </w:p>
        </w:tc>
        <w:tc>
          <w:tcPr>
            <w:tcW w:w="279" w:type="pct"/>
            <w:shd w:val="clear" w:color="auto" w:fill="C6EFCE"/>
            <w:noWrap/>
            <w:vAlign w:val="center"/>
          </w:tcPr>
          <w:p w14:paraId="4942A4B3" w14:textId="77777777" w:rsidR="00C972CB" w:rsidRDefault="002457F6">
            <w:pPr>
              <w:pStyle w:val="P68B1DB1-Normal11"/>
              <w:jc w:val="center"/>
              <w:rPr>
                <w:noProof/>
              </w:rPr>
            </w:pPr>
            <w:r>
              <w:rPr>
                <w:noProof/>
              </w:rPr>
              <w:t>NEPIEMĒRO</w:t>
            </w:r>
          </w:p>
        </w:tc>
        <w:tc>
          <w:tcPr>
            <w:tcW w:w="278" w:type="pct"/>
            <w:shd w:val="clear" w:color="auto" w:fill="C6EFCE"/>
            <w:noWrap/>
            <w:vAlign w:val="center"/>
          </w:tcPr>
          <w:p w14:paraId="1CB53D59" w14:textId="77777777" w:rsidR="00C972CB" w:rsidRDefault="002457F6">
            <w:pPr>
              <w:pStyle w:val="P68B1DB1-Normal11"/>
              <w:jc w:val="center"/>
              <w:rPr>
                <w:noProof/>
              </w:rPr>
            </w:pPr>
            <w:r>
              <w:rPr>
                <w:noProof/>
              </w:rPr>
              <w:t>4. CET.</w:t>
            </w:r>
          </w:p>
        </w:tc>
        <w:tc>
          <w:tcPr>
            <w:tcW w:w="278" w:type="pct"/>
            <w:shd w:val="clear" w:color="auto" w:fill="C6EFCE"/>
            <w:noWrap/>
            <w:vAlign w:val="center"/>
          </w:tcPr>
          <w:p w14:paraId="6FFF3C65" w14:textId="77777777" w:rsidR="00C972CB" w:rsidRDefault="002457F6">
            <w:pPr>
              <w:pStyle w:val="P68B1DB1-Normal11"/>
              <w:jc w:val="center"/>
              <w:rPr>
                <w:noProof/>
              </w:rPr>
            </w:pPr>
            <w:r>
              <w:rPr>
                <w:noProof/>
              </w:rPr>
              <w:t>2021</w:t>
            </w:r>
          </w:p>
        </w:tc>
        <w:tc>
          <w:tcPr>
            <w:tcW w:w="1198" w:type="pct"/>
            <w:shd w:val="clear" w:color="auto" w:fill="C6EFCE"/>
            <w:noWrap/>
            <w:vAlign w:val="center"/>
          </w:tcPr>
          <w:p w14:paraId="2DBCF052" w14:textId="77777777" w:rsidR="00C972CB" w:rsidRDefault="002457F6">
            <w:pPr>
              <w:pStyle w:val="P68B1DB1-Normal19"/>
              <w:spacing w:before="120" w:after="120"/>
              <w:rPr>
                <w:noProof/>
                <w:color w:val="006100"/>
              </w:rPr>
            </w:pPr>
            <w:r>
              <w:rPr>
                <w:noProof/>
                <w:color w:val="006100"/>
              </w:rPr>
              <w:t>“Pamatnostādnēs” nosaka kopējus standartus un metodiku visam valsts ceļu tīklam, lai klasificētu un pārvaldītu riskus, novērtētu drošību un uzraudzītu esošos tiltus.</w:t>
            </w:r>
          </w:p>
        </w:tc>
      </w:tr>
      <w:tr w:rsidR="00C972CB" w14:paraId="14C1B35A" w14:textId="77777777">
        <w:trPr>
          <w:trHeight w:val="309"/>
          <w:jc w:val="right"/>
        </w:trPr>
        <w:tc>
          <w:tcPr>
            <w:tcW w:w="369" w:type="pct"/>
            <w:shd w:val="clear" w:color="auto" w:fill="C6EFCE"/>
            <w:noWrap/>
            <w:vAlign w:val="center"/>
          </w:tcPr>
          <w:p w14:paraId="20A5CB57" w14:textId="77777777" w:rsidR="00C972CB" w:rsidRDefault="002457F6">
            <w:pPr>
              <w:pStyle w:val="P68B1DB1-Normal11"/>
              <w:jc w:val="center"/>
              <w:rPr>
                <w:noProof/>
              </w:rPr>
            </w:pPr>
            <w:r>
              <w:rPr>
                <w:noProof/>
              </w:rPr>
              <w:t>M3C1–22</w:t>
            </w:r>
          </w:p>
        </w:tc>
        <w:tc>
          <w:tcPr>
            <w:tcW w:w="511" w:type="pct"/>
            <w:shd w:val="clear" w:color="auto" w:fill="C6EFCE"/>
            <w:noWrap/>
            <w:vAlign w:val="center"/>
          </w:tcPr>
          <w:p w14:paraId="137695B6" w14:textId="77777777" w:rsidR="00C972CB" w:rsidRDefault="002457F6">
            <w:pPr>
              <w:pStyle w:val="P68B1DB1-Normal11"/>
              <w:jc w:val="center"/>
              <w:rPr>
                <w:noProof/>
              </w:rPr>
            </w:pPr>
            <w:r>
              <w:rPr>
                <w:noProof/>
              </w:rPr>
              <w:t xml:space="preserve">Reforma — tiltu īpašuma un cauruduktu nodošana no zemākā līmeņa </w:t>
            </w:r>
            <w:r>
              <w:rPr>
                <w:noProof/>
              </w:rPr>
              <w:t>sarindojuma ceļiem uz augstāka ranga ceļiem</w:t>
            </w:r>
          </w:p>
        </w:tc>
        <w:tc>
          <w:tcPr>
            <w:tcW w:w="417" w:type="pct"/>
            <w:shd w:val="clear" w:color="auto" w:fill="C6EFCE"/>
            <w:noWrap/>
            <w:vAlign w:val="center"/>
          </w:tcPr>
          <w:p w14:paraId="475A1712" w14:textId="77777777" w:rsidR="00C972CB" w:rsidRDefault="002457F6">
            <w:pPr>
              <w:pStyle w:val="P68B1DB1-Normal11"/>
              <w:jc w:val="center"/>
              <w:rPr>
                <w:noProof/>
              </w:rPr>
            </w:pPr>
            <w:r>
              <w:rPr>
                <w:noProof/>
              </w:rPr>
              <w:t>Starpposma mērķis</w:t>
            </w:r>
          </w:p>
        </w:tc>
        <w:tc>
          <w:tcPr>
            <w:tcW w:w="464" w:type="pct"/>
            <w:shd w:val="clear" w:color="auto" w:fill="C6EFCE"/>
            <w:noWrap/>
            <w:vAlign w:val="center"/>
          </w:tcPr>
          <w:p w14:paraId="6633F0F8" w14:textId="77777777" w:rsidR="00C972CB" w:rsidRDefault="002457F6">
            <w:pPr>
              <w:pStyle w:val="P68B1DB1-Normal11"/>
              <w:jc w:val="center"/>
              <w:rPr>
                <w:noProof/>
              </w:rPr>
            </w:pPr>
            <w:r>
              <w:rPr>
                <w:noProof/>
              </w:rPr>
              <w:t>Nodot tiltu, viaduktu un pārbrauktuvju īpašumtiesības no zemāka līmeņa sarindojuma ceļiem uz augstāka ranga ceļiem (automaģistrāles un galvenie valsts autoceļi)</w:t>
            </w:r>
          </w:p>
        </w:tc>
        <w:tc>
          <w:tcPr>
            <w:tcW w:w="509" w:type="pct"/>
            <w:shd w:val="clear" w:color="auto" w:fill="C6EFCE"/>
            <w:noWrap/>
            <w:vAlign w:val="center"/>
          </w:tcPr>
          <w:p w14:paraId="71B0355B" w14:textId="77777777" w:rsidR="00C972CB" w:rsidRDefault="002457F6">
            <w:pPr>
              <w:pStyle w:val="P68B1DB1-Normal11"/>
              <w:jc w:val="center"/>
              <w:rPr>
                <w:noProof/>
              </w:rPr>
            </w:pPr>
            <w:r>
              <w:rPr>
                <w:noProof/>
              </w:rPr>
              <w:t>Noteikums attiecīgajā tiesību akt</w:t>
            </w:r>
            <w:r>
              <w:rPr>
                <w:noProof/>
              </w:rPr>
              <w:t>ā, kas attiecas uz tiltu, viaduktu un pārbrauktuvju īpašumtiesību nodošanas stāšanos spēkā no zemāka līmeņa sarindojuma ceļiem uz augstāka ranga ceļiem (automaģistrāles un galvenie valsts autoceļi)</w:t>
            </w:r>
          </w:p>
        </w:tc>
        <w:tc>
          <w:tcPr>
            <w:tcW w:w="325" w:type="pct"/>
            <w:shd w:val="clear" w:color="auto" w:fill="C6EFCE"/>
            <w:noWrap/>
            <w:vAlign w:val="center"/>
          </w:tcPr>
          <w:p w14:paraId="0FFBC70B" w14:textId="77777777" w:rsidR="00C972CB" w:rsidRDefault="002457F6">
            <w:pPr>
              <w:pStyle w:val="P68B1DB1-Normal11"/>
              <w:jc w:val="center"/>
              <w:rPr>
                <w:noProof/>
              </w:rPr>
            </w:pPr>
            <w:r>
              <w:rPr>
                <w:noProof/>
              </w:rPr>
              <w:t>NEPIEMĒRO</w:t>
            </w:r>
          </w:p>
        </w:tc>
        <w:tc>
          <w:tcPr>
            <w:tcW w:w="371" w:type="pct"/>
            <w:shd w:val="clear" w:color="auto" w:fill="C6EFCE"/>
            <w:noWrap/>
            <w:vAlign w:val="center"/>
          </w:tcPr>
          <w:p w14:paraId="490FA286" w14:textId="77777777" w:rsidR="00C972CB" w:rsidRDefault="002457F6">
            <w:pPr>
              <w:pStyle w:val="P68B1DB1-Normal11"/>
              <w:jc w:val="center"/>
              <w:rPr>
                <w:noProof/>
              </w:rPr>
            </w:pPr>
            <w:r>
              <w:rPr>
                <w:noProof/>
              </w:rPr>
              <w:t>NEPIEMĒRO</w:t>
            </w:r>
          </w:p>
        </w:tc>
        <w:tc>
          <w:tcPr>
            <w:tcW w:w="279" w:type="pct"/>
            <w:shd w:val="clear" w:color="auto" w:fill="C6EFCE"/>
            <w:noWrap/>
            <w:vAlign w:val="center"/>
          </w:tcPr>
          <w:p w14:paraId="77DACAFD" w14:textId="77777777" w:rsidR="00C972CB" w:rsidRDefault="002457F6">
            <w:pPr>
              <w:pStyle w:val="P68B1DB1-Normal11"/>
              <w:jc w:val="center"/>
              <w:rPr>
                <w:noProof/>
              </w:rPr>
            </w:pPr>
            <w:r>
              <w:rPr>
                <w:noProof/>
              </w:rPr>
              <w:t>NEPIEMĒRO</w:t>
            </w:r>
          </w:p>
        </w:tc>
        <w:tc>
          <w:tcPr>
            <w:tcW w:w="278" w:type="pct"/>
            <w:shd w:val="clear" w:color="auto" w:fill="C6EFCE"/>
            <w:noWrap/>
            <w:vAlign w:val="center"/>
          </w:tcPr>
          <w:p w14:paraId="1FAA43B9" w14:textId="77777777" w:rsidR="00C972CB" w:rsidRDefault="002457F6">
            <w:pPr>
              <w:pStyle w:val="P68B1DB1-Normal11"/>
              <w:jc w:val="center"/>
              <w:rPr>
                <w:noProof/>
              </w:rPr>
            </w:pPr>
            <w:r>
              <w:rPr>
                <w:noProof/>
              </w:rPr>
              <w:t>4. CET.</w:t>
            </w:r>
          </w:p>
        </w:tc>
        <w:tc>
          <w:tcPr>
            <w:tcW w:w="278" w:type="pct"/>
            <w:shd w:val="clear" w:color="auto" w:fill="C6EFCE"/>
            <w:noWrap/>
            <w:vAlign w:val="center"/>
          </w:tcPr>
          <w:p w14:paraId="61F4D4C4" w14:textId="77777777" w:rsidR="00C972CB" w:rsidRDefault="002457F6">
            <w:pPr>
              <w:pStyle w:val="P68B1DB1-Normal11"/>
              <w:jc w:val="center"/>
              <w:rPr>
                <w:noProof/>
              </w:rPr>
            </w:pPr>
            <w:r>
              <w:rPr>
                <w:noProof/>
              </w:rPr>
              <w:t>2021</w:t>
            </w:r>
          </w:p>
        </w:tc>
        <w:tc>
          <w:tcPr>
            <w:tcW w:w="1198" w:type="pct"/>
            <w:shd w:val="clear" w:color="auto" w:fill="C6EFCE"/>
            <w:noWrap/>
            <w:vAlign w:val="center"/>
          </w:tcPr>
          <w:p w14:paraId="089344C3" w14:textId="77777777" w:rsidR="00C972CB" w:rsidRDefault="002457F6">
            <w:pPr>
              <w:pStyle w:val="P68B1DB1-Normal11"/>
              <w:jc w:val="center"/>
              <w:rPr>
                <w:noProof/>
              </w:rPr>
            </w:pPr>
            <w:r>
              <w:rPr>
                <w:noProof/>
              </w:rPr>
              <w:t xml:space="preserve">Mākslas darbu </w:t>
            </w:r>
            <w:r>
              <w:rPr>
                <w:noProof/>
              </w:rPr>
              <w:t>īpašumtiesību nodošana notiek sešu mēnešu laikā pēc Likuma 120/20 stāšanās spēkā. To paredzēts pabeigt saskaņā ar Codice della Strada (Likumdošanas dekrēts 285/1992) un tā noteikumiem (Prezidenta dekrēts 495/92), kuros ir paredzēti noteikumi par īpašumties</w:t>
            </w:r>
            <w:r>
              <w:rPr>
                <w:noProof/>
              </w:rPr>
              <w:t>ību nodošanu starp ceļu īpašniekiem.</w:t>
            </w:r>
          </w:p>
        </w:tc>
      </w:tr>
    </w:tbl>
    <w:p w14:paraId="660A343F" w14:textId="77777777" w:rsidR="00C972CB" w:rsidRDefault="00C972CB">
      <w:pPr>
        <w:spacing w:before="120" w:after="120"/>
        <w:jc w:val="both"/>
        <w:rPr>
          <w:noProof/>
        </w:rPr>
      </w:pPr>
    </w:p>
    <w:p w14:paraId="308349B4" w14:textId="77777777" w:rsidR="00C972CB" w:rsidRDefault="00C972CB">
      <w:pPr>
        <w:tabs>
          <w:tab w:val="left" w:pos="4252"/>
        </w:tabs>
        <w:rPr>
          <w:i/>
          <w:noProof/>
        </w:rPr>
      </w:pPr>
    </w:p>
    <w:p w14:paraId="37AF38B0" w14:textId="77777777" w:rsidR="00C972CB" w:rsidRDefault="00C972CB">
      <w:pPr>
        <w:tabs>
          <w:tab w:val="left" w:pos="4252"/>
        </w:tabs>
        <w:rPr>
          <w:i/>
          <w:noProof/>
        </w:rPr>
      </w:pPr>
    </w:p>
    <w:p w14:paraId="581E778D" w14:textId="77777777" w:rsidR="00C972CB" w:rsidRDefault="00C972CB">
      <w:pPr>
        <w:spacing w:before="120" w:after="120"/>
        <w:jc w:val="both"/>
        <w:rPr>
          <w:b/>
          <w:noProof/>
          <w:u w:val="single"/>
        </w:rPr>
        <w:sectPr w:rsidR="00C972CB" w:rsidSect="000D3774">
          <w:headerReference w:type="even" r:id="rId200"/>
          <w:headerReference w:type="default" r:id="rId201"/>
          <w:footerReference w:type="even" r:id="rId202"/>
          <w:footerReference w:type="default" r:id="rId203"/>
          <w:headerReference w:type="first" r:id="rId204"/>
          <w:footerReference w:type="first" r:id="rId205"/>
          <w:pgSz w:w="16838" w:h="11907" w:orient="landscape" w:code="9"/>
          <w:pgMar w:top="1134" w:right="1134" w:bottom="1134" w:left="1134" w:header="567" w:footer="567" w:gutter="0"/>
          <w:cols w:space="720"/>
          <w:docGrid w:linePitch="360"/>
        </w:sectPr>
      </w:pPr>
    </w:p>
    <w:p w14:paraId="23DD3E3B" w14:textId="77777777" w:rsidR="00C972CB" w:rsidRDefault="002457F6">
      <w:pPr>
        <w:pStyle w:val="Heading2"/>
        <w:numPr>
          <w:ilvl w:val="0"/>
          <w:numId w:val="0"/>
        </w:numPr>
        <w:ind w:left="850" w:hanging="850"/>
        <w:rPr>
          <w:noProof/>
        </w:rPr>
      </w:pPr>
      <w:r>
        <w:rPr>
          <w:noProof/>
        </w:rPr>
        <w:t>I. MISSION 3 COMPONENT 2 Intermodalitāte un integrēta loģistika</w:t>
      </w:r>
    </w:p>
    <w:p w14:paraId="79A92762" w14:textId="77777777" w:rsidR="00C972CB" w:rsidRDefault="002457F6">
      <w:pPr>
        <w:tabs>
          <w:tab w:val="left" w:pos="1134"/>
        </w:tabs>
        <w:spacing w:before="120" w:after="120"/>
        <w:jc w:val="both"/>
        <w:rPr>
          <w:rFonts w:eastAsia="Calibri"/>
          <w:noProof/>
        </w:rPr>
      </w:pPr>
      <w:r>
        <w:rPr>
          <w:noProof/>
        </w:rPr>
        <w:t>Šā Itālijas atveseļošanas un noturības plāna komponenta mērķis ir padarīt Itālijas ostas</w:t>
      </w:r>
      <w:r>
        <w:rPr>
          <w:noProof/>
        </w:rPr>
        <w:t xml:space="preserve"> efektīvākas un konkurētspējīgākas, energoefektīvākas un labāk integrētas loģistikas ķēdē. Tās mērķis ir arī digitalizēt gaisa satiksmes pārvaldības sistēmu.</w:t>
      </w:r>
    </w:p>
    <w:p w14:paraId="6958E584" w14:textId="77777777" w:rsidR="00C972CB" w:rsidRDefault="002457F6">
      <w:pPr>
        <w:tabs>
          <w:tab w:val="left" w:pos="1134"/>
        </w:tabs>
        <w:spacing w:before="120" w:after="120"/>
        <w:jc w:val="both"/>
        <w:rPr>
          <w:rFonts w:eastAsia="Calibri"/>
          <w:noProof/>
        </w:rPr>
      </w:pPr>
      <w:r>
        <w:rPr>
          <w:noProof/>
        </w:rPr>
        <w:t xml:space="preserve">Šajā nolūkā tas, no vienas puses, ietver svarīgas reformas, lai vienkāršotu procesus, atjauninātu </w:t>
      </w:r>
      <w:r>
        <w:rPr>
          <w:noProof/>
        </w:rPr>
        <w:t>ostu plānošanu un padarītu koncesijas Itālijas ostās konkurētspējīgākas. No otras puses, daži ieguldījumi, kas paredzēti, lai nodrošinātu intermodalitāti ar Eiropas komunikācijas pamatvirzieniem, veidojot saiknes ar okeānu un Vidusjūras reģiona valstu tird</w:t>
      </w:r>
      <w:r>
        <w:rPr>
          <w:noProof/>
        </w:rPr>
        <w:t>zniecību, palielinot Itālijas ostu sistēmas dinamiku un konkurētspēju, arī nolūkā samazināt siltumnīcefekta gāzu emisijas. Paredzams, ka ar šo komponentu saistītie ieguldījumi būtiski palielinās pasažieru un kravu pārvadājumu apjomus Itālijas ostās, pozitī</w:t>
      </w:r>
      <w:r>
        <w:rPr>
          <w:noProof/>
        </w:rPr>
        <w:t>vi ietekmējot saimnieciskās darbības stimulēšanu attiecīgajās jomās un valsts ekonomiku kopumā.</w:t>
      </w:r>
    </w:p>
    <w:p w14:paraId="1269F02B" w14:textId="77777777" w:rsidR="00C972CB" w:rsidRDefault="002457F6">
      <w:pPr>
        <w:tabs>
          <w:tab w:val="left" w:pos="1134"/>
        </w:tabs>
        <w:spacing w:before="120" w:after="120"/>
        <w:jc w:val="both"/>
        <w:rPr>
          <w:rFonts w:eastAsia="Calibri"/>
          <w:noProof/>
        </w:rPr>
      </w:pPr>
      <w:r>
        <w:rPr>
          <w:noProof/>
        </w:rPr>
        <w:t>No otras puses, šis komponents attiecas uz loģistikas sistēmu, tostarp lidostu sistēmu, digitalizāciju. Paredzams, ka tas padarīs šīs nozares konkurētspējīgākas</w:t>
      </w:r>
      <w:r>
        <w:rPr>
          <w:noProof/>
        </w:rPr>
        <w:t xml:space="preserve">, izmantojot inovatīvus tehnoloģiskos risinājumus, lai padarītu sistēmu efektīvāku un arī samazinātu to ietekmi uz vidi. </w:t>
      </w:r>
    </w:p>
    <w:p w14:paraId="052F54BA" w14:textId="0685E78C" w:rsidR="00C972CB" w:rsidRDefault="002457F6">
      <w:pPr>
        <w:spacing w:before="120" w:after="120"/>
        <w:jc w:val="both"/>
        <w:rPr>
          <w:noProof/>
        </w:rPr>
      </w:pPr>
      <w:r>
        <w:rPr>
          <w:noProof/>
        </w:rPr>
        <w:t xml:space="preserve">Šis komponents attiecas uz 2019. gada valstij adresēto ieteikumu Nr. 3, mudinot Itāliju “ar investīcijām saistītu ekonomikas politiku </w:t>
      </w:r>
      <w:r>
        <w:rPr>
          <w:noProof/>
        </w:rPr>
        <w:t>koncentrēt uz infrastruktūras kvalitāti” un 2020. gada valstij adresēto ieteikumu Nr. 3, kurā ieteikts “koncentrēt investīcijas uz zaļo un digitālo pārkārtošanos, jo īpaši attiecībā uz tīru un efektīvu enerģijas ražošanu un izmantošanu, pētniecību un inovā</w:t>
      </w:r>
      <w:r>
        <w:rPr>
          <w:noProof/>
        </w:rPr>
        <w:t>ciju, ilgtspējīgu sabiedrisko transportu, atkritumu un ūdens apsaimniekošanu, kā arī pastiprinātu digitālo infrastruktūru, lai nodrošinātu pamatpakalpojumu sniegšanu”.</w:t>
      </w:r>
    </w:p>
    <w:p w14:paraId="03D21268" w14:textId="77777777" w:rsidR="00C972CB" w:rsidRDefault="002457F6">
      <w:pPr>
        <w:spacing w:before="120" w:after="120"/>
        <w:jc w:val="both"/>
        <w:rPr>
          <w:noProof/>
        </w:rPr>
      </w:pPr>
      <w:r>
        <w:rPr>
          <w:noProof/>
        </w:rPr>
        <w:t>Paredzams, ka neviens pasākums šajā komponentā būtiski nekaitēs vides mērķiem Regulas (E</w:t>
      </w:r>
      <w:r>
        <w:rPr>
          <w:noProof/>
        </w:rPr>
        <w:t>S) 2020/852 17. panta nozīmē, ņemot vērā atveseļošanas un noturības plānā izklāstīto pasākumu aprakstu un mazināšanas pasākumus saskaņā ar DNSH tehniskajiem norādījumiem (2021/C58/01).</w:t>
      </w:r>
    </w:p>
    <w:p w14:paraId="2D18C10D"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I.1. </w:t>
      </w:r>
      <w:r>
        <w:rPr>
          <w:noProof/>
        </w:rPr>
        <w:tab/>
      </w:r>
      <w:r>
        <w:rPr>
          <w:b/>
          <w:i w:val="0"/>
          <w:noProof/>
          <w:u w:val="single"/>
        </w:rPr>
        <w:t>Neatmaksājamam finansiālajam atbalstam pieteikto reformu un inves</w:t>
      </w:r>
      <w:r>
        <w:rPr>
          <w:b/>
          <w:i w:val="0"/>
          <w:noProof/>
          <w:u w:val="single"/>
        </w:rPr>
        <w:t>tīciju apraksts</w:t>
      </w:r>
    </w:p>
    <w:p w14:paraId="29B2DC14" w14:textId="77777777" w:rsidR="00C972CB" w:rsidRDefault="002457F6">
      <w:pPr>
        <w:pStyle w:val="P68B1DB1-Normal2"/>
        <w:spacing w:before="120" w:after="120" w:line="257" w:lineRule="auto"/>
        <w:jc w:val="both"/>
        <w:rPr>
          <w:noProof/>
        </w:rPr>
      </w:pPr>
      <w:r>
        <w:rPr>
          <w:noProof/>
        </w:rPr>
        <w:t>Reforma. Stratēģiskās plānošanas procesa procedūru vienkāršošana</w:t>
      </w:r>
    </w:p>
    <w:p w14:paraId="4DB1A243" w14:textId="77777777" w:rsidR="00C972CB" w:rsidRDefault="002457F6">
      <w:pPr>
        <w:spacing w:before="120" w:after="120" w:line="257" w:lineRule="auto"/>
        <w:jc w:val="both"/>
        <w:rPr>
          <w:noProof/>
        </w:rPr>
      </w:pPr>
      <w:r>
        <w:rPr>
          <w:noProof/>
        </w:rPr>
        <w:t xml:space="preserve">Šis pasākums paredz ostu plānošanas atjaunināšanu, lai nodrošinātu stratēģisku redzējumu par Itālijas ostu sistēmu. Reforma regulē vismaz i) ostas sistēmas iestāžu attīstības </w:t>
      </w:r>
      <w:r>
        <w:rPr>
          <w:noProof/>
        </w:rPr>
        <w:t>mērķus; II) apzinātās un iezīmētās teritorijas, kas paredzētas tikai ostas un aizmugurējās ostas funkcijām, iii) pēdējās jūdzes autoceļu un dzelzceļa infrastruktūras savienojumi ar ostām, iv) kritēriji, pēc kuriem nosaka plānošanas saturu, un v) tas nepārp</w:t>
      </w:r>
      <w:r>
        <w:rPr>
          <w:noProof/>
        </w:rPr>
        <w:t>rotami identificē pamatnostādnes, noteikumus un procedūras ostas regulatīvo plānu sagatavošanai.</w:t>
      </w:r>
    </w:p>
    <w:p w14:paraId="32AACA9E" w14:textId="77777777" w:rsidR="00C972CB" w:rsidRDefault="002457F6">
      <w:pPr>
        <w:pStyle w:val="P68B1DB1-Normal2"/>
        <w:spacing w:before="120" w:after="120" w:line="257" w:lineRule="auto"/>
        <w:jc w:val="both"/>
        <w:rPr>
          <w:noProof/>
        </w:rPr>
      </w:pPr>
      <w:r>
        <w:rPr>
          <w:noProof/>
        </w:rPr>
        <w:t xml:space="preserve">Reforma — Konkurēt koncesiju piešķiršana Itālijas ostās  </w:t>
      </w:r>
    </w:p>
    <w:p w14:paraId="5D2BE6EA" w14:textId="77777777" w:rsidR="00C972CB" w:rsidRDefault="002457F6">
      <w:pPr>
        <w:spacing w:before="120" w:after="120"/>
        <w:jc w:val="both"/>
        <w:rPr>
          <w:rFonts w:eastAsia="Calibri"/>
          <w:noProof/>
        </w:rPr>
      </w:pPr>
      <w:r>
        <w:rPr>
          <w:noProof/>
        </w:rPr>
        <w:t>Šā pasākuma mērķis ir noteikt nosacījumus attiecībā uz koncesijas ilgumu, piešķīrēju iestāžu uzraudzī</w:t>
      </w:r>
      <w:r>
        <w:rPr>
          <w:noProof/>
        </w:rPr>
        <w:t>bas un kontroles pilnvarām, atjaunošanas procedūrām, iekārtu nodošanu jaunajam koncesionāram koncesijas beigās un koncesionāriem piemērojamo maksu minimālo robežu noteikšanu.</w:t>
      </w:r>
    </w:p>
    <w:p w14:paraId="78467ED7" w14:textId="77777777" w:rsidR="00C972CB" w:rsidRDefault="00C972CB">
      <w:pPr>
        <w:spacing w:before="120" w:after="120"/>
        <w:jc w:val="both"/>
        <w:rPr>
          <w:rFonts w:eastAsia="Calibri"/>
          <w:noProof/>
        </w:rPr>
      </w:pPr>
    </w:p>
    <w:p w14:paraId="437CE428" w14:textId="77777777" w:rsidR="00C972CB" w:rsidRDefault="002457F6">
      <w:pPr>
        <w:pStyle w:val="P68B1DB1-Normal2"/>
        <w:spacing w:before="120" w:after="120"/>
        <w:jc w:val="both"/>
        <w:rPr>
          <w:rFonts w:eastAsia="Calibri"/>
          <w:noProof/>
        </w:rPr>
      </w:pPr>
      <w:r>
        <w:rPr>
          <w:noProof/>
        </w:rPr>
        <w:t xml:space="preserve">Reforma. Atļauju vienkāršošana aukstās gludināšanas atļauju piešķiršanas procedūrām Itālijas ostās  </w:t>
      </w:r>
    </w:p>
    <w:p w14:paraId="2949BBA8" w14:textId="77777777" w:rsidR="00C972CB" w:rsidRDefault="002457F6">
      <w:pPr>
        <w:spacing w:before="120" w:after="120"/>
        <w:jc w:val="both"/>
        <w:rPr>
          <w:rFonts w:eastAsia="Calibri"/>
          <w:noProof/>
        </w:rPr>
      </w:pPr>
      <w:r>
        <w:rPr>
          <w:noProof/>
        </w:rPr>
        <w:t xml:space="preserve">Paredzams, ka šis pasākums vienkāršos un samazinās atļauju piešķiršanas procedūru attiecībā uz valsts elektroenerģijas pārvades tīkla staciju būvniecību, </w:t>
      </w:r>
      <w:r>
        <w:rPr>
          <w:noProof/>
        </w:rPr>
        <w:t>lai darbinātu sadales sistēmas elektroenerģijas piegādei kuģiem (</w:t>
      </w:r>
      <w:r>
        <w:rPr>
          <w:i/>
          <w:noProof/>
        </w:rPr>
        <w:t>aukstajai gludināšanai</w:t>
      </w:r>
      <w:r>
        <w:rPr>
          <w:noProof/>
        </w:rPr>
        <w:t>).</w:t>
      </w:r>
    </w:p>
    <w:p w14:paraId="0CB0EFCE" w14:textId="77777777" w:rsidR="00C972CB" w:rsidRDefault="002457F6">
      <w:pPr>
        <w:spacing w:before="120" w:after="120"/>
        <w:jc w:val="both"/>
        <w:rPr>
          <w:rFonts w:eastAsia="Calibri"/>
          <w:noProof/>
        </w:rPr>
      </w:pPr>
      <w:r>
        <w:rPr>
          <w:noProof/>
        </w:rPr>
        <w:t>Infrastruktūras un transporta ministrija iesniedz priekšlikumu par atļauju piešķiršanas procesa racionalizēšanu. Jo īpaši tiek ierosināts, ka aukstās gludināšanas pro</w:t>
      </w:r>
      <w:r>
        <w:rPr>
          <w:noProof/>
        </w:rPr>
        <w:t>jektus izvērtē teritoriālie biroji, kas ziņo Ekonomikas attīstības ministrijai un kas īsākā laikā varētu pētīt projektus un attiecīgi tos atļaut. Turklāt ir jāparedz regulatīva iejaukšanās, lai noteiktu vienotu atļauju piešķiršanas procesu projektiem, kuru</w:t>
      </w:r>
      <w:r>
        <w:rPr>
          <w:noProof/>
        </w:rPr>
        <w:t xml:space="preserve"> spriegums ir lielāks par 132 kV, un pārējiem projektiem, lai izmantotu procesa sinerģiju. </w:t>
      </w:r>
    </w:p>
    <w:p w14:paraId="7AEC6828" w14:textId="77777777" w:rsidR="00C972CB" w:rsidRDefault="002457F6">
      <w:pPr>
        <w:pStyle w:val="P68B1DB1-Normal2"/>
        <w:spacing w:before="120" w:after="120"/>
        <w:jc w:val="both"/>
        <w:rPr>
          <w:rFonts w:eastAsia="Calibri"/>
          <w:noProof/>
        </w:rPr>
      </w:pPr>
      <w:r>
        <w:rPr>
          <w:noProof/>
        </w:rPr>
        <w:t>Reforma. Vienota muitas kontaktpunkta (“Sportello Unico Doganale”) īstenošana</w:t>
      </w:r>
    </w:p>
    <w:p w14:paraId="5A64BAD2" w14:textId="07129C3C" w:rsidR="00C972CB" w:rsidRDefault="002457F6">
      <w:pPr>
        <w:spacing w:before="120" w:after="120"/>
        <w:jc w:val="both"/>
        <w:rPr>
          <w:noProof/>
        </w:rPr>
      </w:pPr>
      <w:r>
        <w:rPr>
          <w:noProof/>
        </w:rPr>
        <w:t>Mērķis ir izveidot īpašu portālu vienotajam kontroles dienestam, kas nodrošina sadarbs</w:t>
      </w:r>
      <w:r>
        <w:rPr>
          <w:noProof/>
        </w:rPr>
        <w:t>pēju ar valstu datubāzēm un muitas kontroles darbību koordināciju.</w:t>
      </w:r>
    </w:p>
    <w:p w14:paraId="579168EA" w14:textId="77777777" w:rsidR="00C972CB" w:rsidRDefault="002457F6">
      <w:pPr>
        <w:pStyle w:val="P68B1DB1-Normal2"/>
        <w:spacing w:before="120" w:after="120"/>
        <w:jc w:val="both"/>
        <w:rPr>
          <w:noProof/>
        </w:rPr>
      </w:pPr>
      <w:r>
        <w:rPr>
          <w:noProof/>
        </w:rPr>
        <w:t>Ieguldījums 2.1.: Loģistikas ķēdes digitalizācija</w:t>
      </w:r>
    </w:p>
    <w:p w14:paraId="0072B10E" w14:textId="77777777" w:rsidR="00C972CB" w:rsidRDefault="002457F6">
      <w:pPr>
        <w:spacing w:before="120" w:after="120"/>
        <w:jc w:val="both"/>
        <w:rPr>
          <w:noProof/>
        </w:rPr>
      </w:pPr>
      <w:r>
        <w:rPr>
          <w:noProof/>
        </w:rPr>
        <w:t>Paredzams, ka šis ieguldījums palielinās valsts loģistikas konkurētspēju, izveidojot sadarbspējīgu digitālo sistēmu starp publiskajiem un p</w:t>
      </w:r>
      <w:r>
        <w:rPr>
          <w:noProof/>
        </w:rPr>
        <w:t>rivātajiem kravu un loģistikas dalībniekiem, kas vienkāršos procedūras, procesus un kontroli, koncentrējoties uz dokumentu dematerializāciju un datu un informācijas apmaiņu.</w:t>
      </w:r>
    </w:p>
    <w:p w14:paraId="655FE088" w14:textId="77777777" w:rsidR="00C972CB" w:rsidRDefault="002457F6">
      <w:pPr>
        <w:pStyle w:val="P68B1DB1-Normal2"/>
        <w:spacing w:before="120" w:after="120"/>
        <w:jc w:val="both"/>
        <w:rPr>
          <w:rFonts w:eastAsia="Calibri"/>
          <w:noProof/>
        </w:rPr>
      </w:pPr>
      <w:r>
        <w:rPr>
          <w:noProof/>
        </w:rPr>
        <w:t>Ieguldījums 2.2.: Gaisa satiksmes pārvaldības digitalizācija</w:t>
      </w:r>
    </w:p>
    <w:p w14:paraId="2A359DDF" w14:textId="77777777" w:rsidR="00C972CB" w:rsidRDefault="002457F6">
      <w:pPr>
        <w:spacing w:before="120" w:after="120"/>
        <w:jc w:val="both"/>
        <w:rPr>
          <w:rFonts w:eastAsia="Calibri"/>
          <w:noProof/>
        </w:rPr>
      </w:pPr>
      <w:r>
        <w:rPr>
          <w:noProof/>
        </w:rPr>
        <w:t>Šo investīciju mērķis</w:t>
      </w:r>
      <w:r>
        <w:rPr>
          <w:noProof/>
        </w:rPr>
        <w:t xml:space="preserve"> ir nozares digitālā modernizācija, kas aptver gan jaunu rīku izstrādi aeronavigācijas informācijas digitalizācijai, gan bezpilota gaisa kuģu platformu un pakalpojumu ieviešanu. </w:t>
      </w:r>
    </w:p>
    <w:p w14:paraId="65F62D08" w14:textId="77777777" w:rsidR="00C972CB" w:rsidRDefault="002457F6">
      <w:pPr>
        <w:spacing w:before="120" w:after="120"/>
        <w:jc w:val="both"/>
        <w:rPr>
          <w:rFonts w:eastAsia="Calibri"/>
          <w:noProof/>
        </w:rPr>
      </w:pPr>
      <w:r>
        <w:rPr>
          <w:noProof/>
        </w:rPr>
        <w:t>Projekti aptver bezpilota satiksmes pārvaldības sistēmas (UTMS) izstrādi un s</w:t>
      </w:r>
      <w:r>
        <w:rPr>
          <w:noProof/>
        </w:rPr>
        <w:t>avienojamību, aeronavigācijas informācijas digitalizāciju un jauna tehniskās apkopes modeļa definēšanu.</w:t>
      </w:r>
    </w:p>
    <w:p w14:paraId="302A6E83" w14:textId="77777777" w:rsidR="00C972CB" w:rsidRDefault="002457F6">
      <w:pPr>
        <w:pStyle w:val="paragraph"/>
        <w:spacing w:before="0" w:beforeAutospacing="0" w:after="0" w:afterAutospacing="0"/>
        <w:jc w:val="both"/>
        <w:textAlignment w:val="baseline"/>
        <w:rPr>
          <w:rFonts w:ascii="Segoe UI" w:hAnsi="Segoe UI" w:cs="Segoe UI"/>
          <w:noProof/>
          <w:sz w:val="18"/>
        </w:rPr>
      </w:pPr>
      <w:r>
        <w:rPr>
          <w:rStyle w:val="normaltextrun"/>
          <w:b/>
          <w:noProof/>
        </w:rPr>
        <w:t>Ieguldījums 2.3. Aukstā gludināšana</w:t>
      </w:r>
      <w:r>
        <w:rPr>
          <w:rStyle w:val="eop"/>
          <w:noProof/>
        </w:rPr>
        <w:t xml:space="preserve"> </w:t>
      </w:r>
    </w:p>
    <w:p w14:paraId="66DE72ED" w14:textId="77777777" w:rsidR="00C972CB" w:rsidRDefault="002457F6">
      <w:pPr>
        <w:pStyle w:val="paragraph"/>
        <w:spacing w:before="0" w:beforeAutospacing="0" w:after="0" w:afterAutospacing="0"/>
        <w:jc w:val="both"/>
        <w:textAlignment w:val="baseline"/>
        <w:rPr>
          <w:rStyle w:val="eop"/>
          <w:noProof/>
        </w:rPr>
      </w:pPr>
      <w:r>
        <w:rPr>
          <w:rStyle w:val="normaltextrun"/>
          <w:noProof/>
        </w:rPr>
        <w:t>Šīs investīcijas ietver tīkla izveidi elektroenerģijas piegādei ostas teritorijā (dokos) un saistīto pieslēguma inf</w:t>
      </w:r>
      <w:r>
        <w:rPr>
          <w:rStyle w:val="normaltextrun"/>
          <w:noProof/>
        </w:rPr>
        <w:t xml:space="preserve">rastruktūru valsts pārvades tīklam. Saskaņā ar Alternatīvo degvielu infrastruktūras regulu krasta elektroapgāde ļauj uzlādēt arī elektrotransportlīdzekļus. </w:t>
      </w:r>
    </w:p>
    <w:p w14:paraId="768A5295" w14:textId="77777777" w:rsidR="00C972CB" w:rsidRDefault="00C972CB">
      <w:pPr>
        <w:pStyle w:val="paragraph"/>
        <w:spacing w:before="0" w:beforeAutospacing="0" w:after="0" w:afterAutospacing="0"/>
        <w:jc w:val="both"/>
        <w:textAlignment w:val="baseline"/>
        <w:rPr>
          <w:rFonts w:ascii="Segoe UI" w:hAnsi="Segoe UI" w:cs="Segoe UI"/>
          <w:noProof/>
          <w:sz w:val="18"/>
        </w:rPr>
      </w:pPr>
    </w:p>
    <w:p w14:paraId="7EEBD80B" w14:textId="77777777" w:rsidR="00C972CB" w:rsidRDefault="002457F6">
      <w:pPr>
        <w:pStyle w:val="Heading3"/>
        <w:numPr>
          <w:ilvl w:val="0"/>
          <w:numId w:val="0"/>
        </w:numPr>
        <w:ind w:left="850" w:hanging="850"/>
        <w:rPr>
          <w:b/>
          <w:i w:val="0"/>
          <w:noProof/>
          <w:u w:val="single"/>
        </w:rPr>
      </w:pPr>
      <w:r>
        <w:rPr>
          <w:b/>
          <w:i w:val="0"/>
          <w:noProof/>
          <w:u w:val="single"/>
        </w:rPr>
        <w:t xml:space="preserve">I.2. </w:t>
      </w:r>
      <w:r>
        <w:rPr>
          <w:noProof/>
        </w:rPr>
        <w:tab/>
      </w:r>
      <w:r>
        <w:rPr>
          <w:b/>
          <w:i w:val="0"/>
          <w:noProof/>
          <w:u w:val="single"/>
        </w:rPr>
        <w:t>Atskaites punkti, mērķrādītāji, citi rādītāji un neatmaksājamā finansiālā atbalsta uzraudzīb</w:t>
      </w:r>
      <w:r>
        <w:rPr>
          <w:b/>
          <w:i w:val="0"/>
          <w:noProof/>
          <w:u w:val="single"/>
        </w:rPr>
        <w:t>as un īstenošanas grafiks</w:t>
      </w:r>
    </w:p>
    <w:p w14:paraId="38CC180E" w14:textId="77777777" w:rsidR="00C972CB" w:rsidRDefault="00C972CB">
      <w:pPr>
        <w:spacing w:before="120" w:after="120"/>
        <w:ind w:left="709"/>
        <w:jc w:val="both"/>
        <w:rPr>
          <w:noProof/>
        </w:rPr>
        <w:sectPr w:rsidR="00C972CB" w:rsidSect="000D3774">
          <w:headerReference w:type="even" r:id="rId206"/>
          <w:headerReference w:type="default" r:id="rId207"/>
          <w:footerReference w:type="even" r:id="rId208"/>
          <w:footerReference w:type="default" r:id="rId209"/>
          <w:headerReference w:type="first" r:id="rId210"/>
          <w:footerReference w:type="first" r:id="rId211"/>
          <w:pgSz w:w="11907" w:h="16839"/>
          <w:pgMar w:top="1134" w:right="1134" w:bottom="1134" w:left="1134" w:header="567" w:footer="567" w:gutter="0"/>
          <w:cols w:space="720"/>
          <w:docGrid w:linePitch="360"/>
        </w:sectPr>
      </w:pPr>
    </w:p>
    <w:tbl>
      <w:tblPr>
        <w:tblW w:w="5451" w:type="pct"/>
        <w:jc w:val="center"/>
        <w:tblLook w:val="04A0" w:firstRow="1" w:lastRow="0" w:firstColumn="1" w:lastColumn="0" w:noHBand="0" w:noVBand="1"/>
      </w:tblPr>
      <w:tblGrid>
        <w:gridCol w:w="1130"/>
        <w:gridCol w:w="1560"/>
        <w:gridCol w:w="1775"/>
        <w:gridCol w:w="1627"/>
        <w:gridCol w:w="1777"/>
        <w:gridCol w:w="1246"/>
        <w:gridCol w:w="1420"/>
        <w:gridCol w:w="1246"/>
        <w:gridCol w:w="1027"/>
        <w:gridCol w:w="666"/>
        <w:gridCol w:w="4231"/>
      </w:tblGrid>
      <w:tr w:rsidR="00C972CB" w14:paraId="051DC265" w14:textId="77777777">
        <w:trPr>
          <w:trHeight w:val="927"/>
          <w:tblHeader/>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3A6E2" w14:textId="77777777" w:rsidR="00C972CB" w:rsidRDefault="002457F6">
            <w:pPr>
              <w:pStyle w:val="P68B1DB1-Normal9"/>
              <w:jc w:val="center"/>
              <w:rPr>
                <w:noProof/>
              </w:rPr>
            </w:pPr>
            <w:r>
              <w:rPr>
                <w:noProof/>
              </w:rPr>
              <w:t>Kārtas numurs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E5DEC1" w14:textId="77777777" w:rsidR="00C972CB" w:rsidRDefault="002457F6">
            <w:pPr>
              <w:pStyle w:val="P68B1DB1-Normal9"/>
              <w:jc w:val="center"/>
              <w:rPr>
                <w:noProof/>
              </w:rPr>
            </w:pPr>
            <w:r>
              <w:rPr>
                <w:noProof/>
              </w:rPr>
              <w:t>Pasākums (reforma vai investīcija)</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9F63DD" w14:textId="77777777" w:rsidR="00C972CB" w:rsidRDefault="002457F6">
            <w:pPr>
              <w:pStyle w:val="P68B1DB1-Normal9"/>
              <w:jc w:val="center"/>
              <w:rPr>
                <w:noProof/>
              </w:rPr>
            </w:pPr>
            <w:r>
              <w:rPr>
                <w:noProof/>
              </w:rPr>
              <w:t>Atskaites punkts/mērķrādītājs</w:t>
            </w:r>
          </w:p>
        </w:tc>
        <w:tc>
          <w:tcPr>
            <w:tcW w:w="1627" w:type="dxa"/>
            <w:vMerge w:val="restart"/>
            <w:tcBorders>
              <w:top w:val="single" w:sz="4" w:space="0" w:color="auto"/>
              <w:left w:val="nil"/>
              <w:bottom w:val="single" w:sz="4" w:space="0" w:color="auto"/>
              <w:right w:val="single" w:sz="4" w:space="0" w:color="auto"/>
            </w:tcBorders>
            <w:shd w:val="clear" w:color="auto" w:fill="BDD7EE"/>
            <w:vAlign w:val="center"/>
            <w:hideMark/>
          </w:tcPr>
          <w:p w14:paraId="2AC6CF48" w14:textId="77777777" w:rsidR="00C972CB" w:rsidRDefault="002457F6">
            <w:pPr>
              <w:pStyle w:val="P68B1DB1-Normal9"/>
              <w:jc w:val="center"/>
              <w:rPr>
                <w:noProof/>
              </w:rPr>
            </w:pPr>
            <w:r>
              <w:rPr>
                <w:noProof/>
              </w:rPr>
              <w:t>Uzvārds</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AC743"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2900" w:type="dxa"/>
            <w:gridSpan w:val="3"/>
            <w:tcBorders>
              <w:top w:val="single" w:sz="4" w:space="0" w:color="auto"/>
              <w:left w:val="nil"/>
              <w:bottom w:val="single" w:sz="4" w:space="0" w:color="auto"/>
              <w:right w:val="single" w:sz="4" w:space="0" w:color="auto"/>
            </w:tcBorders>
            <w:shd w:val="clear" w:color="auto" w:fill="BDD7EE"/>
            <w:vAlign w:val="center"/>
            <w:hideMark/>
          </w:tcPr>
          <w:p w14:paraId="408B2178"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582" w:type="dxa"/>
            <w:gridSpan w:val="2"/>
            <w:tcBorders>
              <w:top w:val="single" w:sz="4" w:space="0" w:color="auto"/>
              <w:left w:val="nil"/>
              <w:bottom w:val="single" w:sz="4" w:space="0" w:color="auto"/>
              <w:right w:val="single" w:sz="4" w:space="0" w:color="auto"/>
            </w:tcBorders>
            <w:shd w:val="clear" w:color="auto" w:fill="BDD7EE"/>
            <w:vAlign w:val="center"/>
            <w:hideMark/>
          </w:tcPr>
          <w:p w14:paraId="348FC10D" w14:textId="77777777" w:rsidR="00C972CB" w:rsidRDefault="002457F6">
            <w:pPr>
              <w:pStyle w:val="P68B1DB1-Normal9"/>
              <w:jc w:val="center"/>
              <w:rPr>
                <w:noProof/>
              </w:rPr>
            </w:pPr>
            <w:r>
              <w:rPr>
                <w:noProof/>
              </w:rPr>
              <w:t>Orientējošs pabeigšanas termiņš</w:t>
            </w:r>
          </w:p>
        </w:tc>
        <w:tc>
          <w:tcPr>
            <w:tcW w:w="423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EDDC01" w14:textId="77777777" w:rsidR="00C972CB" w:rsidRDefault="002457F6">
            <w:pPr>
              <w:pStyle w:val="P68B1DB1-Normal9"/>
              <w:jc w:val="center"/>
              <w:rPr>
                <w:noProof/>
              </w:rPr>
            </w:pPr>
            <w:r>
              <w:rPr>
                <w:noProof/>
              </w:rPr>
              <w:t>Apraksts par katru atskaites punktu un mērķrādītāju</w:t>
            </w:r>
          </w:p>
        </w:tc>
      </w:tr>
      <w:tr w:rsidR="00C972CB" w14:paraId="50165DAE" w14:textId="77777777">
        <w:trPr>
          <w:trHeight w:val="1013"/>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61B760B9" w14:textId="77777777" w:rsidR="00C972CB" w:rsidRDefault="00C972CB">
            <w:pPr>
              <w:jc w:val="center"/>
              <w:rPr>
                <w:rFonts w:ascii="Arial Narrow" w:hAnsi="Arial Narrow"/>
                <w:b/>
                <w:noProof/>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30696B6" w14:textId="77777777" w:rsidR="00C972CB" w:rsidRDefault="00C972CB">
            <w:pPr>
              <w:jc w:val="center"/>
              <w:rPr>
                <w:rFonts w:ascii="Arial Narrow" w:hAnsi="Arial Narrow"/>
                <w:b/>
                <w:noProof/>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ED0A779" w14:textId="77777777" w:rsidR="00C972CB" w:rsidRDefault="00C972CB">
            <w:pPr>
              <w:jc w:val="center"/>
              <w:rPr>
                <w:rFonts w:ascii="Arial Narrow" w:hAnsi="Arial Narrow"/>
                <w:b/>
                <w:noProof/>
                <w:sz w:val="20"/>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65B5A140" w14:textId="77777777" w:rsidR="00C972CB" w:rsidRDefault="00C972CB">
            <w:pPr>
              <w:jc w:val="center"/>
              <w:rPr>
                <w:rFonts w:ascii="Arial Narrow" w:hAnsi="Arial Narrow"/>
                <w:b/>
                <w:noProof/>
                <w:sz w:val="20"/>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3F7FB5B" w14:textId="77777777" w:rsidR="00C972CB" w:rsidRDefault="00C972CB">
            <w:pPr>
              <w:jc w:val="center"/>
              <w:rPr>
                <w:rFonts w:ascii="Arial Narrow" w:hAnsi="Arial Narrow"/>
                <w:b/>
                <w:noProof/>
                <w:sz w:val="20"/>
              </w:rPr>
            </w:pPr>
          </w:p>
        </w:tc>
        <w:tc>
          <w:tcPr>
            <w:tcW w:w="92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728323" w14:textId="77777777" w:rsidR="00C972CB" w:rsidRDefault="002457F6">
            <w:pPr>
              <w:pStyle w:val="P68B1DB1-Normal9"/>
              <w:jc w:val="center"/>
              <w:rPr>
                <w:noProof/>
              </w:rPr>
            </w:pPr>
            <w:r>
              <w:rPr>
                <w:noProof/>
              </w:rPr>
              <w:t>Mēra vienība</w:t>
            </w:r>
          </w:p>
        </w:tc>
        <w:tc>
          <w:tcPr>
            <w:tcW w:w="1096" w:type="dxa"/>
            <w:tcBorders>
              <w:top w:val="single" w:sz="4" w:space="0" w:color="auto"/>
              <w:left w:val="nil"/>
              <w:bottom w:val="single" w:sz="4" w:space="0" w:color="auto"/>
              <w:right w:val="single" w:sz="4" w:space="0" w:color="auto"/>
            </w:tcBorders>
            <w:shd w:val="clear" w:color="auto" w:fill="BDD7EE"/>
            <w:vAlign w:val="center"/>
            <w:hideMark/>
          </w:tcPr>
          <w:p w14:paraId="531DAE94" w14:textId="77777777" w:rsidR="00C972CB" w:rsidRDefault="002457F6">
            <w:pPr>
              <w:pStyle w:val="P68B1DB1-Normal9"/>
              <w:jc w:val="center"/>
              <w:rPr>
                <w:noProof/>
              </w:rPr>
            </w:pPr>
            <w:r>
              <w:rPr>
                <w:noProof/>
              </w:rPr>
              <w:t>Pamatscenārijs</w:t>
            </w:r>
          </w:p>
        </w:tc>
        <w:tc>
          <w:tcPr>
            <w:tcW w:w="878" w:type="dxa"/>
            <w:tcBorders>
              <w:top w:val="single" w:sz="4" w:space="0" w:color="auto"/>
              <w:left w:val="nil"/>
              <w:bottom w:val="single" w:sz="4" w:space="0" w:color="auto"/>
              <w:right w:val="single" w:sz="4" w:space="0" w:color="auto"/>
            </w:tcBorders>
            <w:shd w:val="clear" w:color="auto" w:fill="BDD7EE"/>
            <w:vAlign w:val="center"/>
            <w:hideMark/>
          </w:tcPr>
          <w:p w14:paraId="34BF4DF1" w14:textId="77777777" w:rsidR="00C972CB" w:rsidRDefault="002457F6">
            <w:pPr>
              <w:pStyle w:val="P68B1DB1-Normal9"/>
              <w:jc w:val="center"/>
              <w:rPr>
                <w:noProof/>
              </w:rPr>
            </w:pPr>
            <w:r>
              <w:rPr>
                <w:noProof/>
              </w:rPr>
              <w:t>Mērķis</w:t>
            </w:r>
          </w:p>
        </w:tc>
        <w:tc>
          <w:tcPr>
            <w:tcW w:w="916" w:type="dxa"/>
            <w:tcBorders>
              <w:top w:val="single" w:sz="4" w:space="0" w:color="auto"/>
              <w:left w:val="nil"/>
              <w:bottom w:val="single" w:sz="4" w:space="0" w:color="auto"/>
              <w:right w:val="single" w:sz="4" w:space="0" w:color="auto"/>
            </w:tcBorders>
            <w:shd w:val="clear" w:color="auto" w:fill="BDD7EE"/>
            <w:vAlign w:val="center"/>
            <w:hideMark/>
          </w:tcPr>
          <w:p w14:paraId="2A1DD8CA" w14:textId="77777777" w:rsidR="00C972CB" w:rsidRDefault="002457F6">
            <w:pPr>
              <w:pStyle w:val="P68B1DB1-Normal9"/>
              <w:jc w:val="center"/>
              <w:rPr>
                <w:noProof/>
              </w:rPr>
            </w:pPr>
            <w:r>
              <w:rPr>
                <w:noProof/>
              </w:rPr>
              <w:t>Ceturtdaļa</w:t>
            </w:r>
          </w:p>
        </w:tc>
        <w:tc>
          <w:tcPr>
            <w:tcW w:w="666" w:type="dxa"/>
            <w:tcBorders>
              <w:top w:val="single" w:sz="4" w:space="0" w:color="auto"/>
              <w:left w:val="nil"/>
              <w:bottom w:val="single" w:sz="4" w:space="0" w:color="auto"/>
              <w:right w:val="single" w:sz="4" w:space="0" w:color="auto"/>
            </w:tcBorders>
            <w:shd w:val="clear" w:color="auto" w:fill="BDD7EE"/>
            <w:vAlign w:val="center"/>
            <w:hideMark/>
          </w:tcPr>
          <w:p w14:paraId="561286BD" w14:textId="77777777" w:rsidR="00C972CB" w:rsidRDefault="002457F6">
            <w:pPr>
              <w:pStyle w:val="P68B1DB1-Normal9"/>
              <w:jc w:val="center"/>
              <w:rPr>
                <w:noProof/>
              </w:rPr>
            </w:pPr>
            <w:r>
              <w:rPr>
                <w:noProof/>
              </w:rPr>
              <w:t>Gadā</w:t>
            </w:r>
          </w:p>
        </w:tc>
        <w:tc>
          <w:tcPr>
            <w:tcW w:w="4231" w:type="dxa"/>
            <w:vMerge/>
            <w:tcBorders>
              <w:top w:val="single" w:sz="4" w:space="0" w:color="auto"/>
              <w:bottom w:val="single" w:sz="4" w:space="0" w:color="auto"/>
              <w:right w:val="single" w:sz="4" w:space="0" w:color="auto"/>
            </w:tcBorders>
            <w:vAlign w:val="center"/>
            <w:hideMark/>
          </w:tcPr>
          <w:p w14:paraId="1FC7D3D5" w14:textId="77777777" w:rsidR="00C972CB" w:rsidRDefault="00C972CB">
            <w:pPr>
              <w:rPr>
                <w:rFonts w:ascii="Arial Narrow" w:hAnsi="Arial Narrow"/>
                <w:b/>
                <w:noProof/>
                <w:sz w:val="20"/>
              </w:rPr>
            </w:pPr>
          </w:p>
        </w:tc>
      </w:tr>
      <w:tr w:rsidR="00C972CB" w14:paraId="277A0711"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514CB1C" w14:textId="77777777" w:rsidR="00C972CB" w:rsidRDefault="002457F6">
            <w:pPr>
              <w:pStyle w:val="P68B1DB1-Normal11"/>
              <w:jc w:val="center"/>
              <w:rPr>
                <w:noProof/>
              </w:rPr>
            </w:pPr>
            <w:r>
              <w:rPr>
                <w:noProof/>
              </w:rPr>
              <w:t>M3C2–1</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D7C515C" w14:textId="3EB75752" w:rsidR="00C972CB" w:rsidRDefault="002457F6">
            <w:pPr>
              <w:pStyle w:val="P68B1DB1-Normal11"/>
              <w:spacing w:line="257" w:lineRule="auto"/>
              <w:jc w:val="center"/>
              <w:rPr>
                <w:noProof/>
              </w:rPr>
            </w:pPr>
            <w:r>
              <w:rPr>
                <w:noProof/>
              </w:rPr>
              <w:t>Reforma. Stratēģiskās plānošanas procesa procedūru vienkāršošana</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6549FAD4" w14:textId="77777777" w:rsidR="00C972CB" w:rsidRDefault="002457F6">
            <w:pPr>
              <w:pStyle w:val="P68B1DB1-Normal11"/>
              <w:jc w:val="center"/>
              <w:rPr>
                <w:noProof/>
              </w:rPr>
            </w:pPr>
            <w:r>
              <w:rPr>
                <w:noProof/>
              </w:rPr>
              <w:t>Starpposma mērķis</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622890FF" w14:textId="77777777" w:rsidR="00C972CB" w:rsidRDefault="002457F6">
            <w:pPr>
              <w:pStyle w:val="P68B1DB1-Normal11"/>
              <w:jc w:val="center"/>
              <w:rPr>
                <w:noProof/>
              </w:rPr>
            </w:pPr>
            <w:r>
              <w:rPr>
                <w:noProof/>
              </w:rPr>
              <w:t xml:space="preserve">Ar </w:t>
            </w:r>
            <w:r>
              <w:rPr>
                <w:noProof/>
              </w:rPr>
              <w:t>stratēģiskās plānošanas procesa procedūru vienkāršošanu saistītu tiesību aktu grozījumu stāšanās spēkā</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494F7BC0" w14:textId="77777777" w:rsidR="00C972CB" w:rsidRDefault="002457F6">
            <w:pPr>
              <w:pStyle w:val="P68B1DB1-Normal11"/>
              <w:jc w:val="center"/>
              <w:rPr>
                <w:noProof/>
              </w:rPr>
            </w:pPr>
            <w:r>
              <w:rPr>
                <w:noProof/>
              </w:rPr>
              <w:t>Tiesību akta(-u) noteikums, kas norāda, ka stājas spēkā tiesību aktu grozījumi, kas saistīti ar stratēģiskās plānošanas procesa procedūru vienkāršošanu</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94B4AEC" w14:textId="77777777" w:rsidR="00C972CB" w:rsidRDefault="002457F6">
            <w:pPr>
              <w:pStyle w:val="P68B1DB1-Normal11"/>
              <w:jc w:val="center"/>
              <w:rPr>
                <w:noProof/>
              </w:rPr>
            </w:pPr>
            <w:r>
              <w:rPr>
                <w:noProof/>
              </w:rPr>
              <w:t>N</w:t>
            </w:r>
            <w:r>
              <w:rPr>
                <w:noProof/>
              </w:rPr>
              <w:t>EPIEMĒRO</w:t>
            </w:r>
          </w:p>
        </w:tc>
        <w:tc>
          <w:tcPr>
            <w:tcW w:w="1096" w:type="dxa"/>
            <w:tcBorders>
              <w:top w:val="nil"/>
              <w:left w:val="nil"/>
              <w:bottom w:val="single" w:sz="4" w:space="0" w:color="auto"/>
              <w:right w:val="single" w:sz="4" w:space="0" w:color="auto"/>
            </w:tcBorders>
            <w:shd w:val="clear" w:color="auto" w:fill="C6EFCE"/>
            <w:noWrap/>
            <w:vAlign w:val="center"/>
          </w:tcPr>
          <w:p w14:paraId="2885EEDE" w14:textId="77777777" w:rsidR="00C972CB" w:rsidRDefault="002457F6">
            <w:pPr>
              <w:pStyle w:val="P68B1DB1-Normal11"/>
              <w:jc w:val="center"/>
              <w:rPr>
                <w:noProof/>
              </w:rPr>
            </w:pPr>
            <w:r>
              <w:rPr>
                <w:noProof/>
              </w:rPr>
              <w:t>NEPIEMĒRO</w:t>
            </w:r>
          </w:p>
        </w:tc>
        <w:tc>
          <w:tcPr>
            <w:tcW w:w="878" w:type="dxa"/>
            <w:tcBorders>
              <w:top w:val="nil"/>
              <w:left w:val="nil"/>
              <w:bottom w:val="single" w:sz="4" w:space="0" w:color="auto"/>
              <w:right w:val="single" w:sz="4" w:space="0" w:color="auto"/>
            </w:tcBorders>
            <w:shd w:val="clear" w:color="auto" w:fill="C6EFCE"/>
            <w:noWrap/>
            <w:vAlign w:val="center"/>
          </w:tcPr>
          <w:p w14:paraId="352977CA" w14:textId="77777777" w:rsidR="00C972CB" w:rsidRDefault="002457F6">
            <w:pPr>
              <w:pStyle w:val="P68B1DB1-Normal11"/>
              <w:jc w:val="center"/>
              <w:rPr>
                <w:noProof/>
              </w:rPr>
            </w:pPr>
            <w:r>
              <w:rPr>
                <w:noProof/>
              </w:rPr>
              <w:t>NEPIEMĒRO</w:t>
            </w:r>
          </w:p>
        </w:tc>
        <w:tc>
          <w:tcPr>
            <w:tcW w:w="916" w:type="dxa"/>
            <w:tcBorders>
              <w:top w:val="nil"/>
              <w:left w:val="nil"/>
              <w:bottom w:val="single" w:sz="4" w:space="0" w:color="auto"/>
              <w:right w:val="single" w:sz="4" w:space="0" w:color="auto"/>
            </w:tcBorders>
            <w:shd w:val="clear" w:color="auto" w:fill="C6EFCE"/>
            <w:noWrap/>
            <w:vAlign w:val="center"/>
          </w:tcPr>
          <w:p w14:paraId="12E5629E" w14:textId="77777777" w:rsidR="00C972CB" w:rsidRDefault="002457F6">
            <w:pPr>
              <w:pStyle w:val="P68B1DB1-Normal11"/>
              <w:jc w:val="center"/>
              <w:rPr>
                <w:noProof/>
              </w:rPr>
            </w:pPr>
            <w:r>
              <w:rPr>
                <w:noProof/>
              </w:rPr>
              <w:t>4. CET.</w:t>
            </w:r>
          </w:p>
        </w:tc>
        <w:tc>
          <w:tcPr>
            <w:tcW w:w="666" w:type="dxa"/>
            <w:tcBorders>
              <w:top w:val="nil"/>
              <w:left w:val="nil"/>
              <w:bottom w:val="single" w:sz="4" w:space="0" w:color="auto"/>
              <w:right w:val="single" w:sz="4" w:space="0" w:color="auto"/>
            </w:tcBorders>
            <w:shd w:val="clear" w:color="auto" w:fill="C6EFCE"/>
            <w:noWrap/>
            <w:vAlign w:val="center"/>
          </w:tcPr>
          <w:p w14:paraId="0504FFE6" w14:textId="77777777" w:rsidR="00C972CB" w:rsidRDefault="002457F6">
            <w:pPr>
              <w:pStyle w:val="P68B1DB1-Normal11"/>
              <w:jc w:val="center"/>
              <w:rPr>
                <w:noProof/>
              </w:rPr>
            </w:pPr>
            <w:r>
              <w:rPr>
                <w:noProof/>
              </w:rPr>
              <w:t>2022</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2BD9CC62" w14:textId="77777777" w:rsidR="00C972CB" w:rsidRDefault="002457F6">
            <w:pPr>
              <w:pStyle w:val="P68B1DB1-Normal11"/>
              <w:rPr>
                <w:noProof/>
              </w:rPr>
            </w:pPr>
            <w:r>
              <w:rPr>
                <w:noProof/>
              </w:rPr>
              <w:t>Pārskatītajā tiesiskajā regulējumā nosaka, ka:</w:t>
            </w:r>
          </w:p>
          <w:p w14:paraId="5D829D6C" w14:textId="77777777" w:rsidR="00C972CB" w:rsidRDefault="00C972CB">
            <w:pPr>
              <w:rPr>
                <w:rFonts w:ascii="Arial Narrow" w:hAnsi="Arial Narrow"/>
                <w:noProof/>
                <w:color w:val="006100"/>
                <w:sz w:val="20"/>
              </w:rPr>
            </w:pPr>
          </w:p>
          <w:p w14:paraId="76DE1F8F" w14:textId="77777777" w:rsidR="00C972CB" w:rsidRDefault="002457F6">
            <w:pPr>
              <w:pStyle w:val="P68B1DB1-Normal11"/>
              <w:rPr>
                <w:noProof/>
              </w:rPr>
            </w:pPr>
            <w:r>
              <w:rPr>
                <w:noProof/>
              </w:rPr>
              <w:t>— Visas ostas iestādes pieņem savus Sistēmiskos stratēģiskos plānošanas dokumentus (DPSS) un savus ostu regulatīvos plānus (PRP), pilnībā ņemot vērā 2016. gada Itālij</w:t>
            </w:r>
            <w:r>
              <w:rPr>
                <w:noProof/>
              </w:rPr>
              <w:t>as ostu sistēmu reformu, kas apstiprināta ar 2016. gada 4. augusta Likumdošanas dekrētu Nr. 169.</w:t>
            </w:r>
          </w:p>
          <w:p w14:paraId="426D9D4C" w14:textId="77777777" w:rsidR="00C972CB" w:rsidRDefault="00C972CB">
            <w:pPr>
              <w:rPr>
                <w:rFonts w:ascii="Arial Narrow" w:hAnsi="Arial Narrow"/>
                <w:noProof/>
                <w:color w:val="006100"/>
                <w:sz w:val="20"/>
              </w:rPr>
            </w:pPr>
          </w:p>
          <w:p w14:paraId="02383944" w14:textId="77777777" w:rsidR="00C972CB" w:rsidRDefault="002457F6">
            <w:pPr>
              <w:pStyle w:val="P68B1DB1-Normal11"/>
              <w:rPr>
                <w:noProof/>
              </w:rPr>
            </w:pPr>
            <w:r>
              <w:rPr>
                <w:noProof/>
              </w:rPr>
              <w:t>DPSS regulē vismaz šādus elementus:</w:t>
            </w:r>
          </w:p>
          <w:p w14:paraId="41F99236" w14:textId="77777777" w:rsidR="00C972CB" w:rsidRDefault="00C972CB">
            <w:pPr>
              <w:rPr>
                <w:rFonts w:ascii="Arial Narrow" w:hAnsi="Arial Narrow"/>
                <w:noProof/>
                <w:color w:val="006100"/>
                <w:sz w:val="20"/>
              </w:rPr>
            </w:pPr>
          </w:p>
          <w:p w14:paraId="1E6AF76A" w14:textId="77777777" w:rsidR="00C972CB" w:rsidRDefault="002457F6">
            <w:pPr>
              <w:pStyle w:val="P68B1DB1-Normal11"/>
              <w:rPr>
                <w:noProof/>
              </w:rPr>
            </w:pPr>
            <w:r>
              <w:rPr>
                <w:noProof/>
              </w:rPr>
              <w:t>—Ostas sistēmas iestāžu mērķu izstrādi;</w:t>
            </w:r>
          </w:p>
          <w:p w14:paraId="08A2672B" w14:textId="77777777" w:rsidR="00C972CB" w:rsidRDefault="00C972CB">
            <w:pPr>
              <w:rPr>
                <w:rFonts w:ascii="Arial Narrow" w:hAnsi="Arial Narrow"/>
                <w:noProof/>
                <w:color w:val="006100"/>
                <w:sz w:val="20"/>
              </w:rPr>
            </w:pPr>
          </w:p>
          <w:p w14:paraId="595C7EF0" w14:textId="77777777" w:rsidR="00C972CB" w:rsidRDefault="002457F6">
            <w:pPr>
              <w:pStyle w:val="P68B1DB1-Normal11"/>
              <w:rPr>
                <w:noProof/>
              </w:rPr>
            </w:pPr>
            <w:r>
              <w:rPr>
                <w:noProof/>
              </w:rPr>
              <w:t>—Apzīmētās un iezīmētās zonas, kas paredzētas vienīgi ostas un aizmugurējās osta</w:t>
            </w:r>
            <w:r>
              <w:rPr>
                <w:noProof/>
              </w:rPr>
              <w:t>s funkcijām,</w:t>
            </w:r>
          </w:p>
          <w:p w14:paraId="4C7E9E5E" w14:textId="77777777" w:rsidR="00C972CB" w:rsidRDefault="00C972CB">
            <w:pPr>
              <w:rPr>
                <w:rFonts w:ascii="Arial Narrow" w:hAnsi="Arial Narrow"/>
                <w:noProof/>
                <w:color w:val="006100"/>
                <w:sz w:val="20"/>
              </w:rPr>
            </w:pPr>
          </w:p>
          <w:p w14:paraId="308E6C8B" w14:textId="77777777" w:rsidR="00C972CB" w:rsidRDefault="002457F6">
            <w:pPr>
              <w:pStyle w:val="P68B1DB1-Normal11"/>
              <w:rPr>
                <w:noProof/>
              </w:rPr>
            </w:pPr>
            <w:r>
              <w:rPr>
                <w:noProof/>
              </w:rPr>
              <w:t>—Pēdējās jūdzes sauszemes un dzelzceļa infrastruktūras savienojumi ar ostām,</w:t>
            </w:r>
          </w:p>
          <w:p w14:paraId="62E6D5A7" w14:textId="77777777" w:rsidR="00C972CB" w:rsidRDefault="00C972CB">
            <w:pPr>
              <w:rPr>
                <w:rFonts w:ascii="Arial Narrow" w:hAnsi="Arial Narrow"/>
                <w:noProof/>
                <w:color w:val="006100"/>
                <w:sz w:val="20"/>
              </w:rPr>
            </w:pPr>
          </w:p>
          <w:p w14:paraId="4C9F5A9C" w14:textId="77777777" w:rsidR="00C972CB" w:rsidRDefault="002457F6">
            <w:pPr>
              <w:pStyle w:val="P68B1DB1-Normal11"/>
              <w:rPr>
                <w:noProof/>
              </w:rPr>
            </w:pPr>
            <w:r>
              <w:rPr>
                <w:noProof/>
              </w:rPr>
              <w:t>—Kritēriji, pēc kuriem nosaka plānošanas saturu,</w:t>
            </w:r>
          </w:p>
          <w:p w14:paraId="1863DE94" w14:textId="77777777" w:rsidR="00C972CB" w:rsidRDefault="00C972CB">
            <w:pPr>
              <w:rPr>
                <w:rFonts w:ascii="Arial Narrow" w:hAnsi="Arial Narrow"/>
                <w:noProof/>
                <w:color w:val="006100"/>
                <w:sz w:val="20"/>
              </w:rPr>
            </w:pPr>
          </w:p>
          <w:p w14:paraId="4A5E8751" w14:textId="77777777" w:rsidR="00C972CB" w:rsidRDefault="002457F6">
            <w:pPr>
              <w:pStyle w:val="P68B1DB1-Normal11"/>
              <w:rPr>
                <w:noProof/>
              </w:rPr>
            </w:pPr>
            <w:r>
              <w:rPr>
                <w:noProof/>
              </w:rPr>
              <w:t>Skaidri noteikt pamatnostādnes, noteikumus un procedūras ostas regulatīvo plānu sagatavošanai.</w:t>
            </w:r>
          </w:p>
        </w:tc>
      </w:tr>
      <w:tr w:rsidR="00C972CB" w14:paraId="17E7060C"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F6DEC73" w14:textId="77777777" w:rsidR="00C972CB" w:rsidRDefault="002457F6">
            <w:pPr>
              <w:pStyle w:val="P68B1DB1-Normal11"/>
              <w:jc w:val="center"/>
              <w:rPr>
                <w:noProof/>
              </w:rPr>
            </w:pPr>
            <w:r>
              <w:rPr>
                <w:noProof/>
              </w:rPr>
              <w:t>M3C2–2</w:t>
            </w:r>
          </w:p>
        </w:tc>
        <w:tc>
          <w:tcPr>
            <w:tcW w:w="1560" w:type="dxa"/>
            <w:tcBorders>
              <w:top w:val="nil"/>
              <w:left w:val="nil"/>
              <w:bottom w:val="single" w:sz="4" w:space="0" w:color="auto"/>
              <w:right w:val="single" w:sz="4" w:space="0" w:color="auto"/>
            </w:tcBorders>
            <w:shd w:val="clear" w:color="auto" w:fill="C6EFCE"/>
            <w:noWrap/>
            <w:vAlign w:val="center"/>
          </w:tcPr>
          <w:p w14:paraId="0714A005" w14:textId="77777777" w:rsidR="00C972CB" w:rsidRDefault="002457F6">
            <w:pPr>
              <w:pStyle w:val="P68B1DB1-Normal11"/>
              <w:jc w:val="center"/>
              <w:rPr>
                <w:noProof/>
              </w:rPr>
            </w:pPr>
            <w:r>
              <w:rPr>
                <w:noProof/>
              </w:rPr>
              <w:t xml:space="preserve">Reforma — </w:t>
            </w:r>
            <w:r>
              <w:rPr>
                <w:noProof/>
              </w:rPr>
              <w:t>Konkurēt koncesiju piešķiršana Itālijas ostās</w:t>
            </w:r>
          </w:p>
        </w:tc>
        <w:tc>
          <w:tcPr>
            <w:tcW w:w="1066" w:type="dxa"/>
            <w:tcBorders>
              <w:top w:val="nil"/>
              <w:left w:val="nil"/>
              <w:bottom w:val="single" w:sz="4" w:space="0" w:color="auto"/>
              <w:right w:val="single" w:sz="4" w:space="0" w:color="auto"/>
            </w:tcBorders>
            <w:shd w:val="clear" w:color="auto" w:fill="C6EFCE"/>
            <w:noWrap/>
            <w:vAlign w:val="center"/>
          </w:tcPr>
          <w:p w14:paraId="3D4B81AF" w14:textId="77777777" w:rsidR="00C972CB" w:rsidRDefault="002457F6">
            <w:pPr>
              <w:pStyle w:val="P68B1DB1-Normal11"/>
              <w:jc w:val="center"/>
              <w:rPr>
                <w:noProof/>
              </w:rPr>
            </w:pPr>
            <w:r>
              <w:rPr>
                <w:noProof/>
              </w:rPr>
              <w:t>Starpposma mērķis</w:t>
            </w:r>
          </w:p>
        </w:tc>
        <w:tc>
          <w:tcPr>
            <w:tcW w:w="1627" w:type="dxa"/>
            <w:tcBorders>
              <w:top w:val="nil"/>
              <w:left w:val="nil"/>
              <w:bottom w:val="single" w:sz="4" w:space="0" w:color="auto"/>
              <w:right w:val="single" w:sz="4" w:space="0" w:color="auto"/>
            </w:tcBorders>
            <w:shd w:val="clear" w:color="auto" w:fill="C6EFCE"/>
            <w:noWrap/>
            <w:vAlign w:val="center"/>
          </w:tcPr>
          <w:p w14:paraId="14BAF450" w14:textId="77777777" w:rsidR="00C972CB" w:rsidRDefault="002457F6">
            <w:pPr>
              <w:pStyle w:val="P68B1DB1-Normal11"/>
              <w:jc w:val="center"/>
              <w:rPr>
                <w:noProof/>
              </w:rPr>
            </w:pPr>
            <w:r>
              <w:rPr>
                <w:noProof/>
              </w:rPr>
              <w:t>Noteikumu par ostu koncesijām stāšanās spēkā</w:t>
            </w:r>
          </w:p>
        </w:tc>
        <w:tc>
          <w:tcPr>
            <w:tcW w:w="1777" w:type="dxa"/>
            <w:tcBorders>
              <w:top w:val="nil"/>
              <w:left w:val="nil"/>
              <w:bottom w:val="single" w:sz="4" w:space="0" w:color="auto"/>
              <w:right w:val="single" w:sz="4" w:space="0" w:color="auto"/>
            </w:tcBorders>
            <w:shd w:val="clear" w:color="auto" w:fill="C6EFCE"/>
            <w:noWrap/>
            <w:vAlign w:val="center"/>
          </w:tcPr>
          <w:p w14:paraId="633B5D74" w14:textId="77777777" w:rsidR="00C972CB" w:rsidRDefault="002457F6">
            <w:pPr>
              <w:pStyle w:val="P68B1DB1-Normal11"/>
              <w:jc w:val="center"/>
              <w:rPr>
                <w:noProof/>
              </w:rPr>
            </w:pPr>
            <w:r>
              <w:rPr>
                <w:noProof/>
              </w:rPr>
              <w:t>Regulas noteikums, kas norāda, ka stājas spēkā Regula par ostu koncesijām</w:t>
            </w:r>
          </w:p>
        </w:tc>
        <w:tc>
          <w:tcPr>
            <w:tcW w:w="926" w:type="dxa"/>
            <w:tcBorders>
              <w:top w:val="nil"/>
              <w:left w:val="nil"/>
              <w:bottom w:val="single" w:sz="4" w:space="0" w:color="auto"/>
              <w:right w:val="single" w:sz="4" w:space="0" w:color="auto"/>
            </w:tcBorders>
            <w:shd w:val="clear" w:color="auto" w:fill="C6EFCE"/>
            <w:noWrap/>
            <w:vAlign w:val="center"/>
          </w:tcPr>
          <w:p w14:paraId="777D1469" w14:textId="77777777" w:rsidR="00C972CB" w:rsidRDefault="002457F6">
            <w:pPr>
              <w:pStyle w:val="P68B1DB1-Normal11"/>
              <w:jc w:val="center"/>
              <w:rPr>
                <w:noProof/>
              </w:rPr>
            </w:pPr>
            <w:r>
              <w:rPr>
                <w:noProof/>
              </w:rPr>
              <w:t>NEPIEMĒRO</w:t>
            </w:r>
          </w:p>
        </w:tc>
        <w:tc>
          <w:tcPr>
            <w:tcW w:w="1096" w:type="dxa"/>
            <w:tcBorders>
              <w:top w:val="nil"/>
              <w:left w:val="nil"/>
              <w:bottom w:val="single" w:sz="4" w:space="0" w:color="auto"/>
              <w:right w:val="single" w:sz="4" w:space="0" w:color="auto"/>
            </w:tcBorders>
            <w:shd w:val="clear" w:color="auto" w:fill="C6EFCE"/>
            <w:noWrap/>
            <w:vAlign w:val="center"/>
          </w:tcPr>
          <w:p w14:paraId="14850838" w14:textId="77777777" w:rsidR="00C972CB" w:rsidRDefault="002457F6">
            <w:pPr>
              <w:pStyle w:val="P68B1DB1-Normal11"/>
              <w:jc w:val="center"/>
              <w:rPr>
                <w:noProof/>
              </w:rPr>
            </w:pPr>
            <w:r>
              <w:rPr>
                <w:noProof/>
              </w:rPr>
              <w:t>NEPIEMĒRO</w:t>
            </w:r>
          </w:p>
        </w:tc>
        <w:tc>
          <w:tcPr>
            <w:tcW w:w="878" w:type="dxa"/>
            <w:tcBorders>
              <w:top w:val="nil"/>
              <w:left w:val="nil"/>
              <w:bottom w:val="single" w:sz="4" w:space="0" w:color="auto"/>
              <w:right w:val="single" w:sz="4" w:space="0" w:color="auto"/>
            </w:tcBorders>
            <w:shd w:val="clear" w:color="auto" w:fill="C6EFCE"/>
            <w:noWrap/>
            <w:vAlign w:val="center"/>
          </w:tcPr>
          <w:p w14:paraId="4E98FA6D" w14:textId="77777777" w:rsidR="00C972CB" w:rsidRDefault="002457F6">
            <w:pPr>
              <w:pStyle w:val="P68B1DB1-Normal11"/>
              <w:jc w:val="center"/>
              <w:rPr>
                <w:noProof/>
              </w:rPr>
            </w:pPr>
            <w:r>
              <w:rPr>
                <w:noProof/>
              </w:rPr>
              <w:t>NEPIEMĒRO</w:t>
            </w:r>
          </w:p>
        </w:tc>
        <w:tc>
          <w:tcPr>
            <w:tcW w:w="916" w:type="dxa"/>
            <w:tcBorders>
              <w:top w:val="nil"/>
              <w:left w:val="nil"/>
              <w:bottom w:val="single" w:sz="4" w:space="0" w:color="auto"/>
              <w:right w:val="single" w:sz="4" w:space="0" w:color="auto"/>
            </w:tcBorders>
            <w:shd w:val="clear" w:color="auto" w:fill="C6EFCE"/>
            <w:noWrap/>
            <w:vAlign w:val="center"/>
          </w:tcPr>
          <w:p w14:paraId="5DCBF645" w14:textId="77777777" w:rsidR="00C972CB" w:rsidRDefault="002457F6">
            <w:pPr>
              <w:pStyle w:val="P68B1DB1-Normal11"/>
              <w:jc w:val="center"/>
              <w:rPr>
                <w:noProof/>
              </w:rPr>
            </w:pPr>
            <w:r>
              <w:rPr>
                <w:noProof/>
              </w:rPr>
              <w:t>4. CET.</w:t>
            </w:r>
          </w:p>
        </w:tc>
        <w:tc>
          <w:tcPr>
            <w:tcW w:w="666" w:type="dxa"/>
            <w:tcBorders>
              <w:top w:val="nil"/>
              <w:left w:val="nil"/>
              <w:bottom w:val="single" w:sz="4" w:space="0" w:color="auto"/>
              <w:right w:val="single" w:sz="4" w:space="0" w:color="auto"/>
            </w:tcBorders>
            <w:shd w:val="clear" w:color="auto" w:fill="C6EFCE"/>
            <w:noWrap/>
            <w:vAlign w:val="center"/>
          </w:tcPr>
          <w:p w14:paraId="74B3AAA0" w14:textId="77777777" w:rsidR="00C972CB" w:rsidRDefault="002457F6">
            <w:pPr>
              <w:pStyle w:val="P68B1DB1-Normal11"/>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2BA5BC1B" w14:textId="77777777" w:rsidR="00C972CB" w:rsidRDefault="002457F6">
            <w:pPr>
              <w:pStyle w:val="P68B1DB1-Normal11"/>
              <w:rPr>
                <w:noProof/>
              </w:rPr>
            </w:pPr>
            <w:r>
              <w:rPr>
                <w:noProof/>
              </w:rPr>
              <w:t>Jaunajā regulā nosaka pamatnos</w:t>
            </w:r>
            <w:r>
              <w:rPr>
                <w:noProof/>
              </w:rPr>
              <w:t>acījumus koncesiju piešķiršanai ostās. Regulā nosaka vismaz:</w:t>
            </w:r>
          </w:p>
          <w:p w14:paraId="102E1494" w14:textId="77777777" w:rsidR="00C972CB" w:rsidRDefault="00C972CB">
            <w:pPr>
              <w:rPr>
                <w:rFonts w:ascii="Arial Narrow" w:hAnsi="Arial Narrow"/>
                <w:noProof/>
                <w:color w:val="006100"/>
                <w:sz w:val="20"/>
              </w:rPr>
            </w:pPr>
          </w:p>
          <w:p w14:paraId="52D83127" w14:textId="77777777" w:rsidR="00C972CB" w:rsidRDefault="00C972CB">
            <w:pPr>
              <w:rPr>
                <w:rFonts w:ascii="Arial Narrow" w:hAnsi="Arial Narrow"/>
                <w:noProof/>
                <w:color w:val="006100"/>
                <w:sz w:val="20"/>
              </w:rPr>
            </w:pPr>
          </w:p>
          <w:p w14:paraId="4AE298A2" w14:textId="77777777" w:rsidR="00C972CB" w:rsidRDefault="002457F6">
            <w:pPr>
              <w:pStyle w:val="P68B1DB1-Normal11"/>
              <w:rPr>
                <w:noProof/>
              </w:rPr>
            </w:pPr>
            <w:r>
              <w:rPr>
                <w:noProof/>
              </w:rPr>
              <w:t>—Nosacījumi attiecībā uz koncesijas ilgumu;</w:t>
            </w:r>
          </w:p>
          <w:p w14:paraId="7206552B" w14:textId="77777777" w:rsidR="00C972CB" w:rsidRDefault="00C972CB">
            <w:pPr>
              <w:rPr>
                <w:rFonts w:ascii="Arial Narrow" w:hAnsi="Arial Narrow"/>
                <w:noProof/>
                <w:color w:val="006100"/>
                <w:sz w:val="20"/>
              </w:rPr>
            </w:pPr>
          </w:p>
          <w:p w14:paraId="77FE360C" w14:textId="77777777" w:rsidR="00C972CB" w:rsidRDefault="002457F6">
            <w:pPr>
              <w:pStyle w:val="P68B1DB1-Normal11"/>
              <w:rPr>
                <w:noProof/>
              </w:rPr>
            </w:pPr>
            <w:r>
              <w:rPr>
                <w:noProof/>
              </w:rPr>
              <w:t>Piešķīrējiestāžu pārraudzības un kontroles pilnvaras;</w:t>
            </w:r>
          </w:p>
          <w:p w14:paraId="6E6C6C0F" w14:textId="77777777" w:rsidR="00C972CB" w:rsidRDefault="00C972CB">
            <w:pPr>
              <w:rPr>
                <w:rFonts w:ascii="Arial Narrow" w:hAnsi="Arial Narrow"/>
                <w:noProof/>
                <w:color w:val="006100"/>
                <w:sz w:val="20"/>
              </w:rPr>
            </w:pPr>
          </w:p>
          <w:p w14:paraId="507A6579" w14:textId="77777777" w:rsidR="00C972CB" w:rsidRDefault="002457F6">
            <w:pPr>
              <w:pStyle w:val="P68B1DB1-Normal11"/>
              <w:rPr>
                <w:noProof/>
              </w:rPr>
            </w:pPr>
            <w:r>
              <w:rPr>
                <w:noProof/>
              </w:rPr>
              <w:t>Atjaunošanas metodes;</w:t>
            </w:r>
          </w:p>
          <w:p w14:paraId="0293ADB3" w14:textId="77777777" w:rsidR="00C972CB" w:rsidRDefault="00C972CB">
            <w:pPr>
              <w:rPr>
                <w:rFonts w:ascii="Arial Narrow" w:hAnsi="Arial Narrow"/>
                <w:noProof/>
                <w:color w:val="006100"/>
                <w:sz w:val="20"/>
              </w:rPr>
            </w:pPr>
          </w:p>
          <w:p w14:paraId="767B5E3A" w14:textId="77777777" w:rsidR="00C972CB" w:rsidRDefault="002457F6">
            <w:pPr>
              <w:pStyle w:val="P68B1DB1-Normal11"/>
              <w:rPr>
                <w:noProof/>
              </w:rPr>
            </w:pPr>
            <w:r>
              <w:rPr>
                <w:noProof/>
              </w:rPr>
              <w:t>Iekārtu nodošana jaunajam koncesionāram koncesijas beigās;</w:t>
            </w:r>
          </w:p>
          <w:p w14:paraId="75DACBBC" w14:textId="77777777" w:rsidR="00C972CB" w:rsidRDefault="00C972CB">
            <w:pPr>
              <w:rPr>
                <w:rFonts w:ascii="Arial Narrow" w:hAnsi="Arial Narrow"/>
                <w:noProof/>
                <w:color w:val="006100"/>
                <w:sz w:val="20"/>
              </w:rPr>
            </w:pPr>
          </w:p>
          <w:p w14:paraId="65C6D505" w14:textId="77777777" w:rsidR="00C972CB" w:rsidRDefault="002457F6">
            <w:pPr>
              <w:pStyle w:val="P68B1DB1-Normal11"/>
              <w:rPr>
                <w:noProof/>
              </w:rPr>
            </w:pPr>
            <w:r>
              <w:rPr>
                <w:noProof/>
              </w:rPr>
              <w:t xml:space="preserve">—Ierobežo </w:t>
            </w:r>
            <w:r>
              <w:rPr>
                <w:noProof/>
              </w:rPr>
              <w:t>minimālo maksu, kas jāmaksā licenciātiem.</w:t>
            </w:r>
          </w:p>
        </w:tc>
      </w:tr>
      <w:tr w:rsidR="00C972CB" w14:paraId="422ADD41"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4DFBD0C"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M3C2–3 </w:t>
            </w:r>
          </w:p>
        </w:tc>
        <w:tc>
          <w:tcPr>
            <w:tcW w:w="1560" w:type="dxa"/>
            <w:tcBorders>
              <w:top w:val="nil"/>
              <w:left w:val="nil"/>
              <w:bottom w:val="single" w:sz="4" w:space="0" w:color="auto"/>
              <w:right w:val="single" w:sz="4" w:space="0" w:color="auto"/>
            </w:tcBorders>
            <w:shd w:val="clear" w:color="auto" w:fill="C6EFCE"/>
            <w:noWrap/>
            <w:vAlign w:val="center"/>
          </w:tcPr>
          <w:p w14:paraId="66644229" w14:textId="77777777" w:rsidR="00C972CB" w:rsidRDefault="002457F6">
            <w:pPr>
              <w:pStyle w:val="P68B1DB1-Normal11"/>
              <w:jc w:val="center"/>
              <w:rPr>
                <w:noProof/>
              </w:rPr>
            </w:pPr>
            <w:r>
              <w:rPr>
                <w:noProof/>
              </w:rPr>
              <w:t>Reforma — vienota muitas kontaktpunkta (“Sportello Unico Doganale”) īstenošana </w:t>
            </w:r>
          </w:p>
        </w:tc>
        <w:tc>
          <w:tcPr>
            <w:tcW w:w="1066" w:type="dxa"/>
            <w:tcBorders>
              <w:top w:val="nil"/>
              <w:left w:val="nil"/>
              <w:bottom w:val="single" w:sz="4" w:space="0" w:color="auto"/>
              <w:right w:val="single" w:sz="4" w:space="0" w:color="auto"/>
            </w:tcBorders>
            <w:shd w:val="clear" w:color="auto" w:fill="C6EFCE"/>
            <w:noWrap/>
            <w:vAlign w:val="center"/>
          </w:tcPr>
          <w:p w14:paraId="2F4AFFB4" w14:textId="77777777" w:rsidR="00C972CB" w:rsidRDefault="002457F6">
            <w:pPr>
              <w:pStyle w:val="P68B1DB1-Normal11"/>
              <w:jc w:val="center"/>
              <w:rPr>
                <w:noProof/>
              </w:rPr>
            </w:pPr>
            <w:r>
              <w:rPr>
                <w:noProof/>
              </w:rPr>
              <w:t>Starpposma mērķis </w:t>
            </w:r>
          </w:p>
        </w:tc>
        <w:tc>
          <w:tcPr>
            <w:tcW w:w="1627" w:type="dxa"/>
            <w:tcBorders>
              <w:top w:val="nil"/>
              <w:left w:val="nil"/>
              <w:bottom w:val="single" w:sz="4" w:space="0" w:color="auto"/>
              <w:right w:val="single" w:sz="4" w:space="0" w:color="auto"/>
            </w:tcBorders>
            <w:shd w:val="clear" w:color="auto" w:fill="C6EFCE"/>
            <w:noWrap/>
            <w:vAlign w:val="center"/>
          </w:tcPr>
          <w:p w14:paraId="6B4069F0" w14:textId="77777777" w:rsidR="00C972CB" w:rsidRDefault="002457F6">
            <w:pPr>
              <w:pStyle w:val="P68B1DB1-paragraph25"/>
              <w:spacing w:before="0" w:beforeAutospacing="0" w:after="0" w:afterAutospacing="0"/>
              <w:jc w:val="center"/>
              <w:textAlignment w:val="baseline"/>
              <w:divId w:val="2137526311"/>
              <w:rPr>
                <w:noProof/>
              </w:rPr>
            </w:pPr>
            <w:r>
              <w:rPr>
                <w:noProof/>
              </w:rPr>
              <w:t xml:space="preserve">Vienotās muitas dekrēta stāšanās spēkā </w:t>
            </w:r>
          </w:p>
          <w:p w14:paraId="212D1C51" w14:textId="77777777" w:rsidR="00C972CB" w:rsidRDefault="002457F6">
            <w:pPr>
              <w:pStyle w:val="P68B1DB1-Normal11"/>
              <w:jc w:val="center"/>
              <w:rPr>
                <w:noProof/>
              </w:rPr>
            </w:pPr>
            <w:r>
              <w:rPr>
                <w:noProof/>
              </w:rPr>
              <w:t>Birojs (Sportello Unico Doganale) </w:t>
            </w:r>
          </w:p>
        </w:tc>
        <w:tc>
          <w:tcPr>
            <w:tcW w:w="1777" w:type="dxa"/>
            <w:tcBorders>
              <w:top w:val="nil"/>
              <w:left w:val="nil"/>
              <w:bottom w:val="single" w:sz="4" w:space="0" w:color="auto"/>
              <w:right w:val="single" w:sz="4" w:space="0" w:color="auto"/>
            </w:tcBorders>
            <w:shd w:val="clear" w:color="auto" w:fill="C6EFCE"/>
            <w:noWrap/>
            <w:vAlign w:val="center"/>
          </w:tcPr>
          <w:p w14:paraId="5AA41A47" w14:textId="77777777" w:rsidR="00C972CB" w:rsidRDefault="002457F6">
            <w:pPr>
              <w:pStyle w:val="P68B1DB1-Normal11"/>
              <w:jc w:val="center"/>
              <w:rPr>
                <w:noProof/>
              </w:rPr>
            </w:pPr>
            <w:r>
              <w:rPr>
                <w:noProof/>
              </w:rPr>
              <w:t xml:space="preserve">Dekrēta par vienoto muitas </w:t>
            </w:r>
            <w:r>
              <w:rPr>
                <w:noProof/>
              </w:rPr>
              <w:t>biroju (Sportello Unico Doganale) spēkā stāšanās noteikums </w:t>
            </w:r>
          </w:p>
        </w:tc>
        <w:tc>
          <w:tcPr>
            <w:tcW w:w="926" w:type="dxa"/>
            <w:tcBorders>
              <w:top w:val="nil"/>
              <w:left w:val="nil"/>
              <w:bottom w:val="single" w:sz="4" w:space="0" w:color="auto"/>
              <w:right w:val="single" w:sz="4" w:space="0" w:color="auto"/>
            </w:tcBorders>
            <w:shd w:val="clear" w:color="auto" w:fill="C6EFCE"/>
            <w:noWrap/>
            <w:vAlign w:val="center"/>
          </w:tcPr>
          <w:p w14:paraId="6491013D" w14:textId="77777777" w:rsidR="00C972CB" w:rsidRDefault="002457F6">
            <w:pPr>
              <w:pStyle w:val="P68B1DB1-Normal11"/>
              <w:jc w:val="center"/>
              <w:rPr>
                <w:noProof/>
              </w:rPr>
            </w:pPr>
            <w:r>
              <w:rPr>
                <w:noProof/>
              </w:rPr>
              <w:t>NEPIEMĒRO </w:t>
            </w:r>
          </w:p>
        </w:tc>
        <w:tc>
          <w:tcPr>
            <w:tcW w:w="1096" w:type="dxa"/>
            <w:tcBorders>
              <w:top w:val="nil"/>
              <w:left w:val="nil"/>
              <w:bottom w:val="single" w:sz="4" w:space="0" w:color="auto"/>
              <w:right w:val="single" w:sz="4" w:space="0" w:color="auto"/>
            </w:tcBorders>
            <w:shd w:val="clear" w:color="auto" w:fill="C6EFCE"/>
            <w:noWrap/>
            <w:vAlign w:val="center"/>
          </w:tcPr>
          <w:p w14:paraId="29E96D22" w14:textId="77777777" w:rsidR="00C972CB" w:rsidRDefault="002457F6">
            <w:pPr>
              <w:pStyle w:val="P68B1DB1-Normal11"/>
              <w:jc w:val="center"/>
              <w:rPr>
                <w:noProof/>
              </w:rPr>
            </w:pPr>
            <w:r>
              <w:rPr>
                <w:noProof/>
              </w:rPr>
              <w:t>NEPIEMĒRO </w:t>
            </w:r>
          </w:p>
        </w:tc>
        <w:tc>
          <w:tcPr>
            <w:tcW w:w="878" w:type="dxa"/>
            <w:tcBorders>
              <w:top w:val="nil"/>
              <w:left w:val="nil"/>
              <w:bottom w:val="single" w:sz="4" w:space="0" w:color="auto"/>
              <w:right w:val="single" w:sz="4" w:space="0" w:color="auto"/>
            </w:tcBorders>
            <w:shd w:val="clear" w:color="auto" w:fill="C6EFCE"/>
            <w:noWrap/>
            <w:vAlign w:val="center"/>
          </w:tcPr>
          <w:p w14:paraId="7B0C815F" w14:textId="77777777" w:rsidR="00C972CB" w:rsidRDefault="002457F6">
            <w:pPr>
              <w:pStyle w:val="P68B1DB1-Normal11"/>
              <w:jc w:val="center"/>
              <w:rPr>
                <w:noProof/>
              </w:rPr>
            </w:pPr>
            <w:r>
              <w:rPr>
                <w:noProof/>
              </w:rPr>
              <w:t>NEPIEMĒRO </w:t>
            </w:r>
          </w:p>
        </w:tc>
        <w:tc>
          <w:tcPr>
            <w:tcW w:w="916" w:type="dxa"/>
            <w:tcBorders>
              <w:top w:val="nil"/>
              <w:left w:val="nil"/>
              <w:bottom w:val="single" w:sz="4" w:space="0" w:color="auto"/>
              <w:right w:val="single" w:sz="4" w:space="0" w:color="auto"/>
            </w:tcBorders>
            <w:shd w:val="clear" w:color="auto" w:fill="C6EFCE"/>
            <w:noWrap/>
            <w:vAlign w:val="center"/>
          </w:tcPr>
          <w:p w14:paraId="29CC196A" w14:textId="77777777" w:rsidR="00C972CB" w:rsidRDefault="002457F6">
            <w:pPr>
              <w:pStyle w:val="P68B1DB1-Normal11"/>
              <w:jc w:val="center"/>
              <w:rPr>
                <w:noProof/>
              </w:rPr>
            </w:pPr>
            <w:r>
              <w:rPr>
                <w:noProof/>
              </w:rPr>
              <w:t>4. CET. </w:t>
            </w:r>
          </w:p>
        </w:tc>
        <w:tc>
          <w:tcPr>
            <w:tcW w:w="666" w:type="dxa"/>
            <w:tcBorders>
              <w:top w:val="nil"/>
              <w:left w:val="nil"/>
              <w:bottom w:val="single" w:sz="4" w:space="0" w:color="auto"/>
              <w:right w:val="single" w:sz="4" w:space="0" w:color="auto"/>
            </w:tcBorders>
            <w:shd w:val="clear" w:color="auto" w:fill="C6EFCE"/>
            <w:noWrap/>
            <w:vAlign w:val="center"/>
          </w:tcPr>
          <w:p w14:paraId="15F7D3BF" w14:textId="77777777" w:rsidR="00C972CB" w:rsidRDefault="002457F6">
            <w:pPr>
              <w:pStyle w:val="P68B1DB1-Normal11"/>
              <w:jc w:val="center"/>
              <w:rPr>
                <w:noProof/>
              </w:rPr>
            </w:pPr>
            <w:r>
              <w:rPr>
                <w:noProof/>
              </w:rPr>
              <w:t>2021 </w:t>
            </w:r>
          </w:p>
        </w:tc>
        <w:tc>
          <w:tcPr>
            <w:tcW w:w="4231" w:type="dxa"/>
            <w:tcBorders>
              <w:top w:val="nil"/>
              <w:left w:val="nil"/>
              <w:bottom w:val="single" w:sz="4" w:space="0" w:color="auto"/>
              <w:right w:val="single" w:sz="4" w:space="0" w:color="auto"/>
            </w:tcBorders>
            <w:shd w:val="clear" w:color="auto" w:fill="C6EFCE"/>
            <w:noWrap/>
            <w:vAlign w:val="center"/>
          </w:tcPr>
          <w:p w14:paraId="5F8310DD" w14:textId="77777777" w:rsidR="00C972CB" w:rsidRDefault="002457F6">
            <w:pPr>
              <w:pStyle w:val="P68B1DB1-Normal11"/>
              <w:rPr>
                <w:noProof/>
              </w:rPr>
            </w:pPr>
            <w:r>
              <w:rPr>
                <w:noProof/>
              </w:rPr>
              <w:t>Dekrētā nosaka vienotā muitas dienesta metodes un specifikācijas saskaņā ar Regulu (ES) Nr. 1239/2019 par Eiropas Jūras vienloga sistēmas īstenošanu</w:t>
            </w:r>
            <w:r>
              <w:rPr>
                <w:noProof/>
              </w:rPr>
              <w:t xml:space="preserve"> un Eiropas Parlamenta un Padomes Regulu (ES) 2020/1056 (2020. gada 15. jūlijs) par kravu pārvadājumu elektronisku informāciju (eFTI). </w:t>
            </w:r>
          </w:p>
        </w:tc>
      </w:tr>
      <w:tr w:rsidR="00C972CB" w14:paraId="42CBCDC5"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176E0D5" w14:textId="77777777" w:rsidR="00C972CB" w:rsidRDefault="002457F6">
            <w:pPr>
              <w:pStyle w:val="P68B1DB1-Normal11"/>
              <w:jc w:val="center"/>
              <w:rPr>
                <w:noProof/>
              </w:rPr>
            </w:pPr>
            <w:r>
              <w:rPr>
                <w:noProof/>
              </w:rPr>
              <w:t>M3C2–4</w:t>
            </w:r>
          </w:p>
        </w:tc>
        <w:tc>
          <w:tcPr>
            <w:tcW w:w="1560" w:type="dxa"/>
            <w:tcBorders>
              <w:top w:val="nil"/>
              <w:left w:val="nil"/>
              <w:bottom w:val="single" w:sz="4" w:space="0" w:color="auto"/>
              <w:right w:val="single" w:sz="4" w:space="0" w:color="auto"/>
            </w:tcBorders>
            <w:shd w:val="clear" w:color="auto" w:fill="C6EFCE"/>
            <w:noWrap/>
            <w:vAlign w:val="center"/>
          </w:tcPr>
          <w:p w14:paraId="489BF32A" w14:textId="77777777" w:rsidR="00C972CB" w:rsidRDefault="002457F6">
            <w:pPr>
              <w:pStyle w:val="P68B1DB1-Normal11"/>
              <w:jc w:val="center"/>
              <w:rPr>
                <w:noProof/>
              </w:rPr>
            </w:pPr>
            <w:r>
              <w:rPr>
                <w:noProof/>
              </w:rPr>
              <w:t>Reforma — Aukstās gludināšanas iekārtu atļauju piešķiršanas procedūru vienkāršošana</w:t>
            </w:r>
          </w:p>
        </w:tc>
        <w:tc>
          <w:tcPr>
            <w:tcW w:w="1066" w:type="dxa"/>
            <w:tcBorders>
              <w:top w:val="nil"/>
              <w:left w:val="nil"/>
              <w:bottom w:val="single" w:sz="4" w:space="0" w:color="auto"/>
              <w:right w:val="single" w:sz="4" w:space="0" w:color="auto"/>
            </w:tcBorders>
            <w:shd w:val="clear" w:color="auto" w:fill="C6EFCE"/>
            <w:noWrap/>
            <w:vAlign w:val="center"/>
          </w:tcPr>
          <w:p w14:paraId="21CC7D69" w14:textId="77777777" w:rsidR="00C972CB" w:rsidRDefault="002457F6">
            <w:pPr>
              <w:pStyle w:val="P68B1DB1-Normal11"/>
              <w:jc w:val="center"/>
              <w:rPr>
                <w:noProof/>
              </w:rPr>
            </w:pPr>
            <w:r>
              <w:rPr>
                <w:noProof/>
              </w:rPr>
              <w:t>Starpposma mērķis</w:t>
            </w:r>
          </w:p>
        </w:tc>
        <w:tc>
          <w:tcPr>
            <w:tcW w:w="1627" w:type="dxa"/>
            <w:tcBorders>
              <w:top w:val="nil"/>
              <w:left w:val="nil"/>
              <w:bottom w:val="single" w:sz="4" w:space="0" w:color="auto"/>
              <w:right w:val="single" w:sz="4" w:space="0" w:color="auto"/>
            </w:tcBorders>
            <w:shd w:val="clear" w:color="auto" w:fill="C6EFCE"/>
            <w:noWrap/>
            <w:vAlign w:val="center"/>
          </w:tcPr>
          <w:p w14:paraId="3CF3DA58" w14:textId="77777777" w:rsidR="00C972CB" w:rsidRDefault="002457F6">
            <w:pPr>
              <w:pStyle w:val="P68B1DB1-Normal11"/>
              <w:spacing w:line="257" w:lineRule="auto"/>
              <w:jc w:val="center"/>
              <w:rPr>
                <w:noProof/>
              </w:rPr>
            </w:pPr>
            <w:r>
              <w:rPr>
                <w:noProof/>
              </w:rPr>
              <w:t xml:space="preserve">Aukstās </w:t>
            </w:r>
            <w:r>
              <w:rPr>
                <w:noProof/>
              </w:rPr>
              <w:t>gludināšanas iekārtu atļauju piešķiršanas procedūru vienkāršošanas stāšanās spēkā</w:t>
            </w:r>
          </w:p>
        </w:tc>
        <w:tc>
          <w:tcPr>
            <w:tcW w:w="1777" w:type="dxa"/>
            <w:tcBorders>
              <w:top w:val="nil"/>
              <w:left w:val="nil"/>
              <w:bottom w:val="single" w:sz="4" w:space="0" w:color="auto"/>
              <w:right w:val="single" w:sz="4" w:space="0" w:color="auto"/>
            </w:tcBorders>
            <w:shd w:val="clear" w:color="auto" w:fill="C6EFCE"/>
            <w:noWrap/>
            <w:vAlign w:val="center"/>
          </w:tcPr>
          <w:p w14:paraId="720C3A75" w14:textId="77777777" w:rsidR="00C972CB" w:rsidRDefault="002457F6">
            <w:pPr>
              <w:pStyle w:val="P68B1DB1-Normal11"/>
              <w:jc w:val="center"/>
              <w:rPr>
                <w:noProof/>
              </w:rPr>
            </w:pPr>
            <w:r>
              <w:rPr>
                <w:noProof/>
              </w:rPr>
              <w:t>Tiesību norma, kas norāda, ka stājas spēkā atļauju izsniegšanas procedūru vienkāršošana aukstās gludināšanas iekārtām</w:t>
            </w:r>
          </w:p>
        </w:tc>
        <w:tc>
          <w:tcPr>
            <w:tcW w:w="926" w:type="dxa"/>
            <w:tcBorders>
              <w:top w:val="nil"/>
              <w:left w:val="nil"/>
              <w:bottom w:val="single" w:sz="4" w:space="0" w:color="auto"/>
              <w:right w:val="single" w:sz="4" w:space="0" w:color="auto"/>
            </w:tcBorders>
            <w:shd w:val="clear" w:color="auto" w:fill="C6EFCE"/>
            <w:noWrap/>
            <w:vAlign w:val="center"/>
          </w:tcPr>
          <w:p w14:paraId="5A2B8833" w14:textId="77777777" w:rsidR="00C972CB" w:rsidRDefault="002457F6">
            <w:pPr>
              <w:pStyle w:val="P68B1DB1-Normal11"/>
              <w:jc w:val="center"/>
              <w:rPr>
                <w:noProof/>
              </w:rPr>
            </w:pPr>
            <w:r>
              <w:rPr>
                <w:noProof/>
              </w:rPr>
              <w:t>NEPIEMĒRO</w:t>
            </w:r>
          </w:p>
        </w:tc>
        <w:tc>
          <w:tcPr>
            <w:tcW w:w="1096" w:type="dxa"/>
            <w:tcBorders>
              <w:top w:val="nil"/>
              <w:left w:val="nil"/>
              <w:bottom w:val="single" w:sz="4" w:space="0" w:color="auto"/>
              <w:right w:val="single" w:sz="4" w:space="0" w:color="auto"/>
            </w:tcBorders>
            <w:shd w:val="clear" w:color="auto" w:fill="C6EFCE"/>
            <w:noWrap/>
            <w:vAlign w:val="center"/>
          </w:tcPr>
          <w:p w14:paraId="5314E35E" w14:textId="77777777" w:rsidR="00C972CB" w:rsidRDefault="002457F6">
            <w:pPr>
              <w:pStyle w:val="P68B1DB1-Normal11"/>
              <w:jc w:val="center"/>
              <w:rPr>
                <w:noProof/>
              </w:rPr>
            </w:pPr>
            <w:r>
              <w:rPr>
                <w:noProof/>
              </w:rPr>
              <w:t>NEPIEMĒRO</w:t>
            </w:r>
          </w:p>
        </w:tc>
        <w:tc>
          <w:tcPr>
            <w:tcW w:w="878" w:type="dxa"/>
            <w:tcBorders>
              <w:top w:val="nil"/>
              <w:left w:val="nil"/>
              <w:bottom w:val="single" w:sz="4" w:space="0" w:color="auto"/>
              <w:right w:val="single" w:sz="4" w:space="0" w:color="auto"/>
            </w:tcBorders>
            <w:shd w:val="clear" w:color="auto" w:fill="C6EFCE"/>
            <w:noWrap/>
            <w:vAlign w:val="center"/>
          </w:tcPr>
          <w:p w14:paraId="63637AFE" w14:textId="77777777" w:rsidR="00C972CB" w:rsidRDefault="002457F6">
            <w:pPr>
              <w:pStyle w:val="P68B1DB1-Normal11"/>
              <w:jc w:val="center"/>
              <w:rPr>
                <w:noProof/>
              </w:rPr>
            </w:pPr>
            <w:r>
              <w:rPr>
                <w:noProof/>
              </w:rPr>
              <w:t>NEPIEMĒRO</w:t>
            </w:r>
          </w:p>
        </w:tc>
        <w:tc>
          <w:tcPr>
            <w:tcW w:w="916" w:type="dxa"/>
            <w:tcBorders>
              <w:top w:val="nil"/>
              <w:left w:val="nil"/>
              <w:bottom w:val="single" w:sz="4" w:space="0" w:color="auto"/>
              <w:right w:val="single" w:sz="4" w:space="0" w:color="auto"/>
            </w:tcBorders>
            <w:shd w:val="clear" w:color="auto" w:fill="C6EFCE"/>
            <w:noWrap/>
            <w:vAlign w:val="center"/>
          </w:tcPr>
          <w:p w14:paraId="7A72470C" w14:textId="77777777" w:rsidR="00C972CB" w:rsidRDefault="002457F6">
            <w:pPr>
              <w:pStyle w:val="P68B1DB1-Normal11"/>
              <w:jc w:val="center"/>
              <w:rPr>
                <w:noProof/>
              </w:rPr>
            </w:pPr>
            <w:r>
              <w:rPr>
                <w:noProof/>
              </w:rPr>
              <w:t>4. CET.</w:t>
            </w:r>
          </w:p>
        </w:tc>
        <w:tc>
          <w:tcPr>
            <w:tcW w:w="666" w:type="dxa"/>
            <w:tcBorders>
              <w:top w:val="nil"/>
              <w:left w:val="nil"/>
              <w:bottom w:val="single" w:sz="4" w:space="0" w:color="auto"/>
              <w:right w:val="single" w:sz="4" w:space="0" w:color="auto"/>
            </w:tcBorders>
            <w:shd w:val="clear" w:color="auto" w:fill="C6EFCE"/>
            <w:noWrap/>
            <w:vAlign w:val="center"/>
          </w:tcPr>
          <w:p w14:paraId="0D1CA354" w14:textId="77777777" w:rsidR="00C972CB" w:rsidRDefault="002457F6">
            <w:pPr>
              <w:pStyle w:val="P68B1DB1-Normal11"/>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1EB28CAF" w14:textId="77777777" w:rsidR="00C972CB" w:rsidRDefault="002457F6">
            <w:pPr>
              <w:pStyle w:val="P68B1DB1-Normal11"/>
              <w:rPr>
                <w:noProof/>
              </w:rPr>
            </w:pPr>
            <w:r>
              <w:rPr>
                <w:noProof/>
              </w:rPr>
              <w:t xml:space="preserve">Racionalizēt </w:t>
            </w:r>
            <w:r>
              <w:rPr>
                <w:noProof/>
              </w:rPr>
              <w:t xml:space="preserve">atļauju piešķiršanas procesu, lai samazinātu atļauju piešķiršanas laiku līdz ne vairāk kā 12 mēnešiem tādu enerģijas transporta infrastruktūru būvniecībai, kuru mērķis ir pietauvošanās posmā piegādāt elektroenerģiju no sauszemes kuģiem (ja iejaukšanās nav </w:t>
            </w:r>
            <w:r>
              <w:rPr>
                <w:noProof/>
              </w:rPr>
              <w:t>pakļauta vides novērtējumam).</w:t>
            </w:r>
          </w:p>
        </w:tc>
      </w:tr>
      <w:tr w:rsidR="00C972CB" w14:paraId="43FE6768"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FA1E140" w14:textId="77777777" w:rsidR="00C972CB" w:rsidRDefault="002457F6">
            <w:pPr>
              <w:pStyle w:val="P68B1DB1-Normal11"/>
              <w:jc w:val="center"/>
              <w:rPr>
                <w:noProof/>
              </w:rPr>
            </w:pPr>
            <w:r>
              <w:rPr>
                <w:noProof/>
              </w:rPr>
              <w:t>M3C2–5</w:t>
            </w:r>
          </w:p>
        </w:tc>
        <w:tc>
          <w:tcPr>
            <w:tcW w:w="1560" w:type="dxa"/>
            <w:tcBorders>
              <w:top w:val="nil"/>
              <w:left w:val="nil"/>
              <w:bottom w:val="single" w:sz="4" w:space="0" w:color="auto"/>
              <w:right w:val="single" w:sz="4" w:space="0" w:color="auto"/>
            </w:tcBorders>
            <w:shd w:val="clear" w:color="auto" w:fill="C6EFCE"/>
            <w:noWrap/>
            <w:vAlign w:val="center"/>
          </w:tcPr>
          <w:p w14:paraId="204B1032" w14:textId="77777777" w:rsidR="00C972CB" w:rsidRDefault="002457F6">
            <w:pPr>
              <w:pStyle w:val="P68B1DB1-Normal11"/>
              <w:jc w:val="center"/>
              <w:rPr>
                <w:noProof/>
              </w:rPr>
            </w:pPr>
            <w:r>
              <w:rPr>
                <w:noProof/>
              </w:rPr>
              <w:t>Ieguldījums 2.1. — Loģistikas ķēdes digitalizācija</w:t>
            </w:r>
          </w:p>
        </w:tc>
        <w:tc>
          <w:tcPr>
            <w:tcW w:w="1066" w:type="dxa"/>
            <w:tcBorders>
              <w:top w:val="nil"/>
              <w:left w:val="nil"/>
              <w:bottom w:val="single" w:sz="4" w:space="0" w:color="auto"/>
              <w:right w:val="single" w:sz="4" w:space="0" w:color="auto"/>
            </w:tcBorders>
            <w:shd w:val="clear" w:color="auto" w:fill="C6EFCE"/>
            <w:noWrap/>
            <w:vAlign w:val="center"/>
          </w:tcPr>
          <w:p w14:paraId="7AB90DA0" w14:textId="77777777" w:rsidR="00C972CB" w:rsidRDefault="002457F6">
            <w:pPr>
              <w:pStyle w:val="P68B1DB1-Normal11"/>
              <w:jc w:val="center"/>
              <w:rPr>
                <w:noProof/>
              </w:rPr>
            </w:pPr>
            <w:r>
              <w:rPr>
                <w:noProof/>
              </w:rPr>
              <w:t>Mērķa</w:t>
            </w:r>
          </w:p>
        </w:tc>
        <w:tc>
          <w:tcPr>
            <w:tcW w:w="1627" w:type="dxa"/>
            <w:tcBorders>
              <w:top w:val="nil"/>
              <w:left w:val="nil"/>
              <w:bottom w:val="single" w:sz="4" w:space="0" w:color="auto"/>
              <w:right w:val="single" w:sz="4" w:space="0" w:color="auto"/>
            </w:tcBorders>
            <w:shd w:val="clear" w:color="auto" w:fill="C6EFCE"/>
            <w:noWrap/>
            <w:vAlign w:val="center"/>
          </w:tcPr>
          <w:p w14:paraId="284CAD8F" w14:textId="77777777" w:rsidR="00C972CB" w:rsidRDefault="002457F6">
            <w:pPr>
              <w:pStyle w:val="P68B1DB1-Normal11"/>
              <w:spacing w:line="257" w:lineRule="auto"/>
              <w:jc w:val="center"/>
              <w:rPr>
                <w:noProof/>
              </w:rPr>
            </w:pPr>
            <w:r>
              <w:rPr>
                <w:noProof/>
              </w:rPr>
              <w:t>Loģistikas ķēdes digitalizācija</w:t>
            </w:r>
          </w:p>
        </w:tc>
        <w:tc>
          <w:tcPr>
            <w:tcW w:w="1777" w:type="dxa"/>
            <w:tcBorders>
              <w:top w:val="nil"/>
              <w:left w:val="nil"/>
              <w:bottom w:val="single" w:sz="4" w:space="0" w:color="auto"/>
              <w:right w:val="single" w:sz="4" w:space="0" w:color="auto"/>
            </w:tcBorders>
            <w:shd w:val="clear" w:color="auto" w:fill="C6EFCE"/>
            <w:noWrap/>
            <w:vAlign w:val="center"/>
          </w:tcPr>
          <w:p w14:paraId="20AB194C" w14:textId="77777777" w:rsidR="00C972CB" w:rsidRDefault="002457F6">
            <w:pPr>
              <w:pStyle w:val="P68B1DB1-Normal11"/>
              <w:jc w:val="center"/>
              <w:rPr>
                <w:noProof/>
              </w:rPr>
            </w:pPr>
            <w:r>
              <w:rPr>
                <w:noProof/>
              </w:rPr>
              <w:t>NEPIEMĒRO</w:t>
            </w:r>
          </w:p>
        </w:tc>
        <w:tc>
          <w:tcPr>
            <w:tcW w:w="926" w:type="dxa"/>
            <w:tcBorders>
              <w:top w:val="nil"/>
              <w:left w:val="nil"/>
              <w:bottom w:val="single" w:sz="4" w:space="0" w:color="auto"/>
              <w:right w:val="single" w:sz="4" w:space="0" w:color="auto"/>
            </w:tcBorders>
            <w:shd w:val="clear" w:color="auto" w:fill="C6EFCE"/>
            <w:noWrap/>
            <w:vAlign w:val="center"/>
          </w:tcPr>
          <w:p w14:paraId="5EF643FC" w14:textId="77777777" w:rsidR="00C972CB" w:rsidRDefault="002457F6">
            <w:pPr>
              <w:pStyle w:val="P68B1DB1-Normal11"/>
              <w:jc w:val="center"/>
              <w:rPr>
                <w:noProof/>
              </w:rPr>
            </w:pPr>
            <w:r>
              <w:rPr>
                <w:noProof/>
              </w:rPr>
              <w:t>Procentuālā daļa</w:t>
            </w:r>
          </w:p>
        </w:tc>
        <w:tc>
          <w:tcPr>
            <w:tcW w:w="1096" w:type="dxa"/>
            <w:tcBorders>
              <w:top w:val="nil"/>
              <w:left w:val="nil"/>
              <w:bottom w:val="single" w:sz="4" w:space="0" w:color="auto"/>
              <w:right w:val="single" w:sz="4" w:space="0" w:color="auto"/>
            </w:tcBorders>
            <w:shd w:val="clear" w:color="auto" w:fill="C6EFCE"/>
            <w:noWrap/>
            <w:vAlign w:val="center"/>
          </w:tcPr>
          <w:p w14:paraId="289B1069" w14:textId="77777777" w:rsidR="00C972CB" w:rsidRDefault="002457F6">
            <w:pPr>
              <w:pStyle w:val="P68B1DB1-Normal11"/>
              <w:jc w:val="center"/>
              <w:rPr>
                <w:noProof/>
              </w:rPr>
            </w:pPr>
            <w:r>
              <w:rPr>
                <w:noProof/>
              </w:rPr>
              <w:t>0</w:t>
            </w:r>
          </w:p>
        </w:tc>
        <w:tc>
          <w:tcPr>
            <w:tcW w:w="878" w:type="dxa"/>
            <w:tcBorders>
              <w:top w:val="nil"/>
              <w:left w:val="nil"/>
              <w:bottom w:val="single" w:sz="4" w:space="0" w:color="auto"/>
              <w:right w:val="single" w:sz="4" w:space="0" w:color="auto"/>
            </w:tcBorders>
            <w:shd w:val="clear" w:color="auto" w:fill="C6EFCE"/>
            <w:noWrap/>
            <w:vAlign w:val="center"/>
          </w:tcPr>
          <w:p w14:paraId="5FD15B44" w14:textId="77777777" w:rsidR="00C972CB" w:rsidRDefault="002457F6">
            <w:pPr>
              <w:pStyle w:val="P68B1DB1-Normal11"/>
              <w:jc w:val="center"/>
              <w:rPr>
                <w:noProof/>
              </w:rPr>
            </w:pPr>
            <w:r>
              <w:rPr>
                <w:noProof/>
              </w:rPr>
              <w:t>70</w:t>
            </w:r>
          </w:p>
        </w:tc>
        <w:tc>
          <w:tcPr>
            <w:tcW w:w="916" w:type="dxa"/>
            <w:tcBorders>
              <w:top w:val="nil"/>
              <w:left w:val="nil"/>
              <w:bottom w:val="single" w:sz="4" w:space="0" w:color="auto"/>
              <w:right w:val="single" w:sz="4" w:space="0" w:color="auto"/>
            </w:tcBorders>
            <w:shd w:val="clear" w:color="auto" w:fill="C6EFCE"/>
            <w:noWrap/>
            <w:vAlign w:val="center"/>
          </w:tcPr>
          <w:p w14:paraId="7DA738B5" w14:textId="77777777" w:rsidR="00C972CB" w:rsidRDefault="002457F6">
            <w:pPr>
              <w:pStyle w:val="P68B1DB1-Normal11"/>
              <w:jc w:val="center"/>
              <w:rPr>
                <w:noProof/>
              </w:rPr>
            </w:pPr>
            <w:r>
              <w:rPr>
                <w:noProof/>
              </w:rPr>
              <w:t>2. CET.</w:t>
            </w:r>
          </w:p>
        </w:tc>
        <w:tc>
          <w:tcPr>
            <w:tcW w:w="666" w:type="dxa"/>
            <w:tcBorders>
              <w:top w:val="nil"/>
              <w:left w:val="nil"/>
              <w:bottom w:val="single" w:sz="4" w:space="0" w:color="auto"/>
              <w:right w:val="single" w:sz="4" w:space="0" w:color="auto"/>
            </w:tcBorders>
            <w:shd w:val="clear" w:color="auto" w:fill="C6EFCE"/>
            <w:noWrap/>
            <w:vAlign w:val="center"/>
          </w:tcPr>
          <w:p w14:paraId="1337855F" w14:textId="77777777" w:rsidR="00C972CB" w:rsidRDefault="002457F6">
            <w:pPr>
              <w:pStyle w:val="P68B1DB1-Normal11"/>
              <w:jc w:val="center"/>
              <w:rPr>
                <w:noProof/>
              </w:rPr>
            </w:pPr>
            <w:r>
              <w:rPr>
                <w:noProof/>
              </w:rPr>
              <w:t>2024</w:t>
            </w:r>
          </w:p>
        </w:tc>
        <w:tc>
          <w:tcPr>
            <w:tcW w:w="4231" w:type="dxa"/>
            <w:tcBorders>
              <w:top w:val="nil"/>
              <w:left w:val="nil"/>
              <w:bottom w:val="single" w:sz="4" w:space="0" w:color="auto"/>
              <w:right w:val="single" w:sz="4" w:space="0" w:color="auto"/>
            </w:tcBorders>
            <w:shd w:val="clear" w:color="auto" w:fill="C6EFCE"/>
            <w:noWrap/>
            <w:vAlign w:val="center"/>
          </w:tcPr>
          <w:p w14:paraId="54044CAD" w14:textId="77777777" w:rsidR="00C972CB" w:rsidRDefault="002457F6">
            <w:pPr>
              <w:pStyle w:val="P68B1DB1-Normal11"/>
              <w:rPr>
                <w:noProof/>
              </w:rPr>
            </w:pPr>
            <w:r>
              <w:rPr>
                <w:noProof/>
              </w:rPr>
              <w:t xml:space="preserve">Vismaz 70 % ostas sistēmas iestāžu ir aprīkotas ar PCS standarta pakalpojumiem (ostas kopienas sistēma), kas ir sadarbspējīgi ar valsts pārvaldes iestādēm, kuras ir iesaistītas un ir saderīgas ar ES Regulu (ES) Nr. 1056/2020 un jauno PLN (valsts digitālās </w:t>
            </w:r>
            <w:r>
              <w:rPr>
                <w:noProof/>
              </w:rPr>
              <w:t xml:space="preserve">loģistikas platformu). </w:t>
            </w:r>
          </w:p>
        </w:tc>
      </w:tr>
      <w:tr w:rsidR="00C972CB" w14:paraId="1E60D9CF"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1D1E377" w14:textId="77777777" w:rsidR="00C972CB" w:rsidRDefault="002457F6">
            <w:pPr>
              <w:pStyle w:val="P68B1DB1-Normal11"/>
              <w:jc w:val="center"/>
              <w:rPr>
                <w:noProof/>
              </w:rPr>
            </w:pPr>
            <w:r>
              <w:rPr>
                <w:noProof/>
              </w:rPr>
              <w:t>M3C2–6</w:t>
            </w:r>
          </w:p>
        </w:tc>
        <w:tc>
          <w:tcPr>
            <w:tcW w:w="1560" w:type="dxa"/>
            <w:tcBorders>
              <w:top w:val="nil"/>
              <w:left w:val="nil"/>
              <w:bottom w:val="single" w:sz="4" w:space="0" w:color="auto"/>
              <w:right w:val="single" w:sz="4" w:space="0" w:color="auto"/>
            </w:tcBorders>
            <w:shd w:val="clear" w:color="auto" w:fill="C6EFCE"/>
            <w:noWrap/>
            <w:vAlign w:val="center"/>
          </w:tcPr>
          <w:p w14:paraId="3C10082C" w14:textId="77777777" w:rsidR="00C972CB" w:rsidRDefault="002457F6">
            <w:pPr>
              <w:pStyle w:val="P68B1DB1-Normal11"/>
              <w:jc w:val="center"/>
              <w:rPr>
                <w:noProof/>
              </w:rPr>
            </w:pPr>
            <w:r>
              <w:rPr>
                <w:noProof/>
              </w:rPr>
              <w:t>Ieguldījums 2.2.: Gaisa satiksmes pārvaldības digitalizācija</w:t>
            </w:r>
          </w:p>
        </w:tc>
        <w:tc>
          <w:tcPr>
            <w:tcW w:w="1066" w:type="dxa"/>
            <w:tcBorders>
              <w:top w:val="nil"/>
              <w:left w:val="nil"/>
              <w:bottom w:val="single" w:sz="4" w:space="0" w:color="auto"/>
              <w:right w:val="single" w:sz="4" w:space="0" w:color="auto"/>
            </w:tcBorders>
            <w:shd w:val="clear" w:color="auto" w:fill="C6EFCE"/>
            <w:noWrap/>
            <w:vAlign w:val="center"/>
          </w:tcPr>
          <w:p w14:paraId="4C4CB0A2" w14:textId="477E78D2" w:rsidR="00C972CB" w:rsidRDefault="002457F6">
            <w:pPr>
              <w:pStyle w:val="P68B1DB1-Normal11"/>
              <w:jc w:val="center"/>
              <w:rPr>
                <w:noProof/>
              </w:rPr>
            </w:pPr>
            <w:r>
              <w:rPr>
                <w:noProof/>
              </w:rPr>
              <w:t>Mērķa</w:t>
            </w:r>
          </w:p>
        </w:tc>
        <w:tc>
          <w:tcPr>
            <w:tcW w:w="1627" w:type="dxa"/>
            <w:tcBorders>
              <w:top w:val="nil"/>
              <w:left w:val="nil"/>
              <w:bottom w:val="single" w:sz="4" w:space="0" w:color="auto"/>
              <w:right w:val="single" w:sz="4" w:space="0" w:color="auto"/>
            </w:tcBorders>
            <w:shd w:val="clear" w:color="auto" w:fill="C6EFCE"/>
            <w:noWrap/>
            <w:vAlign w:val="center"/>
          </w:tcPr>
          <w:p w14:paraId="3521090D" w14:textId="77777777" w:rsidR="00C972CB" w:rsidRDefault="002457F6">
            <w:pPr>
              <w:pStyle w:val="P68B1DB1-Normal11"/>
              <w:jc w:val="center"/>
              <w:rPr>
                <w:noProof/>
              </w:rPr>
            </w:pPr>
            <w:r>
              <w:rPr>
                <w:noProof/>
              </w:rPr>
              <w:t>Gaisa satiksmes pārvaldības digitalizācija: jaunu rīku darbības uzsākšana</w:t>
            </w:r>
          </w:p>
        </w:tc>
        <w:tc>
          <w:tcPr>
            <w:tcW w:w="1777" w:type="dxa"/>
            <w:tcBorders>
              <w:top w:val="nil"/>
              <w:left w:val="nil"/>
              <w:bottom w:val="single" w:sz="4" w:space="0" w:color="auto"/>
              <w:right w:val="single" w:sz="4" w:space="0" w:color="auto"/>
            </w:tcBorders>
            <w:shd w:val="clear" w:color="auto" w:fill="C6EFCE"/>
            <w:noWrap/>
            <w:vAlign w:val="center"/>
          </w:tcPr>
          <w:p w14:paraId="6F1E23FF" w14:textId="2951DAFB" w:rsidR="00C972CB" w:rsidRDefault="002457F6">
            <w:pPr>
              <w:pStyle w:val="P68B1DB1-Normal11"/>
              <w:jc w:val="center"/>
              <w:rPr>
                <w:noProof/>
              </w:rPr>
            </w:pPr>
            <w:r>
              <w:rPr>
                <w:noProof/>
              </w:rPr>
              <w:t>TOC, digitalizētās aeronavigācijas informācijas un UTMS sertifikācija</w:t>
            </w:r>
          </w:p>
        </w:tc>
        <w:tc>
          <w:tcPr>
            <w:tcW w:w="926" w:type="dxa"/>
            <w:tcBorders>
              <w:top w:val="nil"/>
              <w:left w:val="nil"/>
              <w:bottom w:val="single" w:sz="4" w:space="0" w:color="auto"/>
              <w:right w:val="single" w:sz="4" w:space="0" w:color="auto"/>
            </w:tcBorders>
            <w:shd w:val="clear" w:color="auto" w:fill="C6EFCE"/>
            <w:noWrap/>
            <w:vAlign w:val="center"/>
          </w:tcPr>
          <w:p w14:paraId="7257E25F" w14:textId="77777777" w:rsidR="00C972CB" w:rsidRDefault="002457F6">
            <w:pPr>
              <w:pStyle w:val="P68B1DB1-Normal11"/>
              <w:jc w:val="center"/>
              <w:rPr>
                <w:noProof/>
              </w:rPr>
            </w:pPr>
            <w:r>
              <w:rPr>
                <w:noProof/>
              </w:rPr>
              <w:t>NEPIEMĒRO</w:t>
            </w:r>
          </w:p>
        </w:tc>
        <w:tc>
          <w:tcPr>
            <w:tcW w:w="1096" w:type="dxa"/>
            <w:tcBorders>
              <w:top w:val="nil"/>
              <w:left w:val="nil"/>
              <w:bottom w:val="single" w:sz="4" w:space="0" w:color="auto"/>
              <w:right w:val="single" w:sz="4" w:space="0" w:color="auto"/>
            </w:tcBorders>
            <w:shd w:val="clear" w:color="auto" w:fill="C6EFCE"/>
            <w:noWrap/>
            <w:vAlign w:val="center"/>
          </w:tcPr>
          <w:p w14:paraId="309456B7" w14:textId="77777777" w:rsidR="00C972CB" w:rsidRDefault="002457F6">
            <w:pPr>
              <w:pStyle w:val="P68B1DB1-Normal11"/>
              <w:jc w:val="center"/>
              <w:rPr>
                <w:noProof/>
              </w:rPr>
            </w:pPr>
            <w:r>
              <w:rPr>
                <w:noProof/>
              </w:rPr>
              <w:t xml:space="preserve">NEPIEMĒRO </w:t>
            </w:r>
          </w:p>
        </w:tc>
        <w:tc>
          <w:tcPr>
            <w:tcW w:w="878" w:type="dxa"/>
            <w:tcBorders>
              <w:top w:val="nil"/>
              <w:left w:val="nil"/>
              <w:bottom w:val="single" w:sz="4" w:space="0" w:color="auto"/>
              <w:right w:val="single" w:sz="4" w:space="0" w:color="auto"/>
            </w:tcBorders>
            <w:shd w:val="clear" w:color="auto" w:fill="C6EFCE"/>
            <w:noWrap/>
            <w:vAlign w:val="center"/>
          </w:tcPr>
          <w:p w14:paraId="45CF7C3A" w14:textId="77777777" w:rsidR="00C972CB" w:rsidRDefault="00C972CB">
            <w:pPr>
              <w:jc w:val="center"/>
              <w:rPr>
                <w:rFonts w:ascii="Arial Narrow" w:hAnsi="Arial Narrow"/>
                <w:noProof/>
                <w:color w:val="006100"/>
                <w:sz w:val="20"/>
              </w:rPr>
            </w:pPr>
          </w:p>
          <w:p w14:paraId="43DD9D6E" w14:textId="77777777" w:rsidR="00C972CB" w:rsidRDefault="002457F6">
            <w:pPr>
              <w:pStyle w:val="P68B1DB1-Normal11"/>
              <w:jc w:val="center"/>
              <w:rPr>
                <w:noProof/>
              </w:rPr>
            </w:pPr>
            <w:r>
              <w:rPr>
                <w:noProof/>
              </w:rPr>
              <w:t>3</w:t>
            </w:r>
          </w:p>
          <w:p w14:paraId="27ED4F11" w14:textId="77777777" w:rsidR="00C972CB" w:rsidRDefault="00C972CB">
            <w:pPr>
              <w:jc w:val="center"/>
              <w:rPr>
                <w:rFonts w:ascii="Arial Narrow" w:hAnsi="Arial Narrow"/>
                <w:noProof/>
                <w:color w:val="006100"/>
                <w:sz w:val="20"/>
              </w:rPr>
            </w:pPr>
          </w:p>
        </w:tc>
        <w:tc>
          <w:tcPr>
            <w:tcW w:w="916" w:type="dxa"/>
            <w:tcBorders>
              <w:top w:val="nil"/>
              <w:left w:val="nil"/>
              <w:bottom w:val="single" w:sz="4" w:space="0" w:color="auto"/>
              <w:right w:val="single" w:sz="4" w:space="0" w:color="auto"/>
            </w:tcBorders>
            <w:shd w:val="clear" w:color="auto" w:fill="C6EFCE"/>
            <w:noWrap/>
            <w:vAlign w:val="center"/>
          </w:tcPr>
          <w:p w14:paraId="55FF0B4D" w14:textId="77777777" w:rsidR="00C972CB" w:rsidRDefault="002457F6">
            <w:pPr>
              <w:pStyle w:val="P68B1DB1-Normal11"/>
              <w:jc w:val="center"/>
              <w:rPr>
                <w:noProof/>
              </w:rPr>
            </w:pPr>
            <w:r>
              <w:rPr>
                <w:noProof/>
              </w:rPr>
              <w:t>1. CET.</w:t>
            </w:r>
          </w:p>
        </w:tc>
        <w:tc>
          <w:tcPr>
            <w:tcW w:w="666" w:type="dxa"/>
            <w:tcBorders>
              <w:top w:val="nil"/>
              <w:left w:val="nil"/>
              <w:bottom w:val="single" w:sz="4" w:space="0" w:color="auto"/>
              <w:right w:val="single" w:sz="4" w:space="0" w:color="auto"/>
            </w:tcBorders>
            <w:shd w:val="clear" w:color="auto" w:fill="C6EFCE"/>
            <w:noWrap/>
            <w:vAlign w:val="center"/>
          </w:tcPr>
          <w:p w14:paraId="346177CB" w14:textId="77777777" w:rsidR="00C972CB" w:rsidRDefault="002457F6">
            <w:pPr>
              <w:pStyle w:val="P68B1DB1-Normal11"/>
              <w:jc w:val="center"/>
              <w:rPr>
                <w:noProof/>
              </w:rPr>
            </w:pPr>
            <w:r>
              <w:rPr>
                <w:noProof/>
              </w:rPr>
              <w:t>2026</w:t>
            </w:r>
          </w:p>
        </w:tc>
        <w:tc>
          <w:tcPr>
            <w:tcW w:w="4231" w:type="dxa"/>
            <w:tcBorders>
              <w:top w:val="nil"/>
              <w:left w:val="nil"/>
              <w:bottom w:val="single" w:sz="4" w:space="0" w:color="auto"/>
              <w:right w:val="single" w:sz="4" w:space="0" w:color="auto"/>
            </w:tcBorders>
            <w:shd w:val="clear" w:color="auto" w:fill="C6EFCE"/>
            <w:noWrap/>
            <w:vAlign w:val="center"/>
          </w:tcPr>
          <w:p w14:paraId="1A3D7307" w14:textId="77777777" w:rsidR="00C972CB" w:rsidRDefault="002457F6">
            <w:pPr>
              <w:pStyle w:val="P68B1DB1-Normal11"/>
              <w:jc w:val="both"/>
              <w:rPr>
                <w:noProof/>
              </w:rPr>
            </w:pPr>
            <w:r>
              <w:rPr>
                <w:noProof/>
              </w:rPr>
              <w:t xml:space="preserve">Šādu 3 projektu darbības uzsākšana: </w:t>
            </w:r>
          </w:p>
          <w:p w14:paraId="42728392" w14:textId="77777777" w:rsidR="00C972CB" w:rsidRDefault="002457F6">
            <w:pPr>
              <w:pStyle w:val="P68B1DB1-Normal11"/>
              <w:jc w:val="both"/>
              <w:rPr>
                <w:noProof/>
              </w:rPr>
            </w:pPr>
            <w:r>
              <w:rPr>
                <w:noProof/>
              </w:rPr>
              <w:t xml:space="preserve">a) Tehniskās ekspluatācijas centrs (TOC) un vismaz divas gaisa satiksmes pārvaldības sistēmas </w:t>
            </w:r>
          </w:p>
          <w:p w14:paraId="3E2E6270" w14:textId="77777777" w:rsidR="00C972CB" w:rsidRDefault="002457F6">
            <w:pPr>
              <w:pStyle w:val="P68B1DB1-Normal11"/>
              <w:jc w:val="both"/>
              <w:rPr>
                <w:noProof/>
              </w:rPr>
            </w:pPr>
            <w:r>
              <w:rPr>
                <w:noProof/>
              </w:rPr>
              <w:t xml:space="preserve">b) Digitalizēta aeronavigācijas informācija </w:t>
            </w:r>
          </w:p>
          <w:p w14:paraId="094E5D60" w14:textId="668BC57C" w:rsidR="00C972CB" w:rsidRDefault="002457F6">
            <w:pPr>
              <w:pStyle w:val="P68B1DB1-Normal11"/>
              <w:rPr>
                <w:noProof/>
              </w:rPr>
            </w:pPr>
            <w:r>
              <w:rPr>
                <w:noProof/>
              </w:rPr>
              <w:t xml:space="preserve">C) bezpilota satiksmes pārvaldības sistēma un </w:t>
            </w:r>
            <w:r>
              <w:rPr>
                <w:noProof/>
              </w:rPr>
              <w:t>savienojamība (UTMS).</w:t>
            </w:r>
          </w:p>
        </w:tc>
      </w:tr>
      <w:tr w:rsidR="00C972CB" w14:paraId="4A937A6F"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09AF1"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M3C2–7 </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A94C0A1"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Ieguldījums 2.3. Aukstā gludināšana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77AEB95A"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Starpposma mērķis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05099BDF"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Visu publiskā iepirkuma līgumu slēgšanas tiesību piešķiršana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5CAD7C52"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Paziņojums par visu publiskā iepirkuma līgumu slēgšanas tiesību piešķiršanu vismaz 15 aukstās gludināšanas iekārtu būvniecībai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6874C7B"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NEPIEMĒRO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0F8DB35F"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NEPIEMĒRO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4A270F30"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NEPIEMĒRO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577E8FCF"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3. CET.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D5FDD34"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2024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51B5E809" w14:textId="77777777" w:rsidR="00C972CB" w:rsidRDefault="002457F6">
            <w:pPr>
              <w:jc w:val="both"/>
              <w:rPr>
                <w:rFonts w:ascii="Arial Narrow" w:hAnsi="Arial Narrow"/>
                <w:noProof/>
                <w:color w:val="006100"/>
                <w:sz w:val="20"/>
              </w:rPr>
            </w:pPr>
            <w:r>
              <w:rPr>
                <w:rStyle w:val="normaltextrun"/>
                <w:rFonts w:ascii="Arial Narrow" w:hAnsi="Arial Narrow"/>
                <w:noProof/>
                <w:color w:val="006100"/>
                <w:sz w:val="20"/>
              </w:rPr>
              <w:t xml:space="preserve">Uzaicinājuma iesniegt piedāvājumus publicēšana un visu līgumu slēgšanas tiesību </w:t>
            </w:r>
            <w:r>
              <w:rPr>
                <w:rStyle w:val="normaltextrun"/>
                <w:rFonts w:ascii="Arial Narrow" w:hAnsi="Arial Narrow"/>
                <w:noProof/>
                <w:color w:val="006100"/>
                <w:sz w:val="20"/>
              </w:rPr>
              <w:t xml:space="preserve">piešķiršana vismaz 15 aukstas gludināšanas iekārtu būvniecībai, kas nodrošina elektroenerģiju vismaz 10 ostās. </w:t>
            </w:r>
          </w:p>
        </w:tc>
      </w:tr>
      <w:tr w:rsidR="00C972CB" w14:paraId="1235642C"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CD403"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M3C2–12</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4AEE28D8"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Ieguldījums 9: Aukstā gludināšana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2DA1B153"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Mērķa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2F1C823D"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Aukstās gludināšanas infrastruktūras ekspluatācijas uzsākšana.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73BD23C4" w14:textId="77777777" w:rsidR="00C972CB" w:rsidRDefault="002457F6">
            <w:pPr>
              <w:jc w:val="center"/>
              <w:rPr>
                <w:rFonts w:ascii="Arial Narrow" w:hAnsi="Arial Narrow"/>
                <w:noProof/>
                <w:color w:val="006100"/>
                <w:sz w:val="20"/>
              </w:rPr>
            </w:pPr>
            <w:r>
              <w:rPr>
                <w:rStyle w:val="eop"/>
                <w:rFonts w:ascii="Arial Narrow" w:hAnsi="Arial Narrow"/>
                <w:noProof/>
                <w:color w:val="006100"/>
                <w:sz w:val="20"/>
              </w:rPr>
              <w:t xml:space="preserv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3A120C97"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Skaits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6179D665"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0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1A22BCDB"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15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41B3E112"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1. CET.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CCE3C44" w14:textId="77777777" w:rsidR="00C972CB" w:rsidRDefault="002457F6">
            <w:pPr>
              <w:jc w:val="center"/>
              <w:rPr>
                <w:rFonts w:ascii="Arial Narrow" w:hAnsi="Arial Narrow"/>
                <w:noProof/>
                <w:color w:val="006100"/>
                <w:sz w:val="20"/>
              </w:rPr>
            </w:pPr>
            <w:r>
              <w:rPr>
                <w:rStyle w:val="normaltextrun"/>
                <w:rFonts w:ascii="Arial Narrow" w:hAnsi="Arial Narrow"/>
                <w:noProof/>
                <w:color w:val="006100"/>
                <w:sz w:val="20"/>
              </w:rPr>
              <w:t xml:space="preserve">2026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7EEAD68A" w14:textId="77777777" w:rsidR="00C972CB" w:rsidRDefault="002457F6">
            <w:pPr>
              <w:jc w:val="both"/>
              <w:rPr>
                <w:rFonts w:ascii="Arial Narrow" w:hAnsi="Arial Narrow"/>
                <w:noProof/>
                <w:color w:val="006100"/>
                <w:sz w:val="20"/>
              </w:rPr>
            </w:pPr>
            <w:r>
              <w:rPr>
                <w:rStyle w:val="normaltextrun"/>
                <w:rFonts w:ascii="Arial Narrow" w:hAnsi="Arial Narrow"/>
                <w:noProof/>
                <w:color w:val="006100"/>
                <w:sz w:val="20"/>
              </w:rPr>
              <w:t xml:space="preserve">Sāk ekspluatēt vismaz 15 aukstās gludināšanas infrastruktūras, kas nodrošina elektroenerģiju vismaz 10 ostās. </w:t>
            </w:r>
          </w:p>
        </w:tc>
      </w:tr>
    </w:tbl>
    <w:p w14:paraId="25509F2A" w14:textId="77777777" w:rsidR="00C972CB" w:rsidRDefault="00C972CB">
      <w:pPr>
        <w:spacing w:before="120" w:after="120"/>
        <w:jc w:val="both"/>
        <w:rPr>
          <w:noProof/>
        </w:rPr>
      </w:pPr>
    </w:p>
    <w:p w14:paraId="20F6C40F" w14:textId="77777777" w:rsidR="00C972CB" w:rsidRDefault="00C972CB">
      <w:pPr>
        <w:spacing w:before="120" w:after="120"/>
        <w:ind w:left="709"/>
        <w:jc w:val="both"/>
        <w:rPr>
          <w:noProof/>
        </w:rPr>
      </w:pPr>
    </w:p>
    <w:p w14:paraId="35CC36F6" w14:textId="77777777" w:rsidR="00C972CB" w:rsidRDefault="00C972CB">
      <w:pPr>
        <w:spacing w:before="120" w:after="120"/>
        <w:ind w:left="709"/>
        <w:jc w:val="both"/>
        <w:rPr>
          <w:noProof/>
        </w:rPr>
        <w:sectPr w:rsidR="00C972CB" w:rsidSect="000D3774">
          <w:headerReference w:type="even" r:id="rId212"/>
          <w:headerReference w:type="default" r:id="rId213"/>
          <w:footerReference w:type="even" r:id="rId214"/>
          <w:footerReference w:type="default" r:id="rId215"/>
          <w:headerReference w:type="first" r:id="rId216"/>
          <w:footerReference w:type="first" r:id="rId217"/>
          <w:pgSz w:w="16839" w:h="11907" w:orient="landscape"/>
          <w:pgMar w:top="1134" w:right="1134" w:bottom="1134" w:left="1134" w:header="567" w:footer="567" w:gutter="0"/>
          <w:cols w:space="720"/>
          <w:docGrid w:linePitch="360"/>
        </w:sectPr>
      </w:pPr>
    </w:p>
    <w:p w14:paraId="76654817"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I.3. </w:t>
      </w:r>
      <w:r>
        <w:rPr>
          <w:noProof/>
        </w:rPr>
        <w:tab/>
      </w:r>
      <w:r>
        <w:rPr>
          <w:b/>
          <w:i w:val="0"/>
          <w:noProof/>
          <w:u w:val="single"/>
        </w:rPr>
        <w:t xml:space="preserve">Aizdevumam pieteikto reformu un investīciju apraksts </w:t>
      </w:r>
    </w:p>
    <w:p w14:paraId="268B9A8F" w14:textId="77777777" w:rsidR="00C972CB" w:rsidRDefault="002457F6">
      <w:pPr>
        <w:pStyle w:val="P68B1DB1-Normal2"/>
        <w:spacing w:before="120" w:after="120"/>
        <w:jc w:val="both"/>
        <w:rPr>
          <w:rFonts w:eastAsia="Calibri"/>
          <w:noProof/>
        </w:rPr>
      </w:pPr>
      <w:r>
        <w:rPr>
          <w:noProof/>
        </w:rPr>
        <w:t xml:space="preserve">Ieguldījums </w:t>
      </w:r>
      <w:r>
        <w:rPr>
          <w:noProof/>
        </w:rPr>
        <w:t>1.1: Zaļās ostas: atjaunīgās enerģijas un energoefektivitātes intervences ostās</w:t>
      </w:r>
    </w:p>
    <w:p w14:paraId="54B531B2" w14:textId="77777777" w:rsidR="00C972CB" w:rsidRDefault="002457F6">
      <w:pPr>
        <w:spacing w:before="120" w:after="120"/>
        <w:jc w:val="both"/>
        <w:rPr>
          <w:rFonts w:eastAsia="Calibri"/>
          <w:noProof/>
        </w:rPr>
      </w:pPr>
      <w:r>
        <w:rPr>
          <w:noProof/>
        </w:rPr>
        <w:t>Šā pasākuma galvenais mērķis ir samazināt CO2 emisijas un uzlabot gaisa kvalitāti ostas pilsētās, izmantojot pasākumus, kuru mērķis ir energoefektivitāte un atjaunojamo energor</w:t>
      </w:r>
      <w:r>
        <w:rPr>
          <w:noProof/>
        </w:rPr>
        <w:t>esursu izmantošanas veicināšana ostās. Mērķis ir palīdzēt samazināt kopējās gada CO2 emisijas attiecīgajā ostas teritorijā. Projekti jāizvēlas no tiem projektiem, kurus atsevišķas ostas sistēmas iestādes ir norādījušas savos ostas sistēmu vides enerģētikas</w:t>
      </w:r>
      <w:r>
        <w:rPr>
          <w:noProof/>
        </w:rPr>
        <w:t xml:space="preserve"> plānošanas dokumentos (DEASP). Paredzams, ka ar programmu “Zaļās ostas” ievērojami samazināsies arī citi sadedzināšanas piesārņotāji, kas ir galvenais gaisa kvalitātes pasliktināšanās cēlonis ostas pilsētās. Šīs investīcijas ietver bezemisiju transportlīd</w:t>
      </w:r>
      <w:r>
        <w:rPr>
          <w:noProof/>
        </w:rPr>
        <w:t>zekļu un dienesta laivu iegādi vai fosilās degvielas transportlīdzekļu un dienesta laivu pārveidošanu par bezemisiju transportlīdzekļiem.</w:t>
      </w:r>
    </w:p>
    <w:p w14:paraId="482956A6" w14:textId="77777777" w:rsidR="00C972CB" w:rsidRDefault="002457F6">
      <w:pPr>
        <w:pStyle w:val="P68B1DB1-Normal2"/>
        <w:spacing w:before="120" w:after="120"/>
        <w:jc w:val="both"/>
        <w:rPr>
          <w:noProof/>
        </w:rPr>
      </w:pPr>
      <w:r>
        <w:rPr>
          <w:noProof/>
        </w:rPr>
        <w:t>Reforma. Valsts digitālās loģistikas platformas izveide, lai ieviestu kravu un/vai pasažieru pārvadājumu digitalizācij</w:t>
      </w:r>
      <w:r>
        <w:rPr>
          <w:noProof/>
        </w:rPr>
        <w:t>u</w:t>
      </w:r>
    </w:p>
    <w:p w14:paraId="74EDE6C2" w14:textId="77777777" w:rsidR="00C972CB" w:rsidRDefault="002457F6">
      <w:pPr>
        <w:spacing w:before="120" w:after="120"/>
        <w:jc w:val="both"/>
        <w:rPr>
          <w:noProof/>
        </w:rPr>
      </w:pPr>
      <w:r>
        <w:rPr>
          <w:noProof/>
        </w:rPr>
        <w:t xml:space="preserve">Reformas mērķis ir panākt, lai atsevišķu ostu sistēmu iestāžu ostu kopienas sistēmas būtu sadarbspējīgas ar valsts digitālās loģistikas platformu. </w:t>
      </w:r>
    </w:p>
    <w:p w14:paraId="65BA931D" w14:textId="77777777" w:rsidR="00C972CB" w:rsidRDefault="002457F6">
      <w:pPr>
        <w:pStyle w:val="Heading3"/>
        <w:numPr>
          <w:ilvl w:val="0"/>
          <w:numId w:val="0"/>
        </w:numPr>
        <w:ind w:left="850" w:hanging="850"/>
        <w:rPr>
          <w:b/>
          <w:i w:val="0"/>
          <w:noProof/>
          <w:u w:val="single"/>
        </w:rPr>
      </w:pPr>
      <w:r>
        <w:rPr>
          <w:b/>
          <w:i w:val="0"/>
          <w:noProof/>
          <w:u w:val="single"/>
        </w:rPr>
        <w:t xml:space="preserve">I.4. </w:t>
      </w:r>
      <w:r>
        <w:rPr>
          <w:noProof/>
        </w:rPr>
        <w:tab/>
      </w:r>
      <w:r>
        <w:rPr>
          <w:b/>
          <w:i w:val="0"/>
          <w:noProof/>
          <w:u w:val="single"/>
        </w:rPr>
        <w:t xml:space="preserve">Atskaites punkti, mērķrādītāji, citi rādītāji un aizdevuma uzraudzības un īstenošanas grafiks </w:t>
      </w:r>
    </w:p>
    <w:p w14:paraId="41AABC71" w14:textId="77777777" w:rsidR="00C972CB" w:rsidRDefault="00C972CB">
      <w:pPr>
        <w:spacing w:before="120" w:after="120"/>
        <w:ind w:left="709"/>
        <w:contextualSpacing/>
        <w:jc w:val="both"/>
        <w:rPr>
          <w:noProof/>
        </w:rPr>
        <w:sectPr w:rsidR="00C972CB" w:rsidSect="000D3774">
          <w:headerReference w:type="even" r:id="rId218"/>
          <w:headerReference w:type="default" r:id="rId219"/>
          <w:footerReference w:type="even" r:id="rId220"/>
          <w:footerReference w:type="default" r:id="rId221"/>
          <w:headerReference w:type="first" r:id="rId222"/>
          <w:footerReference w:type="first" r:id="rId223"/>
          <w:pgSz w:w="11907" w:h="16839"/>
          <w:pgMar w:top="1134" w:right="1134" w:bottom="1134" w:left="1134" w:header="567" w:footer="567" w:gutter="0"/>
          <w:cols w:space="720"/>
          <w:docGrid w:linePitch="360"/>
        </w:sect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572"/>
        <w:gridCol w:w="1275"/>
        <w:gridCol w:w="1418"/>
        <w:gridCol w:w="1559"/>
        <w:gridCol w:w="1276"/>
        <w:gridCol w:w="1276"/>
        <w:gridCol w:w="710"/>
        <w:gridCol w:w="708"/>
        <w:gridCol w:w="710"/>
        <w:gridCol w:w="3401"/>
      </w:tblGrid>
      <w:tr w:rsidR="00C972CB" w14:paraId="04B470F0" w14:textId="77777777">
        <w:trPr>
          <w:trHeight w:val="939"/>
          <w:tblHeader/>
          <w:jc w:val="center"/>
        </w:trPr>
        <w:tc>
          <w:tcPr>
            <w:tcW w:w="1115" w:type="dxa"/>
            <w:vMerge w:val="restart"/>
            <w:shd w:val="clear" w:color="auto" w:fill="BDD7EE"/>
            <w:vAlign w:val="center"/>
            <w:hideMark/>
          </w:tcPr>
          <w:p w14:paraId="4E0C0D06" w14:textId="77777777" w:rsidR="00C972CB" w:rsidRDefault="002457F6">
            <w:pPr>
              <w:pStyle w:val="P68B1DB1-Normal9"/>
              <w:jc w:val="center"/>
              <w:rPr>
                <w:noProof/>
              </w:rPr>
            </w:pPr>
            <w:r>
              <w:rPr>
                <w:noProof/>
              </w:rPr>
              <w:t>Kārtas numurs</w:t>
            </w:r>
          </w:p>
        </w:tc>
        <w:tc>
          <w:tcPr>
            <w:tcW w:w="1572" w:type="dxa"/>
            <w:vMerge w:val="restart"/>
            <w:shd w:val="clear" w:color="auto" w:fill="BDD7EE"/>
            <w:vAlign w:val="center"/>
            <w:hideMark/>
          </w:tcPr>
          <w:p w14:paraId="3F5C6E14" w14:textId="77777777" w:rsidR="00C972CB" w:rsidRDefault="002457F6">
            <w:pPr>
              <w:pStyle w:val="P68B1DB1-Normal9"/>
              <w:jc w:val="center"/>
              <w:rPr>
                <w:noProof/>
              </w:rPr>
            </w:pPr>
            <w:r>
              <w:rPr>
                <w:noProof/>
              </w:rPr>
              <w:t>Pasākums (reforma vai investīcija)</w:t>
            </w:r>
          </w:p>
        </w:tc>
        <w:tc>
          <w:tcPr>
            <w:tcW w:w="1275" w:type="dxa"/>
            <w:vMerge w:val="restart"/>
            <w:shd w:val="clear" w:color="auto" w:fill="BDD7EE"/>
            <w:vAlign w:val="center"/>
            <w:hideMark/>
          </w:tcPr>
          <w:p w14:paraId="57F7D95E" w14:textId="77777777" w:rsidR="00C972CB" w:rsidRDefault="002457F6">
            <w:pPr>
              <w:pStyle w:val="P68B1DB1-Normal9"/>
              <w:jc w:val="center"/>
              <w:rPr>
                <w:noProof/>
              </w:rPr>
            </w:pPr>
            <w:r>
              <w:rPr>
                <w:noProof/>
              </w:rPr>
              <w:t>Atskaites punkts/mērķrādītājs</w:t>
            </w:r>
          </w:p>
        </w:tc>
        <w:tc>
          <w:tcPr>
            <w:tcW w:w="1418" w:type="dxa"/>
            <w:vMerge w:val="restart"/>
            <w:shd w:val="clear" w:color="auto" w:fill="BDD7EE"/>
            <w:vAlign w:val="center"/>
            <w:hideMark/>
          </w:tcPr>
          <w:p w14:paraId="5A5ADEC3" w14:textId="77777777" w:rsidR="00C972CB" w:rsidRDefault="002457F6">
            <w:pPr>
              <w:pStyle w:val="P68B1DB1-Normal9"/>
              <w:jc w:val="center"/>
              <w:rPr>
                <w:noProof/>
              </w:rPr>
            </w:pPr>
            <w:r>
              <w:rPr>
                <w:noProof/>
              </w:rPr>
              <w:t>Uzvārds</w:t>
            </w:r>
          </w:p>
        </w:tc>
        <w:tc>
          <w:tcPr>
            <w:tcW w:w="1559" w:type="dxa"/>
            <w:vMerge w:val="restart"/>
            <w:shd w:val="clear" w:color="auto" w:fill="BDD7EE"/>
            <w:vAlign w:val="center"/>
            <w:hideMark/>
          </w:tcPr>
          <w:p w14:paraId="6B20C317"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262" w:type="dxa"/>
            <w:gridSpan w:val="3"/>
            <w:shd w:val="clear" w:color="auto" w:fill="BDD7EE"/>
            <w:vAlign w:val="center"/>
            <w:hideMark/>
          </w:tcPr>
          <w:p w14:paraId="62E94AE8"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418" w:type="dxa"/>
            <w:gridSpan w:val="2"/>
            <w:shd w:val="clear" w:color="auto" w:fill="BDD7EE"/>
            <w:vAlign w:val="center"/>
            <w:hideMark/>
          </w:tcPr>
          <w:p w14:paraId="2AEB825F" w14:textId="77777777" w:rsidR="00C972CB" w:rsidRDefault="002457F6">
            <w:pPr>
              <w:pStyle w:val="P68B1DB1-Normal9"/>
              <w:jc w:val="center"/>
              <w:rPr>
                <w:noProof/>
              </w:rPr>
            </w:pPr>
            <w:r>
              <w:rPr>
                <w:noProof/>
              </w:rPr>
              <w:t xml:space="preserve">Orientējošs pabeigšanas termiņš </w:t>
            </w:r>
          </w:p>
        </w:tc>
        <w:tc>
          <w:tcPr>
            <w:tcW w:w="3401" w:type="dxa"/>
            <w:vMerge w:val="restart"/>
            <w:shd w:val="clear" w:color="auto" w:fill="BDD7EE"/>
            <w:vAlign w:val="center"/>
            <w:hideMark/>
          </w:tcPr>
          <w:p w14:paraId="27F5330E" w14:textId="77777777" w:rsidR="00C972CB" w:rsidRDefault="002457F6">
            <w:pPr>
              <w:pStyle w:val="P68B1DB1-Normal9"/>
              <w:jc w:val="center"/>
              <w:rPr>
                <w:noProof/>
              </w:rPr>
            </w:pPr>
            <w:r>
              <w:rPr>
                <w:noProof/>
              </w:rPr>
              <w:t>Apraksts par katru atskaites punktu un mērķrādītāju</w:t>
            </w:r>
          </w:p>
        </w:tc>
      </w:tr>
      <w:tr w:rsidR="00C972CB" w14:paraId="02F8C243" w14:textId="77777777">
        <w:trPr>
          <w:trHeight w:val="1027"/>
          <w:jc w:val="center"/>
        </w:trPr>
        <w:tc>
          <w:tcPr>
            <w:tcW w:w="1115" w:type="dxa"/>
            <w:vMerge/>
            <w:vAlign w:val="center"/>
            <w:hideMark/>
          </w:tcPr>
          <w:p w14:paraId="195D5A4B" w14:textId="77777777" w:rsidR="00C972CB" w:rsidRDefault="00C972CB">
            <w:pPr>
              <w:rPr>
                <w:rFonts w:ascii="Arial Narrow" w:hAnsi="Arial Narrow"/>
                <w:b/>
                <w:noProof/>
                <w:sz w:val="20"/>
              </w:rPr>
            </w:pPr>
          </w:p>
        </w:tc>
        <w:tc>
          <w:tcPr>
            <w:tcW w:w="1572" w:type="dxa"/>
            <w:vMerge/>
            <w:vAlign w:val="center"/>
            <w:hideMark/>
          </w:tcPr>
          <w:p w14:paraId="2D5D9E14" w14:textId="77777777" w:rsidR="00C972CB" w:rsidRDefault="00C972CB">
            <w:pPr>
              <w:rPr>
                <w:rFonts w:ascii="Arial Narrow" w:hAnsi="Arial Narrow"/>
                <w:b/>
                <w:noProof/>
                <w:sz w:val="20"/>
              </w:rPr>
            </w:pPr>
          </w:p>
        </w:tc>
        <w:tc>
          <w:tcPr>
            <w:tcW w:w="1275" w:type="dxa"/>
            <w:vMerge/>
            <w:vAlign w:val="center"/>
            <w:hideMark/>
          </w:tcPr>
          <w:p w14:paraId="7B862CE5" w14:textId="77777777" w:rsidR="00C972CB" w:rsidRDefault="00C972CB">
            <w:pPr>
              <w:rPr>
                <w:rFonts w:ascii="Arial Narrow" w:hAnsi="Arial Narrow"/>
                <w:b/>
                <w:noProof/>
                <w:sz w:val="20"/>
              </w:rPr>
            </w:pPr>
          </w:p>
        </w:tc>
        <w:tc>
          <w:tcPr>
            <w:tcW w:w="1418" w:type="dxa"/>
            <w:vMerge/>
            <w:vAlign w:val="center"/>
            <w:hideMark/>
          </w:tcPr>
          <w:p w14:paraId="65753FE8" w14:textId="77777777" w:rsidR="00C972CB" w:rsidRDefault="00C972CB">
            <w:pPr>
              <w:rPr>
                <w:rFonts w:ascii="Arial Narrow" w:hAnsi="Arial Narrow"/>
                <w:b/>
                <w:noProof/>
                <w:sz w:val="20"/>
              </w:rPr>
            </w:pPr>
          </w:p>
        </w:tc>
        <w:tc>
          <w:tcPr>
            <w:tcW w:w="1559" w:type="dxa"/>
            <w:vMerge/>
            <w:vAlign w:val="center"/>
            <w:hideMark/>
          </w:tcPr>
          <w:p w14:paraId="5E2184B7" w14:textId="77777777" w:rsidR="00C972CB" w:rsidRDefault="00C972CB">
            <w:pPr>
              <w:rPr>
                <w:rFonts w:ascii="Arial Narrow" w:hAnsi="Arial Narrow"/>
                <w:b/>
                <w:noProof/>
                <w:sz w:val="20"/>
              </w:rPr>
            </w:pPr>
          </w:p>
        </w:tc>
        <w:tc>
          <w:tcPr>
            <w:tcW w:w="1276" w:type="dxa"/>
            <w:shd w:val="clear" w:color="auto" w:fill="BDD7EE"/>
            <w:vAlign w:val="center"/>
            <w:hideMark/>
          </w:tcPr>
          <w:p w14:paraId="46ED4DBA" w14:textId="77777777" w:rsidR="00C972CB" w:rsidRDefault="002457F6">
            <w:pPr>
              <w:pStyle w:val="P68B1DB1-Normal9"/>
              <w:jc w:val="center"/>
              <w:rPr>
                <w:noProof/>
              </w:rPr>
            </w:pPr>
            <w:r>
              <w:rPr>
                <w:noProof/>
              </w:rPr>
              <w:t>Mēra vienība</w:t>
            </w:r>
          </w:p>
        </w:tc>
        <w:tc>
          <w:tcPr>
            <w:tcW w:w="1276" w:type="dxa"/>
            <w:shd w:val="clear" w:color="auto" w:fill="BDD7EE"/>
            <w:vAlign w:val="center"/>
            <w:hideMark/>
          </w:tcPr>
          <w:p w14:paraId="18CBABF8" w14:textId="77777777" w:rsidR="00C972CB" w:rsidRDefault="002457F6">
            <w:pPr>
              <w:pStyle w:val="P68B1DB1-Normal9"/>
              <w:jc w:val="center"/>
              <w:rPr>
                <w:noProof/>
              </w:rPr>
            </w:pPr>
            <w:r>
              <w:rPr>
                <w:noProof/>
              </w:rPr>
              <w:t xml:space="preserve">Pamatscenārijs </w:t>
            </w:r>
          </w:p>
        </w:tc>
        <w:tc>
          <w:tcPr>
            <w:tcW w:w="710" w:type="dxa"/>
            <w:shd w:val="clear" w:color="auto" w:fill="BDD7EE"/>
            <w:vAlign w:val="center"/>
            <w:hideMark/>
          </w:tcPr>
          <w:p w14:paraId="589102F0" w14:textId="77777777" w:rsidR="00C972CB" w:rsidRDefault="002457F6">
            <w:pPr>
              <w:pStyle w:val="P68B1DB1-Normal9"/>
              <w:jc w:val="center"/>
              <w:rPr>
                <w:noProof/>
              </w:rPr>
            </w:pPr>
            <w:r>
              <w:rPr>
                <w:noProof/>
              </w:rPr>
              <w:t xml:space="preserve">Mērķis </w:t>
            </w:r>
          </w:p>
        </w:tc>
        <w:tc>
          <w:tcPr>
            <w:tcW w:w="708" w:type="dxa"/>
            <w:shd w:val="clear" w:color="auto" w:fill="BDD7EE"/>
            <w:vAlign w:val="center"/>
            <w:hideMark/>
          </w:tcPr>
          <w:p w14:paraId="4E2A93B8" w14:textId="77777777" w:rsidR="00C972CB" w:rsidRDefault="002457F6">
            <w:pPr>
              <w:pStyle w:val="P68B1DB1-Normal9"/>
              <w:jc w:val="center"/>
              <w:rPr>
                <w:noProof/>
              </w:rPr>
            </w:pPr>
            <w:r>
              <w:rPr>
                <w:noProof/>
              </w:rPr>
              <w:t>Ceturtdaļa</w:t>
            </w:r>
          </w:p>
        </w:tc>
        <w:tc>
          <w:tcPr>
            <w:tcW w:w="710" w:type="dxa"/>
            <w:shd w:val="clear" w:color="auto" w:fill="BDD7EE"/>
            <w:vAlign w:val="center"/>
            <w:hideMark/>
          </w:tcPr>
          <w:p w14:paraId="5271CE36" w14:textId="77777777" w:rsidR="00C972CB" w:rsidRDefault="002457F6">
            <w:pPr>
              <w:pStyle w:val="P68B1DB1-Normal9"/>
              <w:jc w:val="center"/>
              <w:rPr>
                <w:noProof/>
              </w:rPr>
            </w:pPr>
            <w:r>
              <w:rPr>
                <w:noProof/>
              </w:rPr>
              <w:t>Gadā</w:t>
            </w:r>
          </w:p>
        </w:tc>
        <w:tc>
          <w:tcPr>
            <w:tcW w:w="3401" w:type="dxa"/>
            <w:vMerge/>
            <w:vAlign w:val="center"/>
            <w:hideMark/>
          </w:tcPr>
          <w:p w14:paraId="7300DBAF" w14:textId="77777777" w:rsidR="00C972CB" w:rsidRDefault="00C972CB">
            <w:pPr>
              <w:rPr>
                <w:rFonts w:ascii="Arial Narrow" w:hAnsi="Arial Narrow"/>
                <w:b/>
                <w:noProof/>
                <w:sz w:val="20"/>
              </w:rPr>
            </w:pPr>
          </w:p>
        </w:tc>
      </w:tr>
      <w:tr w:rsidR="00C972CB" w14:paraId="72113879" w14:textId="77777777">
        <w:trPr>
          <w:trHeight w:val="313"/>
          <w:jc w:val="center"/>
        </w:trPr>
        <w:tc>
          <w:tcPr>
            <w:tcW w:w="1115" w:type="dxa"/>
            <w:shd w:val="clear" w:color="auto" w:fill="C6EFCE"/>
            <w:noWrap/>
            <w:vAlign w:val="center"/>
          </w:tcPr>
          <w:p w14:paraId="1C413738" w14:textId="77777777" w:rsidR="00C972CB" w:rsidRDefault="002457F6">
            <w:pPr>
              <w:pStyle w:val="P68B1DB1-Normal11"/>
              <w:jc w:val="center"/>
              <w:rPr>
                <w:noProof/>
              </w:rPr>
            </w:pPr>
            <w:r>
              <w:rPr>
                <w:noProof/>
              </w:rPr>
              <w:t>M3C2–8</w:t>
            </w:r>
          </w:p>
        </w:tc>
        <w:tc>
          <w:tcPr>
            <w:tcW w:w="1572" w:type="dxa"/>
            <w:shd w:val="clear" w:color="auto" w:fill="C6EFCE"/>
            <w:noWrap/>
            <w:vAlign w:val="center"/>
          </w:tcPr>
          <w:p w14:paraId="0CF01FA3" w14:textId="77777777" w:rsidR="00C972CB" w:rsidRDefault="002457F6">
            <w:pPr>
              <w:pStyle w:val="P68B1DB1-Normal11"/>
              <w:jc w:val="center"/>
              <w:rPr>
                <w:noProof/>
              </w:rPr>
            </w:pPr>
            <w:r>
              <w:rPr>
                <w:noProof/>
              </w:rPr>
              <w:t>Ieguldījums 1.1: Zaļās ostas: atjaunīgās enerģijas un energoefektivitātes intervences ostās</w:t>
            </w:r>
          </w:p>
        </w:tc>
        <w:tc>
          <w:tcPr>
            <w:tcW w:w="1275" w:type="dxa"/>
            <w:shd w:val="clear" w:color="auto" w:fill="C6EFCE"/>
            <w:noWrap/>
            <w:vAlign w:val="center"/>
          </w:tcPr>
          <w:p w14:paraId="72FA74D9" w14:textId="77777777" w:rsidR="00C972CB" w:rsidRDefault="002457F6">
            <w:pPr>
              <w:pStyle w:val="P68B1DB1-Normal11"/>
              <w:jc w:val="center"/>
              <w:rPr>
                <w:noProof/>
              </w:rPr>
            </w:pPr>
            <w:r>
              <w:rPr>
                <w:noProof/>
              </w:rPr>
              <w:t>Mērķa</w:t>
            </w:r>
          </w:p>
        </w:tc>
        <w:tc>
          <w:tcPr>
            <w:tcW w:w="1418" w:type="dxa"/>
            <w:shd w:val="clear" w:color="auto" w:fill="C6EFCE"/>
            <w:noWrap/>
            <w:vAlign w:val="center"/>
          </w:tcPr>
          <w:p w14:paraId="0D61915C" w14:textId="77777777" w:rsidR="00C972CB" w:rsidRDefault="002457F6">
            <w:pPr>
              <w:pStyle w:val="P68B1DB1-Normal11"/>
              <w:jc w:val="center"/>
              <w:rPr>
                <w:noProof/>
              </w:rPr>
            </w:pPr>
            <w:r>
              <w:rPr>
                <w:noProof/>
              </w:rPr>
              <w:t>Zaļās</w:t>
            </w:r>
            <w:r>
              <w:rPr>
                <w:noProof/>
              </w:rPr>
              <w:t xml:space="preserve"> ostas: darbu piešķiršana</w:t>
            </w:r>
          </w:p>
        </w:tc>
        <w:tc>
          <w:tcPr>
            <w:tcW w:w="1559" w:type="dxa"/>
            <w:shd w:val="clear" w:color="auto" w:fill="C6EFCE"/>
            <w:noWrap/>
            <w:vAlign w:val="center"/>
          </w:tcPr>
          <w:p w14:paraId="731238E1" w14:textId="77777777" w:rsidR="00C972CB" w:rsidRDefault="002457F6">
            <w:pPr>
              <w:pStyle w:val="P68B1DB1-Normal11"/>
              <w:jc w:val="center"/>
              <w:rPr>
                <w:noProof/>
              </w:rPr>
            </w:pPr>
            <w:r>
              <w:rPr>
                <w:noProof/>
              </w:rPr>
              <w:t>NEPIEMĒRO</w:t>
            </w:r>
          </w:p>
        </w:tc>
        <w:tc>
          <w:tcPr>
            <w:tcW w:w="1276" w:type="dxa"/>
            <w:shd w:val="clear" w:color="auto" w:fill="C6EFCE"/>
            <w:noWrap/>
            <w:vAlign w:val="center"/>
          </w:tcPr>
          <w:p w14:paraId="1D1D145D"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7FA2FABD" w14:textId="77777777" w:rsidR="00C972CB" w:rsidRDefault="002457F6">
            <w:pPr>
              <w:pStyle w:val="P68B1DB1-Normal11"/>
              <w:jc w:val="center"/>
              <w:rPr>
                <w:noProof/>
              </w:rPr>
            </w:pPr>
            <w:r>
              <w:rPr>
                <w:noProof/>
              </w:rPr>
              <w:t>0</w:t>
            </w:r>
          </w:p>
        </w:tc>
        <w:tc>
          <w:tcPr>
            <w:tcW w:w="710" w:type="dxa"/>
            <w:shd w:val="clear" w:color="auto" w:fill="C6EFCE"/>
            <w:noWrap/>
            <w:vAlign w:val="center"/>
          </w:tcPr>
          <w:p w14:paraId="2A7A2563" w14:textId="77777777" w:rsidR="00C972CB" w:rsidRDefault="002457F6">
            <w:pPr>
              <w:pStyle w:val="P68B1DB1-Normal11"/>
              <w:jc w:val="center"/>
              <w:rPr>
                <w:noProof/>
              </w:rPr>
            </w:pPr>
            <w:r>
              <w:rPr>
                <w:noProof/>
              </w:rPr>
              <w:t>7</w:t>
            </w:r>
          </w:p>
        </w:tc>
        <w:tc>
          <w:tcPr>
            <w:tcW w:w="708" w:type="dxa"/>
            <w:shd w:val="clear" w:color="auto" w:fill="C6EFCE"/>
            <w:noWrap/>
            <w:vAlign w:val="center"/>
          </w:tcPr>
          <w:p w14:paraId="2AF92334" w14:textId="77777777" w:rsidR="00C972CB" w:rsidRDefault="002457F6">
            <w:pPr>
              <w:pStyle w:val="P68B1DB1-Normal11"/>
              <w:jc w:val="center"/>
              <w:rPr>
                <w:noProof/>
              </w:rPr>
            </w:pPr>
            <w:r>
              <w:rPr>
                <w:noProof/>
              </w:rPr>
              <w:t>4. CET.</w:t>
            </w:r>
          </w:p>
        </w:tc>
        <w:tc>
          <w:tcPr>
            <w:tcW w:w="710" w:type="dxa"/>
            <w:shd w:val="clear" w:color="auto" w:fill="C6EFCE"/>
            <w:noWrap/>
            <w:vAlign w:val="center"/>
          </w:tcPr>
          <w:p w14:paraId="32C84C5F" w14:textId="77777777" w:rsidR="00C972CB" w:rsidRDefault="002457F6">
            <w:pPr>
              <w:pStyle w:val="P68B1DB1-Normal11"/>
              <w:jc w:val="center"/>
              <w:rPr>
                <w:noProof/>
              </w:rPr>
            </w:pPr>
            <w:r>
              <w:rPr>
                <w:noProof/>
              </w:rPr>
              <w:t>2022</w:t>
            </w:r>
          </w:p>
        </w:tc>
        <w:tc>
          <w:tcPr>
            <w:tcW w:w="3401" w:type="dxa"/>
            <w:shd w:val="clear" w:color="auto" w:fill="C6EFCE"/>
            <w:noWrap/>
            <w:vAlign w:val="center"/>
          </w:tcPr>
          <w:p w14:paraId="4926A11E" w14:textId="77777777" w:rsidR="00C972CB" w:rsidRDefault="002457F6">
            <w:pPr>
              <w:pStyle w:val="P68B1DB1-Normal11"/>
              <w:jc w:val="both"/>
              <w:rPr>
                <w:noProof/>
              </w:rPr>
            </w:pPr>
            <w:r>
              <w:rPr>
                <w:noProof/>
              </w:rPr>
              <w:t xml:space="preserve">Darbu piešķiršana vismaz septiņām ostu sistēmas iestādēm. Būvdarbu piešķiršanas atlases procedūra ietver: </w:t>
            </w:r>
          </w:p>
          <w:p w14:paraId="69FFD61C" w14:textId="77777777" w:rsidR="00C972CB" w:rsidRDefault="00C972CB">
            <w:pPr>
              <w:jc w:val="both"/>
              <w:rPr>
                <w:rFonts w:ascii="Arial Narrow" w:hAnsi="Arial Narrow"/>
                <w:noProof/>
                <w:color w:val="006100"/>
                <w:sz w:val="20"/>
              </w:rPr>
            </w:pPr>
          </w:p>
          <w:p w14:paraId="16C5E4B0" w14:textId="77777777" w:rsidR="00C972CB" w:rsidRDefault="002457F6">
            <w:pPr>
              <w:pStyle w:val="P68B1DB1-Normal11"/>
              <w:jc w:val="both"/>
              <w:rPr>
                <w:noProof/>
              </w:rPr>
            </w:pPr>
            <w:r>
              <w:rPr>
                <w:noProof/>
              </w:rPr>
              <w:t xml:space="preserve">atbilstības kritēriji, kas nodrošina darbu atbilstību Tehniskajiem norādījumiem </w:t>
            </w:r>
            <w:r>
              <w:rPr>
                <w:noProof/>
              </w:rPr>
              <w:t>“nenodari būtisku kaitējumu” (2021/C58/01) un attiecīgajiem ES un valstu tiesību aktiem vides jomā.</w:t>
            </w:r>
          </w:p>
          <w:p w14:paraId="40E2F8B9" w14:textId="77777777" w:rsidR="00C972CB" w:rsidRDefault="00C972CB">
            <w:pPr>
              <w:jc w:val="both"/>
              <w:rPr>
                <w:rFonts w:ascii="Arial Narrow" w:hAnsi="Arial Narrow"/>
                <w:noProof/>
                <w:color w:val="006100"/>
                <w:sz w:val="20"/>
              </w:rPr>
            </w:pPr>
          </w:p>
          <w:p w14:paraId="08750DD9" w14:textId="2FFFFD81" w:rsidR="00C972CB" w:rsidRDefault="002457F6">
            <w:pPr>
              <w:pStyle w:val="P68B1DB1-Normal11"/>
              <w:jc w:val="both"/>
              <w:rPr>
                <w:noProof/>
              </w:rPr>
            </w:pPr>
            <w:r>
              <w:rPr>
                <w:noProof/>
              </w:rPr>
              <w:t>b) apņemšanās, ka investīciju ieguldījums klimata jomā saskaņā ar Regulas (ES) 2021/241 VI pielikumā izklāstīto metodiku veido vismaz 79 % no ANM atbalstīt</w:t>
            </w:r>
            <w:r>
              <w:rPr>
                <w:noProof/>
              </w:rPr>
              <w:t>o investīciju kopējām izmaksām.</w:t>
            </w:r>
          </w:p>
          <w:p w14:paraId="0DA0EF83" w14:textId="0AAD1AB4" w:rsidR="00C972CB" w:rsidRDefault="002457F6">
            <w:pPr>
              <w:pStyle w:val="P68B1DB1-Normal11"/>
              <w:jc w:val="both"/>
              <w:rPr>
                <w:noProof/>
              </w:rPr>
            </w:pPr>
            <w:r>
              <w:rPr>
                <w:noProof/>
              </w:rPr>
              <w:t>C) apņemšanās ziņot par pasākuma īstenošanu visā shēmas darbības laikā un shēmas darbības beigās.</w:t>
            </w:r>
          </w:p>
        </w:tc>
      </w:tr>
      <w:tr w:rsidR="00C972CB" w14:paraId="09891EA3" w14:textId="77777777">
        <w:trPr>
          <w:trHeight w:val="313"/>
          <w:jc w:val="center"/>
        </w:trPr>
        <w:tc>
          <w:tcPr>
            <w:tcW w:w="1115" w:type="dxa"/>
            <w:shd w:val="clear" w:color="auto" w:fill="C6EFCE"/>
            <w:noWrap/>
            <w:vAlign w:val="center"/>
          </w:tcPr>
          <w:p w14:paraId="19B06987" w14:textId="77777777" w:rsidR="00C972CB" w:rsidRDefault="002457F6">
            <w:pPr>
              <w:pStyle w:val="P68B1DB1-Normal11"/>
              <w:jc w:val="center"/>
              <w:rPr>
                <w:noProof/>
              </w:rPr>
            </w:pPr>
            <w:r>
              <w:rPr>
                <w:noProof/>
              </w:rPr>
              <w:t>M3C2–9 </w:t>
            </w:r>
          </w:p>
        </w:tc>
        <w:tc>
          <w:tcPr>
            <w:tcW w:w="1572" w:type="dxa"/>
            <w:shd w:val="clear" w:color="auto" w:fill="C6EFCE"/>
            <w:noWrap/>
            <w:vAlign w:val="center"/>
          </w:tcPr>
          <w:p w14:paraId="1FCD255B" w14:textId="77777777" w:rsidR="00C972CB" w:rsidRDefault="002457F6">
            <w:pPr>
              <w:pStyle w:val="P68B1DB1-Normal11"/>
              <w:jc w:val="center"/>
              <w:rPr>
                <w:noProof/>
              </w:rPr>
            </w:pPr>
            <w:r>
              <w:rPr>
                <w:noProof/>
              </w:rPr>
              <w:t>Ieguldījums 1.1: Zaļās ostas: atjaunīgās enerģijas un energoefektivitātes intervences ostās </w:t>
            </w:r>
          </w:p>
        </w:tc>
        <w:tc>
          <w:tcPr>
            <w:tcW w:w="1275" w:type="dxa"/>
            <w:shd w:val="clear" w:color="auto" w:fill="C6EFCE"/>
            <w:noWrap/>
            <w:vAlign w:val="center"/>
          </w:tcPr>
          <w:p w14:paraId="1C1EC836" w14:textId="77777777" w:rsidR="00C972CB" w:rsidRDefault="002457F6">
            <w:pPr>
              <w:pStyle w:val="P68B1DB1-Normal11"/>
              <w:jc w:val="center"/>
              <w:rPr>
                <w:noProof/>
              </w:rPr>
            </w:pPr>
            <w:r>
              <w:rPr>
                <w:noProof/>
              </w:rPr>
              <w:t>Mērķa </w:t>
            </w:r>
          </w:p>
        </w:tc>
        <w:tc>
          <w:tcPr>
            <w:tcW w:w="1418" w:type="dxa"/>
            <w:shd w:val="clear" w:color="auto" w:fill="C6EFCE"/>
            <w:noWrap/>
            <w:vAlign w:val="center"/>
          </w:tcPr>
          <w:p w14:paraId="63F38347" w14:textId="77777777" w:rsidR="00C972CB" w:rsidRDefault="002457F6">
            <w:pPr>
              <w:pStyle w:val="P68B1DB1-Normal5"/>
              <w:jc w:val="center"/>
              <w:rPr>
                <w:noProof/>
              </w:rPr>
            </w:pPr>
            <w:r>
              <w:rPr>
                <w:noProof/>
              </w:rPr>
              <w:t xml:space="preserve">Zaļās ostas: </w:t>
            </w:r>
            <w:r>
              <w:rPr>
                <w:noProof/>
              </w:rPr>
              <w:t>darbu pabeigšana </w:t>
            </w:r>
          </w:p>
        </w:tc>
        <w:tc>
          <w:tcPr>
            <w:tcW w:w="1559" w:type="dxa"/>
            <w:shd w:val="clear" w:color="auto" w:fill="C6EFCE"/>
            <w:noWrap/>
            <w:vAlign w:val="center"/>
          </w:tcPr>
          <w:p w14:paraId="10001576" w14:textId="77777777" w:rsidR="00C972CB" w:rsidRDefault="002457F6">
            <w:pPr>
              <w:pStyle w:val="P68B1DB1-Normal11"/>
              <w:jc w:val="center"/>
              <w:rPr>
                <w:noProof/>
              </w:rPr>
            </w:pPr>
            <w:r>
              <w:rPr>
                <w:noProof/>
              </w:rPr>
              <w:t>Darbu pabeigšana </w:t>
            </w:r>
          </w:p>
        </w:tc>
        <w:tc>
          <w:tcPr>
            <w:tcW w:w="1276" w:type="dxa"/>
            <w:shd w:val="clear" w:color="auto" w:fill="C6EFCE"/>
            <w:noWrap/>
            <w:vAlign w:val="center"/>
          </w:tcPr>
          <w:p w14:paraId="6E43FB19" w14:textId="77777777" w:rsidR="00C972CB" w:rsidRDefault="002457F6">
            <w:pPr>
              <w:pStyle w:val="P68B1DB1-Normal11"/>
              <w:jc w:val="center"/>
              <w:rPr>
                <w:noProof/>
              </w:rPr>
            </w:pPr>
            <w:r>
              <w:rPr>
                <w:noProof/>
              </w:rPr>
              <w:t>Skaits</w:t>
            </w:r>
          </w:p>
        </w:tc>
        <w:tc>
          <w:tcPr>
            <w:tcW w:w="1276" w:type="dxa"/>
            <w:shd w:val="clear" w:color="auto" w:fill="C6EFCE"/>
            <w:noWrap/>
            <w:vAlign w:val="center"/>
          </w:tcPr>
          <w:p w14:paraId="4104E6DE" w14:textId="77777777" w:rsidR="00C972CB" w:rsidRDefault="002457F6">
            <w:pPr>
              <w:pStyle w:val="P68B1DB1-Normal11"/>
              <w:jc w:val="center"/>
              <w:rPr>
                <w:noProof/>
              </w:rPr>
            </w:pPr>
            <w:r>
              <w:rPr>
                <w:noProof/>
              </w:rPr>
              <w:t>0</w:t>
            </w:r>
          </w:p>
        </w:tc>
        <w:tc>
          <w:tcPr>
            <w:tcW w:w="710" w:type="dxa"/>
            <w:shd w:val="clear" w:color="auto" w:fill="C6EFCE"/>
            <w:noWrap/>
            <w:vAlign w:val="center"/>
          </w:tcPr>
          <w:p w14:paraId="7419A4FE" w14:textId="1A9DC9A5" w:rsidR="00C972CB" w:rsidRDefault="002457F6">
            <w:pPr>
              <w:pStyle w:val="P68B1DB1-Normal11"/>
              <w:jc w:val="center"/>
              <w:rPr>
                <w:noProof/>
              </w:rPr>
            </w:pPr>
            <w:r>
              <w:rPr>
                <w:noProof/>
              </w:rPr>
              <w:t>75</w:t>
            </w:r>
          </w:p>
        </w:tc>
        <w:tc>
          <w:tcPr>
            <w:tcW w:w="708" w:type="dxa"/>
            <w:shd w:val="clear" w:color="auto" w:fill="C6EFCE"/>
            <w:noWrap/>
            <w:vAlign w:val="center"/>
          </w:tcPr>
          <w:p w14:paraId="16DB9604" w14:textId="77777777" w:rsidR="00C972CB" w:rsidRDefault="002457F6">
            <w:pPr>
              <w:pStyle w:val="P68B1DB1-Normal11"/>
              <w:jc w:val="center"/>
              <w:rPr>
                <w:noProof/>
              </w:rPr>
            </w:pPr>
            <w:r>
              <w:rPr>
                <w:noProof/>
              </w:rPr>
              <w:t>2. CET. </w:t>
            </w:r>
          </w:p>
        </w:tc>
        <w:tc>
          <w:tcPr>
            <w:tcW w:w="710" w:type="dxa"/>
            <w:shd w:val="clear" w:color="auto" w:fill="C6EFCE"/>
            <w:noWrap/>
            <w:vAlign w:val="center"/>
          </w:tcPr>
          <w:p w14:paraId="0116E71B" w14:textId="77777777" w:rsidR="00C972CB" w:rsidRDefault="002457F6">
            <w:pPr>
              <w:pStyle w:val="P68B1DB1-Normal11"/>
              <w:jc w:val="center"/>
              <w:rPr>
                <w:noProof/>
              </w:rPr>
            </w:pPr>
            <w:r>
              <w:rPr>
                <w:noProof/>
              </w:rPr>
              <w:t>2026 </w:t>
            </w:r>
          </w:p>
        </w:tc>
        <w:tc>
          <w:tcPr>
            <w:tcW w:w="3401" w:type="dxa"/>
            <w:shd w:val="clear" w:color="auto" w:fill="C6EFCE"/>
            <w:noWrap/>
            <w:vAlign w:val="center"/>
          </w:tcPr>
          <w:p w14:paraId="66ACAD81" w14:textId="68596A04" w:rsidR="00C972CB" w:rsidRDefault="002457F6">
            <w:pPr>
              <w:pStyle w:val="P68B1DB1-Normal11"/>
              <w:jc w:val="both"/>
              <w:rPr>
                <w:noProof/>
              </w:rPr>
            </w:pPr>
            <w:r>
              <w:rPr>
                <w:noProof/>
              </w:rPr>
              <w:t>Vismaz 75 projektu pabeigšana ostas iestādēm. Vismaz 79 % no kopējām investīciju izmaksām, kas radušās ANM, tiek novirzīti darbībām, ar kurām atbalsta klimata mērķi saskaņā ar Regulas (ES) 2021</w:t>
            </w:r>
            <w:r>
              <w:rPr>
                <w:noProof/>
              </w:rPr>
              <w:t>/241 VI pielikumā izklāstīto metodiku. </w:t>
            </w:r>
          </w:p>
        </w:tc>
      </w:tr>
      <w:tr w:rsidR="00C972CB" w14:paraId="69642A35" w14:textId="77777777">
        <w:trPr>
          <w:trHeight w:val="313"/>
          <w:jc w:val="center"/>
        </w:trPr>
        <w:tc>
          <w:tcPr>
            <w:tcW w:w="1115" w:type="dxa"/>
            <w:shd w:val="clear" w:color="auto" w:fill="C6EFCE"/>
            <w:noWrap/>
            <w:vAlign w:val="center"/>
          </w:tcPr>
          <w:p w14:paraId="6C68F9F3" w14:textId="77777777" w:rsidR="00C972CB" w:rsidRDefault="002457F6">
            <w:pPr>
              <w:pStyle w:val="P68B1DB1-Normal11"/>
              <w:jc w:val="center"/>
              <w:rPr>
                <w:noProof/>
              </w:rPr>
            </w:pPr>
            <w:r>
              <w:rPr>
                <w:noProof/>
              </w:rPr>
              <w:t>M3C2–10</w:t>
            </w:r>
          </w:p>
        </w:tc>
        <w:tc>
          <w:tcPr>
            <w:tcW w:w="1572" w:type="dxa"/>
            <w:shd w:val="clear" w:color="auto" w:fill="C6EFCE"/>
            <w:noWrap/>
            <w:vAlign w:val="center"/>
          </w:tcPr>
          <w:p w14:paraId="1249DBF6" w14:textId="77777777" w:rsidR="00C972CB" w:rsidRDefault="002457F6">
            <w:pPr>
              <w:pStyle w:val="P68B1DB1-Normal11"/>
              <w:jc w:val="center"/>
              <w:rPr>
                <w:noProof/>
              </w:rPr>
            </w:pPr>
            <w:r>
              <w:rPr>
                <w:noProof/>
              </w:rPr>
              <w:t>Reforma. Valsts digitālās loģistikas platformas izveide, lai ieviestu kravu un/vai pasažieru pārvadājumu digitalizāciju</w:t>
            </w:r>
          </w:p>
        </w:tc>
        <w:tc>
          <w:tcPr>
            <w:tcW w:w="1275" w:type="dxa"/>
            <w:shd w:val="clear" w:color="auto" w:fill="C6EFCE"/>
            <w:noWrap/>
            <w:vAlign w:val="center"/>
          </w:tcPr>
          <w:p w14:paraId="3688296F" w14:textId="77777777" w:rsidR="00C972CB" w:rsidRDefault="002457F6">
            <w:pPr>
              <w:pStyle w:val="P68B1DB1-Normal11"/>
              <w:jc w:val="center"/>
              <w:rPr>
                <w:noProof/>
              </w:rPr>
            </w:pPr>
            <w:r>
              <w:rPr>
                <w:noProof/>
              </w:rPr>
              <w:t>Starpposma mērķis</w:t>
            </w:r>
          </w:p>
        </w:tc>
        <w:tc>
          <w:tcPr>
            <w:tcW w:w="1418" w:type="dxa"/>
            <w:shd w:val="clear" w:color="auto" w:fill="C6EFCE"/>
            <w:noWrap/>
            <w:vAlign w:val="center"/>
          </w:tcPr>
          <w:p w14:paraId="20AA6297" w14:textId="77777777" w:rsidR="00C972CB" w:rsidRDefault="002457F6">
            <w:pPr>
              <w:pStyle w:val="P68B1DB1-Normal11"/>
              <w:jc w:val="center"/>
              <w:rPr>
                <w:noProof/>
              </w:rPr>
            </w:pPr>
            <w:r>
              <w:rPr>
                <w:noProof/>
              </w:rPr>
              <w:t xml:space="preserve">Valsts digitālās loģistikas platforma </w:t>
            </w:r>
          </w:p>
        </w:tc>
        <w:tc>
          <w:tcPr>
            <w:tcW w:w="1559" w:type="dxa"/>
            <w:shd w:val="clear" w:color="auto" w:fill="C6EFCE"/>
            <w:noWrap/>
            <w:vAlign w:val="center"/>
          </w:tcPr>
          <w:p w14:paraId="4394F779" w14:textId="215857AE" w:rsidR="00C972CB" w:rsidRDefault="002457F6">
            <w:pPr>
              <w:pStyle w:val="P68B1DB1-Normal11"/>
              <w:jc w:val="center"/>
              <w:rPr>
                <w:noProof/>
              </w:rPr>
            </w:pPr>
            <w:r>
              <w:rPr>
                <w:noProof/>
              </w:rPr>
              <w:t xml:space="preserve">Tiesību akta noteikums, kas norāda uz tiesību akta stāšanos spēkā   </w:t>
            </w:r>
          </w:p>
        </w:tc>
        <w:tc>
          <w:tcPr>
            <w:tcW w:w="1276" w:type="dxa"/>
            <w:shd w:val="clear" w:color="auto" w:fill="C6EFCE"/>
            <w:noWrap/>
            <w:vAlign w:val="center"/>
          </w:tcPr>
          <w:p w14:paraId="44E6B4C6" w14:textId="77777777" w:rsidR="00C972CB" w:rsidRDefault="002457F6">
            <w:pPr>
              <w:pStyle w:val="P68B1DB1-Normal11"/>
              <w:jc w:val="center"/>
              <w:rPr>
                <w:noProof/>
              </w:rPr>
            </w:pPr>
            <w:r>
              <w:rPr>
                <w:noProof/>
              </w:rPr>
              <w:t>NEPIEMĒRO</w:t>
            </w:r>
          </w:p>
        </w:tc>
        <w:tc>
          <w:tcPr>
            <w:tcW w:w="1276" w:type="dxa"/>
            <w:shd w:val="clear" w:color="auto" w:fill="C6EFCE"/>
            <w:noWrap/>
            <w:vAlign w:val="center"/>
          </w:tcPr>
          <w:p w14:paraId="61B1E545" w14:textId="77777777" w:rsidR="00C972CB" w:rsidRDefault="002457F6">
            <w:pPr>
              <w:pStyle w:val="P68B1DB1-Normal11"/>
              <w:jc w:val="center"/>
              <w:rPr>
                <w:noProof/>
              </w:rPr>
            </w:pPr>
            <w:r>
              <w:rPr>
                <w:noProof/>
              </w:rPr>
              <w:t>NEPIEMĒRO</w:t>
            </w:r>
          </w:p>
        </w:tc>
        <w:tc>
          <w:tcPr>
            <w:tcW w:w="710" w:type="dxa"/>
            <w:shd w:val="clear" w:color="auto" w:fill="C6EFCE"/>
            <w:noWrap/>
            <w:vAlign w:val="center"/>
          </w:tcPr>
          <w:p w14:paraId="00B58401" w14:textId="77777777" w:rsidR="00C972CB" w:rsidRDefault="002457F6">
            <w:pPr>
              <w:pStyle w:val="P68B1DB1-Normal11"/>
              <w:jc w:val="center"/>
              <w:rPr>
                <w:noProof/>
              </w:rPr>
            </w:pPr>
            <w:r>
              <w:rPr>
                <w:noProof/>
              </w:rPr>
              <w:t>NEPIEMĒRO</w:t>
            </w:r>
          </w:p>
        </w:tc>
        <w:tc>
          <w:tcPr>
            <w:tcW w:w="708" w:type="dxa"/>
            <w:shd w:val="clear" w:color="auto" w:fill="C6EFCE"/>
            <w:noWrap/>
            <w:vAlign w:val="center"/>
          </w:tcPr>
          <w:p w14:paraId="4E95B81C" w14:textId="77777777" w:rsidR="00C972CB" w:rsidRDefault="002457F6">
            <w:pPr>
              <w:pStyle w:val="P68B1DB1-Normal11"/>
              <w:jc w:val="center"/>
              <w:rPr>
                <w:noProof/>
              </w:rPr>
            </w:pPr>
            <w:r>
              <w:rPr>
                <w:noProof/>
              </w:rPr>
              <w:t>2. CET.</w:t>
            </w:r>
          </w:p>
        </w:tc>
        <w:tc>
          <w:tcPr>
            <w:tcW w:w="710" w:type="dxa"/>
            <w:shd w:val="clear" w:color="auto" w:fill="C6EFCE"/>
            <w:noWrap/>
            <w:vAlign w:val="center"/>
          </w:tcPr>
          <w:p w14:paraId="60C4E848" w14:textId="77777777" w:rsidR="00C972CB" w:rsidRDefault="002457F6">
            <w:pPr>
              <w:pStyle w:val="P68B1DB1-Normal11"/>
              <w:jc w:val="center"/>
              <w:rPr>
                <w:noProof/>
              </w:rPr>
            </w:pPr>
            <w:r>
              <w:rPr>
                <w:noProof/>
              </w:rPr>
              <w:t>2024</w:t>
            </w:r>
          </w:p>
        </w:tc>
        <w:tc>
          <w:tcPr>
            <w:tcW w:w="3401" w:type="dxa"/>
            <w:shd w:val="clear" w:color="auto" w:fill="C6EFCE"/>
            <w:noWrap/>
            <w:vAlign w:val="center"/>
          </w:tcPr>
          <w:p w14:paraId="2735F172" w14:textId="3495E5FF" w:rsidR="00C972CB" w:rsidRDefault="002457F6">
            <w:pPr>
              <w:pStyle w:val="P68B1DB1-Normal11"/>
              <w:jc w:val="both"/>
              <w:rPr>
                <w:noProof/>
              </w:rPr>
            </w:pPr>
            <w:r>
              <w:rPr>
                <w:noProof/>
              </w:rPr>
              <w:t>Stājas spēkā tiesību akts, kas nodrošina ostas kopienas sistēmu sadarbspēju ar valsts digitālās loģistikas platformu.</w:t>
            </w:r>
          </w:p>
          <w:p w14:paraId="1BE7EACF" w14:textId="77777777" w:rsidR="00C972CB" w:rsidRDefault="00C972CB">
            <w:pPr>
              <w:jc w:val="both"/>
              <w:rPr>
                <w:rFonts w:ascii="Arial Narrow" w:hAnsi="Arial Narrow"/>
                <w:noProof/>
                <w:color w:val="006100"/>
                <w:sz w:val="20"/>
              </w:rPr>
            </w:pPr>
          </w:p>
          <w:p w14:paraId="7D0FFCDA" w14:textId="0E2F3809" w:rsidR="00C972CB" w:rsidRDefault="002457F6">
            <w:pPr>
              <w:pStyle w:val="P68B1DB1-Normal11"/>
              <w:jc w:val="both"/>
              <w:rPr>
                <w:noProof/>
              </w:rPr>
            </w:pPr>
            <w:r>
              <w:rPr>
                <w:noProof/>
              </w:rPr>
              <w:t xml:space="preserve">Turklāt tiesību aktā </w:t>
            </w:r>
            <w:r>
              <w:rPr>
                <w:noProof/>
              </w:rPr>
              <w:t>paredz, ka ostas sistēmas iestādes ir aprīkotas ar PCS standarta pakalpojumiem (ostu kopienas sistēma), kas ir sadarbspējīgi ar valsts pārvaldes iestādēm, kuras ir iesaistītas un ir saderīgas ar ES Regulu (ES) Nr. 1056/2020 un ar valsts digitālās loģistika</w:t>
            </w:r>
            <w:r>
              <w:rPr>
                <w:noProof/>
              </w:rPr>
              <w:t>s platformu.</w:t>
            </w:r>
          </w:p>
        </w:tc>
      </w:tr>
    </w:tbl>
    <w:p w14:paraId="25E7BD3B" w14:textId="77777777" w:rsidR="00C972CB" w:rsidRDefault="00C972CB">
      <w:pPr>
        <w:tabs>
          <w:tab w:val="left" w:pos="4252"/>
        </w:tabs>
        <w:rPr>
          <w:i/>
          <w:noProof/>
        </w:rPr>
        <w:sectPr w:rsidR="00C972CB" w:rsidSect="0000421C">
          <w:headerReference w:type="even" r:id="rId224"/>
          <w:headerReference w:type="default" r:id="rId225"/>
          <w:footerReference w:type="even" r:id="rId226"/>
          <w:footerReference w:type="default" r:id="rId227"/>
          <w:headerReference w:type="first" r:id="rId228"/>
          <w:footerReference w:type="first" r:id="rId229"/>
          <w:pgSz w:w="16839" w:h="11907" w:orient="landscape"/>
          <w:pgMar w:top="1440" w:right="1440" w:bottom="1440" w:left="1440" w:header="567" w:footer="567" w:gutter="0"/>
          <w:cols w:space="720"/>
          <w:docGrid w:linePitch="360"/>
        </w:sectPr>
      </w:pPr>
    </w:p>
    <w:p w14:paraId="5D38FC50" w14:textId="3FE440FA" w:rsidR="00C972CB" w:rsidRDefault="002457F6">
      <w:pPr>
        <w:pStyle w:val="Heading2"/>
        <w:numPr>
          <w:ilvl w:val="1"/>
          <w:numId w:val="0"/>
        </w:numPr>
        <w:ind w:left="850" w:hanging="850"/>
        <w:rPr>
          <w:noProof/>
        </w:rPr>
      </w:pPr>
      <w:r>
        <w:rPr>
          <w:noProof/>
        </w:rPr>
        <w:t xml:space="preserve">MISIJAS 1. KOMPONENTS: Izglītības pakalpojumu sniegšanas stiprināšana: no bērnudārza līdz universitātēm </w:t>
      </w:r>
    </w:p>
    <w:p w14:paraId="6E346CCA" w14:textId="77777777" w:rsidR="00C972CB" w:rsidRDefault="002457F6">
      <w:pPr>
        <w:spacing w:before="120" w:after="120"/>
        <w:jc w:val="both"/>
        <w:rPr>
          <w:noProof/>
        </w:rPr>
      </w:pPr>
      <w:r>
        <w:rPr>
          <w:noProof/>
        </w:rPr>
        <w:t xml:space="preserve">Šis Itālijas atveseļošanas un noturības plāna komponents ietver četras intervences jomas: I) izglītības un apmācības pakalpojumu kvalitātes uzlabošana un kvantitatīva paplašināšana — no bērnudārza līdz universitātei; skolotāja profesijas reforma, jo īpaši </w:t>
      </w:r>
      <w:r>
        <w:rPr>
          <w:noProof/>
        </w:rPr>
        <w:t>attiecībā uz darbā pieņemšanas un apmācības procesiem, lai palielinātu mācībspēku prasmes un risinātu teritoriālās neatbilstības problēmu; III) Infrastruktūras pilnveide un modernizācija, lai uzlabotu digitālo, zinātnes, tehnoloģiju, inženierzinātņu un mat</w:t>
      </w:r>
      <w:r>
        <w:rPr>
          <w:noProof/>
        </w:rPr>
        <w:t>emātikas (STEM) un daudzvalodības mācīšanu, vienlaikus uzlabojot skolu ēku drošību un energoefektivitāti; IV) grādu grupu reforma, doktora grādi un doktorantūras programmas, kuru mērķis ir veicināt lietišķo pētniecību un paplašināt doktorantūras stipendiju</w:t>
      </w:r>
      <w:r>
        <w:rPr>
          <w:noProof/>
        </w:rPr>
        <w:t xml:space="preserve"> skaitu. </w:t>
      </w:r>
    </w:p>
    <w:p w14:paraId="6C3E7884" w14:textId="77777777" w:rsidR="00C972CB" w:rsidRDefault="002457F6">
      <w:pPr>
        <w:spacing w:before="120" w:after="120"/>
        <w:jc w:val="both"/>
        <w:rPr>
          <w:noProof/>
        </w:rPr>
      </w:pPr>
      <w:r>
        <w:rPr>
          <w:noProof/>
        </w:rPr>
        <w:t xml:space="preserve">Šajā komponentā paredzēto pasākumu mērķis ir novērst trūkumus Itālijas izglītības, apmācības un pētniecības sistēmā, lai uzlabotu Itālijas studentu izglītības rezultātus un nodarbināmību. </w:t>
      </w:r>
    </w:p>
    <w:p w14:paraId="763BBCB1" w14:textId="450E0BDE" w:rsidR="00C972CB" w:rsidRDefault="002457F6">
      <w:pPr>
        <w:spacing w:before="120" w:after="120"/>
        <w:jc w:val="both"/>
        <w:rPr>
          <w:noProof/>
        </w:rPr>
      </w:pPr>
      <w:r>
        <w:rPr>
          <w:noProof/>
        </w:rPr>
        <w:t>Investīcijas un reformas saskaņā ar šo komponentu palīdzē</w:t>
      </w:r>
      <w:r>
        <w:rPr>
          <w:noProof/>
        </w:rPr>
        <w:t>s īstenot Itālijai 2020. un 2019. gadā adresētos konkrētai valstij adresētos ieteikumus par nepieciešamību “atbalstīt sieviešu līdzdalību darba tirgū, izmantojot visaptverošu stratēģiju, tostarp nodrošinot piekļuvi kvalitatīvai bērnu aprūpei” (konkrētai va</w:t>
      </w:r>
      <w:r>
        <w:rPr>
          <w:noProof/>
        </w:rPr>
        <w:t>lstij adresētais ieteikums Nr. 2, 2019), “uzlabot izglītības rezultātus, tostarp ar atbilstošām un mērķtiecīgām investīcijām, un veicināt prasmju pilnveidi, tostarp stiprinot digitālās prasmes” (konkrētai valstij adresētais ieteikums Nr. 2, 2019), “veicinā</w:t>
      </w:r>
      <w:r>
        <w:rPr>
          <w:noProof/>
        </w:rPr>
        <w:t>t pētniecību un inovāciju” (konkrētai valstij adresētais ieteikums Nr. 3, 2019), “stiprināt tālmācību un prasmes, tostarp digitālās prasmes” (konkrētai valstij adresētais ieteikums Nr. 2, 2020) un “koncentrēt investīcijas pētniecībā un inovācijā” (3., 2020</w:t>
      </w:r>
      <w:r>
        <w:rPr>
          <w:noProof/>
        </w:rPr>
        <w:t>. gada konkrētai valstij adresētais ieteikums).</w:t>
      </w:r>
    </w:p>
    <w:p w14:paraId="6CC2BEA5" w14:textId="77777777" w:rsidR="00C972CB" w:rsidRDefault="002457F6">
      <w:pPr>
        <w:pStyle w:val="Heading3"/>
        <w:numPr>
          <w:ilvl w:val="0"/>
          <w:numId w:val="0"/>
        </w:numPr>
        <w:ind w:left="850" w:hanging="850"/>
        <w:rPr>
          <w:b/>
          <w:i w:val="0"/>
          <w:noProof/>
          <w:u w:val="single"/>
        </w:rPr>
      </w:pPr>
      <w:r>
        <w:rPr>
          <w:b/>
          <w:i w:val="0"/>
          <w:noProof/>
          <w:u w:val="single"/>
        </w:rPr>
        <w:t xml:space="preserve">J.1. </w:t>
      </w:r>
      <w:r>
        <w:rPr>
          <w:noProof/>
        </w:rPr>
        <w:tab/>
      </w:r>
      <w:r>
        <w:rPr>
          <w:b/>
          <w:i w:val="0"/>
          <w:noProof/>
          <w:u w:val="single"/>
        </w:rPr>
        <w:t>Neatmaksājamam finansiālajam atbalstam pieteikto reformu un investīciju apraksts</w:t>
      </w:r>
    </w:p>
    <w:p w14:paraId="7C9633F2" w14:textId="77777777" w:rsidR="00C972CB" w:rsidRDefault="002457F6">
      <w:pPr>
        <w:pStyle w:val="P68B1DB1-Normal2"/>
        <w:spacing w:before="120" w:after="120"/>
        <w:jc w:val="both"/>
        <w:rPr>
          <w:noProof/>
        </w:rPr>
      </w:pPr>
      <w:r>
        <w:rPr>
          <w:noProof/>
        </w:rPr>
        <w:t xml:space="preserve">Ieguldījums 1.1: Bērnudārzu un pirmsskolas izglītības un aprūpes pakalpojumu plāns </w:t>
      </w:r>
    </w:p>
    <w:p w14:paraId="2953CE0A" w14:textId="77777777" w:rsidR="00C972CB" w:rsidRDefault="002457F6">
      <w:pPr>
        <w:spacing w:before="120" w:after="120"/>
        <w:jc w:val="both"/>
        <w:rPr>
          <w:noProof/>
        </w:rPr>
      </w:pPr>
      <w:r>
        <w:rPr>
          <w:noProof/>
        </w:rPr>
        <w:t xml:space="preserve">Investīciju plāns vecuma grupai no 0 </w:t>
      </w:r>
      <w:r>
        <w:rPr>
          <w:noProof/>
        </w:rPr>
        <w:t>līdz 6 gadiem ir vērsts uz to, lai palielinātu bērnu aprūpes iestāžu piedāvājumu, izbūvējot, renovējot un nodrošinot bērnudārzu un pirmsskolas izglītības iestāžu drošību, lai nodrošinātu izglītības piedāvājuma un pieejamo laika nišu palielināšanu vecuma gr</w:t>
      </w:r>
      <w:r>
        <w:rPr>
          <w:noProof/>
        </w:rPr>
        <w:t>upā no 0 līdz 6 gadiem un tādējādi uzlabotu mācīšanas kvalitāti. Paredzams, ka pasākums veicinās sieviešu līdzdalību darba tirgū un atbalstīs aprūpētājus ģimenes un profesionālās dzīves saskaņošanā</w:t>
      </w:r>
      <w:r>
        <w:rPr>
          <w:noProof/>
          <w:color w:val="006100"/>
        </w:rPr>
        <w:t>.</w:t>
      </w:r>
    </w:p>
    <w:p w14:paraId="13B60EE9" w14:textId="5D18E148" w:rsidR="00C972CB" w:rsidRDefault="002457F6">
      <w:pPr>
        <w:spacing w:before="120" w:after="120"/>
        <w:jc w:val="both"/>
        <w:rPr>
          <w:noProof/>
          <w:color w:val="006100"/>
        </w:rPr>
      </w:pPr>
      <w:r>
        <w:rPr>
          <w:noProof/>
        </w:rPr>
        <w:t>Lai nodrošinātu, ka pasākums atbilst Tehniskajām vadlīnij</w:t>
      </w:r>
      <w:r>
        <w:rPr>
          <w:noProof/>
        </w:rPr>
        <w:t>ām “Nenodari būtisku kaitējumu” (2021/C58/01), atbilstības kritērijos, kas ietverti darba uzdevumā turpmākajiem uzaicinājumiem iesniegt projektus, izslēdz šādu darbību sarakstu: darbības, kas saistītas ar fosilajiem kurināmajiem, tostarp pakārtota izmantoš</w:t>
      </w:r>
      <w:r>
        <w:rPr>
          <w:noProof/>
        </w:rPr>
        <w:t>ana</w:t>
      </w:r>
      <w:r>
        <w:rPr>
          <w:rStyle w:val="FootnoteReference"/>
          <w:noProof/>
        </w:rPr>
        <w:footnoteReference w:id="63"/>
      </w:r>
      <w:r>
        <w:rPr>
          <w:noProof/>
        </w:rPr>
        <w:t>; darbības ES emisijas kvotu tirdzniecības sistēmas (ETS) ietvaros, lai sasniegtu prognozētās siltumnīcefekta gāzu emisijas, kas nav zemākas par attiecīgajām līmeņatzīmēm</w:t>
      </w:r>
      <w:r>
        <w:rPr>
          <w:rStyle w:val="FootnoteReference"/>
          <w:noProof/>
        </w:rPr>
        <w:footnoteReference w:id="64"/>
      </w:r>
      <w:r>
        <w:rPr>
          <w:noProof/>
        </w:rPr>
        <w:t xml:space="preserve">; III) darbības, kas saistītas ar atkritumu poligoniem, atkritumu sadedzināšanas </w:t>
      </w:r>
      <w:r>
        <w:rPr>
          <w:noProof/>
        </w:rPr>
        <w:t>iekārtām</w:t>
      </w:r>
      <w:r>
        <w:rPr>
          <w:rStyle w:val="FootnoteReference"/>
          <w:noProof/>
        </w:rPr>
        <w:footnoteReference w:id="65"/>
      </w:r>
      <w:r>
        <w:rPr>
          <w:noProof/>
        </w:rPr>
        <w:t xml:space="preserve"> un mehāniski bioloģiskās apstrādes iekārtām</w:t>
      </w:r>
      <w:r>
        <w:rPr>
          <w:rStyle w:val="FootnoteReference"/>
          <w:noProof/>
        </w:rPr>
        <w:footnoteReference w:id="66"/>
      </w:r>
      <w:r>
        <w:rPr>
          <w:noProof/>
        </w:rPr>
        <w:t>; un iv) darbības, kurās atkritumu ilgtermiņa apglabāšana var radīt kaitējumu videi. Darba uzdevumā papildus nosaka, ka atlasa tikai tās darbības, kas atbilst attiecīgajiem ES un valsts tiesību aktiem v</w:t>
      </w:r>
      <w:r>
        <w:rPr>
          <w:noProof/>
        </w:rPr>
        <w:t>ides jomā.</w:t>
      </w:r>
    </w:p>
    <w:p w14:paraId="4A66AEE0" w14:textId="77777777" w:rsidR="00C972CB" w:rsidRDefault="002457F6">
      <w:pPr>
        <w:pStyle w:val="P68B1DB1-Normal2"/>
        <w:spacing w:before="120" w:after="120"/>
        <w:jc w:val="both"/>
        <w:rPr>
          <w:noProof/>
        </w:rPr>
      </w:pPr>
      <w:r>
        <w:rPr>
          <w:noProof/>
        </w:rPr>
        <w:t>Ieguldījums 1.2: Pilna laika pagarināšanas plāns</w:t>
      </w:r>
    </w:p>
    <w:p w14:paraId="6A52E7DD" w14:textId="08F79635" w:rsidR="00C972CB" w:rsidRDefault="002457F6">
      <w:pPr>
        <w:spacing w:before="120" w:after="120"/>
        <w:jc w:val="both"/>
        <w:rPr>
          <w:noProof/>
        </w:rPr>
      </w:pPr>
      <w:r>
        <w:rPr>
          <w:noProof/>
        </w:rPr>
        <w:t>Pasākuma mērķis ir finansēt mācību laika pagarināšanu, lai palielinātu skolu izglītības piedāvājumu un padarītu tās atvērtas teritorijai pēc mācību laika beigām. Pasākums paredz izbūvēt vai atjaun</w:t>
      </w:r>
      <w:r>
        <w:rPr>
          <w:noProof/>
        </w:rPr>
        <w:t>ot ēdnīcas telpas vismaz</w:t>
      </w:r>
      <w:r>
        <w:rPr>
          <w:rFonts w:ascii="Arial Narrow" w:hAnsi="Arial Narrow"/>
          <w:noProof/>
          <w:color w:val="006100"/>
          <w:sz w:val="20"/>
        </w:rPr>
        <w:t xml:space="preserve"> </w:t>
      </w:r>
      <w:r>
        <w:rPr>
          <w:noProof/>
        </w:rPr>
        <w:t>1000 konstrukcijām, lai varētu pagarināt mācību laiku. Paredzams, ka pagarinātam mācību laikam būs pozitīva ietekme uz cīņu pret priekšlaicīgu mācību pārtraukšanu.</w:t>
      </w:r>
    </w:p>
    <w:p w14:paraId="09960A04" w14:textId="77777777" w:rsidR="00C972CB" w:rsidRDefault="002457F6">
      <w:pPr>
        <w:pStyle w:val="P68B1DB1-Normal2"/>
        <w:spacing w:before="120" w:after="120"/>
        <w:jc w:val="both"/>
        <w:rPr>
          <w:noProof/>
        </w:rPr>
      </w:pPr>
      <w:r>
        <w:rPr>
          <w:noProof/>
        </w:rPr>
        <w:t>Ieguldījums 1.3. Skolu sporta infrastruktūras stiprināšanas plāns</w:t>
      </w:r>
    </w:p>
    <w:p w14:paraId="5C0AF12D" w14:textId="77777777" w:rsidR="00C972CB" w:rsidRDefault="002457F6">
      <w:pPr>
        <w:spacing w:before="120" w:after="120"/>
        <w:jc w:val="both"/>
        <w:rPr>
          <w:noProof/>
        </w:rPr>
      </w:pPr>
      <w:r>
        <w:rPr>
          <w:noProof/>
        </w:rPr>
        <w:t>P</w:t>
      </w:r>
      <w:r>
        <w:rPr>
          <w:noProof/>
        </w:rPr>
        <w:t>asākuma mērķis ir stiprināt sporta infrastruktūru un veicināt sporta aktivitātes. Paredzams, ka sporta aktivitāšu pastiprināšana apkaros priekšlaicīgu mācību pārtraukšanu, veicinās sociālo iekļaušanu un stiprinās personīgās spējas.</w:t>
      </w:r>
    </w:p>
    <w:p w14:paraId="02A24477" w14:textId="4A5C3F0E" w:rsidR="00C972CB" w:rsidRDefault="002457F6">
      <w:pPr>
        <w:spacing w:before="120" w:after="120"/>
        <w:jc w:val="both"/>
        <w:rPr>
          <w:noProof/>
          <w:color w:val="006100"/>
        </w:rPr>
      </w:pPr>
      <w:r>
        <w:rPr>
          <w:noProof/>
        </w:rPr>
        <w:t>Ar šo ieguldījumu modern</w:t>
      </w:r>
      <w:r>
        <w:rPr>
          <w:noProof/>
        </w:rPr>
        <w:t>izē skolām piesaistītos sporta objektus un sporta zāles, lai nodrošinātu izglītības piedāvājuma palielināšanu un veicinātu mācību laika paildzināšanu. Lai nodrošinātu, ka pasākums atbilst Tehniskajām vadlīnijām “Nenodari būtisku kaitējumu” (2021/C58/01), a</w:t>
      </w:r>
      <w:r>
        <w:rPr>
          <w:noProof/>
        </w:rPr>
        <w:t>tbilstības kritērijos, kas ietverti darba uzdevumā turpmākajiem uzaicinājumiem iesniegt projektus, izslēdz šādu darbību sarakstu: darbības, kas saistītas ar fosilajiem kurināmajiem, tostarp pakārtota izmantošana</w:t>
      </w:r>
      <w:r>
        <w:rPr>
          <w:rStyle w:val="FootnoteReference"/>
          <w:noProof/>
        </w:rPr>
        <w:footnoteReference w:id="67"/>
      </w:r>
      <w:r>
        <w:rPr>
          <w:noProof/>
        </w:rPr>
        <w:t>; darbības ES emisijas kvotu tirdzniecības s</w:t>
      </w:r>
      <w:r>
        <w:rPr>
          <w:noProof/>
        </w:rPr>
        <w:t>istēmas (ETS) ietvaros, lai sasniegtu prognozētās siltumnīcefekta gāzu emisijas, kas nav zemākas par attiecīgajām līmeņatzīmēm</w:t>
      </w:r>
      <w:r>
        <w:rPr>
          <w:rStyle w:val="FootnoteReference"/>
          <w:noProof/>
        </w:rPr>
        <w:footnoteReference w:id="68"/>
      </w:r>
      <w:r>
        <w:rPr>
          <w:noProof/>
        </w:rPr>
        <w:t>; III) darbības, kas saistītas ar atkritumu poligoniem, atkritumu sadedzināšanas iekārtām</w:t>
      </w:r>
      <w:r>
        <w:rPr>
          <w:rStyle w:val="FootnoteReference"/>
          <w:noProof/>
        </w:rPr>
        <w:footnoteReference w:id="69"/>
      </w:r>
      <w:r>
        <w:rPr>
          <w:noProof/>
        </w:rPr>
        <w:t xml:space="preserve"> un mehāniski bioloģiskās apstrādes iek</w:t>
      </w:r>
      <w:r>
        <w:rPr>
          <w:noProof/>
        </w:rPr>
        <w:t>ārtām</w:t>
      </w:r>
      <w:r>
        <w:rPr>
          <w:rStyle w:val="FootnoteReference"/>
          <w:noProof/>
        </w:rPr>
        <w:footnoteReference w:id="70"/>
      </w:r>
      <w:r>
        <w:rPr>
          <w:noProof/>
        </w:rPr>
        <w:t>; un iv) darbības, kurās atkritumu ilgtermiņa apglabāšana var radīt kaitējumu videi. Darba uzdevumā papildus nosaka, ka atlasa tikai tās darbības, kas atbilst attiecīgajiem ES un valsts tiesību aktiem vides jomā.</w:t>
      </w:r>
    </w:p>
    <w:p w14:paraId="26293C55" w14:textId="77777777" w:rsidR="00C972CB" w:rsidRDefault="002457F6">
      <w:pPr>
        <w:pStyle w:val="P68B1DB1-Normal2"/>
        <w:spacing w:before="120" w:after="120"/>
        <w:jc w:val="both"/>
        <w:rPr>
          <w:noProof/>
        </w:rPr>
      </w:pPr>
      <w:r>
        <w:rPr>
          <w:noProof/>
        </w:rPr>
        <w:t>Ieguldījums 1.4.: Ārkārtas intervence</w:t>
      </w:r>
      <w:r>
        <w:rPr>
          <w:noProof/>
        </w:rPr>
        <w:t>, kuras mērķis ir samazināt teritoriālās atšķirības vidusskolas I un II ciklos un novērst mācību priekšlaicīgu pārtraukšanu</w:t>
      </w:r>
    </w:p>
    <w:p w14:paraId="16FC5E14" w14:textId="3E34C7DA" w:rsidR="00C972CB" w:rsidRDefault="002457F6">
      <w:pPr>
        <w:spacing w:before="120" w:after="120"/>
        <w:jc w:val="both"/>
        <w:rPr>
          <w:noProof/>
        </w:rPr>
      </w:pPr>
      <w:r>
        <w:rPr>
          <w:noProof/>
        </w:rPr>
        <w:t xml:space="preserve">Pasākuma mērķis ir nodrošināt studentiem pienācīgas pamatprasmes, arī izveidojot vienotu valsts portālu apmācībai tiešsaistē. Īpašu </w:t>
      </w:r>
      <w:r>
        <w:rPr>
          <w:noProof/>
        </w:rPr>
        <w:t>uzmanību pievērš skolām, kuras ir saskārušās ar lielākām grūtībām attiecībā uz sniegumu, pielāgojot pasākumus skolēnu vajadzībām, ja skolas vadītājs atbalsta intervenci ar ārējiem pasniedzējiem, kā arī — viskritiskākajos gadījumos — vismaz vienas papildu p</w:t>
      </w:r>
      <w:r>
        <w:rPr>
          <w:noProof/>
        </w:rPr>
        <w:t>ersonāla vienības (itāliešu, matemātikas un angļu) pieejamība vismaz divus gadus. Ieguldījums veicina mentorēšanas pasākumu īstenošanu vismaz 820000 jauniešu, kuriem</w:t>
      </w:r>
      <w:r>
        <w:rPr>
          <w:rFonts w:ascii="Arial Narrow" w:hAnsi="Arial Narrow"/>
          <w:noProof/>
          <w:color w:val="006100"/>
          <w:sz w:val="20"/>
        </w:rPr>
        <w:t xml:space="preserve"> </w:t>
      </w:r>
      <w:r>
        <w:rPr>
          <w:noProof/>
        </w:rPr>
        <w:t>draud priekšlaicīga mācību pārtraukšana, un jauniešiem, kuri jau ir pametuši mācības. Tajā</w:t>
      </w:r>
      <w:r>
        <w:rPr>
          <w:noProof/>
        </w:rPr>
        <w:t xml:space="preserve"> ir paredzēts izmantot tiešsaistes platformu mentorēšanas un apmācības pasākumiem.</w:t>
      </w:r>
    </w:p>
    <w:p w14:paraId="448CBA6B" w14:textId="1E2AA3F0" w:rsidR="00C972CB" w:rsidRDefault="002457F6">
      <w:pPr>
        <w:spacing w:before="120" w:after="120"/>
        <w:jc w:val="both"/>
        <w:rPr>
          <w:noProof/>
        </w:rPr>
      </w:pPr>
      <w:r>
        <w:rPr>
          <w:noProof/>
        </w:rPr>
        <w:t xml:space="preserve">Paredzams, ka intervence veicinās dzimumu līdztiesību un palīdzēs pārvarēt nevienlīdzību, tostarp teritoriālās atšķirības, attiecībā uz piekļuvi izglītībai. </w:t>
      </w:r>
    </w:p>
    <w:p w14:paraId="65D8790E" w14:textId="77777777" w:rsidR="00C972CB" w:rsidRDefault="002457F6">
      <w:pPr>
        <w:pStyle w:val="P68B1DB1-Normal2"/>
        <w:spacing w:before="120" w:after="120"/>
        <w:jc w:val="both"/>
        <w:rPr>
          <w:noProof/>
        </w:rPr>
      </w:pPr>
      <w:r>
        <w:rPr>
          <w:noProof/>
        </w:rPr>
        <w:t>Reforma. Tehnis</w:t>
      </w:r>
      <w:r>
        <w:rPr>
          <w:noProof/>
        </w:rPr>
        <w:t>ko un profesionālo institūtu reforma</w:t>
      </w:r>
    </w:p>
    <w:p w14:paraId="38B08B6E" w14:textId="18C6BC12" w:rsidR="00C972CB" w:rsidRDefault="002457F6">
      <w:pPr>
        <w:spacing w:before="120" w:after="120"/>
        <w:jc w:val="both"/>
        <w:rPr>
          <w:noProof/>
        </w:rPr>
      </w:pPr>
      <w:r>
        <w:rPr>
          <w:noProof/>
        </w:rPr>
        <w:t>Reformas mērķis ir tehnisko un profesionālo institūtu mācību programmas saskaņot ar kompetencēm, kas vajadzīgas Itālijas ražošanas sistēmai, tostarp vietējā līmenī. Reforma jo īpaši nodrošina, ka tehniskā un profesionāl</w:t>
      </w:r>
      <w:r>
        <w:rPr>
          <w:noProof/>
        </w:rPr>
        <w:t>ā izglītība atbilst “Rūpniecība 4.0” un ietver digitālo inovāciju.</w:t>
      </w:r>
    </w:p>
    <w:p w14:paraId="67E1DEEA" w14:textId="77777777" w:rsidR="00C972CB" w:rsidRDefault="002457F6">
      <w:pPr>
        <w:pStyle w:val="P68B1DB1-Normal2"/>
        <w:spacing w:before="120" w:after="120"/>
        <w:jc w:val="both"/>
        <w:rPr>
          <w:noProof/>
        </w:rPr>
      </w:pPr>
      <w:r>
        <w:rPr>
          <w:noProof/>
        </w:rPr>
        <w:t>Reforma: Augstākās profesionālās izglītības (ITS) reforma</w:t>
      </w:r>
    </w:p>
    <w:p w14:paraId="5F319CAF" w14:textId="77777777" w:rsidR="00C972CB" w:rsidRDefault="002457F6">
      <w:pPr>
        <w:spacing w:before="120" w:after="120"/>
        <w:jc w:val="both"/>
        <w:rPr>
          <w:noProof/>
        </w:rPr>
      </w:pPr>
      <w:r>
        <w:rPr>
          <w:noProof/>
        </w:rPr>
        <w:t xml:space="preserve">Reformas mērķis ir stiprināt terciārās profesionālās izglītības sistēmu, vienkāršojot ITS pārvaldību, lai palielinātu institūtu un </w:t>
      </w:r>
      <w:r>
        <w:rPr>
          <w:noProof/>
        </w:rPr>
        <w:t xml:space="preserve">studentu skaitu, ņemot vērā vietējo teritoriju. </w:t>
      </w:r>
    </w:p>
    <w:p w14:paraId="0A0BD6FB" w14:textId="2B6F151D" w:rsidR="00C972CB" w:rsidRDefault="002457F6">
      <w:pPr>
        <w:spacing w:before="120" w:after="120"/>
        <w:jc w:val="both"/>
        <w:rPr>
          <w:noProof/>
        </w:rPr>
      </w:pPr>
      <w:r>
        <w:rPr>
          <w:noProof/>
        </w:rPr>
        <w:t xml:space="preserve">Paredzams, ka reforma novērsīs neatbilstību starp darbaspēka piedāvājumu un pieprasījumu. </w:t>
      </w:r>
    </w:p>
    <w:p w14:paraId="034317E1" w14:textId="77777777" w:rsidR="00C972CB" w:rsidRDefault="002457F6">
      <w:pPr>
        <w:pStyle w:val="P68B1DB1-Normal2"/>
        <w:spacing w:before="120" w:after="120"/>
        <w:jc w:val="both"/>
        <w:rPr>
          <w:noProof/>
        </w:rPr>
      </w:pPr>
      <w:r>
        <w:rPr>
          <w:noProof/>
        </w:rPr>
        <w:t>Ieguldījums 1,5: Terciārās profesionālās izglītības sistēmas (ITS) izstrāde</w:t>
      </w:r>
    </w:p>
    <w:p w14:paraId="3FF7CB29" w14:textId="77777777" w:rsidR="00C972CB" w:rsidRDefault="002457F6">
      <w:pPr>
        <w:spacing w:before="120" w:after="120"/>
        <w:jc w:val="both"/>
        <w:rPr>
          <w:noProof/>
        </w:rPr>
      </w:pPr>
      <w:r>
        <w:rPr>
          <w:noProof/>
        </w:rPr>
        <w:t>Pasākums papildina 1.2. reformu “Terciārās profesionālās izglītības reforma”, lai stiprinātu profesionālās izglītības iestāžu (ITS) izglītības piedāvājumu. Tas palīdz palielināt profesionālās izglītības iestāžu izglītības piedāvājumu un palielināt uzņēmumu</w:t>
      </w:r>
      <w:r>
        <w:rPr>
          <w:noProof/>
        </w:rPr>
        <w:t xml:space="preserve"> līdzdalību izglītības procesos, lai nodrošinātu labāku saikni ar uzņēmēju tīklu. Paredzams, ka pasākums arī samazinās jauniešu bezdarbu, novēršot prasmju neatbilstību starp darbaspēka pieprasījumu un piedāvājumu. </w:t>
      </w:r>
    </w:p>
    <w:p w14:paraId="60E62CD8" w14:textId="47A8E0BA" w:rsidR="00C972CB" w:rsidRDefault="002457F6">
      <w:pPr>
        <w:spacing w:before="120" w:after="120"/>
        <w:jc w:val="both"/>
        <w:rPr>
          <w:noProof/>
        </w:rPr>
      </w:pPr>
      <w:r>
        <w:rPr>
          <w:noProof/>
        </w:rPr>
        <w:t xml:space="preserve">Ieguldījums palielina ITS kursos uzņemto </w:t>
      </w:r>
      <w:r>
        <w:rPr>
          <w:noProof/>
        </w:rPr>
        <w:t>studentu skaitu un stiprina laboratoriju struktūras (iekļaujot inovatīvas tehnoloģijas 4.0), vienlaikus ieguldot skolotāju prasmēs. Ir paredzēts aktivizēt valsts digitālo platformu, kas ļauj studentiem uzzināt darba piedāvājumus tiem, kuri ieguvuši profesi</w:t>
      </w:r>
      <w:r>
        <w:rPr>
          <w:noProof/>
        </w:rPr>
        <w:t xml:space="preserve">onālo kvalifikāciju. </w:t>
      </w:r>
    </w:p>
    <w:p w14:paraId="7953385A" w14:textId="77777777" w:rsidR="00C972CB" w:rsidRDefault="002457F6">
      <w:pPr>
        <w:pStyle w:val="P68B1DB1-Normal2"/>
        <w:spacing w:before="120" w:after="120"/>
        <w:jc w:val="both"/>
        <w:rPr>
          <w:noProof/>
        </w:rPr>
      </w:pPr>
      <w:r>
        <w:rPr>
          <w:noProof/>
        </w:rPr>
        <w:t>Reforma: Skolu sistēmas reorganizācija</w:t>
      </w:r>
    </w:p>
    <w:p w14:paraId="08A5C564" w14:textId="77777777" w:rsidR="00C972CB" w:rsidRDefault="002457F6">
      <w:pPr>
        <w:spacing w:before="120" w:after="120"/>
        <w:jc w:val="both"/>
        <w:rPr>
          <w:noProof/>
        </w:rPr>
      </w:pPr>
      <w:r>
        <w:rPr>
          <w:noProof/>
        </w:rPr>
        <w:t xml:space="preserve">Reformai ir divējāds mērķis: </w:t>
      </w:r>
    </w:p>
    <w:p w14:paraId="5A9247FF" w14:textId="77777777" w:rsidR="00C972CB" w:rsidRDefault="002457F6">
      <w:pPr>
        <w:pStyle w:val="ListParagraph"/>
        <w:numPr>
          <w:ilvl w:val="0"/>
          <w:numId w:val="57"/>
        </w:numPr>
        <w:ind w:left="360"/>
        <w:rPr>
          <w:noProof/>
        </w:rPr>
      </w:pPr>
      <w:r>
        <w:rPr>
          <w:noProof/>
        </w:rPr>
        <w:t xml:space="preserve">Skolēnu skaita pielāgošana katrai klasei. </w:t>
      </w:r>
    </w:p>
    <w:p w14:paraId="38E0E418" w14:textId="77777777" w:rsidR="00C972CB" w:rsidRDefault="002457F6">
      <w:pPr>
        <w:spacing w:before="120" w:after="120"/>
        <w:jc w:val="both"/>
        <w:rPr>
          <w:noProof/>
        </w:rPr>
      </w:pPr>
      <w:r>
        <w:rPr>
          <w:noProof/>
        </w:rPr>
        <w:t>Mācībspēku skaitu nosaka tādā pašā līmenī kā 2020./2021. mācību gadā, ņemot vērā iedzīvotāju skaita samazināšanos un lai s</w:t>
      </w:r>
      <w:r>
        <w:rPr>
          <w:noProof/>
        </w:rPr>
        <w:t>amazinātu skolēnu skaitu klasē un pakāpeniski uzlabotu attiecību starp skolēnu skaitu un to skolotāju skaitu, kuri ieņem kopēju nostāju. Intervences īstenošana nepalielina pieejamo ēku skaitu. Iniciatīvā īpaša uzmanība tiks pievērsta atsevišķiem skolēniem,</w:t>
      </w:r>
      <w:r>
        <w:rPr>
          <w:noProof/>
        </w:rPr>
        <w:t xml:space="preserve"> jo īpaši visneaizsargātākajiem skolēniem un, protams, skolēniem ar invaliditāti.  Paredzams, ka skolēnu/skolotāju skaita uzlabošanās uzlabosies mācīšanas kvalitāte un skolu ēkām pieejamo resursu pieejamība.</w:t>
      </w:r>
    </w:p>
    <w:p w14:paraId="269B3A1F" w14:textId="77777777" w:rsidR="00C972CB" w:rsidRDefault="002457F6">
      <w:pPr>
        <w:pStyle w:val="ListParagraph"/>
        <w:numPr>
          <w:ilvl w:val="0"/>
          <w:numId w:val="57"/>
        </w:numPr>
        <w:ind w:left="360"/>
        <w:rPr>
          <w:noProof/>
        </w:rPr>
      </w:pPr>
      <w:r>
        <w:rPr>
          <w:noProof/>
        </w:rPr>
        <w:t xml:space="preserve">Pārskatīt noteikumus par skolu ēku lielumu. </w:t>
      </w:r>
    </w:p>
    <w:p w14:paraId="36DEDC4D" w14:textId="6767E390" w:rsidR="00C972CB" w:rsidRDefault="002457F6">
      <w:pPr>
        <w:spacing w:before="120" w:after="120"/>
        <w:jc w:val="both"/>
        <w:rPr>
          <w:noProof/>
        </w:rPr>
      </w:pPr>
      <w:r>
        <w:rPr>
          <w:noProof/>
        </w:rPr>
        <w:t>Reģ</w:t>
      </w:r>
      <w:r>
        <w:rPr>
          <w:noProof/>
        </w:rPr>
        <w:t>ionālo skolu iedzīvotāji ir jāpieņem kā “efektīvs parametrs”, lai noteiktu izglītības iestādes ar galveno vadītāju un galvassegumu, nevis atsevišķas skolas iedzīvotāju skaitu, kā to paredz spēkā esošie tiesību akti.</w:t>
      </w:r>
    </w:p>
    <w:p w14:paraId="1EB652BC" w14:textId="77777777" w:rsidR="00C972CB" w:rsidRDefault="002457F6">
      <w:pPr>
        <w:pStyle w:val="P68B1DB1-Normal2"/>
        <w:spacing w:before="120" w:after="120"/>
        <w:jc w:val="both"/>
        <w:rPr>
          <w:noProof/>
        </w:rPr>
      </w:pPr>
      <w:r>
        <w:rPr>
          <w:noProof/>
        </w:rPr>
        <w:t>Reforma: “Orientācijas” sistēmas reforma</w:t>
      </w:r>
      <w:r>
        <w:rPr>
          <w:noProof/>
        </w:rPr>
        <w:t xml:space="preserve">  </w:t>
      </w:r>
    </w:p>
    <w:p w14:paraId="74CFE8EB" w14:textId="48892663" w:rsidR="00C972CB" w:rsidRDefault="002457F6">
      <w:pPr>
        <w:spacing w:before="120" w:after="120"/>
        <w:jc w:val="both"/>
        <w:rPr>
          <w:noProof/>
        </w:rPr>
      </w:pPr>
      <w:r>
        <w:rPr>
          <w:noProof/>
        </w:rPr>
        <w:t xml:space="preserve">Reformas mērķis ir ieviest orientācijas moduļus (vismaz 30 stundas gadā) vidusskolas ceturtajā un piektajā klasē. Galvenais mērķis ir palīdzēt studentiem izdarīt apzinātu izvēli starp studiju turpināšanu vai profesionālo tālākizglītību (ITS) pirms viņu </w:t>
      </w:r>
      <w:r>
        <w:rPr>
          <w:noProof/>
        </w:rPr>
        <w:t>integrācijas darba tirgū. Reforma paredz arī digitālās orientācijas platformas izveidi saistībā ar augstskolu un profesionālās izglītības iestāžu (ITS) terciārās izglītības piedāvājumu.</w:t>
      </w:r>
    </w:p>
    <w:p w14:paraId="67278292" w14:textId="77777777" w:rsidR="00C972CB" w:rsidRDefault="002457F6">
      <w:pPr>
        <w:pStyle w:val="P68B1DB1-Normal2"/>
        <w:spacing w:before="120" w:after="120"/>
        <w:jc w:val="both"/>
        <w:rPr>
          <w:noProof/>
        </w:rPr>
      </w:pPr>
      <w:r>
        <w:rPr>
          <w:noProof/>
        </w:rPr>
        <w:t>Ieguldījums 1.6. Aktīva orientācija pārejā no skolas uz augstskolu</w:t>
      </w:r>
    </w:p>
    <w:p w14:paraId="71C8F6F9" w14:textId="77777777" w:rsidR="00C972CB" w:rsidRDefault="002457F6">
      <w:pPr>
        <w:spacing w:before="120" w:after="120"/>
        <w:jc w:val="both"/>
        <w:rPr>
          <w:noProof/>
        </w:rPr>
      </w:pPr>
      <w:r>
        <w:rPr>
          <w:noProof/>
        </w:rPr>
        <w:t>Pas</w:t>
      </w:r>
      <w:r>
        <w:rPr>
          <w:noProof/>
        </w:rPr>
        <w:t>ākuma mērķis ir atvieglot un veicināt pāreju no vidusskolas uz augstskolu un samazināt to personu skaitu, kas priekšlaicīgi pārtraukušas mācības, tādējādi palīdzot palielināt absolventu skaitu. Paredzams, ka ieguldījums paaugstinās panākumu rādītājus (skol</w:t>
      </w:r>
      <w:r>
        <w:rPr>
          <w:noProof/>
        </w:rPr>
        <w:t>u apmeklēšana, mācību līmeņa uzlabošana, nākamajā akadēmiskajā gadā uzņemto studentu skaits utt.) un samazinās dzimumu atšķirības gan attiecībā uz nodarbinātību, gan dalību augstākajā izglītībā visās jomās.</w:t>
      </w:r>
    </w:p>
    <w:p w14:paraId="45B7A9CA" w14:textId="77777777" w:rsidR="00C972CB" w:rsidRDefault="002457F6">
      <w:pPr>
        <w:spacing w:before="120" w:after="120"/>
        <w:jc w:val="both"/>
        <w:rPr>
          <w:noProof/>
        </w:rPr>
      </w:pPr>
      <w:r>
        <w:rPr>
          <w:noProof/>
        </w:rPr>
        <w:t>Šī iniciatīva paredz nodrošināt kursus visiem vid</w:t>
      </w:r>
      <w:r>
        <w:rPr>
          <w:noProof/>
        </w:rPr>
        <w:t>usskolu skolēniem, lai palīdzētu viņiem izvēlēties terciāro izglītību, veicinot labāku atbilstību starp sagatavošanu un profesionālo virzību un palīdzot studentiem orientēties pārejā no skolas uz augstskolu. Lekcijas pasniedz augstākās izglītības profesori</w:t>
      </w:r>
      <w:r>
        <w:rPr>
          <w:noProof/>
        </w:rPr>
        <w:t xml:space="preserve"> un pasniedz vidusskolu studentiem. Ilgtspēju panāk, paplašinot mācības vidusskolu profesoriem tā, lai pēc šīs trīs gadu programmas vidusskolu štata darbiniekiem būtu pieejama orientācija.</w:t>
      </w:r>
    </w:p>
    <w:p w14:paraId="4C3B516A" w14:textId="77777777" w:rsidR="00C972CB" w:rsidRDefault="002457F6">
      <w:pPr>
        <w:pStyle w:val="P68B1DB1-Normal2"/>
        <w:spacing w:before="120" w:after="120"/>
        <w:jc w:val="both"/>
        <w:rPr>
          <w:noProof/>
        </w:rPr>
      </w:pPr>
      <w:r>
        <w:rPr>
          <w:noProof/>
        </w:rPr>
        <w:t>Ieguldījums 1.7. Stipendijas par piekļuvi universitātēm</w:t>
      </w:r>
    </w:p>
    <w:p w14:paraId="1AAF2381" w14:textId="739DB897" w:rsidR="00C972CB" w:rsidRDefault="002457F6">
      <w:pPr>
        <w:spacing w:before="120" w:after="120"/>
        <w:jc w:val="both"/>
        <w:rPr>
          <w:noProof/>
        </w:rPr>
      </w:pPr>
      <w:r>
        <w:rPr>
          <w:noProof/>
        </w:rPr>
        <w:t xml:space="preserve">Pasākuma </w:t>
      </w:r>
      <w:r>
        <w:rPr>
          <w:noProof/>
        </w:rPr>
        <w:t>mērķis ir nodrošināt vienlīdzīgu piekļuvi izglītībai, atvieglojot piekļuvi terciārajai izglītībai studentiem, kuri nonākuši sociālekonomiskās grūtībās un kuriem ir salīdzinoši augstas papildu studiju alternatīvās izmaksas pret agrīnu pāreju darba tirgū. To</w:t>
      </w:r>
      <w:r>
        <w:rPr>
          <w:noProof/>
        </w:rPr>
        <w:t xml:space="preserve"> jo īpaši panāk, palielinot to stipendiju skaitu, kas tiek piešķirtas universitāšu studentiem saskaņā ar ANM atbalstu.</w:t>
      </w:r>
    </w:p>
    <w:p w14:paraId="0A19AF39" w14:textId="009D1E61" w:rsidR="00C972CB" w:rsidRDefault="002457F6">
      <w:pPr>
        <w:jc w:val="both"/>
        <w:rPr>
          <w:rFonts w:ascii="Segoe UI" w:eastAsia="Segoe UI" w:hAnsi="Segoe UI" w:cs="Segoe UI"/>
          <w:noProof/>
          <w:color w:val="000000" w:themeColor="text1"/>
          <w:sz w:val="20"/>
        </w:rPr>
      </w:pPr>
      <w:r>
        <w:rPr>
          <w:noProof/>
        </w:rPr>
        <w:t>Šo pasākumu papildina React-EU, ar kuru paredzēts finansēt</w:t>
      </w:r>
      <w:r>
        <w:rPr>
          <w:rFonts w:ascii="Arial Narrow" w:hAnsi="Arial Narrow"/>
          <w:noProof/>
          <w:color w:val="006100"/>
          <w:sz w:val="20"/>
        </w:rPr>
        <w:t xml:space="preserve"> </w:t>
      </w:r>
      <w:r>
        <w:rPr>
          <w:noProof/>
        </w:rPr>
        <w:t>13000 stipendijas piekļuvei universitātēm 2023. gadā dienvidu reģionos.</w:t>
      </w:r>
    </w:p>
    <w:p w14:paraId="73012285" w14:textId="718D6F4A" w:rsidR="00C972CB" w:rsidRDefault="002457F6">
      <w:pPr>
        <w:pStyle w:val="P68B1DB1-Normal2"/>
        <w:spacing w:before="120" w:after="120"/>
        <w:jc w:val="both"/>
        <w:rPr>
          <w:noProof/>
        </w:rPr>
      </w:pPr>
      <w:r>
        <w:rPr>
          <w:noProof/>
        </w:rPr>
        <w:t>Reform</w:t>
      </w:r>
      <w:r>
        <w:rPr>
          <w:noProof/>
        </w:rPr>
        <w:t>a: Augstskolu grādu grupu reformas</w:t>
      </w:r>
    </w:p>
    <w:p w14:paraId="0D964094" w14:textId="77777777" w:rsidR="00C972CB" w:rsidRDefault="002457F6">
      <w:pPr>
        <w:spacing w:before="120" w:after="120"/>
        <w:jc w:val="both"/>
        <w:rPr>
          <w:noProof/>
          <w:color w:val="006100"/>
        </w:rPr>
      </w:pPr>
      <w:r>
        <w:rPr>
          <w:noProof/>
        </w:rPr>
        <w:t xml:space="preserve">Reforma paredz atjaunināt universitāšu mācību programmas, samazinot esošās stingrās robežas, kas būtiski ierobežo iespēju izveidot starpdisciplīnu ceļus. Paredzams, ka reforma arī paplašinās iespēju īstenot profesionālās </w:t>
      </w:r>
      <w:r>
        <w:rPr>
          <w:noProof/>
        </w:rPr>
        <w:t>izglītības programmas, ieviešot inovatīvas, uz darbu orientētas grādu klases</w:t>
      </w:r>
      <w:r>
        <w:rPr>
          <w:noProof/>
          <w:color w:val="006100"/>
        </w:rPr>
        <w:t>.</w:t>
      </w:r>
    </w:p>
    <w:p w14:paraId="7F73B5C2" w14:textId="77777777" w:rsidR="00C972CB" w:rsidRDefault="002457F6">
      <w:pPr>
        <w:pStyle w:val="P68B1DB1-Normal2"/>
        <w:spacing w:before="120" w:after="120"/>
        <w:jc w:val="both"/>
        <w:rPr>
          <w:noProof/>
        </w:rPr>
      </w:pPr>
      <w:r>
        <w:rPr>
          <w:noProof/>
        </w:rPr>
        <w:t xml:space="preserve">Reforma. Augstskolu studiju programmas reformas veicināšana </w:t>
      </w:r>
    </w:p>
    <w:p w14:paraId="1510C299" w14:textId="77777777" w:rsidR="00C972CB" w:rsidRDefault="002457F6">
      <w:pPr>
        <w:spacing w:before="120" w:after="120"/>
        <w:jc w:val="both"/>
        <w:rPr>
          <w:noProof/>
        </w:rPr>
      </w:pPr>
      <w:r>
        <w:rPr>
          <w:noProof/>
        </w:rPr>
        <w:t>Reforma paredz vienkāršot procedūru attiecībā uz piekļuvi profesijām, kas prasa reģistrāciju profesionālos pasūtījumo</w:t>
      </w:r>
      <w:r>
        <w:rPr>
          <w:noProof/>
        </w:rPr>
        <w:t xml:space="preserve">s ar īpaša profesionāla eksāmena palīdzību. Pasākums palīdz saskaņot katra grāda galīgo valsts eksāmenu ar attiecīgo profesionālās kārtības eksāmenu, tādējādi nodrošinot vispārīgus un skaidrus noteikumus un aizvietošanu. </w:t>
      </w:r>
    </w:p>
    <w:p w14:paraId="6A70C74A" w14:textId="77777777" w:rsidR="00C972CB" w:rsidRDefault="002457F6">
      <w:pPr>
        <w:pStyle w:val="P68B1DB1-Normal2"/>
        <w:spacing w:before="120" w:after="120"/>
        <w:jc w:val="both"/>
        <w:rPr>
          <w:noProof/>
        </w:rPr>
      </w:pPr>
      <w:r>
        <w:rPr>
          <w:noProof/>
        </w:rPr>
        <w:t>Reforma. Skolotāju pieņemšana darb</w:t>
      </w:r>
      <w:r>
        <w:rPr>
          <w:noProof/>
        </w:rPr>
        <w:t>ā</w:t>
      </w:r>
    </w:p>
    <w:p w14:paraId="039A49AA" w14:textId="77777777" w:rsidR="00C972CB" w:rsidRDefault="002457F6">
      <w:pPr>
        <w:spacing w:before="120" w:after="120"/>
        <w:jc w:val="both"/>
        <w:rPr>
          <w:noProof/>
        </w:rPr>
      </w:pPr>
      <w:r>
        <w:rPr>
          <w:noProof/>
        </w:rPr>
        <w:t xml:space="preserve">Reformas mērķis ir izveidot jaunu modeli skolotāju pieņemšanai darbā, kas būtu saistīts ar viņu sākotnējās apmācības pārskatīšanu visā karjeras laikā. Šā pasākuma stratēģiskais mērķis ir ievērojami uzlabot Itālijas izglītības sistēmas kvalitāti. Reforma </w:t>
      </w:r>
      <w:r>
        <w:rPr>
          <w:noProof/>
        </w:rPr>
        <w:t>jo īpaši vienkāršos pašreizējās publiskā iepirkuma procedūras. Ar šiem pasākumiem ievieš augstākas prasības attiecībā uz piekļuvi pedagoga profesijām, efektīvāku skolotāju mobilitātes satvaru, ierobežojot pārmērīgu mobilitāti, kā arī skaidru saikni starp k</w:t>
      </w:r>
      <w:r>
        <w:rPr>
          <w:noProof/>
        </w:rPr>
        <w:t xml:space="preserve">arjeras attīstību un snieguma novērtēšanu un pastāvīgu profesionālo izaugsmi.  </w:t>
      </w:r>
    </w:p>
    <w:p w14:paraId="5334F5CA" w14:textId="77777777" w:rsidR="00C972CB" w:rsidRDefault="002457F6">
      <w:pPr>
        <w:pStyle w:val="P68B1DB1-Normal2"/>
        <w:spacing w:before="120" w:after="120"/>
        <w:jc w:val="both"/>
        <w:rPr>
          <w:noProof/>
        </w:rPr>
      </w:pPr>
      <w:r>
        <w:rPr>
          <w:noProof/>
        </w:rPr>
        <w:t>Reforma. Augstākā izglītība un obligātā apmācība skolu vadītājiem, skolotājiem, administratīvajiem un tehniskajiem darbiniekiem</w:t>
      </w:r>
    </w:p>
    <w:p w14:paraId="31C633EE" w14:textId="77777777" w:rsidR="00C972CB" w:rsidRDefault="002457F6">
      <w:pPr>
        <w:spacing w:before="120" w:after="120"/>
        <w:jc w:val="both"/>
        <w:rPr>
          <w:noProof/>
        </w:rPr>
      </w:pPr>
      <w:r>
        <w:rPr>
          <w:noProof/>
        </w:rPr>
        <w:t>Reformas mērķis ir izveidot kvalitatīvu skolu da</w:t>
      </w:r>
      <w:r>
        <w:rPr>
          <w:noProof/>
        </w:rPr>
        <w:t>rbinieku apmācības sistēmu nepārtrauktai profesionālajai un profesionālajai izaugsmei. Tajā paredzēts izveidot kvalificētu iestādi, kas būtu atbildīga par pamatnostādņu izstrādi saskaņā ar Eiropas standartiem, kā arī par mācību iniciatīvu atlasi un koordin</w:t>
      </w:r>
      <w:r>
        <w:rPr>
          <w:noProof/>
        </w:rPr>
        <w:t>ēšanu, iespējams, saistot tās ar karjeras izaugsmi, kā paredzēts darbā pieņemšanas reformā — reformā 2.1: Skolotāju pieņemšana darbā, kas iekļauta plānā.</w:t>
      </w:r>
    </w:p>
    <w:p w14:paraId="220BB7E0" w14:textId="04BF7EE8" w:rsidR="00C972CB" w:rsidRDefault="002457F6">
      <w:pPr>
        <w:pStyle w:val="P68B1DB1-Normal2"/>
        <w:spacing w:before="120" w:after="120"/>
        <w:jc w:val="both"/>
        <w:rPr>
          <w:noProof/>
        </w:rPr>
      </w:pPr>
      <w:r>
        <w:rPr>
          <w:noProof/>
        </w:rPr>
        <w:t xml:space="preserve">Ieguldījums 2.1.: Integrēta digitālā mācīšana un apmācība par digitālo pārveidi skolu darbiniekiem </w:t>
      </w:r>
    </w:p>
    <w:p w14:paraId="3699CA0B" w14:textId="77777777" w:rsidR="00C972CB" w:rsidRDefault="002457F6">
      <w:pPr>
        <w:spacing w:before="120" w:after="120"/>
        <w:jc w:val="both"/>
        <w:rPr>
          <w:noProof/>
        </w:rPr>
      </w:pPr>
      <w:r>
        <w:rPr>
          <w:noProof/>
        </w:rPr>
        <w:t xml:space="preserve">Pasākuma mērķis ir izveidot pastāvīgu sistēmu digitālās didaktikas attīstībai, kā arī skolu darbinieku digitālajām un mācīšanas prasmēm.  Intervence paredz:  </w:t>
      </w:r>
    </w:p>
    <w:p w14:paraId="44E8CE47" w14:textId="77777777" w:rsidR="00C972CB" w:rsidRDefault="002457F6">
      <w:pPr>
        <w:pStyle w:val="ListParagraph"/>
        <w:numPr>
          <w:ilvl w:val="0"/>
          <w:numId w:val="48"/>
        </w:numPr>
        <w:ind w:left="360"/>
        <w:rPr>
          <w:noProof/>
        </w:rPr>
      </w:pPr>
      <w:r>
        <w:rPr>
          <w:noProof/>
        </w:rPr>
        <w:t>izveidot sistēmu skolotāju un skolu darbinieku pastāvīgai apmācībai digitālās pārkārtošanās vajad</w:t>
      </w:r>
      <w:r>
        <w:rPr>
          <w:noProof/>
        </w:rPr>
        <w:t>zībām;</w:t>
      </w:r>
    </w:p>
    <w:p w14:paraId="323E622B" w14:textId="77777777" w:rsidR="00C972CB" w:rsidRDefault="002457F6">
      <w:pPr>
        <w:pStyle w:val="ListParagraph"/>
        <w:numPr>
          <w:ilvl w:val="0"/>
          <w:numId w:val="48"/>
        </w:numPr>
        <w:ind w:left="360"/>
        <w:rPr>
          <w:rStyle w:val="normaltextrun"/>
          <w:noProof/>
        </w:rPr>
      </w:pPr>
      <w:r>
        <w:rPr>
          <w:rStyle w:val="normaltextrun"/>
          <w:noProof/>
          <w:shd w:val="clear" w:color="auto" w:fill="FFFFFF"/>
        </w:rPr>
        <w:t>Pieņemt valsts atsauces sistēmu integrētai digitālai mācīšanai, lai veicinātu digitālo kompetenču mācību programmu pieņemšanu visās skolās.</w:t>
      </w:r>
    </w:p>
    <w:p w14:paraId="1E48E670" w14:textId="06F13C4A" w:rsidR="00C972CB" w:rsidRDefault="002457F6">
      <w:pPr>
        <w:spacing w:before="120" w:after="120"/>
        <w:jc w:val="both"/>
        <w:rPr>
          <w:noProof/>
        </w:rPr>
      </w:pPr>
      <w:r>
        <w:rPr>
          <w:noProof/>
        </w:rPr>
        <w:t>Darbības virziens paredz ap 650000 skolotāju</w:t>
      </w:r>
      <w:r>
        <w:rPr>
          <w:rFonts w:ascii="Arial Narrow" w:hAnsi="Arial Narrow"/>
          <w:noProof/>
          <w:color w:val="006100"/>
          <w:sz w:val="20"/>
        </w:rPr>
        <w:t xml:space="preserve"> </w:t>
      </w:r>
      <w:r>
        <w:rPr>
          <w:noProof/>
        </w:rPr>
        <w:t>un skolu darbinieku apmācību, aptuveni 20000 mācību</w:t>
      </w:r>
      <w:r>
        <w:rPr>
          <w:rFonts w:ascii="Arial Narrow" w:hAnsi="Arial Narrow"/>
          <w:noProof/>
          <w:color w:val="006100"/>
          <w:sz w:val="20"/>
        </w:rPr>
        <w:t xml:space="preserve"> </w:t>
      </w:r>
      <w:r>
        <w:rPr>
          <w:noProof/>
        </w:rPr>
        <w:t>kursu izveid</w:t>
      </w:r>
      <w:r>
        <w:rPr>
          <w:noProof/>
        </w:rPr>
        <w:t>i piecu gadu laikā un vietējo mācību centru izveidi. Mācību projektos iesaista visas vairāk nekā</w:t>
      </w:r>
      <w:r>
        <w:rPr>
          <w:rFonts w:ascii="Arial Narrow" w:hAnsi="Arial Narrow"/>
          <w:noProof/>
          <w:color w:val="006100"/>
          <w:sz w:val="20"/>
        </w:rPr>
        <w:t xml:space="preserve"> </w:t>
      </w:r>
      <w:r>
        <w:rPr>
          <w:noProof/>
        </w:rPr>
        <w:t>8000 izglītības iestādes Itālijā.</w:t>
      </w:r>
    </w:p>
    <w:p w14:paraId="0916351B" w14:textId="77777777" w:rsidR="00C972CB" w:rsidRDefault="002457F6">
      <w:pPr>
        <w:pStyle w:val="P68B1DB1-Normal2"/>
        <w:spacing w:before="120" w:after="120"/>
        <w:jc w:val="both"/>
        <w:rPr>
          <w:noProof/>
        </w:rPr>
      </w:pPr>
      <w:r>
        <w:rPr>
          <w:noProof/>
        </w:rPr>
        <w:t>Ieguldījums 3.1.: Jaunas prasmes un jaunas valodas</w:t>
      </w:r>
    </w:p>
    <w:p w14:paraId="33FFF9B1" w14:textId="77777777" w:rsidR="00C972CB" w:rsidRDefault="002457F6">
      <w:pPr>
        <w:spacing w:before="120" w:after="120"/>
        <w:jc w:val="both"/>
        <w:rPr>
          <w:noProof/>
        </w:rPr>
      </w:pPr>
      <w:r>
        <w:rPr>
          <w:noProof/>
        </w:rPr>
        <w:t>Intervences mērķis ir visu līmeņu skolu mācību programmās integrēt darbība</w:t>
      </w:r>
      <w:r>
        <w:rPr>
          <w:noProof/>
        </w:rPr>
        <w:t>s, metodes un saturu, kas izstrādāts, lai stiprinātu STEM, digitālās un inovācijas prasmes. Pasākums ir vērsts uz skolniecēm un paredz pilnīgu starpdisciplīnu pieeju. Intervences mērķis ir garantēt vienlīdzīgas iespējas un dzimumu līdztiesību metodoloģiskā</w:t>
      </w:r>
      <w:r>
        <w:rPr>
          <w:noProof/>
        </w:rPr>
        <w:t>s pieejas un STEM orientējošu darbību ziņā.</w:t>
      </w:r>
    </w:p>
    <w:p w14:paraId="7E1ACD92" w14:textId="77777777" w:rsidR="00C972CB" w:rsidRDefault="002457F6">
      <w:pPr>
        <w:spacing w:before="120" w:after="120"/>
        <w:jc w:val="both"/>
        <w:rPr>
          <w:noProof/>
        </w:rPr>
      </w:pPr>
      <w:r>
        <w:rPr>
          <w:noProof/>
        </w:rPr>
        <w:t xml:space="preserve"> Paredzams, ka pasākums stiprinās studentu un skolotāju daudzvalodu prasmes, paplašinot konsultāciju un informācijas programmas par programmu “Erasmus+” ar “Erasmus+” Dokumentācijas, inovācijas un izglītības pētn</w:t>
      </w:r>
      <w:r>
        <w:rPr>
          <w:noProof/>
        </w:rPr>
        <w:t xml:space="preserve">iecības valsts institūta (INDIRE) un tā vēstnieku tīkla atbalstu. </w:t>
      </w:r>
    </w:p>
    <w:p w14:paraId="654D44CF" w14:textId="77777777" w:rsidR="00C972CB" w:rsidRDefault="002457F6">
      <w:pPr>
        <w:spacing w:before="120" w:after="120"/>
        <w:jc w:val="both"/>
        <w:rPr>
          <w:noProof/>
        </w:rPr>
      </w:pPr>
      <w:r>
        <w:rPr>
          <w:noProof/>
        </w:rPr>
        <w:t xml:space="preserve">Ar attiecīgo sertificētāju struktūru atbalstu izstrādā arī digitālu sistēmu valodu prasmju uzraudzībai valsts līmenī. </w:t>
      </w:r>
    </w:p>
    <w:p w14:paraId="52CAC0B2" w14:textId="5E5F958C" w:rsidR="00C972CB" w:rsidRDefault="002457F6">
      <w:pPr>
        <w:pStyle w:val="P68B1DB1-Normal2"/>
        <w:spacing w:before="120" w:after="120"/>
        <w:jc w:val="both"/>
        <w:rPr>
          <w:noProof/>
        </w:rPr>
      </w:pPr>
      <w:r>
        <w:rPr>
          <w:noProof/>
        </w:rPr>
        <w:t>Ieguldījums 3.2.: Skola 4.0: inovatīvas skolas, elektroinstalācijas, j</w:t>
      </w:r>
      <w:r>
        <w:rPr>
          <w:noProof/>
        </w:rPr>
        <w:t>aunas klases un darbsemināri</w:t>
      </w:r>
    </w:p>
    <w:p w14:paraId="474F3EB6" w14:textId="77777777" w:rsidR="00C972CB" w:rsidRDefault="002457F6">
      <w:pPr>
        <w:spacing w:before="120" w:after="120"/>
        <w:jc w:val="both"/>
        <w:rPr>
          <w:noProof/>
        </w:rPr>
      </w:pPr>
      <w:r>
        <w:rPr>
          <w:noProof/>
        </w:rPr>
        <w:t>Pasākuma mērķis ir atjaunināt skolu iestādes, pārveidojot tās par pielāgojamu, elastīgu un digitālu mācību vidi, izmantojot tehnoloģiski progresīvus darbseminārus un mācīšanās procesu darbavietā. Šis pasākums paātrinās Itālijas</w:t>
      </w:r>
      <w:r>
        <w:rPr>
          <w:noProof/>
        </w:rPr>
        <w:t xml:space="preserve"> skolu sistēmas digitālo pārkārtošanos ar četrām iniciatīvām:</w:t>
      </w:r>
    </w:p>
    <w:p w14:paraId="4625A1FC" w14:textId="6F65067E" w:rsidR="00C972CB" w:rsidRDefault="002457F6">
      <w:pPr>
        <w:pStyle w:val="ListParagraph"/>
        <w:numPr>
          <w:ilvl w:val="0"/>
          <w:numId w:val="48"/>
        </w:numPr>
        <w:ind w:left="360"/>
        <w:rPr>
          <w:noProof/>
        </w:rPr>
      </w:pPr>
      <w:r>
        <w:rPr>
          <w:noProof/>
        </w:rPr>
        <w:t>Aptuveni 100000</w:t>
      </w:r>
      <w:r>
        <w:rPr>
          <w:rFonts w:ascii="Arial Narrow" w:hAnsi="Arial Narrow"/>
          <w:noProof/>
          <w:color w:val="006100"/>
          <w:sz w:val="20"/>
        </w:rPr>
        <w:t xml:space="preserve"> </w:t>
      </w:r>
      <w:r>
        <w:rPr>
          <w:noProof/>
        </w:rPr>
        <w:t>tradicionālo klašu pārveide saistītā mācību vidē, ieviešot attiecīgas izglītības ierīces</w:t>
      </w:r>
    </w:p>
    <w:p w14:paraId="2CC42088" w14:textId="77777777" w:rsidR="00C972CB" w:rsidRDefault="002457F6">
      <w:pPr>
        <w:pStyle w:val="ListParagraph"/>
        <w:numPr>
          <w:ilvl w:val="0"/>
          <w:numId w:val="48"/>
        </w:numPr>
        <w:ind w:left="360"/>
        <w:rPr>
          <w:noProof/>
        </w:rPr>
      </w:pPr>
      <w:r>
        <w:rPr>
          <w:noProof/>
        </w:rPr>
        <w:t>Darbsemināru izveide digitālajām profesijām otrajā ciklā</w:t>
      </w:r>
    </w:p>
    <w:p w14:paraId="7B20CF07" w14:textId="77777777" w:rsidR="00C972CB" w:rsidRDefault="002457F6">
      <w:pPr>
        <w:pStyle w:val="ListParagraph"/>
        <w:numPr>
          <w:ilvl w:val="0"/>
          <w:numId w:val="48"/>
        </w:numPr>
        <w:ind w:left="360"/>
        <w:rPr>
          <w:noProof/>
        </w:rPr>
      </w:pPr>
      <w:r>
        <w:rPr>
          <w:noProof/>
        </w:rPr>
        <w:t>Skolu pārvaldes iestāžu digitali</w:t>
      </w:r>
      <w:r>
        <w:rPr>
          <w:noProof/>
        </w:rPr>
        <w:t>zācija</w:t>
      </w:r>
    </w:p>
    <w:p w14:paraId="34B346A4" w14:textId="33212748" w:rsidR="00C972CB" w:rsidRDefault="002457F6">
      <w:pPr>
        <w:pStyle w:val="ListParagraph"/>
        <w:numPr>
          <w:ilvl w:val="0"/>
          <w:numId w:val="48"/>
        </w:numPr>
        <w:ind w:left="360"/>
        <w:rPr>
          <w:noProof/>
        </w:rPr>
      </w:pPr>
      <w:r>
        <w:rPr>
          <w:noProof/>
        </w:rPr>
        <w:t>Aptuveni 40000 skolu ēku un ar</w:t>
      </w:r>
      <w:r>
        <w:rPr>
          <w:rFonts w:ascii="Arial Narrow" w:hAnsi="Arial Narrow"/>
          <w:noProof/>
          <w:color w:val="006100"/>
          <w:sz w:val="20"/>
        </w:rPr>
        <w:t xml:space="preserve"> </w:t>
      </w:r>
      <w:r>
        <w:rPr>
          <w:noProof/>
        </w:rPr>
        <w:t>tām saistītu ierīču iekšējo elektroinstalāciju ievilkumi</w:t>
      </w:r>
    </w:p>
    <w:p w14:paraId="78738AA6" w14:textId="77777777" w:rsidR="00C972CB" w:rsidRDefault="002457F6">
      <w:pPr>
        <w:pStyle w:val="P68B1DB1-Normal2"/>
        <w:spacing w:before="120" w:after="120"/>
        <w:jc w:val="both"/>
        <w:rPr>
          <w:noProof/>
        </w:rPr>
      </w:pPr>
      <w:r>
        <w:rPr>
          <w:noProof/>
        </w:rPr>
        <w:t>Ieguldījums 3.3. Skolu ēku drošība un strukturālas rehabilitācijas plāns</w:t>
      </w:r>
    </w:p>
    <w:p w14:paraId="039AEEE1" w14:textId="77777777" w:rsidR="00C972CB" w:rsidRDefault="002457F6">
      <w:pPr>
        <w:spacing w:before="120" w:after="120"/>
        <w:jc w:val="both"/>
        <w:rPr>
          <w:noProof/>
        </w:rPr>
      </w:pPr>
      <w:r>
        <w:rPr>
          <w:noProof/>
        </w:rPr>
        <w:t xml:space="preserve">Pasākuma galvenais mērķis ir veicināt klimata atveseļošanu, uzlabojot skolu ēku drošību </w:t>
      </w:r>
      <w:r>
        <w:rPr>
          <w:noProof/>
        </w:rPr>
        <w:t>un enerģijas patēriņu. Jo īpaši pasākums palīdz uzlabot energoefektivitātes klases un samazināt patēriņu un CO2 emisijas, kā arī palielināt ēku strukturālo drošību. Īpašu uzmanību pievērš visnelabvēlīgākajiem apgabaliem, lai novērstu un novērstu ekonomisko</w:t>
      </w:r>
      <w:r>
        <w:rPr>
          <w:noProof/>
        </w:rPr>
        <w:t xml:space="preserve"> un sociālo nelīdzsvarotību. Ieguldījums neietver dabasgāzes katlu iepirkumu.</w:t>
      </w:r>
    </w:p>
    <w:p w14:paraId="2853FF76" w14:textId="77777777" w:rsidR="00C972CB" w:rsidRDefault="002457F6">
      <w:pPr>
        <w:pStyle w:val="P68B1DB1-Normal2"/>
        <w:spacing w:before="120" w:after="120"/>
        <w:jc w:val="both"/>
        <w:rPr>
          <w:noProof/>
        </w:rPr>
      </w:pPr>
      <w:r>
        <w:rPr>
          <w:noProof/>
        </w:rPr>
        <w:t>Ieguldījums 3.4. Mācīšana un padziļinātas universitātes prasmes</w:t>
      </w:r>
    </w:p>
    <w:p w14:paraId="397C2CE8" w14:textId="77777777" w:rsidR="00C972CB" w:rsidRDefault="002457F6">
      <w:pPr>
        <w:spacing w:before="120" w:after="120"/>
        <w:jc w:val="both"/>
        <w:rPr>
          <w:noProof/>
        </w:rPr>
      </w:pPr>
      <w:r>
        <w:rPr>
          <w:noProof/>
        </w:rPr>
        <w:t>Pasākuma mērķis ir kvalificēt un inovēt universitāšu programmas (tostarp doktorantūras programmas), izmantojot trī</w:t>
      </w:r>
      <w:r>
        <w:rPr>
          <w:noProof/>
        </w:rPr>
        <w:t xml:space="preserve">s stratēģiskos mērķus: digitalizācija; “inovācijas kultūra”; internacionalizācija. </w:t>
      </w:r>
    </w:p>
    <w:p w14:paraId="6BD38E5B" w14:textId="77777777" w:rsidR="00C972CB" w:rsidRDefault="002457F6">
      <w:pPr>
        <w:spacing w:before="120" w:after="120"/>
        <w:jc w:val="both"/>
        <w:rPr>
          <w:noProof/>
        </w:rPr>
      </w:pPr>
      <w:r>
        <w:rPr>
          <w:noProof/>
        </w:rPr>
        <w:t xml:space="preserve">Konkrētāk, īsteno šādus apakšpasākumus: </w:t>
      </w:r>
    </w:p>
    <w:p w14:paraId="2E091D3D" w14:textId="77777777" w:rsidR="00C972CB" w:rsidRDefault="002457F6">
      <w:pPr>
        <w:pStyle w:val="ListParagraph"/>
        <w:numPr>
          <w:ilvl w:val="0"/>
          <w:numId w:val="48"/>
        </w:numPr>
        <w:ind w:left="360"/>
        <w:rPr>
          <w:noProof/>
        </w:rPr>
      </w:pPr>
      <w:r>
        <w:rPr>
          <w:noProof/>
        </w:rPr>
        <w:t>Līdz 500 doktorantūras studentiem 3 gadu laikā (100+ 200+ 200+ 200) ir jābūt uzņemtiem programmās, kas paredzētas digitālajai un vi</w:t>
      </w:r>
      <w:r>
        <w:rPr>
          <w:noProof/>
        </w:rPr>
        <w:t>diskajai pārkārtošanai.</w:t>
      </w:r>
    </w:p>
    <w:p w14:paraId="2EB38175" w14:textId="77777777" w:rsidR="00C972CB" w:rsidRDefault="002457F6">
      <w:pPr>
        <w:pStyle w:val="ListParagraph"/>
        <w:numPr>
          <w:ilvl w:val="0"/>
          <w:numId w:val="48"/>
        </w:numPr>
        <w:ind w:left="360"/>
        <w:rPr>
          <w:noProof/>
        </w:rPr>
      </w:pPr>
      <w:r>
        <w:rPr>
          <w:noProof/>
        </w:rPr>
        <w:t>Trīs digitālās izglītības centru (DEH) izveide, lai uzlabotu augstākās izglītības sistēmas spēju piedāvāt digitālo izglītību studentiem un augstskolu darbiniekiem;</w:t>
      </w:r>
    </w:p>
    <w:p w14:paraId="377A263E" w14:textId="77777777" w:rsidR="00C972CB" w:rsidRDefault="002457F6">
      <w:pPr>
        <w:pStyle w:val="ListParagraph"/>
        <w:numPr>
          <w:ilvl w:val="0"/>
          <w:numId w:val="48"/>
        </w:numPr>
        <w:ind w:left="360"/>
        <w:rPr>
          <w:noProof/>
        </w:rPr>
      </w:pPr>
      <w:r>
        <w:rPr>
          <w:noProof/>
        </w:rPr>
        <w:t>Augstākās izglītības iestāžu stiprināšana</w:t>
      </w:r>
    </w:p>
    <w:p w14:paraId="6419EFF6" w14:textId="77777777" w:rsidR="00C972CB" w:rsidRDefault="002457F6">
      <w:pPr>
        <w:pStyle w:val="ListParagraph"/>
        <w:numPr>
          <w:ilvl w:val="0"/>
          <w:numId w:val="48"/>
        </w:numPr>
        <w:ind w:left="360"/>
        <w:rPr>
          <w:noProof/>
        </w:rPr>
      </w:pPr>
      <w:r>
        <w:rPr>
          <w:noProof/>
        </w:rPr>
        <w:t xml:space="preserve">Desmit transnacionālu </w:t>
      </w:r>
      <w:r>
        <w:rPr>
          <w:noProof/>
        </w:rPr>
        <w:t>izglītības iniciatīvu — TNE — īstenošana sadarbībā ar Ārlietu un starptautiskās sadarbības ministriju</w:t>
      </w:r>
    </w:p>
    <w:p w14:paraId="5217AF98" w14:textId="77777777" w:rsidR="00C972CB" w:rsidRDefault="002457F6">
      <w:pPr>
        <w:pStyle w:val="ListParagraph"/>
        <w:numPr>
          <w:ilvl w:val="0"/>
          <w:numId w:val="48"/>
        </w:numPr>
        <w:ind w:left="360"/>
        <w:rPr>
          <w:noProof/>
        </w:rPr>
      </w:pPr>
      <w:r>
        <w:rPr>
          <w:noProof/>
        </w:rPr>
        <w:t>Mākslas un mūzikas augstākās izglītības iestāžu (AFAM) internacionalizācijas pasākumi, atbalstot 15 AFAM iestāžu internacionalizācijas projektus, lai veic</w:t>
      </w:r>
      <w:r>
        <w:rPr>
          <w:noProof/>
        </w:rPr>
        <w:t>inātu to lomu ārvalstīs Itālijas kultūras saglabāšanā un veicināšanā</w:t>
      </w:r>
    </w:p>
    <w:p w14:paraId="452498EE" w14:textId="77777777" w:rsidR="00C972CB" w:rsidRDefault="002457F6">
      <w:pPr>
        <w:pStyle w:val="P68B1DB1-Normal2"/>
        <w:spacing w:before="120" w:after="120"/>
        <w:jc w:val="both"/>
        <w:rPr>
          <w:noProof/>
        </w:rPr>
      </w:pPr>
      <w:r>
        <w:rPr>
          <w:noProof/>
        </w:rPr>
        <w:t xml:space="preserve">Reforma: Doktorantūras programmu reforma  </w:t>
      </w:r>
    </w:p>
    <w:p w14:paraId="280BABD1" w14:textId="77777777" w:rsidR="00C972CB" w:rsidRDefault="002457F6">
      <w:pPr>
        <w:spacing w:before="120" w:after="120"/>
        <w:jc w:val="both"/>
        <w:rPr>
          <w:noProof/>
        </w:rPr>
      </w:pPr>
      <w:r>
        <w:rPr>
          <w:noProof/>
        </w:rPr>
        <w:t xml:space="preserve">Reformas mērķis ir atjaunināt noteikumus par doktorantūras programmām, vienkāršot procedūras uzņēmumu, pētniecības centru iesaistīšanai </w:t>
      </w:r>
      <w:r>
        <w:rPr>
          <w:noProof/>
        </w:rPr>
        <w:t>doktorantūras programmās un stiprināt lietišķos pētījumus. Ierosinātā reforma ir integrēta ar visiem ieguldījumiem, kas saistīti ar doktorantūras programmām mērķa jomā “Izglītība un pētniecība”.</w:t>
      </w:r>
    </w:p>
    <w:p w14:paraId="2B003E63" w14:textId="77777777" w:rsidR="00C972CB" w:rsidRDefault="002457F6">
      <w:pPr>
        <w:pStyle w:val="P68B1DB1-Normal2"/>
        <w:spacing w:before="120" w:after="120"/>
        <w:jc w:val="both"/>
        <w:rPr>
          <w:noProof/>
        </w:rPr>
      </w:pPr>
      <w:r>
        <w:rPr>
          <w:noProof/>
        </w:rPr>
        <w:t>Ieguldījums 4.1. Doktorantūras (uz pētniecību orientēta, vals</w:t>
      </w:r>
      <w:r>
        <w:rPr>
          <w:noProof/>
        </w:rPr>
        <w:t xml:space="preserve">ts pārvalde un kultūras mantojums) skaita un karjeras iespēju paplašināšana  </w:t>
      </w:r>
    </w:p>
    <w:p w14:paraId="4366247F" w14:textId="6F91466F" w:rsidR="00C972CB" w:rsidRDefault="002457F6">
      <w:pPr>
        <w:spacing w:before="120" w:after="120"/>
        <w:jc w:val="both"/>
        <w:rPr>
          <w:noProof/>
        </w:rPr>
      </w:pPr>
      <w:r>
        <w:rPr>
          <w:noProof/>
        </w:rPr>
        <w:t>Pasākuma mērķis ir palielināt cilvēkkapitālu, kas paredzēts uz pētniecību orientētām darbībām, valsts pārvaldei un kultūras mantojumam. Ieguldījums paredz izveidot 1200 papildu v</w:t>
      </w:r>
      <w:r>
        <w:rPr>
          <w:noProof/>
        </w:rPr>
        <w:t>ispārējās doktorantūras stipendiju programmas, ko piešķir gadā (trīs gados), 1000</w:t>
      </w:r>
      <w:r>
        <w:rPr>
          <w:rFonts w:ascii="Arial Narrow" w:hAnsi="Arial Narrow"/>
          <w:noProof/>
          <w:color w:val="006100"/>
          <w:sz w:val="20"/>
        </w:rPr>
        <w:t xml:space="preserve"> </w:t>
      </w:r>
      <w:r>
        <w:rPr>
          <w:noProof/>
        </w:rPr>
        <w:t>papildu doktorantūras stipendiju programmas valsts pārvaldē gadā (trīs gados) un vismaz 200 jaunas doktorantūras stipendiju programmas kultūras mantojuma jomā gadā (trīs gado</w:t>
      </w:r>
      <w:r>
        <w:rPr>
          <w:noProof/>
        </w:rPr>
        <w:t xml:space="preserve">s). </w:t>
      </w:r>
    </w:p>
    <w:p w14:paraId="5FF654DF" w14:textId="77777777" w:rsidR="00C972CB" w:rsidRDefault="002457F6">
      <w:pPr>
        <w:pStyle w:val="Heading3"/>
        <w:numPr>
          <w:ilvl w:val="0"/>
          <w:numId w:val="0"/>
        </w:numPr>
        <w:ind w:left="850" w:hanging="850"/>
        <w:rPr>
          <w:b/>
          <w:i w:val="0"/>
          <w:noProof/>
          <w:u w:val="single"/>
        </w:rPr>
      </w:pPr>
      <w:r>
        <w:rPr>
          <w:b/>
          <w:i w:val="0"/>
          <w:noProof/>
          <w:u w:val="single"/>
        </w:rPr>
        <w:t xml:space="preserve">J.2. </w:t>
      </w:r>
      <w:r>
        <w:rPr>
          <w:noProof/>
        </w:rPr>
        <w:tab/>
      </w:r>
      <w:r>
        <w:rPr>
          <w:b/>
          <w:i w:val="0"/>
          <w:noProof/>
          <w:u w:val="single"/>
        </w:rPr>
        <w:t>Atskaites punkti, mērķrādītāji, citi rādītāji un neatmaksājamā finansiālā atbalsta uzraudzības un īstenošanas grafiks</w:t>
      </w:r>
    </w:p>
    <w:p w14:paraId="0822D9CA" w14:textId="77777777" w:rsidR="00C972CB" w:rsidRDefault="00C972CB">
      <w:pPr>
        <w:spacing w:before="120" w:after="120"/>
        <w:ind w:left="709"/>
        <w:jc w:val="both"/>
        <w:rPr>
          <w:noProof/>
        </w:rPr>
        <w:sectPr w:rsidR="00C972CB">
          <w:headerReference w:type="even" r:id="rId230"/>
          <w:headerReference w:type="default" r:id="rId231"/>
          <w:footerReference w:type="even" r:id="rId232"/>
          <w:footerReference w:type="default" r:id="rId233"/>
          <w:headerReference w:type="first" r:id="rId234"/>
          <w:footerReference w:type="first" r:id="rId235"/>
          <w:pgSz w:w="11907" w:h="16839"/>
          <w:pgMar w:top="1440" w:right="1440" w:bottom="1440" w:left="1440" w:header="567" w:footer="567" w:gutter="0"/>
          <w:cols w:space="720"/>
          <w:docGrid w:linePitch="360"/>
        </w:sect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488"/>
        <w:gridCol w:w="1065"/>
        <w:gridCol w:w="1702"/>
        <w:gridCol w:w="1428"/>
        <w:gridCol w:w="1256"/>
        <w:gridCol w:w="1116"/>
        <w:gridCol w:w="1021"/>
        <w:gridCol w:w="851"/>
        <w:gridCol w:w="708"/>
        <w:gridCol w:w="3112"/>
      </w:tblGrid>
      <w:tr w:rsidR="00C972CB" w14:paraId="454A1A4E" w14:textId="77777777">
        <w:trPr>
          <w:trHeight w:val="927"/>
          <w:tblHeader/>
        </w:trPr>
        <w:tc>
          <w:tcPr>
            <w:tcW w:w="380" w:type="pct"/>
            <w:vMerge w:val="restart"/>
            <w:shd w:val="clear" w:color="auto" w:fill="BDD7EE"/>
            <w:vAlign w:val="center"/>
            <w:hideMark/>
          </w:tcPr>
          <w:p w14:paraId="3C09C7A4" w14:textId="77777777" w:rsidR="00C972CB" w:rsidRDefault="002457F6">
            <w:pPr>
              <w:pStyle w:val="P68B1DB1-Normal9"/>
              <w:jc w:val="center"/>
              <w:rPr>
                <w:noProof/>
              </w:rPr>
            </w:pPr>
            <w:r>
              <w:rPr>
                <w:noProof/>
              </w:rPr>
              <w:t>Kārtas numurs</w:t>
            </w:r>
          </w:p>
        </w:tc>
        <w:tc>
          <w:tcPr>
            <w:tcW w:w="500" w:type="pct"/>
            <w:vMerge w:val="restart"/>
            <w:shd w:val="clear" w:color="auto" w:fill="BDD7EE"/>
            <w:vAlign w:val="center"/>
            <w:hideMark/>
          </w:tcPr>
          <w:p w14:paraId="5E3CAD54" w14:textId="77777777" w:rsidR="00C972CB" w:rsidRDefault="002457F6">
            <w:pPr>
              <w:pStyle w:val="P68B1DB1-Normal9"/>
              <w:jc w:val="center"/>
              <w:rPr>
                <w:noProof/>
              </w:rPr>
            </w:pPr>
            <w:r>
              <w:rPr>
                <w:noProof/>
              </w:rPr>
              <w:t>Pasākums (reforma vai investīcija)</w:t>
            </w:r>
          </w:p>
        </w:tc>
        <w:tc>
          <w:tcPr>
            <w:tcW w:w="358" w:type="pct"/>
            <w:vMerge w:val="restart"/>
            <w:shd w:val="clear" w:color="auto" w:fill="BDD7EE"/>
            <w:vAlign w:val="center"/>
            <w:hideMark/>
          </w:tcPr>
          <w:p w14:paraId="58D245AF" w14:textId="77777777" w:rsidR="00C972CB" w:rsidRDefault="002457F6">
            <w:pPr>
              <w:pStyle w:val="P68B1DB1-Normal9"/>
              <w:jc w:val="center"/>
              <w:rPr>
                <w:noProof/>
              </w:rPr>
            </w:pPr>
            <w:r>
              <w:rPr>
                <w:noProof/>
              </w:rPr>
              <w:t>Atskaites punkts/mērķrādītājs</w:t>
            </w:r>
          </w:p>
        </w:tc>
        <w:tc>
          <w:tcPr>
            <w:tcW w:w="572" w:type="pct"/>
            <w:vMerge w:val="restart"/>
            <w:shd w:val="clear" w:color="auto" w:fill="BDD7EE"/>
            <w:vAlign w:val="center"/>
            <w:hideMark/>
          </w:tcPr>
          <w:p w14:paraId="15C82012" w14:textId="77777777" w:rsidR="00C972CB" w:rsidRDefault="002457F6">
            <w:pPr>
              <w:pStyle w:val="P68B1DB1-Normal9"/>
              <w:jc w:val="center"/>
              <w:rPr>
                <w:noProof/>
              </w:rPr>
            </w:pPr>
            <w:r>
              <w:rPr>
                <w:noProof/>
              </w:rPr>
              <w:t>Uzvārds</w:t>
            </w:r>
          </w:p>
        </w:tc>
        <w:tc>
          <w:tcPr>
            <w:tcW w:w="480" w:type="pct"/>
            <w:vMerge w:val="restart"/>
            <w:shd w:val="clear" w:color="auto" w:fill="BDD7EE"/>
            <w:vAlign w:val="center"/>
            <w:hideMark/>
          </w:tcPr>
          <w:p w14:paraId="39830FAE"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1140" w:type="pct"/>
            <w:gridSpan w:val="3"/>
            <w:shd w:val="clear" w:color="auto" w:fill="BDD7EE"/>
            <w:vAlign w:val="center"/>
            <w:hideMark/>
          </w:tcPr>
          <w:p w14:paraId="73FD6870"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524" w:type="pct"/>
            <w:gridSpan w:val="2"/>
            <w:shd w:val="clear" w:color="auto" w:fill="BDD7EE"/>
            <w:vAlign w:val="center"/>
            <w:hideMark/>
          </w:tcPr>
          <w:p w14:paraId="5B9C95E9" w14:textId="77777777" w:rsidR="00C972CB" w:rsidRDefault="002457F6">
            <w:pPr>
              <w:pStyle w:val="P68B1DB1-Normal9"/>
              <w:jc w:val="center"/>
              <w:rPr>
                <w:noProof/>
              </w:rPr>
            </w:pPr>
            <w:r>
              <w:rPr>
                <w:noProof/>
              </w:rPr>
              <w:t>Orientējošs pabeigšanas termiņš</w:t>
            </w:r>
          </w:p>
        </w:tc>
        <w:tc>
          <w:tcPr>
            <w:tcW w:w="1047" w:type="pct"/>
            <w:vMerge w:val="restart"/>
            <w:shd w:val="clear" w:color="auto" w:fill="BDD7EE"/>
            <w:vAlign w:val="center"/>
            <w:hideMark/>
          </w:tcPr>
          <w:p w14:paraId="212FE3FD" w14:textId="77777777" w:rsidR="00C972CB" w:rsidRDefault="002457F6">
            <w:pPr>
              <w:pStyle w:val="P68B1DB1-Normal9"/>
              <w:jc w:val="center"/>
              <w:rPr>
                <w:noProof/>
              </w:rPr>
            </w:pPr>
            <w:r>
              <w:rPr>
                <w:noProof/>
              </w:rPr>
              <w:t>Apraksts par katru atskaites punktu un mērķrādītāju</w:t>
            </w:r>
          </w:p>
        </w:tc>
      </w:tr>
      <w:tr w:rsidR="00C972CB" w14:paraId="07AE8911" w14:textId="77777777">
        <w:trPr>
          <w:trHeight w:val="612"/>
        </w:trPr>
        <w:tc>
          <w:tcPr>
            <w:tcW w:w="380" w:type="pct"/>
            <w:vMerge/>
            <w:vAlign w:val="center"/>
            <w:hideMark/>
          </w:tcPr>
          <w:p w14:paraId="46E0016B" w14:textId="77777777" w:rsidR="00C972CB" w:rsidRDefault="00C972CB">
            <w:pPr>
              <w:jc w:val="center"/>
              <w:rPr>
                <w:rFonts w:ascii="Arial Narrow" w:hAnsi="Arial Narrow"/>
                <w:b/>
                <w:noProof/>
                <w:sz w:val="20"/>
              </w:rPr>
            </w:pPr>
          </w:p>
        </w:tc>
        <w:tc>
          <w:tcPr>
            <w:tcW w:w="500" w:type="pct"/>
            <w:vMerge/>
            <w:vAlign w:val="center"/>
            <w:hideMark/>
          </w:tcPr>
          <w:p w14:paraId="1AA352F8" w14:textId="77777777" w:rsidR="00C972CB" w:rsidRDefault="00C972CB">
            <w:pPr>
              <w:jc w:val="center"/>
              <w:rPr>
                <w:rFonts w:ascii="Arial Narrow" w:hAnsi="Arial Narrow"/>
                <w:b/>
                <w:noProof/>
                <w:sz w:val="20"/>
              </w:rPr>
            </w:pPr>
          </w:p>
        </w:tc>
        <w:tc>
          <w:tcPr>
            <w:tcW w:w="358" w:type="pct"/>
            <w:vMerge/>
            <w:vAlign w:val="center"/>
            <w:hideMark/>
          </w:tcPr>
          <w:p w14:paraId="06B2B98E" w14:textId="77777777" w:rsidR="00C972CB" w:rsidRDefault="00C972CB">
            <w:pPr>
              <w:jc w:val="center"/>
              <w:rPr>
                <w:rFonts w:ascii="Arial Narrow" w:hAnsi="Arial Narrow"/>
                <w:b/>
                <w:noProof/>
                <w:sz w:val="20"/>
              </w:rPr>
            </w:pPr>
          </w:p>
        </w:tc>
        <w:tc>
          <w:tcPr>
            <w:tcW w:w="572" w:type="pct"/>
            <w:vMerge/>
            <w:vAlign w:val="center"/>
            <w:hideMark/>
          </w:tcPr>
          <w:p w14:paraId="11853EAD" w14:textId="77777777" w:rsidR="00C972CB" w:rsidRDefault="00C972CB">
            <w:pPr>
              <w:jc w:val="center"/>
              <w:rPr>
                <w:rFonts w:ascii="Arial Narrow" w:hAnsi="Arial Narrow"/>
                <w:b/>
                <w:noProof/>
                <w:sz w:val="20"/>
              </w:rPr>
            </w:pPr>
          </w:p>
        </w:tc>
        <w:tc>
          <w:tcPr>
            <w:tcW w:w="480" w:type="pct"/>
            <w:vMerge/>
            <w:vAlign w:val="center"/>
            <w:hideMark/>
          </w:tcPr>
          <w:p w14:paraId="3FC22E44" w14:textId="77777777" w:rsidR="00C972CB" w:rsidRDefault="00C972CB">
            <w:pPr>
              <w:jc w:val="center"/>
              <w:rPr>
                <w:rFonts w:ascii="Arial Narrow" w:hAnsi="Arial Narrow"/>
                <w:b/>
                <w:noProof/>
                <w:sz w:val="20"/>
              </w:rPr>
            </w:pPr>
          </w:p>
        </w:tc>
        <w:tc>
          <w:tcPr>
            <w:tcW w:w="422" w:type="pct"/>
            <w:shd w:val="clear" w:color="auto" w:fill="BDD7EE"/>
            <w:vAlign w:val="center"/>
            <w:hideMark/>
          </w:tcPr>
          <w:p w14:paraId="1775C21E" w14:textId="77777777" w:rsidR="00C972CB" w:rsidRDefault="002457F6">
            <w:pPr>
              <w:pStyle w:val="P68B1DB1-Normal9"/>
              <w:jc w:val="center"/>
              <w:rPr>
                <w:noProof/>
              </w:rPr>
            </w:pPr>
            <w:r>
              <w:rPr>
                <w:noProof/>
              </w:rPr>
              <w:t>Mēra vienība</w:t>
            </w:r>
          </w:p>
        </w:tc>
        <w:tc>
          <w:tcPr>
            <w:tcW w:w="375" w:type="pct"/>
            <w:shd w:val="clear" w:color="auto" w:fill="BDD7EE"/>
            <w:vAlign w:val="center"/>
            <w:hideMark/>
          </w:tcPr>
          <w:p w14:paraId="1BA4C374" w14:textId="77777777" w:rsidR="00C972CB" w:rsidRDefault="002457F6">
            <w:pPr>
              <w:pStyle w:val="P68B1DB1-Normal9"/>
              <w:jc w:val="center"/>
              <w:rPr>
                <w:noProof/>
              </w:rPr>
            </w:pPr>
            <w:r>
              <w:rPr>
                <w:noProof/>
              </w:rPr>
              <w:t>Pamatscenārijs</w:t>
            </w:r>
          </w:p>
        </w:tc>
        <w:tc>
          <w:tcPr>
            <w:tcW w:w="343" w:type="pct"/>
            <w:shd w:val="clear" w:color="auto" w:fill="BDD7EE"/>
            <w:vAlign w:val="center"/>
            <w:hideMark/>
          </w:tcPr>
          <w:p w14:paraId="1AEB08B8" w14:textId="77777777" w:rsidR="00C972CB" w:rsidRDefault="002457F6">
            <w:pPr>
              <w:pStyle w:val="P68B1DB1-Normal9"/>
              <w:jc w:val="center"/>
              <w:rPr>
                <w:noProof/>
              </w:rPr>
            </w:pPr>
            <w:r>
              <w:rPr>
                <w:noProof/>
              </w:rPr>
              <w:t>Mērķis</w:t>
            </w:r>
          </w:p>
        </w:tc>
        <w:tc>
          <w:tcPr>
            <w:tcW w:w="286" w:type="pct"/>
            <w:shd w:val="clear" w:color="auto" w:fill="BDD7EE"/>
            <w:vAlign w:val="center"/>
            <w:hideMark/>
          </w:tcPr>
          <w:p w14:paraId="45BA2A93" w14:textId="77777777" w:rsidR="00C972CB" w:rsidRDefault="002457F6">
            <w:pPr>
              <w:pStyle w:val="P68B1DB1-Normal9"/>
              <w:jc w:val="center"/>
              <w:rPr>
                <w:noProof/>
              </w:rPr>
            </w:pPr>
            <w:r>
              <w:rPr>
                <w:noProof/>
              </w:rPr>
              <w:t>Ceturtdaļa</w:t>
            </w:r>
          </w:p>
        </w:tc>
        <w:tc>
          <w:tcPr>
            <w:tcW w:w="238" w:type="pct"/>
            <w:shd w:val="clear" w:color="auto" w:fill="BDD7EE"/>
            <w:vAlign w:val="center"/>
            <w:hideMark/>
          </w:tcPr>
          <w:p w14:paraId="120017EE" w14:textId="77777777" w:rsidR="00C972CB" w:rsidRDefault="002457F6">
            <w:pPr>
              <w:pStyle w:val="P68B1DB1-Normal9"/>
              <w:jc w:val="center"/>
              <w:rPr>
                <w:noProof/>
              </w:rPr>
            </w:pPr>
            <w:r>
              <w:rPr>
                <w:noProof/>
              </w:rPr>
              <w:t>Gadā</w:t>
            </w:r>
          </w:p>
        </w:tc>
        <w:tc>
          <w:tcPr>
            <w:tcW w:w="1047" w:type="pct"/>
            <w:vMerge/>
            <w:vAlign w:val="center"/>
            <w:hideMark/>
          </w:tcPr>
          <w:p w14:paraId="28A2C6BA" w14:textId="77777777" w:rsidR="00C972CB" w:rsidRDefault="00C972CB">
            <w:pPr>
              <w:rPr>
                <w:rFonts w:ascii="Arial Narrow" w:hAnsi="Arial Narrow"/>
                <w:b/>
                <w:noProof/>
                <w:sz w:val="20"/>
              </w:rPr>
            </w:pPr>
          </w:p>
        </w:tc>
      </w:tr>
      <w:tr w:rsidR="00C972CB" w14:paraId="2004969A" w14:textId="77777777">
        <w:trPr>
          <w:trHeight w:val="309"/>
        </w:trPr>
        <w:tc>
          <w:tcPr>
            <w:tcW w:w="380" w:type="pct"/>
            <w:shd w:val="clear" w:color="auto" w:fill="C6EFCE"/>
            <w:noWrap/>
            <w:vAlign w:val="center"/>
            <w:hideMark/>
          </w:tcPr>
          <w:p w14:paraId="4DCD0D31" w14:textId="77777777" w:rsidR="00C972CB" w:rsidRDefault="002457F6">
            <w:pPr>
              <w:pStyle w:val="P68B1DB1-Normal11"/>
              <w:jc w:val="center"/>
              <w:rPr>
                <w:noProof/>
              </w:rPr>
            </w:pPr>
            <w:r>
              <w:rPr>
                <w:noProof/>
              </w:rPr>
              <w:t>M4C1–1</w:t>
            </w:r>
          </w:p>
        </w:tc>
        <w:tc>
          <w:tcPr>
            <w:tcW w:w="500" w:type="pct"/>
            <w:shd w:val="clear" w:color="auto" w:fill="C6EFCE"/>
            <w:noWrap/>
            <w:vAlign w:val="center"/>
            <w:hideMark/>
          </w:tcPr>
          <w:p w14:paraId="4E7FFD99" w14:textId="77777777" w:rsidR="00C972CB" w:rsidRDefault="002457F6">
            <w:pPr>
              <w:pStyle w:val="P68B1DB1-Normal11"/>
              <w:jc w:val="center"/>
              <w:rPr>
                <w:noProof/>
              </w:rPr>
            </w:pPr>
            <w:r>
              <w:rPr>
                <w:noProof/>
              </w:rPr>
              <w:t xml:space="preserve">Reforma: </w:t>
            </w:r>
            <w:r>
              <w:rPr>
                <w:noProof/>
              </w:rPr>
              <w:t>Universitātes grāda grupu reforma; Reforma. Veicināt augstskolu diplomu reformu; Reforma: Doktorantūras programmu reforma</w:t>
            </w:r>
          </w:p>
        </w:tc>
        <w:tc>
          <w:tcPr>
            <w:tcW w:w="358" w:type="pct"/>
            <w:shd w:val="clear" w:color="auto" w:fill="C6EFCE"/>
            <w:noWrap/>
            <w:vAlign w:val="center"/>
            <w:hideMark/>
          </w:tcPr>
          <w:p w14:paraId="1F30A688" w14:textId="77777777" w:rsidR="00C972CB" w:rsidRDefault="002457F6">
            <w:pPr>
              <w:pStyle w:val="P68B1DB1-Normal11"/>
              <w:jc w:val="center"/>
              <w:rPr>
                <w:noProof/>
              </w:rPr>
            </w:pPr>
            <w:r>
              <w:rPr>
                <w:noProof/>
              </w:rPr>
              <w:t>Starpposma mērķis</w:t>
            </w:r>
          </w:p>
        </w:tc>
        <w:tc>
          <w:tcPr>
            <w:tcW w:w="572" w:type="pct"/>
            <w:shd w:val="clear" w:color="auto" w:fill="C6EFCE"/>
            <w:noWrap/>
            <w:vAlign w:val="center"/>
            <w:hideMark/>
          </w:tcPr>
          <w:p w14:paraId="287181FB" w14:textId="77777777" w:rsidR="00C972CB" w:rsidRDefault="002457F6">
            <w:pPr>
              <w:pStyle w:val="P68B1DB1-Normal11"/>
              <w:jc w:val="center"/>
              <w:rPr>
                <w:noProof/>
              </w:rPr>
            </w:pPr>
            <w:r>
              <w:rPr>
                <w:noProof/>
              </w:rPr>
              <w:t xml:space="preserve">Stājas spēkā terciārās izglītības sistēmas reformas, lai uzlabotu izglītības rezultātus (pamattiesību akti) šādās </w:t>
            </w:r>
            <w:r>
              <w:rPr>
                <w:noProof/>
              </w:rPr>
              <w:t>jomās: dot iespēju iegūt akadēmiskos grādus; augstākās izglītības grupas; doktorantūras programmu reforma</w:t>
            </w:r>
          </w:p>
        </w:tc>
        <w:tc>
          <w:tcPr>
            <w:tcW w:w="480" w:type="pct"/>
            <w:shd w:val="clear" w:color="auto" w:fill="C6EFCE"/>
            <w:noWrap/>
            <w:vAlign w:val="center"/>
            <w:hideMark/>
          </w:tcPr>
          <w:p w14:paraId="2594341B" w14:textId="77777777" w:rsidR="00C972CB" w:rsidRDefault="002457F6">
            <w:pPr>
              <w:pStyle w:val="P68B1DB1-Normal11"/>
              <w:jc w:val="center"/>
              <w:rPr>
                <w:noProof/>
              </w:rPr>
            </w:pPr>
            <w:r>
              <w:rPr>
                <w:noProof/>
              </w:rPr>
              <w:t>Likuma noteikums par reformu stāšanos spēkā</w:t>
            </w:r>
          </w:p>
        </w:tc>
        <w:tc>
          <w:tcPr>
            <w:tcW w:w="422" w:type="pct"/>
            <w:shd w:val="clear" w:color="auto" w:fill="C6EFCE"/>
            <w:noWrap/>
            <w:vAlign w:val="center"/>
            <w:hideMark/>
          </w:tcPr>
          <w:p w14:paraId="419FB2F2" w14:textId="77777777" w:rsidR="00C972CB" w:rsidRDefault="002457F6">
            <w:pPr>
              <w:pStyle w:val="P68B1DB1-Normal11"/>
              <w:jc w:val="center"/>
              <w:rPr>
                <w:noProof/>
              </w:rPr>
            </w:pPr>
            <w:r>
              <w:rPr>
                <w:noProof/>
              </w:rPr>
              <w:t>NEPIEMĒRO</w:t>
            </w:r>
          </w:p>
        </w:tc>
        <w:tc>
          <w:tcPr>
            <w:tcW w:w="375" w:type="pct"/>
            <w:shd w:val="clear" w:color="auto" w:fill="C6EFCE"/>
            <w:noWrap/>
            <w:vAlign w:val="center"/>
            <w:hideMark/>
          </w:tcPr>
          <w:p w14:paraId="26A0BE2A" w14:textId="77777777" w:rsidR="00C972CB" w:rsidRDefault="002457F6">
            <w:pPr>
              <w:pStyle w:val="P68B1DB1-Normal11"/>
              <w:jc w:val="center"/>
              <w:rPr>
                <w:noProof/>
              </w:rPr>
            </w:pPr>
            <w:r>
              <w:rPr>
                <w:noProof/>
              </w:rPr>
              <w:t>NEPIEMĒRO</w:t>
            </w:r>
          </w:p>
        </w:tc>
        <w:tc>
          <w:tcPr>
            <w:tcW w:w="343" w:type="pct"/>
            <w:shd w:val="clear" w:color="auto" w:fill="C6EFCE"/>
            <w:noWrap/>
            <w:vAlign w:val="center"/>
            <w:hideMark/>
          </w:tcPr>
          <w:p w14:paraId="7FAC1956" w14:textId="77777777" w:rsidR="00C972CB" w:rsidRDefault="002457F6">
            <w:pPr>
              <w:pStyle w:val="P68B1DB1-Normal11"/>
              <w:jc w:val="center"/>
              <w:rPr>
                <w:noProof/>
              </w:rPr>
            </w:pPr>
            <w:r>
              <w:rPr>
                <w:noProof/>
              </w:rPr>
              <w:t>NEPIEMĒRO</w:t>
            </w:r>
          </w:p>
        </w:tc>
        <w:tc>
          <w:tcPr>
            <w:tcW w:w="286" w:type="pct"/>
            <w:shd w:val="clear" w:color="auto" w:fill="C6EFCE"/>
            <w:noWrap/>
            <w:vAlign w:val="center"/>
            <w:hideMark/>
          </w:tcPr>
          <w:p w14:paraId="0854EE68" w14:textId="77777777" w:rsidR="00C972CB" w:rsidRDefault="002457F6">
            <w:pPr>
              <w:pStyle w:val="P68B1DB1-Normal11"/>
              <w:jc w:val="center"/>
              <w:rPr>
                <w:noProof/>
              </w:rPr>
            </w:pPr>
            <w:r>
              <w:rPr>
                <w:noProof/>
              </w:rPr>
              <w:t>4. CET.</w:t>
            </w:r>
          </w:p>
        </w:tc>
        <w:tc>
          <w:tcPr>
            <w:tcW w:w="238" w:type="pct"/>
            <w:shd w:val="clear" w:color="auto" w:fill="C6EFCE"/>
            <w:noWrap/>
            <w:vAlign w:val="center"/>
            <w:hideMark/>
          </w:tcPr>
          <w:p w14:paraId="3D4AD07E" w14:textId="77777777" w:rsidR="00C972CB" w:rsidRDefault="002457F6">
            <w:pPr>
              <w:pStyle w:val="P68B1DB1-Normal11"/>
              <w:jc w:val="center"/>
              <w:rPr>
                <w:noProof/>
              </w:rPr>
            </w:pPr>
            <w:r>
              <w:rPr>
                <w:noProof/>
              </w:rPr>
              <w:t>2021</w:t>
            </w:r>
          </w:p>
        </w:tc>
        <w:tc>
          <w:tcPr>
            <w:tcW w:w="1047" w:type="pct"/>
            <w:shd w:val="clear" w:color="auto" w:fill="C6EFCE"/>
            <w:noWrap/>
            <w:vAlign w:val="center"/>
            <w:hideMark/>
          </w:tcPr>
          <w:p w14:paraId="7A2D3AE6" w14:textId="77777777" w:rsidR="00C972CB" w:rsidRDefault="00C972CB">
            <w:pPr>
              <w:rPr>
                <w:rFonts w:ascii="Arial Narrow" w:eastAsia="Calibri" w:hAnsi="Arial Narrow"/>
                <w:noProof/>
                <w:color w:val="006100"/>
                <w:sz w:val="20"/>
              </w:rPr>
            </w:pPr>
          </w:p>
          <w:p w14:paraId="3439948C" w14:textId="395F33F7" w:rsidR="00C972CB" w:rsidRDefault="002457F6">
            <w:pPr>
              <w:pStyle w:val="P68B1DB1-Normal10"/>
              <w:rPr>
                <w:noProof/>
                <w:color w:val="006100"/>
                <w:sz w:val="20"/>
              </w:rPr>
            </w:pPr>
            <w:r>
              <w:rPr>
                <w:noProof/>
                <w:color w:val="006100"/>
                <w:sz w:val="20"/>
              </w:rPr>
              <w:t xml:space="preserve">Reformas ietver vismaz šādus galvenos elementus: </w:t>
            </w:r>
            <w:r>
              <w:rPr>
                <w:noProof/>
              </w:rPr>
              <w:t xml:space="preserve"> </w:t>
            </w:r>
            <w:r>
              <w:rPr>
                <w:noProof/>
              </w:rPr>
              <w:br/>
            </w:r>
            <w:r>
              <w:rPr>
                <w:noProof/>
                <w:color w:val="006100"/>
                <w:sz w:val="20"/>
              </w:rPr>
              <w:t xml:space="preserve">iniciatīvas augstskolu grādu grupu reformēšanai, ieviešot lielāku elastību, lai apmierinātu augošo pieprasījumu pēc prasmēm darba tirgū; </w:t>
            </w:r>
            <w:r>
              <w:rPr>
                <w:noProof/>
              </w:rPr>
              <w:t xml:space="preserve"> </w:t>
            </w:r>
            <w:r>
              <w:rPr>
                <w:noProof/>
              </w:rPr>
              <w:br/>
            </w:r>
            <w:r>
              <w:rPr>
                <w:noProof/>
                <w:color w:val="006100"/>
                <w:sz w:val="20"/>
              </w:rPr>
              <w:t>iniciatīvas, lai reformētu iespējas iegūt augstāko izglītību, lai vienkāršotu un paātrinātu piekļuvi profesijām;</w:t>
            </w:r>
            <w:r>
              <w:rPr>
                <w:noProof/>
              </w:rPr>
              <w:t xml:space="preserve"> </w:t>
            </w:r>
            <w:r>
              <w:rPr>
                <w:noProof/>
              </w:rPr>
              <w:br/>
            </w:r>
            <w:r>
              <w:rPr>
                <w:noProof/>
                <w:color w:val="006100"/>
                <w:sz w:val="20"/>
              </w:rPr>
              <w:t>ini</w:t>
            </w:r>
            <w:r>
              <w:rPr>
                <w:noProof/>
                <w:color w:val="006100"/>
                <w:sz w:val="20"/>
              </w:rPr>
              <w:t>ciatīvas PHD programmu reformai, lai labāk iesaistītu uzņēmumus un veicinātu lietišķo pētniecību;</w:t>
            </w:r>
            <w:r>
              <w:rPr>
                <w:noProof/>
              </w:rPr>
              <w:t xml:space="preserve"> </w:t>
            </w:r>
            <w:r>
              <w:rPr>
                <w:noProof/>
              </w:rPr>
              <w:br/>
            </w:r>
            <w:r>
              <w:rPr>
                <w:noProof/>
                <w:color w:val="006100"/>
                <w:sz w:val="20"/>
              </w:rPr>
              <w:t>Pasākumi terciārās profesionālās izglītības sistēmas reformai, tostarp saiknes stiprināšana un iespējamā pāreja ar profesionāliem grādiem (lauree professiona</w:t>
            </w:r>
            <w:r>
              <w:rPr>
                <w:noProof/>
                <w:color w:val="006100"/>
                <w:sz w:val="20"/>
              </w:rPr>
              <w:t>lizzanti), lai apmierinātu darba tirgus pieprasījumu pēc tehniskajām prasmēm</w:t>
            </w:r>
          </w:p>
        </w:tc>
      </w:tr>
      <w:tr w:rsidR="00C972CB" w14:paraId="5B99B569" w14:textId="77777777">
        <w:trPr>
          <w:trHeight w:val="309"/>
        </w:trPr>
        <w:tc>
          <w:tcPr>
            <w:tcW w:w="380" w:type="pct"/>
            <w:shd w:val="clear" w:color="auto" w:fill="C6EFCE"/>
            <w:noWrap/>
            <w:vAlign w:val="center"/>
          </w:tcPr>
          <w:p w14:paraId="6B126051" w14:textId="77777777" w:rsidR="00C972CB" w:rsidRDefault="002457F6">
            <w:pPr>
              <w:pStyle w:val="P68B1DB1-Normal11"/>
              <w:jc w:val="center"/>
              <w:rPr>
                <w:noProof/>
              </w:rPr>
            </w:pPr>
            <w:r>
              <w:rPr>
                <w:noProof/>
              </w:rPr>
              <w:t>M4C1–2</w:t>
            </w:r>
          </w:p>
        </w:tc>
        <w:tc>
          <w:tcPr>
            <w:tcW w:w="500" w:type="pct"/>
            <w:shd w:val="clear" w:color="auto" w:fill="C6EFCE"/>
            <w:noWrap/>
            <w:vAlign w:val="center"/>
          </w:tcPr>
          <w:p w14:paraId="3B06037B" w14:textId="77777777" w:rsidR="00C972CB" w:rsidRDefault="002457F6">
            <w:pPr>
              <w:pStyle w:val="P68B1DB1-Normal11"/>
              <w:jc w:val="center"/>
              <w:rPr>
                <w:noProof/>
              </w:rPr>
            </w:pPr>
            <w:r>
              <w:rPr>
                <w:noProof/>
              </w:rPr>
              <w:t>Ieguldījums 1.7. Stipendijas par piekļuvi universitātēm</w:t>
            </w:r>
          </w:p>
        </w:tc>
        <w:tc>
          <w:tcPr>
            <w:tcW w:w="358" w:type="pct"/>
            <w:shd w:val="clear" w:color="auto" w:fill="C6EFCE"/>
            <w:noWrap/>
            <w:vAlign w:val="center"/>
          </w:tcPr>
          <w:p w14:paraId="70C0497E" w14:textId="77777777" w:rsidR="00C972CB" w:rsidRDefault="002457F6">
            <w:pPr>
              <w:pStyle w:val="P68B1DB1-Normal11"/>
              <w:jc w:val="center"/>
              <w:rPr>
                <w:noProof/>
              </w:rPr>
            </w:pPr>
            <w:r>
              <w:rPr>
                <w:noProof/>
              </w:rPr>
              <w:t>Starpposma mērķis</w:t>
            </w:r>
          </w:p>
        </w:tc>
        <w:tc>
          <w:tcPr>
            <w:tcW w:w="572" w:type="pct"/>
            <w:shd w:val="clear" w:color="auto" w:fill="C6EFCE"/>
            <w:noWrap/>
            <w:vAlign w:val="center"/>
          </w:tcPr>
          <w:p w14:paraId="1BD04F60" w14:textId="77777777" w:rsidR="00C972CB" w:rsidRDefault="002457F6">
            <w:pPr>
              <w:pStyle w:val="P68B1DB1-Normal11"/>
              <w:jc w:val="center"/>
              <w:rPr>
                <w:noProof/>
              </w:rPr>
            </w:pPr>
            <w:r>
              <w:rPr>
                <w:noProof/>
              </w:rPr>
              <w:t xml:space="preserve">Stājas spēkā ministrijas dekrēti par reformām attiecībā uz stipendijām, lai uzlabotu piekļuvi </w:t>
            </w:r>
            <w:r>
              <w:rPr>
                <w:noProof/>
              </w:rPr>
              <w:t>augstākajai izglītībai</w:t>
            </w:r>
          </w:p>
        </w:tc>
        <w:tc>
          <w:tcPr>
            <w:tcW w:w="480" w:type="pct"/>
            <w:shd w:val="clear" w:color="auto" w:fill="C6EFCE"/>
            <w:noWrap/>
            <w:vAlign w:val="center"/>
          </w:tcPr>
          <w:p w14:paraId="2181DF3B" w14:textId="77777777" w:rsidR="00C972CB" w:rsidRDefault="002457F6">
            <w:pPr>
              <w:pStyle w:val="P68B1DB1-Normal11"/>
              <w:jc w:val="center"/>
              <w:rPr>
                <w:noProof/>
              </w:rPr>
            </w:pPr>
            <w:r>
              <w:rPr>
                <w:noProof/>
              </w:rPr>
              <w:t>Likuma noteikums, kas norāda uz reformas stāšanos spēkā</w:t>
            </w:r>
          </w:p>
        </w:tc>
        <w:tc>
          <w:tcPr>
            <w:tcW w:w="422" w:type="pct"/>
            <w:shd w:val="clear" w:color="auto" w:fill="C6EFCE"/>
            <w:noWrap/>
            <w:vAlign w:val="center"/>
          </w:tcPr>
          <w:p w14:paraId="0E5DAD9B" w14:textId="77777777" w:rsidR="00C972CB" w:rsidRDefault="002457F6">
            <w:pPr>
              <w:pStyle w:val="P68B1DB1-Normal11"/>
              <w:jc w:val="center"/>
              <w:rPr>
                <w:noProof/>
              </w:rPr>
            </w:pPr>
            <w:r>
              <w:rPr>
                <w:noProof/>
              </w:rPr>
              <w:t>NEPIEMĒRO</w:t>
            </w:r>
          </w:p>
        </w:tc>
        <w:tc>
          <w:tcPr>
            <w:tcW w:w="375" w:type="pct"/>
            <w:shd w:val="clear" w:color="auto" w:fill="C6EFCE"/>
            <w:noWrap/>
            <w:vAlign w:val="center"/>
          </w:tcPr>
          <w:p w14:paraId="3AD9DE9D" w14:textId="77777777" w:rsidR="00C972CB" w:rsidRDefault="002457F6">
            <w:pPr>
              <w:pStyle w:val="P68B1DB1-Normal11"/>
              <w:jc w:val="center"/>
              <w:rPr>
                <w:noProof/>
              </w:rPr>
            </w:pPr>
            <w:r>
              <w:rPr>
                <w:noProof/>
              </w:rPr>
              <w:t>NEPIEMĒRO</w:t>
            </w:r>
          </w:p>
        </w:tc>
        <w:tc>
          <w:tcPr>
            <w:tcW w:w="343" w:type="pct"/>
            <w:shd w:val="clear" w:color="auto" w:fill="C6EFCE"/>
            <w:noWrap/>
            <w:vAlign w:val="center"/>
          </w:tcPr>
          <w:p w14:paraId="533DF591" w14:textId="77777777" w:rsidR="00C972CB" w:rsidRDefault="002457F6">
            <w:pPr>
              <w:pStyle w:val="P68B1DB1-Normal11"/>
              <w:jc w:val="center"/>
              <w:rPr>
                <w:noProof/>
              </w:rPr>
            </w:pPr>
            <w:r>
              <w:rPr>
                <w:noProof/>
              </w:rPr>
              <w:t>NEPIEMĒRO</w:t>
            </w:r>
          </w:p>
        </w:tc>
        <w:tc>
          <w:tcPr>
            <w:tcW w:w="286" w:type="pct"/>
            <w:shd w:val="clear" w:color="auto" w:fill="C6EFCE"/>
            <w:noWrap/>
            <w:vAlign w:val="center"/>
          </w:tcPr>
          <w:p w14:paraId="0B028EED"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7C31C601" w14:textId="77777777" w:rsidR="00C972CB" w:rsidRDefault="002457F6">
            <w:pPr>
              <w:pStyle w:val="P68B1DB1-Normal11"/>
              <w:jc w:val="center"/>
              <w:rPr>
                <w:noProof/>
              </w:rPr>
            </w:pPr>
            <w:r>
              <w:rPr>
                <w:noProof/>
              </w:rPr>
              <w:t>2021</w:t>
            </w:r>
          </w:p>
        </w:tc>
        <w:tc>
          <w:tcPr>
            <w:tcW w:w="1047" w:type="pct"/>
            <w:shd w:val="clear" w:color="auto" w:fill="C6EFCE"/>
            <w:noWrap/>
            <w:vAlign w:val="center"/>
          </w:tcPr>
          <w:p w14:paraId="1C85FF23" w14:textId="77777777" w:rsidR="00C972CB" w:rsidRDefault="002457F6">
            <w:pPr>
              <w:pStyle w:val="P68B1DB1-Normal11"/>
              <w:rPr>
                <w:noProof/>
              </w:rPr>
            </w:pPr>
            <w:r>
              <w:rPr>
                <w:noProof/>
              </w:rPr>
              <w:t xml:space="preserve">Universitāšu un pētniecības ministrijas pieņemtie ministrijas dekrēti par stipendiju reformu uzlabo terciārās izglītības pieejamību </w:t>
            </w:r>
            <w:r>
              <w:rPr>
                <w:noProof/>
              </w:rPr>
              <w:t>talantīgiem studentiem, kas nonākuši sociālekonomiskās grūtībās, līdz 2024. gada 31. decembrim palielina stipendiju summu un saņēmēju skaitu. Šie studenti tiek identificēti, pamatojoties uz ISEE — Indicatore della Situazione Economica Equivalente.</w:t>
            </w:r>
          </w:p>
        </w:tc>
      </w:tr>
      <w:tr w:rsidR="00C972CB" w14:paraId="3B5F2153" w14:textId="77777777">
        <w:trPr>
          <w:trHeight w:val="309"/>
        </w:trPr>
        <w:tc>
          <w:tcPr>
            <w:tcW w:w="380" w:type="pct"/>
            <w:shd w:val="clear" w:color="auto" w:fill="C6EFCE"/>
            <w:noWrap/>
            <w:vAlign w:val="center"/>
            <w:hideMark/>
          </w:tcPr>
          <w:p w14:paraId="32D152DD" w14:textId="77777777" w:rsidR="00C972CB" w:rsidRDefault="002457F6">
            <w:pPr>
              <w:pStyle w:val="P68B1DB1-Normal11"/>
              <w:jc w:val="center"/>
              <w:rPr>
                <w:noProof/>
              </w:rPr>
            </w:pPr>
            <w:r>
              <w:rPr>
                <w:noProof/>
              </w:rPr>
              <w:t>M4C1–3</w:t>
            </w:r>
          </w:p>
        </w:tc>
        <w:tc>
          <w:tcPr>
            <w:tcW w:w="500" w:type="pct"/>
            <w:shd w:val="clear" w:color="auto" w:fill="C6EFCE"/>
            <w:noWrap/>
            <w:vAlign w:val="center"/>
            <w:hideMark/>
          </w:tcPr>
          <w:p w14:paraId="2364BA55" w14:textId="77777777" w:rsidR="00C972CB" w:rsidRDefault="002457F6">
            <w:pPr>
              <w:pStyle w:val="P68B1DB1-Normal11"/>
              <w:jc w:val="center"/>
              <w:rPr>
                <w:noProof/>
              </w:rPr>
            </w:pPr>
            <w:r>
              <w:rPr>
                <w:noProof/>
              </w:rPr>
              <w:t>Reforma. Skolotāju pieņemšana darbā</w:t>
            </w:r>
          </w:p>
        </w:tc>
        <w:tc>
          <w:tcPr>
            <w:tcW w:w="358" w:type="pct"/>
            <w:shd w:val="clear" w:color="auto" w:fill="C6EFCE"/>
            <w:noWrap/>
            <w:vAlign w:val="center"/>
            <w:hideMark/>
          </w:tcPr>
          <w:p w14:paraId="6A4D24BF" w14:textId="77777777" w:rsidR="00C972CB" w:rsidRDefault="002457F6">
            <w:pPr>
              <w:pStyle w:val="P68B1DB1-Normal11"/>
              <w:jc w:val="center"/>
              <w:rPr>
                <w:noProof/>
              </w:rPr>
            </w:pPr>
            <w:r>
              <w:rPr>
                <w:noProof/>
              </w:rPr>
              <w:t>Starpposma mērķis</w:t>
            </w:r>
          </w:p>
        </w:tc>
        <w:tc>
          <w:tcPr>
            <w:tcW w:w="572" w:type="pct"/>
            <w:shd w:val="clear" w:color="auto" w:fill="C6EFCE"/>
            <w:noWrap/>
            <w:vAlign w:val="center"/>
            <w:hideMark/>
          </w:tcPr>
          <w:p w14:paraId="2C87935F" w14:textId="77777777" w:rsidR="00C972CB" w:rsidRDefault="002457F6">
            <w:pPr>
              <w:pStyle w:val="P68B1DB1-Normal11"/>
              <w:jc w:val="center"/>
              <w:rPr>
                <w:noProof/>
              </w:rPr>
            </w:pPr>
            <w:r>
              <w:rPr>
                <w:noProof/>
              </w:rPr>
              <w:t>Stājas spēkā reforma attiecībā uz skolotāja profesiju.</w:t>
            </w:r>
          </w:p>
        </w:tc>
        <w:tc>
          <w:tcPr>
            <w:tcW w:w="480" w:type="pct"/>
            <w:shd w:val="clear" w:color="auto" w:fill="C6EFCE"/>
            <w:noWrap/>
            <w:vAlign w:val="center"/>
            <w:hideMark/>
          </w:tcPr>
          <w:p w14:paraId="682D7123" w14:textId="77777777" w:rsidR="00C972CB" w:rsidRDefault="002457F6">
            <w:pPr>
              <w:pStyle w:val="P68B1DB1-Normal11"/>
              <w:jc w:val="center"/>
              <w:rPr>
                <w:noProof/>
              </w:rPr>
            </w:pPr>
            <w:r>
              <w:rPr>
                <w:noProof/>
              </w:rPr>
              <w:t>Likuma noteikums, kas norāda uz reformas stāšanos spēkā</w:t>
            </w:r>
          </w:p>
        </w:tc>
        <w:tc>
          <w:tcPr>
            <w:tcW w:w="422" w:type="pct"/>
            <w:shd w:val="clear" w:color="auto" w:fill="C6EFCE"/>
            <w:noWrap/>
            <w:vAlign w:val="center"/>
            <w:hideMark/>
          </w:tcPr>
          <w:p w14:paraId="325A2C73" w14:textId="77777777" w:rsidR="00C972CB" w:rsidRDefault="002457F6">
            <w:pPr>
              <w:pStyle w:val="P68B1DB1-Normal11"/>
              <w:jc w:val="center"/>
              <w:rPr>
                <w:noProof/>
              </w:rPr>
            </w:pPr>
            <w:r>
              <w:rPr>
                <w:noProof/>
              </w:rPr>
              <w:t>NEPIEMĒRO</w:t>
            </w:r>
          </w:p>
        </w:tc>
        <w:tc>
          <w:tcPr>
            <w:tcW w:w="375" w:type="pct"/>
            <w:shd w:val="clear" w:color="auto" w:fill="C6EFCE"/>
            <w:noWrap/>
            <w:vAlign w:val="center"/>
            <w:hideMark/>
          </w:tcPr>
          <w:p w14:paraId="4867FE5C" w14:textId="77777777" w:rsidR="00C972CB" w:rsidRDefault="002457F6">
            <w:pPr>
              <w:pStyle w:val="P68B1DB1-Normal11"/>
              <w:jc w:val="center"/>
              <w:rPr>
                <w:noProof/>
              </w:rPr>
            </w:pPr>
            <w:r>
              <w:rPr>
                <w:noProof/>
              </w:rPr>
              <w:t>NEPIEMĒRO</w:t>
            </w:r>
          </w:p>
        </w:tc>
        <w:tc>
          <w:tcPr>
            <w:tcW w:w="343" w:type="pct"/>
            <w:shd w:val="clear" w:color="auto" w:fill="C6EFCE"/>
            <w:noWrap/>
            <w:vAlign w:val="center"/>
            <w:hideMark/>
          </w:tcPr>
          <w:p w14:paraId="5895ED4E" w14:textId="77777777" w:rsidR="00C972CB" w:rsidRDefault="002457F6">
            <w:pPr>
              <w:pStyle w:val="P68B1DB1-Normal11"/>
              <w:jc w:val="center"/>
              <w:rPr>
                <w:noProof/>
              </w:rPr>
            </w:pPr>
            <w:r>
              <w:rPr>
                <w:noProof/>
              </w:rPr>
              <w:t>NEPIEMĒRO</w:t>
            </w:r>
          </w:p>
        </w:tc>
        <w:tc>
          <w:tcPr>
            <w:tcW w:w="286" w:type="pct"/>
            <w:shd w:val="clear" w:color="auto" w:fill="C6EFCE"/>
            <w:noWrap/>
            <w:vAlign w:val="center"/>
            <w:hideMark/>
          </w:tcPr>
          <w:p w14:paraId="0ABDBA08" w14:textId="77777777" w:rsidR="00C972CB" w:rsidRDefault="002457F6">
            <w:pPr>
              <w:pStyle w:val="P68B1DB1-Normal11"/>
              <w:jc w:val="center"/>
              <w:rPr>
                <w:noProof/>
              </w:rPr>
            </w:pPr>
            <w:r>
              <w:rPr>
                <w:noProof/>
              </w:rPr>
              <w:t>2. CET.</w:t>
            </w:r>
          </w:p>
        </w:tc>
        <w:tc>
          <w:tcPr>
            <w:tcW w:w="238" w:type="pct"/>
            <w:shd w:val="clear" w:color="auto" w:fill="C6EFCE"/>
            <w:noWrap/>
            <w:vAlign w:val="center"/>
            <w:hideMark/>
          </w:tcPr>
          <w:p w14:paraId="2B967F94" w14:textId="77777777" w:rsidR="00C972CB" w:rsidRDefault="002457F6">
            <w:pPr>
              <w:pStyle w:val="P68B1DB1-Normal11"/>
              <w:jc w:val="center"/>
              <w:rPr>
                <w:noProof/>
              </w:rPr>
            </w:pPr>
            <w:r>
              <w:rPr>
                <w:noProof/>
              </w:rPr>
              <w:t>2022</w:t>
            </w:r>
          </w:p>
        </w:tc>
        <w:tc>
          <w:tcPr>
            <w:tcW w:w="1047" w:type="pct"/>
            <w:shd w:val="clear" w:color="auto" w:fill="C6EFCE"/>
            <w:noWrap/>
            <w:vAlign w:val="center"/>
            <w:hideMark/>
          </w:tcPr>
          <w:p w14:paraId="47A90CDC" w14:textId="77777777" w:rsidR="00C972CB" w:rsidRDefault="002457F6">
            <w:pPr>
              <w:pStyle w:val="P68B1DB1-Normal10"/>
              <w:rPr>
                <w:noProof/>
                <w:color w:val="006100"/>
                <w:sz w:val="20"/>
              </w:rPr>
            </w:pPr>
            <w:r>
              <w:rPr>
                <w:noProof/>
                <w:color w:val="006100"/>
                <w:sz w:val="20"/>
              </w:rPr>
              <w:t xml:space="preserve">Pārskatītais tiesiskais regulējums piesaista, pieņem darbā un motivē kvalitatīvus skolotājus, jo īpaši: </w:t>
            </w:r>
            <w:r>
              <w:rPr>
                <w:noProof/>
              </w:rPr>
              <w:t xml:space="preserve"> </w:t>
            </w:r>
            <w:r>
              <w:rPr>
                <w:noProof/>
              </w:rPr>
              <w:br/>
            </w:r>
            <w:r>
              <w:rPr>
                <w:noProof/>
                <w:color w:val="006100"/>
                <w:sz w:val="20"/>
              </w:rPr>
              <w:t xml:space="preserve">I) darbā pieņemšanas sistēmas uzlabošana </w:t>
            </w:r>
            <w:r>
              <w:rPr>
                <w:noProof/>
              </w:rPr>
              <w:t xml:space="preserve"> </w:t>
            </w:r>
            <w:r>
              <w:rPr>
                <w:noProof/>
              </w:rPr>
              <w:br/>
              <w:t xml:space="preserve"> </w:t>
            </w:r>
            <w:r>
              <w:rPr>
                <w:noProof/>
                <w:color w:val="006100"/>
                <w:sz w:val="20"/>
              </w:rPr>
              <w:t xml:space="preserve">ieviest augstāku kvalifikāciju skolotāja darbā, lai piekļūtu profesijai vidusskolā; </w:t>
            </w:r>
            <w:r>
              <w:rPr>
                <w:noProof/>
              </w:rPr>
              <w:t xml:space="preserve"> </w:t>
            </w:r>
            <w:r>
              <w:rPr>
                <w:noProof/>
              </w:rPr>
              <w:br/>
            </w:r>
            <w:r>
              <w:rPr>
                <w:noProof/>
                <w:color w:val="006100"/>
                <w:sz w:val="20"/>
              </w:rPr>
              <w:t xml:space="preserve">ierobežot skolotāju </w:t>
            </w:r>
            <w:r>
              <w:rPr>
                <w:noProof/>
                <w:color w:val="006100"/>
                <w:sz w:val="20"/>
              </w:rPr>
              <w:t>pārmērīgu mobilitāti (mācību nepārtrauktības interesēs);</w:t>
            </w:r>
            <w:r>
              <w:rPr>
                <w:noProof/>
              </w:rPr>
              <w:t xml:space="preserve"> </w:t>
            </w:r>
            <w:r>
              <w:rPr>
                <w:noProof/>
              </w:rPr>
              <w:br/>
            </w:r>
            <w:r>
              <w:rPr>
                <w:noProof/>
                <w:color w:val="006100"/>
                <w:sz w:val="20"/>
              </w:rPr>
              <w:t>tādas karjeras virzības noteikšana, kas ir skaidri saistīta ar snieguma izvērtēšanu un pastāvīgu profesionālo izaugsmi.</w:t>
            </w:r>
          </w:p>
        </w:tc>
      </w:tr>
      <w:tr w:rsidR="00C972CB" w14:paraId="22D254AE" w14:textId="77777777">
        <w:trPr>
          <w:trHeight w:val="309"/>
        </w:trPr>
        <w:tc>
          <w:tcPr>
            <w:tcW w:w="380" w:type="pct"/>
            <w:shd w:val="clear" w:color="auto" w:fill="C6EFCE"/>
            <w:noWrap/>
            <w:vAlign w:val="center"/>
            <w:hideMark/>
          </w:tcPr>
          <w:p w14:paraId="4B8E38FB" w14:textId="77777777" w:rsidR="00C972CB" w:rsidRDefault="002457F6">
            <w:pPr>
              <w:pStyle w:val="P68B1DB1-Normal11"/>
              <w:jc w:val="center"/>
              <w:rPr>
                <w:noProof/>
              </w:rPr>
            </w:pPr>
            <w:r>
              <w:rPr>
                <w:noProof/>
              </w:rPr>
              <w:t>M4C1–4</w:t>
            </w:r>
          </w:p>
        </w:tc>
        <w:tc>
          <w:tcPr>
            <w:tcW w:w="500" w:type="pct"/>
            <w:shd w:val="clear" w:color="auto" w:fill="C6EFCE"/>
            <w:noWrap/>
            <w:vAlign w:val="center"/>
            <w:hideMark/>
          </w:tcPr>
          <w:p w14:paraId="2A2CC822" w14:textId="77777777" w:rsidR="00C972CB" w:rsidRDefault="002457F6">
            <w:pPr>
              <w:pStyle w:val="P68B1DB1-Normal11"/>
              <w:jc w:val="center"/>
              <w:rPr>
                <w:noProof/>
              </w:rPr>
            </w:pPr>
            <w:r>
              <w:rPr>
                <w:noProof/>
              </w:rPr>
              <w:t xml:space="preserve">Ieguldījums 3.2.: Skola 4.0: inovatīvas skolas, elektroinstalācijas, </w:t>
            </w:r>
            <w:r>
              <w:rPr>
                <w:noProof/>
              </w:rPr>
              <w:t>jaunas klases un darbsemināri</w:t>
            </w:r>
          </w:p>
        </w:tc>
        <w:tc>
          <w:tcPr>
            <w:tcW w:w="358" w:type="pct"/>
            <w:shd w:val="clear" w:color="auto" w:fill="C6EFCE"/>
            <w:noWrap/>
            <w:vAlign w:val="center"/>
            <w:hideMark/>
          </w:tcPr>
          <w:p w14:paraId="130676C1" w14:textId="20F16329" w:rsidR="00C972CB" w:rsidRDefault="002457F6">
            <w:pPr>
              <w:pStyle w:val="P68B1DB1-Normal11"/>
              <w:jc w:val="center"/>
              <w:rPr>
                <w:noProof/>
              </w:rPr>
            </w:pPr>
            <w:r>
              <w:rPr>
                <w:noProof/>
              </w:rPr>
              <w:t>Starpposma mērķis</w:t>
            </w:r>
          </w:p>
        </w:tc>
        <w:tc>
          <w:tcPr>
            <w:tcW w:w="572" w:type="pct"/>
            <w:shd w:val="clear" w:color="auto" w:fill="C6EFCE"/>
            <w:noWrap/>
            <w:vAlign w:val="center"/>
            <w:hideMark/>
          </w:tcPr>
          <w:p w14:paraId="7A0678A4" w14:textId="77777777" w:rsidR="00C972CB" w:rsidRDefault="002457F6">
            <w:pPr>
              <w:pStyle w:val="P68B1DB1-Normal11"/>
              <w:jc w:val="center"/>
              <w:rPr>
                <w:noProof/>
              </w:rPr>
            </w:pPr>
            <w:r>
              <w:rPr>
                <w:noProof/>
              </w:rPr>
              <w:t>Ir pieņemts Itālijas skolu sistēmas digitālās pārkārtošanās veicināšanas plāns “Skola 4.0”</w:t>
            </w:r>
          </w:p>
        </w:tc>
        <w:tc>
          <w:tcPr>
            <w:tcW w:w="480" w:type="pct"/>
            <w:shd w:val="clear" w:color="auto" w:fill="C6EFCE"/>
            <w:noWrap/>
            <w:vAlign w:val="center"/>
            <w:hideMark/>
          </w:tcPr>
          <w:p w14:paraId="654F2410" w14:textId="77777777" w:rsidR="00C972CB" w:rsidRDefault="002457F6">
            <w:pPr>
              <w:pStyle w:val="P68B1DB1-Normal11"/>
              <w:jc w:val="center"/>
              <w:rPr>
                <w:noProof/>
              </w:rPr>
            </w:pPr>
            <w:r>
              <w:rPr>
                <w:noProof/>
              </w:rPr>
              <w:t>Izglītības ministrija — dekrēts, ar ko pieņem plānu “Skola 4.0”</w:t>
            </w:r>
          </w:p>
        </w:tc>
        <w:tc>
          <w:tcPr>
            <w:tcW w:w="422" w:type="pct"/>
            <w:shd w:val="clear" w:color="auto" w:fill="C6EFCE"/>
            <w:noWrap/>
            <w:vAlign w:val="center"/>
            <w:hideMark/>
          </w:tcPr>
          <w:p w14:paraId="282756A7" w14:textId="77777777" w:rsidR="00C972CB" w:rsidRDefault="002457F6">
            <w:pPr>
              <w:pStyle w:val="P68B1DB1-Normal11"/>
              <w:jc w:val="center"/>
              <w:rPr>
                <w:noProof/>
              </w:rPr>
            </w:pPr>
            <w:r>
              <w:rPr>
                <w:noProof/>
              </w:rPr>
              <w:t>NEPIEMĒRO</w:t>
            </w:r>
          </w:p>
        </w:tc>
        <w:tc>
          <w:tcPr>
            <w:tcW w:w="375" w:type="pct"/>
            <w:shd w:val="clear" w:color="auto" w:fill="C6EFCE"/>
            <w:noWrap/>
            <w:vAlign w:val="center"/>
            <w:hideMark/>
          </w:tcPr>
          <w:p w14:paraId="0833FA2C" w14:textId="77777777" w:rsidR="00C972CB" w:rsidRDefault="002457F6">
            <w:pPr>
              <w:pStyle w:val="P68B1DB1-Normal11"/>
              <w:jc w:val="center"/>
              <w:rPr>
                <w:noProof/>
              </w:rPr>
            </w:pPr>
            <w:r>
              <w:rPr>
                <w:noProof/>
              </w:rPr>
              <w:t>NEPIEMĒRO</w:t>
            </w:r>
          </w:p>
        </w:tc>
        <w:tc>
          <w:tcPr>
            <w:tcW w:w="343" w:type="pct"/>
            <w:shd w:val="clear" w:color="auto" w:fill="C6EFCE"/>
            <w:noWrap/>
            <w:vAlign w:val="center"/>
            <w:hideMark/>
          </w:tcPr>
          <w:p w14:paraId="4D11119F" w14:textId="77777777" w:rsidR="00C972CB" w:rsidRDefault="002457F6">
            <w:pPr>
              <w:pStyle w:val="P68B1DB1-Normal11"/>
              <w:jc w:val="center"/>
              <w:rPr>
                <w:noProof/>
              </w:rPr>
            </w:pPr>
            <w:r>
              <w:rPr>
                <w:noProof/>
              </w:rPr>
              <w:t>NEPIEMĒRO</w:t>
            </w:r>
          </w:p>
        </w:tc>
        <w:tc>
          <w:tcPr>
            <w:tcW w:w="286" w:type="pct"/>
            <w:shd w:val="clear" w:color="auto" w:fill="C6EFCE"/>
            <w:noWrap/>
            <w:vAlign w:val="center"/>
            <w:hideMark/>
          </w:tcPr>
          <w:p w14:paraId="22DDDDFA" w14:textId="77777777" w:rsidR="00C972CB" w:rsidRDefault="002457F6">
            <w:pPr>
              <w:pStyle w:val="P68B1DB1-Normal11"/>
              <w:jc w:val="center"/>
              <w:rPr>
                <w:noProof/>
              </w:rPr>
            </w:pPr>
            <w:r>
              <w:rPr>
                <w:noProof/>
              </w:rPr>
              <w:t>2. CET.</w:t>
            </w:r>
          </w:p>
        </w:tc>
        <w:tc>
          <w:tcPr>
            <w:tcW w:w="238" w:type="pct"/>
            <w:shd w:val="clear" w:color="auto" w:fill="C6EFCE"/>
            <w:noWrap/>
            <w:vAlign w:val="center"/>
            <w:hideMark/>
          </w:tcPr>
          <w:p w14:paraId="349971CC" w14:textId="77777777" w:rsidR="00C972CB" w:rsidRDefault="002457F6">
            <w:pPr>
              <w:pStyle w:val="P68B1DB1-Normal11"/>
              <w:jc w:val="center"/>
              <w:rPr>
                <w:noProof/>
              </w:rPr>
            </w:pPr>
            <w:r>
              <w:rPr>
                <w:noProof/>
              </w:rPr>
              <w:t>2022</w:t>
            </w:r>
          </w:p>
        </w:tc>
        <w:tc>
          <w:tcPr>
            <w:tcW w:w="1047" w:type="pct"/>
            <w:shd w:val="clear" w:color="auto" w:fill="C6EFCE"/>
            <w:noWrap/>
            <w:vAlign w:val="center"/>
            <w:hideMark/>
          </w:tcPr>
          <w:p w14:paraId="7DAF7EDD" w14:textId="77777777" w:rsidR="00C972CB" w:rsidRDefault="00C972CB">
            <w:pPr>
              <w:rPr>
                <w:rFonts w:ascii="Arial Narrow" w:hAnsi="Arial Narrow"/>
                <w:noProof/>
                <w:color w:val="006100"/>
                <w:sz w:val="20"/>
              </w:rPr>
            </w:pPr>
          </w:p>
          <w:p w14:paraId="50A2E9BB" w14:textId="616BE372" w:rsidR="00C972CB" w:rsidRDefault="002457F6">
            <w:pPr>
              <w:pStyle w:val="P68B1DB1-Normal11"/>
              <w:rPr>
                <w:noProof/>
              </w:rPr>
            </w:pPr>
            <w:r>
              <w:rPr>
                <w:noProof/>
              </w:rPr>
              <w:t>Izglītības ministrijas pieņemtajā plānā “School 4.0”, lai veicinātu Itālijas skolu sistēmas digitālo pārkārtošanos, iekļauj:</w:t>
            </w:r>
          </w:p>
          <w:p w14:paraId="14ED981B" w14:textId="40C53121" w:rsidR="00C972CB" w:rsidRDefault="002457F6">
            <w:pPr>
              <w:pStyle w:val="P68B1DB1-Normal11"/>
              <w:rPr>
                <w:noProof/>
              </w:rPr>
            </w:pPr>
            <w:r>
              <w:rPr>
                <w:noProof/>
              </w:rPr>
              <w:t>100000 klašu pārveide inovatīvā mācību vidē</w:t>
            </w:r>
          </w:p>
          <w:p w14:paraId="79F1103B" w14:textId="77777777" w:rsidR="00C972CB" w:rsidRDefault="002457F6">
            <w:pPr>
              <w:pStyle w:val="P68B1DB1-Normal11"/>
              <w:rPr>
                <w:noProof/>
              </w:rPr>
            </w:pPr>
            <w:r>
              <w:rPr>
                <w:noProof/>
              </w:rPr>
              <w:t>laboratoriju izveide jaunajām digitālajām profesijām visās vidusskolās.</w:t>
            </w:r>
          </w:p>
          <w:p w14:paraId="3008B221" w14:textId="67CBD440" w:rsidR="00C972CB" w:rsidRDefault="00C972CB">
            <w:pPr>
              <w:rPr>
                <w:rFonts w:ascii="Arial Narrow" w:hAnsi="Arial Narrow"/>
                <w:noProof/>
                <w:color w:val="006100"/>
                <w:sz w:val="20"/>
              </w:rPr>
            </w:pPr>
          </w:p>
          <w:p w14:paraId="58A657DB" w14:textId="150D7FF2" w:rsidR="00C972CB" w:rsidRDefault="002457F6">
            <w:pPr>
              <w:pStyle w:val="P68B1DB1-Normal11"/>
              <w:rPr>
                <w:noProof/>
              </w:rPr>
            </w:pPr>
            <w:r>
              <w:rPr>
                <w:noProof/>
              </w:rPr>
              <w:t>Darbība a) pār</w:t>
            </w:r>
            <w:r>
              <w:rPr>
                <w:noProof/>
              </w:rPr>
              <w:t>veido tradicionālajām klasēm paredzētās skolu telpas inovatīvā, adaptīvā un elastīgā mācību vidē, kas ir savienota un integrēta ar digitālajām, fiziskajām un virtuālajām tehnoloģijām kopā. Ieguldījumi skolu iestādēs nodrošina, ka visnovatoriskākās mācību t</w:t>
            </w:r>
            <w:r>
              <w:rPr>
                <w:noProof/>
              </w:rPr>
              <w:t>ehnoloģijas (kodēšanas un robotikas ierīces, virtuālās realitātes ierīces, progresīvas digitālās ierīces iekļaujošai izglītībai u. c.) tiek nodrošinātas vismaz 100000 pamatskolu un vidusskolu, ko izmanto mācībām.</w:t>
            </w:r>
          </w:p>
          <w:p w14:paraId="00854B6C" w14:textId="77777777" w:rsidR="00C972CB" w:rsidRDefault="002457F6">
            <w:pPr>
              <w:pStyle w:val="P68B1DB1-Normal11"/>
              <w:rPr>
                <w:noProof/>
              </w:rPr>
            </w:pPr>
            <w:r>
              <w:rPr>
                <w:noProof/>
              </w:rPr>
              <w:t>Ar b) darbību izveido vismaz vienu digitālo</w:t>
            </w:r>
            <w:r>
              <w:rPr>
                <w:noProof/>
              </w:rPr>
              <w:t xml:space="preserve"> profesiju laboratoriju katrā vidusskolā, laboratoriju, kas ir cieši saistīta ar uzņēmumiem un inovatīviem jaunuzņēmumiem, lai radītu jaunas darbvietas jaunu digitālo profesiju nozarē (piemēram, mākslīgais intelekts, robotika, lielie dati un kiberdrošība, </w:t>
            </w:r>
            <w:r>
              <w:rPr>
                <w:noProof/>
              </w:rPr>
              <w:t>zilā un zaļā ekonomika).</w:t>
            </w:r>
          </w:p>
          <w:p w14:paraId="14AB2011" w14:textId="119A783D" w:rsidR="00C972CB" w:rsidRDefault="00C972CB">
            <w:pPr>
              <w:rPr>
                <w:rFonts w:ascii="Arial Narrow" w:hAnsi="Arial Narrow"/>
                <w:noProof/>
                <w:color w:val="006100"/>
                <w:sz w:val="20"/>
              </w:rPr>
            </w:pPr>
          </w:p>
          <w:p w14:paraId="03F9D7A4" w14:textId="77777777" w:rsidR="00C972CB" w:rsidRDefault="002457F6">
            <w:pPr>
              <w:pStyle w:val="P68B1DB1-Normal11"/>
              <w:rPr>
                <w:noProof/>
              </w:rPr>
            </w:pPr>
            <w:r>
              <w:rPr>
                <w:noProof/>
              </w:rPr>
              <w:t>Vismaz 40 % saņēmēju skolu atrodas Itālijas dienvidos.</w:t>
            </w:r>
          </w:p>
        </w:tc>
      </w:tr>
      <w:tr w:rsidR="00C972CB" w14:paraId="30C585C6" w14:textId="77777777">
        <w:trPr>
          <w:trHeight w:val="309"/>
        </w:trPr>
        <w:tc>
          <w:tcPr>
            <w:tcW w:w="380" w:type="pct"/>
            <w:shd w:val="clear" w:color="auto" w:fill="C6EFCE"/>
            <w:noWrap/>
            <w:vAlign w:val="center"/>
            <w:hideMark/>
          </w:tcPr>
          <w:p w14:paraId="7A076BD7" w14:textId="77777777" w:rsidR="00C972CB" w:rsidRDefault="002457F6">
            <w:pPr>
              <w:pStyle w:val="P68B1DB1-Normal11"/>
              <w:jc w:val="center"/>
              <w:rPr>
                <w:noProof/>
              </w:rPr>
            </w:pPr>
            <w:r>
              <w:rPr>
                <w:noProof/>
              </w:rPr>
              <w:t>M4C1–5</w:t>
            </w:r>
          </w:p>
        </w:tc>
        <w:tc>
          <w:tcPr>
            <w:tcW w:w="500" w:type="pct"/>
            <w:shd w:val="clear" w:color="auto" w:fill="C6EFCE"/>
            <w:noWrap/>
            <w:vAlign w:val="center"/>
            <w:hideMark/>
          </w:tcPr>
          <w:p w14:paraId="09C10A63" w14:textId="77777777" w:rsidR="00C972CB" w:rsidRDefault="002457F6">
            <w:pPr>
              <w:pStyle w:val="P68B1DB1-Normal11"/>
              <w:jc w:val="center"/>
              <w:rPr>
                <w:noProof/>
              </w:rPr>
            </w:pPr>
            <w:r>
              <w:rPr>
                <w:noProof/>
              </w:rPr>
              <w:t xml:space="preserve">Reforma: Skolu sistēmas reorganizācija; Reforma: Terciārās profesionālās izglītības sistēmas (ITS) reforma; Reforma. Tehnisko un profesionālo institūtu reforma; </w:t>
            </w:r>
            <w:r>
              <w:rPr>
                <w:noProof/>
              </w:rPr>
              <w:t>Reforma: “Orientācijas” sistēmas reforma</w:t>
            </w:r>
          </w:p>
        </w:tc>
        <w:tc>
          <w:tcPr>
            <w:tcW w:w="358" w:type="pct"/>
            <w:shd w:val="clear" w:color="auto" w:fill="C6EFCE"/>
            <w:noWrap/>
            <w:vAlign w:val="center"/>
            <w:hideMark/>
          </w:tcPr>
          <w:p w14:paraId="4DB829CB" w14:textId="77777777" w:rsidR="00C972CB" w:rsidRDefault="002457F6">
            <w:pPr>
              <w:pStyle w:val="P68B1DB1-Normal11"/>
              <w:jc w:val="center"/>
              <w:rPr>
                <w:noProof/>
              </w:rPr>
            </w:pPr>
            <w:r>
              <w:rPr>
                <w:noProof/>
              </w:rPr>
              <w:t>Starpposma mērķi</w:t>
            </w:r>
          </w:p>
        </w:tc>
        <w:tc>
          <w:tcPr>
            <w:tcW w:w="572" w:type="pct"/>
            <w:shd w:val="clear" w:color="auto" w:fill="C6EFCE"/>
            <w:noWrap/>
            <w:vAlign w:val="center"/>
            <w:hideMark/>
          </w:tcPr>
          <w:p w14:paraId="2D282292" w14:textId="77777777" w:rsidR="00C972CB" w:rsidRDefault="002457F6">
            <w:pPr>
              <w:pStyle w:val="P68B1DB1-Normal11"/>
              <w:jc w:val="center"/>
              <w:rPr>
                <w:noProof/>
              </w:rPr>
            </w:pPr>
            <w:r>
              <w:rPr>
                <w:noProof/>
              </w:rPr>
              <w:t>Pamatizglītības un vidējās izglītības sistēmas reformu stāšanās spēkā, lai uzlabotu izglītības rezultātus</w:t>
            </w:r>
          </w:p>
        </w:tc>
        <w:tc>
          <w:tcPr>
            <w:tcW w:w="480" w:type="pct"/>
            <w:shd w:val="clear" w:color="auto" w:fill="C6EFCE"/>
            <w:noWrap/>
            <w:vAlign w:val="center"/>
            <w:hideMark/>
          </w:tcPr>
          <w:p w14:paraId="0E4A785A" w14:textId="77777777" w:rsidR="00C972CB" w:rsidRDefault="002457F6">
            <w:pPr>
              <w:pStyle w:val="P68B1DB1-Normal11"/>
              <w:jc w:val="center"/>
              <w:rPr>
                <w:noProof/>
              </w:rPr>
            </w:pPr>
            <w:r>
              <w:rPr>
                <w:noProof/>
              </w:rPr>
              <w:t>Likuma noteikums par reformu stāšanos spēkā</w:t>
            </w:r>
          </w:p>
        </w:tc>
        <w:tc>
          <w:tcPr>
            <w:tcW w:w="422" w:type="pct"/>
            <w:shd w:val="clear" w:color="auto" w:fill="C6EFCE"/>
            <w:noWrap/>
            <w:vAlign w:val="center"/>
            <w:hideMark/>
          </w:tcPr>
          <w:p w14:paraId="59F7BAFB" w14:textId="77777777" w:rsidR="00C972CB" w:rsidRDefault="002457F6">
            <w:pPr>
              <w:pStyle w:val="P68B1DB1-Normal11"/>
              <w:jc w:val="center"/>
              <w:rPr>
                <w:noProof/>
              </w:rPr>
            </w:pPr>
            <w:r>
              <w:rPr>
                <w:noProof/>
              </w:rPr>
              <w:t>NEPIEMĒRO</w:t>
            </w:r>
          </w:p>
        </w:tc>
        <w:tc>
          <w:tcPr>
            <w:tcW w:w="375" w:type="pct"/>
            <w:shd w:val="clear" w:color="auto" w:fill="C6EFCE"/>
            <w:noWrap/>
            <w:vAlign w:val="center"/>
            <w:hideMark/>
          </w:tcPr>
          <w:p w14:paraId="0FCD286C" w14:textId="77777777" w:rsidR="00C972CB" w:rsidRDefault="002457F6">
            <w:pPr>
              <w:pStyle w:val="P68B1DB1-Normal11"/>
              <w:jc w:val="center"/>
              <w:rPr>
                <w:noProof/>
              </w:rPr>
            </w:pPr>
            <w:r>
              <w:rPr>
                <w:noProof/>
              </w:rPr>
              <w:t>NEPIEMĒRO</w:t>
            </w:r>
          </w:p>
        </w:tc>
        <w:tc>
          <w:tcPr>
            <w:tcW w:w="343" w:type="pct"/>
            <w:shd w:val="clear" w:color="auto" w:fill="C6EFCE"/>
            <w:noWrap/>
            <w:vAlign w:val="center"/>
            <w:hideMark/>
          </w:tcPr>
          <w:p w14:paraId="4C9466AA" w14:textId="77777777" w:rsidR="00C972CB" w:rsidRDefault="002457F6">
            <w:pPr>
              <w:pStyle w:val="P68B1DB1-Normal11"/>
              <w:jc w:val="center"/>
              <w:rPr>
                <w:noProof/>
              </w:rPr>
            </w:pPr>
            <w:r>
              <w:rPr>
                <w:noProof/>
              </w:rPr>
              <w:t>NEPIEMĒRO</w:t>
            </w:r>
          </w:p>
        </w:tc>
        <w:tc>
          <w:tcPr>
            <w:tcW w:w="286" w:type="pct"/>
            <w:shd w:val="clear" w:color="auto" w:fill="C6EFCE"/>
            <w:noWrap/>
            <w:vAlign w:val="center"/>
            <w:hideMark/>
          </w:tcPr>
          <w:p w14:paraId="743360C5" w14:textId="77777777" w:rsidR="00C972CB" w:rsidRDefault="002457F6">
            <w:pPr>
              <w:pStyle w:val="P68B1DB1-Normal11"/>
              <w:jc w:val="center"/>
              <w:rPr>
                <w:noProof/>
              </w:rPr>
            </w:pPr>
            <w:r>
              <w:rPr>
                <w:noProof/>
              </w:rPr>
              <w:t>4. CET.</w:t>
            </w:r>
          </w:p>
        </w:tc>
        <w:tc>
          <w:tcPr>
            <w:tcW w:w="238" w:type="pct"/>
            <w:shd w:val="clear" w:color="auto" w:fill="C6EFCE"/>
            <w:noWrap/>
            <w:vAlign w:val="center"/>
            <w:hideMark/>
          </w:tcPr>
          <w:p w14:paraId="72145DAC" w14:textId="77777777" w:rsidR="00C972CB" w:rsidRDefault="002457F6">
            <w:pPr>
              <w:pStyle w:val="P68B1DB1-Normal11"/>
              <w:jc w:val="center"/>
              <w:rPr>
                <w:noProof/>
              </w:rPr>
            </w:pPr>
            <w:r>
              <w:rPr>
                <w:noProof/>
              </w:rPr>
              <w:t>2022</w:t>
            </w:r>
          </w:p>
        </w:tc>
        <w:tc>
          <w:tcPr>
            <w:tcW w:w="1047" w:type="pct"/>
            <w:shd w:val="clear" w:color="auto" w:fill="C6EFCE"/>
            <w:noWrap/>
            <w:vAlign w:val="center"/>
            <w:hideMark/>
          </w:tcPr>
          <w:p w14:paraId="125A9649" w14:textId="77777777" w:rsidR="00C972CB" w:rsidRDefault="002457F6">
            <w:pPr>
              <w:pStyle w:val="P68B1DB1-Normal10"/>
              <w:rPr>
                <w:noProof/>
                <w:color w:val="006100"/>
                <w:sz w:val="20"/>
              </w:rPr>
            </w:pPr>
            <w:r>
              <w:rPr>
                <w:noProof/>
              </w:rPr>
              <w:t>Pamatizglītības un vidējās izglītības sistēmas primāro tiesību aktu reformas, kuru</w:t>
            </w:r>
            <w:r>
              <w:rPr>
                <w:noProof/>
                <w:color w:val="006100"/>
                <w:sz w:val="20"/>
              </w:rPr>
              <w:t xml:space="preserve">mērķis ir uzlabot izglītības rezultātus (izmantojot primāros tiesību aktus), ietver vismaz šādus galvenos elementus: </w:t>
            </w:r>
            <w:r>
              <w:rPr>
                <w:noProof/>
              </w:rPr>
              <w:t xml:space="preserve"> </w:t>
            </w:r>
            <w:r>
              <w:rPr>
                <w:noProof/>
              </w:rPr>
              <w:br/>
            </w:r>
            <w:r>
              <w:rPr>
                <w:noProof/>
                <w:color w:val="006100"/>
                <w:sz w:val="20"/>
              </w:rPr>
              <w:t>iniciatīvas izglītības sistēmas organizācijas reformai,</w:t>
            </w:r>
            <w:r>
              <w:rPr>
                <w:noProof/>
                <w:color w:val="006100"/>
                <w:sz w:val="20"/>
              </w:rPr>
              <w:t xml:space="preserve"> lai pielāgotos demogrāfiskajām norisēm (piemēram, skolu skaits un skolēnu/skolotāju attiecība)</w:t>
            </w:r>
            <w:r>
              <w:rPr>
                <w:noProof/>
              </w:rPr>
              <w:t xml:space="preserve"> </w:t>
            </w:r>
            <w:r>
              <w:rPr>
                <w:noProof/>
              </w:rPr>
              <w:br/>
              <w:t xml:space="preserve"> </w:t>
            </w:r>
            <w:r>
              <w:rPr>
                <w:noProof/>
                <w:color w:val="006100"/>
                <w:sz w:val="20"/>
              </w:rPr>
              <w:t>iniciatīvas, kuru mērķis ir reformēt orientācijas sistēmu, lai samazinātu mācību pārtraukšanas gadījumu skaitu terciārajā izglītībā;</w:t>
            </w:r>
            <w:r>
              <w:rPr>
                <w:noProof/>
              </w:rPr>
              <w:t xml:space="preserve"> </w:t>
            </w:r>
            <w:r>
              <w:rPr>
                <w:noProof/>
              </w:rPr>
              <w:br/>
            </w:r>
            <w:r>
              <w:rPr>
                <w:noProof/>
                <w:color w:val="006100"/>
                <w:sz w:val="20"/>
              </w:rPr>
              <w:t>iniciatīvas vidējās prof</w:t>
            </w:r>
            <w:r>
              <w:rPr>
                <w:noProof/>
                <w:color w:val="006100"/>
                <w:sz w:val="20"/>
              </w:rPr>
              <w:t>esionālās izglītības stiprināšanai (Istituti tecnico- Professionali), tostarp jaunas mācību programmas pieņemšana un to orientācija uz Valsts rūpniecības 4.0 plāna inovācijas rezultātiem (Ministero dello Sviluppo economico, Decreto 26 Maggio 2020);</w:t>
            </w:r>
            <w:r>
              <w:rPr>
                <w:noProof/>
              </w:rPr>
              <w:t xml:space="preserve"> </w:t>
            </w:r>
            <w:r>
              <w:rPr>
                <w:noProof/>
              </w:rPr>
              <w:br/>
            </w:r>
            <w:r>
              <w:rPr>
                <w:noProof/>
                <w:color w:val="006100"/>
                <w:sz w:val="20"/>
              </w:rPr>
              <w:t>inicia</w:t>
            </w:r>
            <w:r>
              <w:rPr>
                <w:noProof/>
                <w:color w:val="006100"/>
                <w:sz w:val="20"/>
              </w:rPr>
              <w:t>tīvas skolu vadītāju, skolotāju un administratīvā/tehniskā personāla apmācībai un Terciārās progresīvās apmācības skolas izveide, lai uzlabotu mācīšanas kvalitāti;</w:t>
            </w:r>
            <w:r>
              <w:rPr>
                <w:noProof/>
              </w:rPr>
              <w:t xml:space="preserve"> </w:t>
            </w:r>
            <w:r>
              <w:rPr>
                <w:noProof/>
              </w:rPr>
              <w:br/>
            </w:r>
            <w:r>
              <w:rPr>
                <w:noProof/>
                <w:color w:val="006100"/>
                <w:sz w:val="20"/>
              </w:rPr>
              <w:t xml:space="preserve">iniciatīvas tādu darbību, metodoloģiju un satura integrēšanai, kuru mērķis ir izstrādāt un </w:t>
            </w:r>
            <w:r>
              <w:rPr>
                <w:noProof/>
                <w:color w:val="006100"/>
                <w:sz w:val="20"/>
              </w:rPr>
              <w:t>stiprināt zinātnes, tehnoloģijas, inženierzinātņu un matemātikas (STEM) mācību programmas, digitālās un inovācijas prasmes visos izglītības ciklos, sākot no bērnudārza līdz vidusskolai, lai veicinātu uzņemšanu terciārajās STEM mācību programmās, jo īpaši s</w:t>
            </w:r>
            <w:r>
              <w:rPr>
                <w:noProof/>
                <w:color w:val="006100"/>
                <w:sz w:val="20"/>
              </w:rPr>
              <w:t>ievietēm.</w:t>
            </w:r>
          </w:p>
          <w:p w14:paraId="3844194E" w14:textId="77777777" w:rsidR="00C972CB" w:rsidRDefault="00C972CB">
            <w:pPr>
              <w:rPr>
                <w:rFonts w:ascii="Arial Narrow" w:hAnsi="Arial Narrow"/>
                <w:noProof/>
                <w:color w:val="006100"/>
                <w:sz w:val="20"/>
              </w:rPr>
            </w:pPr>
          </w:p>
          <w:p w14:paraId="278B9450" w14:textId="77777777" w:rsidR="00C972CB" w:rsidRDefault="002457F6">
            <w:pPr>
              <w:pStyle w:val="P68B1DB1-Normal11"/>
              <w:rPr>
                <w:noProof/>
              </w:rPr>
            </w:pPr>
            <w:r>
              <w:rPr>
                <w:noProof/>
              </w:rPr>
              <w:t>Lai sasniegtu starpposma mērķi, tiesību aktos iekļauj obligātus termiņus sekundāro tiesību aktu, vadlīniju un visu nepieciešamo normatīvo aktu izdošanai (Izglītības ministrijas datubāzes uzraudzība), lai nodrošinātu netraucētu īstenošanu.</w:t>
            </w:r>
          </w:p>
        </w:tc>
      </w:tr>
      <w:tr w:rsidR="00C972CB" w14:paraId="1DB2815D" w14:textId="77777777">
        <w:trPr>
          <w:trHeight w:val="309"/>
        </w:trPr>
        <w:tc>
          <w:tcPr>
            <w:tcW w:w="380" w:type="pct"/>
            <w:shd w:val="clear" w:color="auto" w:fill="C6EFCE"/>
            <w:noWrap/>
            <w:vAlign w:val="center"/>
          </w:tcPr>
          <w:p w14:paraId="24A9C610" w14:textId="77777777" w:rsidR="00C972CB" w:rsidRDefault="002457F6">
            <w:pPr>
              <w:pStyle w:val="P68B1DB1-Normal11"/>
              <w:jc w:val="center"/>
              <w:rPr>
                <w:noProof/>
              </w:rPr>
            </w:pPr>
            <w:r>
              <w:rPr>
                <w:noProof/>
              </w:rPr>
              <w:t>M4C1–6</w:t>
            </w:r>
          </w:p>
        </w:tc>
        <w:tc>
          <w:tcPr>
            <w:tcW w:w="500" w:type="pct"/>
            <w:shd w:val="clear" w:color="auto" w:fill="C6EFCE"/>
            <w:noWrap/>
            <w:vAlign w:val="center"/>
          </w:tcPr>
          <w:p w14:paraId="20201215" w14:textId="77777777" w:rsidR="00C972CB" w:rsidRDefault="002457F6">
            <w:pPr>
              <w:pStyle w:val="P68B1DB1-Normal11"/>
              <w:jc w:val="center"/>
              <w:rPr>
                <w:noProof/>
              </w:rPr>
            </w:pPr>
            <w:r>
              <w:rPr>
                <w:noProof/>
              </w:rPr>
              <w:t>Reforma. Augstākā izglītība un tālākizglītība skolu vadītājiem, skolotājiem, administratīvajiem un tehniskajiem darbiniekiem</w:t>
            </w:r>
          </w:p>
        </w:tc>
        <w:tc>
          <w:tcPr>
            <w:tcW w:w="358" w:type="pct"/>
            <w:shd w:val="clear" w:color="auto" w:fill="C6EFCE"/>
            <w:noWrap/>
            <w:vAlign w:val="center"/>
          </w:tcPr>
          <w:p w14:paraId="096260EF" w14:textId="77777777" w:rsidR="00C972CB" w:rsidRDefault="002457F6">
            <w:pPr>
              <w:pStyle w:val="P68B1DB1-Normal11"/>
              <w:jc w:val="center"/>
              <w:rPr>
                <w:noProof/>
              </w:rPr>
            </w:pPr>
            <w:r>
              <w:rPr>
                <w:noProof/>
              </w:rPr>
              <w:t>Starpposma mērķis</w:t>
            </w:r>
          </w:p>
        </w:tc>
        <w:tc>
          <w:tcPr>
            <w:tcW w:w="572" w:type="pct"/>
            <w:shd w:val="clear" w:color="auto" w:fill="C6EFCE"/>
            <w:noWrap/>
            <w:vAlign w:val="center"/>
          </w:tcPr>
          <w:p w14:paraId="1E2D783C" w14:textId="77777777" w:rsidR="00C972CB" w:rsidRDefault="002457F6">
            <w:pPr>
              <w:pStyle w:val="P68B1DB1-Normal11"/>
              <w:jc w:val="center"/>
              <w:rPr>
                <w:noProof/>
              </w:rPr>
            </w:pPr>
            <w:r>
              <w:rPr>
                <w:noProof/>
              </w:rPr>
              <w:t>Tādu tiesību aktu stāšanās spēkā, kuru mērķis ir izveidot kvalitatīvu mācību sistēmu skolām.</w:t>
            </w:r>
          </w:p>
        </w:tc>
        <w:tc>
          <w:tcPr>
            <w:tcW w:w="480" w:type="pct"/>
            <w:shd w:val="clear" w:color="auto" w:fill="C6EFCE"/>
            <w:noWrap/>
            <w:vAlign w:val="center"/>
          </w:tcPr>
          <w:p w14:paraId="516A4D3E" w14:textId="77777777" w:rsidR="00C972CB" w:rsidRDefault="002457F6">
            <w:pPr>
              <w:pStyle w:val="P68B1DB1-Normal11"/>
              <w:jc w:val="center"/>
              <w:rPr>
                <w:noProof/>
              </w:rPr>
            </w:pPr>
            <w:r>
              <w:rPr>
                <w:noProof/>
              </w:rPr>
              <w:t>Likuma norma,</w:t>
            </w:r>
            <w:r>
              <w:rPr>
                <w:noProof/>
              </w:rPr>
              <w:t xml:space="preserve"> kas norāda uz tiesību akta stāšanos spēkā.</w:t>
            </w:r>
          </w:p>
        </w:tc>
        <w:tc>
          <w:tcPr>
            <w:tcW w:w="422" w:type="pct"/>
            <w:shd w:val="clear" w:color="auto" w:fill="C6EFCE"/>
            <w:noWrap/>
            <w:vAlign w:val="center"/>
          </w:tcPr>
          <w:p w14:paraId="76222D3F" w14:textId="77777777" w:rsidR="00C972CB" w:rsidRDefault="002457F6">
            <w:pPr>
              <w:pStyle w:val="P68B1DB1-Normal11"/>
              <w:jc w:val="center"/>
              <w:rPr>
                <w:noProof/>
              </w:rPr>
            </w:pPr>
            <w:r>
              <w:rPr>
                <w:noProof/>
              </w:rPr>
              <w:t>NEPIEMĒRO</w:t>
            </w:r>
          </w:p>
        </w:tc>
        <w:tc>
          <w:tcPr>
            <w:tcW w:w="375" w:type="pct"/>
            <w:shd w:val="clear" w:color="auto" w:fill="C6EFCE"/>
            <w:noWrap/>
            <w:vAlign w:val="center"/>
          </w:tcPr>
          <w:p w14:paraId="182EAF0B" w14:textId="77777777" w:rsidR="00C972CB" w:rsidRDefault="002457F6">
            <w:pPr>
              <w:pStyle w:val="P68B1DB1-Normal11"/>
              <w:jc w:val="center"/>
              <w:rPr>
                <w:noProof/>
              </w:rPr>
            </w:pPr>
            <w:r>
              <w:rPr>
                <w:noProof/>
              </w:rPr>
              <w:t>NEPIEMĒRO</w:t>
            </w:r>
          </w:p>
        </w:tc>
        <w:tc>
          <w:tcPr>
            <w:tcW w:w="343" w:type="pct"/>
            <w:shd w:val="clear" w:color="auto" w:fill="C6EFCE"/>
            <w:noWrap/>
            <w:vAlign w:val="center"/>
          </w:tcPr>
          <w:p w14:paraId="51FDF4DD" w14:textId="77777777" w:rsidR="00C972CB" w:rsidRDefault="002457F6">
            <w:pPr>
              <w:pStyle w:val="P68B1DB1-Normal11"/>
              <w:jc w:val="center"/>
              <w:rPr>
                <w:noProof/>
              </w:rPr>
            </w:pPr>
            <w:r>
              <w:rPr>
                <w:noProof/>
              </w:rPr>
              <w:t>NEPIEMĒRO</w:t>
            </w:r>
          </w:p>
        </w:tc>
        <w:tc>
          <w:tcPr>
            <w:tcW w:w="286" w:type="pct"/>
            <w:shd w:val="clear" w:color="auto" w:fill="C6EFCE"/>
            <w:noWrap/>
            <w:vAlign w:val="center"/>
          </w:tcPr>
          <w:p w14:paraId="16A7A126"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37DDE0A2" w14:textId="77777777" w:rsidR="00C972CB" w:rsidRDefault="002457F6">
            <w:pPr>
              <w:pStyle w:val="P68B1DB1-Normal11"/>
              <w:jc w:val="center"/>
              <w:rPr>
                <w:noProof/>
              </w:rPr>
            </w:pPr>
            <w:r>
              <w:rPr>
                <w:noProof/>
              </w:rPr>
              <w:t>2022</w:t>
            </w:r>
          </w:p>
        </w:tc>
        <w:tc>
          <w:tcPr>
            <w:tcW w:w="1047" w:type="pct"/>
            <w:shd w:val="clear" w:color="auto" w:fill="C6EFCE"/>
            <w:noWrap/>
            <w:vAlign w:val="center"/>
          </w:tcPr>
          <w:p w14:paraId="5F14028B" w14:textId="76F35CE1" w:rsidR="00C972CB" w:rsidRDefault="002457F6">
            <w:pPr>
              <w:pStyle w:val="P68B1DB1-Normal11"/>
              <w:rPr>
                <w:noProof/>
              </w:rPr>
            </w:pPr>
            <w:r>
              <w:rPr>
                <w:noProof/>
              </w:rPr>
              <w:t>Tiesību aktos iekļauj noteikumus, kuru mērķis ir izveidot kvalitatīvu mācību sistēmu skolu personālam saskaņā ar pastāvīgu profesionālo un karjeras attīstību, izveidot k</w:t>
            </w:r>
            <w:r>
              <w:rPr>
                <w:noProof/>
              </w:rPr>
              <w:t>valificētu iestādi, kas būtu atbildīga par skolu personāla apmācības pamatnostādnēm, mācību iniciatīvu atlasi un koordinēšanu, un sasaistīt tās ar karjeras izaugsmi, kā paredzēts darbā pieņemšanas reformā. Sākotnējās apmācības un tālākizglītības sistēmas ī</w:t>
            </w:r>
            <w:r>
              <w:rPr>
                <w:noProof/>
              </w:rPr>
              <w:t>stenošanai būtu jāļauj pārvarēt pašreizējo mācību ceļu sadrumstalotību, kurai pašlaik trūkst vienotas valsts stratēģijas.</w:t>
            </w:r>
          </w:p>
        </w:tc>
      </w:tr>
      <w:tr w:rsidR="00C972CB" w14:paraId="7BEA0B08" w14:textId="77777777">
        <w:trPr>
          <w:trHeight w:val="309"/>
        </w:trPr>
        <w:tc>
          <w:tcPr>
            <w:tcW w:w="380" w:type="pct"/>
            <w:shd w:val="clear" w:color="auto" w:fill="C6EFCE"/>
            <w:noWrap/>
            <w:vAlign w:val="center"/>
          </w:tcPr>
          <w:p w14:paraId="641991B8" w14:textId="77777777" w:rsidR="00C972CB" w:rsidRDefault="002457F6">
            <w:pPr>
              <w:pStyle w:val="P68B1DB1-Normal11"/>
              <w:jc w:val="center"/>
              <w:rPr>
                <w:noProof/>
              </w:rPr>
            </w:pPr>
            <w:r>
              <w:rPr>
                <w:noProof/>
              </w:rPr>
              <w:t>M4C1–7</w:t>
            </w:r>
          </w:p>
        </w:tc>
        <w:tc>
          <w:tcPr>
            <w:tcW w:w="500" w:type="pct"/>
            <w:shd w:val="clear" w:color="auto" w:fill="C6EFCE"/>
            <w:noWrap/>
            <w:vAlign w:val="center"/>
          </w:tcPr>
          <w:p w14:paraId="43F81DE1" w14:textId="17DF95F9" w:rsidR="00C972CB" w:rsidRDefault="002457F6">
            <w:pPr>
              <w:pStyle w:val="P68B1DB1-Normal11"/>
              <w:jc w:val="center"/>
              <w:rPr>
                <w:noProof/>
              </w:rPr>
            </w:pPr>
            <w:r>
              <w:rPr>
                <w:noProof/>
              </w:rPr>
              <w:t>Ieguldījums 1.4.: Ārkārtas intervence, kuras mērķis ir samazināt teritoriālās atšķirības vidusskolas I un II ciklos un novērst</w:t>
            </w:r>
            <w:r>
              <w:rPr>
                <w:noProof/>
              </w:rPr>
              <w:t xml:space="preserve"> mācību priekšlaicīgu pārtraukšanu</w:t>
            </w:r>
          </w:p>
        </w:tc>
        <w:tc>
          <w:tcPr>
            <w:tcW w:w="358" w:type="pct"/>
            <w:shd w:val="clear" w:color="auto" w:fill="C6EFCE"/>
            <w:noWrap/>
            <w:vAlign w:val="center"/>
          </w:tcPr>
          <w:p w14:paraId="209F1902"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1604FF60" w14:textId="77777777" w:rsidR="00C972CB" w:rsidRDefault="002457F6">
            <w:pPr>
              <w:pStyle w:val="P68B1DB1-Normal11"/>
              <w:jc w:val="center"/>
              <w:rPr>
                <w:noProof/>
              </w:rPr>
            </w:pPr>
            <w:r>
              <w:rPr>
                <w:noProof/>
              </w:rPr>
              <w:t>Studenti vai jaunieši, kas piedalījušies mentorēšanas pasākumos vai apmācības kursos</w:t>
            </w:r>
          </w:p>
        </w:tc>
        <w:tc>
          <w:tcPr>
            <w:tcW w:w="480" w:type="pct"/>
            <w:shd w:val="clear" w:color="auto" w:fill="C6EFCE"/>
            <w:noWrap/>
            <w:vAlign w:val="center"/>
          </w:tcPr>
          <w:p w14:paraId="3738E2C7" w14:textId="77777777" w:rsidR="00C972CB" w:rsidRDefault="002457F6">
            <w:pPr>
              <w:pStyle w:val="P68B1DB1-Normal11"/>
              <w:jc w:val="center"/>
              <w:rPr>
                <w:noProof/>
              </w:rPr>
            </w:pPr>
            <w:r>
              <w:rPr>
                <w:noProof/>
              </w:rPr>
              <w:t>Tiek nodrošinātas darbaudzināšanas darbības</w:t>
            </w:r>
          </w:p>
        </w:tc>
        <w:tc>
          <w:tcPr>
            <w:tcW w:w="422" w:type="pct"/>
            <w:shd w:val="clear" w:color="auto" w:fill="C6EFCE"/>
            <w:noWrap/>
            <w:vAlign w:val="center"/>
          </w:tcPr>
          <w:p w14:paraId="1C60C2FD"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47251D74" w14:textId="77777777" w:rsidR="00C972CB" w:rsidRDefault="002457F6">
            <w:pPr>
              <w:pStyle w:val="P68B1DB1-Normal11"/>
              <w:jc w:val="center"/>
              <w:rPr>
                <w:noProof/>
              </w:rPr>
            </w:pPr>
            <w:r>
              <w:rPr>
                <w:noProof/>
              </w:rPr>
              <w:t>0</w:t>
            </w:r>
          </w:p>
        </w:tc>
        <w:tc>
          <w:tcPr>
            <w:tcW w:w="343" w:type="pct"/>
            <w:shd w:val="clear" w:color="auto" w:fill="C6EFCE"/>
            <w:noWrap/>
            <w:vAlign w:val="center"/>
          </w:tcPr>
          <w:p w14:paraId="75E7D829" w14:textId="042F8EDC" w:rsidR="00C972CB" w:rsidRDefault="002457F6">
            <w:pPr>
              <w:pStyle w:val="P68B1DB1-Normal11"/>
              <w:jc w:val="center"/>
              <w:rPr>
                <w:noProof/>
              </w:rPr>
            </w:pPr>
            <w:r>
              <w:rPr>
                <w:noProof/>
              </w:rPr>
              <w:t>820 000</w:t>
            </w:r>
          </w:p>
        </w:tc>
        <w:tc>
          <w:tcPr>
            <w:tcW w:w="286" w:type="pct"/>
            <w:shd w:val="clear" w:color="auto" w:fill="C6EFCE"/>
            <w:noWrap/>
            <w:vAlign w:val="center"/>
          </w:tcPr>
          <w:p w14:paraId="5A5C81BF" w14:textId="77777777" w:rsidR="00C972CB" w:rsidRDefault="002457F6">
            <w:pPr>
              <w:pStyle w:val="P68B1DB1-Normal11"/>
              <w:jc w:val="center"/>
              <w:rPr>
                <w:noProof/>
              </w:rPr>
            </w:pPr>
            <w:r>
              <w:rPr>
                <w:noProof/>
              </w:rPr>
              <w:t>3. CET.</w:t>
            </w:r>
          </w:p>
        </w:tc>
        <w:tc>
          <w:tcPr>
            <w:tcW w:w="238" w:type="pct"/>
            <w:shd w:val="clear" w:color="auto" w:fill="C6EFCE"/>
            <w:noWrap/>
            <w:vAlign w:val="center"/>
          </w:tcPr>
          <w:p w14:paraId="29EA691C" w14:textId="77777777" w:rsidR="00C972CB" w:rsidRDefault="002457F6">
            <w:pPr>
              <w:pStyle w:val="P68B1DB1-Normal11"/>
              <w:jc w:val="center"/>
              <w:rPr>
                <w:noProof/>
              </w:rPr>
            </w:pPr>
            <w:r>
              <w:rPr>
                <w:noProof/>
              </w:rPr>
              <w:t>2025</w:t>
            </w:r>
          </w:p>
        </w:tc>
        <w:tc>
          <w:tcPr>
            <w:tcW w:w="1047" w:type="pct"/>
            <w:shd w:val="clear" w:color="auto" w:fill="C6EFCE"/>
            <w:noWrap/>
            <w:vAlign w:val="center"/>
          </w:tcPr>
          <w:p w14:paraId="440B2DD5" w14:textId="1A38EC9B" w:rsidR="00C972CB" w:rsidRDefault="002457F6">
            <w:pPr>
              <w:pStyle w:val="P68B1DB1-Normal11"/>
              <w:rPr>
                <w:noProof/>
              </w:rPr>
            </w:pPr>
            <w:r>
              <w:rPr>
                <w:noProof/>
              </w:rPr>
              <w:t>Mentorēšanas pasākumu īstenošana vismaz 820000 jauniešu,</w:t>
            </w:r>
            <w:r>
              <w:rPr>
                <w:noProof/>
              </w:rPr>
              <w:t xml:space="preserve"> kuriem draud priekšlaicīga mācību pārtraukšana, un jauniešiem, kuri jau ir izbeiguši mācības.</w:t>
            </w:r>
          </w:p>
        </w:tc>
      </w:tr>
      <w:tr w:rsidR="00C972CB" w14:paraId="5AFBFB82" w14:textId="77777777">
        <w:trPr>
          <w:trHeight w:val="309"/>
        </w:trPr>
        <w:tc>
          <w:tcPr>
            <w:tcW w:w="380" w:type="pct"/>
            <w:shd w:val="clear" w:color="auto" w:fill="C6EFCE"/>
            <w:noWrap/>
            <w:vAlign w:val="center"/>
          </w:tcPr>
          <w:p w14:paraId="5CB63D1F" w14:textId="77777777" w:rsidR="00C972CB" w:rsidRDefault="002457F6">
            <w:pPr>
              <w:pStyle w:val="P68B1DB1-Normal11"/>
              <w:jc w:val="center"/>
              <w:rPr>
                <w:noProof/>
              </w:rPr>
            </w:pPr>
            <w:r>
              <w:rPr>
                <w:noProof/>
              </w:rPr>
              <w:t>M4C1–8</w:t>
            </w:r>
          </w:p>
          <w:p w14:paraId="5653BAFB" w14:textId="77777777" w:rsidR="00C972CB" w:rsidRDefault="00C972CB">
            <w:pPr>
              <w:jc w:val="center"/>
              <w:rPr>
                <w:rFonts w:ascii="Arial Narrow" w:hAnsi="Arial Narrow"/>
                <w:noProof/>
                <w:color w:val="006100"/>
                <w:sz w:val="20"/>
              </w:rPr>
            </w:pPr>
          </w:p>
        </w:tc>
        <w:tc>
          <w:tcPr>
            <w:tcW w:w="500" w:type="pct"/>
            <w:shd w:val="clear" w:color="auto" w:fill="C6EFCE"/>
            <w:noWrap/>
            <w:vAlign w:val="center"/>
          </w:tcPr>
          <w:p w14:paraId="65391E86" w14:textId="77777777" w:rsidR="00C972CB" w:rsidRDefault="002457F6">
            <w:pPr>
              <w:pStyle w:val="P68B1DB1-Normal11"/>
              <w:jc w:val="center"/>
              <w:rPr>
                <w:noProof/>
              </w:rPr>
            </w:pPr>
            <w:r>
              <w:rPr>
                <w:noProof/>
              </w:rPr>
              <w:t>Ieguldījums 1.3. Skolu sporta infrastruktūras stiprināšanas plāns</w:t>
            </w:r>
          </w:p>
        </w:tc>
        <w:tc>
          <w:tcPr>
            <w:tcW w:w="358" w:type="pct"/>
            <w:shd w:val="clear" w:color="auto" w:fill="C6EFCE"/>
            <w:noWrap/>
            <w:vAlign w:val="center"/>
          </w:tcPr>
          <w:p w14:paraId="5B54F7BC" w14:textId="77777777" w:rsidR="00C972CB" w:rsidRDefault="002457F6">
            <w:pPr>
              <w:pStyle w:val="P68B1DB1-Normal11"/>
              <w:jc w:val="center"/>
              <w:rPr>
                <w:noProof/>
              </w:rPr>
            </w:pPr>
            <w:r>
              <w:rPr>
                <w:noProof/>
              </w:rPr>
              <w:t>Starpposma mērķis</w:t>
            </w:r>
          </w:p>
        </w:tc>
        <w:tc>
          <w:tcPr>
            <w:tcW w:w="572" w:type="pct"/>
            <w:shd w:val="clear" w:color="auto" w:fill="C6EFCE"/>
            <w:noWrap/>
            <w:vAlign w:val="center"/>
          </w:tcPr>
          <w:p w14:paraId="65B0C734" w14:textId="77777777" w:rsidR="00C972CB" w:rsidRDefault="002457F6">
            <w:pPr>
              <w:pStyle w:val="P68B1DB1-Normal11"/>
              <w:jc w:val="center"/>
              <w:rPr>
                <w:noProof/>
              </w:rPr>
            </w:pPr>
            <w:r>
              <w:rPr>
                <w:noProof/>
              </w:rPr>
              <w:t xml:space="preserve">Izglītības ministrijas dekrētā paredzēto sporta objektu un sporta </w:t>
            </w:r>
            <w:r>
              <w:rPr>
                <w:noProof/>
              </w:rPr>
              <w:t>objektu būvniecības un atjaunošanas pasākumu līgumu slēgšanas tiesību piešķiršana</w:t>
            </w:r>
          </w:p>
        </w:tc>
        <w:tc>
          <w:tcPr>
            <w:tcW w:w="480" w:type="pct"/>
            <w:shd w:val="clear" w:color="auto" w:fill="C6EFCE"/>
            <w:noWrap/>
            <w:vAlign w:val="center"/>
          </w:tcPr>
          <w:p w14:paraId="60F9A1D4" w14:textId="77777777" w:rsidR="00C972CB" w:rsidRDefault="002457F6">
            <w:pPr>
              <w:pStyle w:val="P68B1DB1-Normal11"/>
              <w:jc w:val="center"/>
              <w:rPr>
                <w:noProof/>
              </w:rPr>
            </w:pPr>
            <w:r>
              <w:rPr>
                <w:noProof/>
              </w:rPr>
              <w:t>Saņēmēju vietējo iestāžu paziņojums par visu publisko līgumu slēgšanas tiesību piešķiršanu atbalsttiesīgajām intervencēm</w:t>
            </w:r>
          </w:p>
          <w:p w14:paraId="63C2212C" w14:textId="77777777" w:rsidR="00C972CB" w:rsidRDefault="00C972CB">
            <w:pPr>
              <w:jc w:val="center"/>
              <w:rPr>
                <w:rFonts w:ascii="Arial Narrow" w:hAnsi="Arial Narrow"/>
                <w:b/>
                <w:noProof/>
                <w:color w:val="006100"/>
                <w:sz w:val="20"/>
              </w:rPr>
            </w:pPr>
          </w:p>
        </w:tc>
        <w:tc>
          <w:tcPr>
            <w:tcW w:w="422" w:type="pct"/>
            <w:shd w:val="clear" w:color="auto" w:fill="C6EFCE"/>
            <w:noWrap/>
            <w:vAlign w:val="center"/>
          </w:tcPr>
          <w:p w14:paraId="297F890D" w14:textId="77777777" w:rsidR="00C972CB" w:rsidRDefault="002457F6">
            <w:pPr>
              <w:pStyle w:val="P68B1DB1-Normal11"/>
              <w:jc w:val="center"/>
              <w:rPr>
                <w:noProof/>
              </w:rPr>
            </w:pPr>
            <w:r>
              <w:rPr>
                <w:noProof/>
              </w:rPr>
              <w:t>NEPIEMĒRO</w:t>
            </w:r>
          </w:p>
        </w:tc>
        <w:tc>
          <w:tcPr>
            <w:tcW w:w="375" w:type="pct"/>
            <w:shd w:val="clear" w:color="auto" w:fill="C6EFCE"/>
            <w:noWrap/>
            <w:vAlign w:val="center"/>
          </w:tcPr>
          <w:p w14:paraId="1CB97910" w14:textId="77777777" w:rsidR="00C972CB" w:rsidRDefault="002457F6">
            <w:pPr>
              <w:pStyle w:val="P68B1DB1-Normal11"/>
              <w:jc w:val="center"/>
              <w:rPr>
                <w:noProof/>
              </w:rPr>
            </w:pPr>
            <w:r>
              <w:rPr>
                <w:noProof/>
              </w:rPr>
              <w:t>NEPIEMĒRO</w:t>
            </w:r>
          </w:p>
        </w:tc>
        <w:tc>
          <w:tcPr>
            <w:tcW w:w="343" w:type="pct"/>
            <w:shd w:val="clear" w:color="auto" w:fill="C6EFCE"/>
            <w:noWrap/>
            <w:vAlign w:val="center"/>
          </w:tcPr>
          <w:p w14:paraId="12661D47" w14:textId="77777777" w:rsidR="00C972CB" w:rsidRDefault="002457F6">
            <w:pPr>
              <w:pStyle w:val="P68B1DB1-Normal11"/>
              <w:jc w:val="center"/>
              <w:rPr>
                <w:noProof/>
              </w:rPr>
            </w:pPr>
            <w:r>
              <w:rPr>
                <w:noProof/>
              </w:rPr>
              <w:t>NEPIEMĒRO</w:t>
            </w:r>
          </w:p>
        </w:tc>
        <w:tc>
          <w:tcPr>
            <w:tcW w:w="286" w:type="pct"/>
            <w:shd w:val="clear" w:color="auto" w:fill="C6EFCE"/>
            <w:noWrap/>
            <w:vAlign w:val="center"/>
          </w:tcPr>
          <w:p w14:paraId="727DE4B0" w14:textId="77777777" w:rsidR="00C972CB" w:rsidRDefault="002457F6">
            <w:pPr>
              <w:pStyle w:val="P68B1DB1-Normal11"/>
              <w:jc w:val="center"/>
              <w:rPr>
                <w:noProof/>
              </w:rPr>
            </w:pPr>
            <w:r>
              <w:rPr>
                <w:noProof/>
              </w:rPr>
              <w:t>1. CET.</w:t>
            </w:r>
          </w:p>
        </w:tc>
        <w:tc>
          <w:tcPr>
            <w:tcW w:w="238" w:type="pct"/>
            <w:shd w:val="clear" w:color="auto" w:fill="C6EFCE"/>
            <w:noWrap/>
            <w:vAlign w:val="center"/>
          </w:tcPr>
          <w:p w14:paraId="62BB211B" w14:textId="77777777" w:rsidR="00C972CB" w:rsidRDefault="002457F6">
            <w:pPr>
              <w:pStyle w:val="P68B1DB1-Normal11"/>
              <w:jc w:val="center"/>
              <w:rPr>
                <w:noProof/>
              </w:rPr>
            </w:pPr>
            <w:r>
              <w:rPr>
                <w:noProof/>
              </w:rPr>
              <w:t>2024</w:t>
            </w:r>
          </w:p>
        </w:tc>
        <w:tc>
          <w:tcPr>
            <w:tcW w:w="1047" w:type="pct"/>
            <w:shd w:val="clear" w:color="auto" w:fill="C6EFCE"/>
            <w:noWrap/>
            <w:vAlign w:val="center"/>
          </w:tcPr>
          <w:p w14:paraId="3FF1FBAD" w14:textId="77777777" w:rsidR="00C972CB" w:rsidRDefault="002457F6">
            <w:pPr>
              <w:pStyle w:val="P68B1DB1-Normal11"/>
              <w:rPr>
                <w:noProof/>
              </w:rPr>
            </w:pPr>
            <w:r>
              <w:rPr>
                <w:noProof/>
              </w:rPr>
              <w:t>Līgumu sl</w:t>
            </w:r>
            <w:r>
              <w:rPr>
                <w:noProof/>
              </w:rPr>
              <w:t>ēgšanas tiesību piešķiršana sporta objektu un sporta objektu celtniecības un renovācijas pasākumiem Izglītības ministrijas dekrētā un publiskā iepirkuma procedūrā. Līguma slēgšanas tiesības piešķir saskaņā ar Tehniskajiem norādījumiem “nenodari būtisku kai</w:t>
            </w:r>
            <w:r>
              <w:rPr>
                <w:noProof/>
              </w:rPr>
              <w:t>tējumu” (2021/C58/01), izmantojot izslēgšanas sarakstu un prasību par atbilstību attiecīgajiem ES un valsts tiesību aktiem vides jomā.</w:t>
            </w:r>
          </w:p>
          <w:p w14:paraId="4150E0C8" w14:textId="77777777" w:rsidR="00C972CB" w:rsidRDefault="00C972CB">
            <w:pPr>
              <w:rPr>
                <w:rFonts w:ascii="Arial Narrow" w:hAnsi="Arial Narrow"/>
                <w:noProof/>
                <w:color w:val="006100"/>
                <w:sz w:val="20"/>
              </w:rPr>
            </w:pPr>
          </w:p>
          <w:p w14:paraId="56CC36B1" w14:textId="77777777" w:rsidR="00C972CB" w:rsidRDefault="00C972CB">
            <w:pPr>
              <w:rPr>
                <w:rFonts w:ascii="Arial Narrow" w:hAnsi="Arial Narrow"/>
                <w:noProof/>
                <w:color w:val="006100"/>
                <w:sz w:val="20"/>
              </w:rPr>
            </w:pPr>
          </w:p>
          <w:p w14:paraId="735AFC90" w14:textId="77777777" w:rsidR="00C972CB" w:rsidRDefault="002457F6">
            <w:pPr>
              <w:pStyle w:val="P68B1DB1-Normal11"/>
              <w:rPr>
                <w:noProof/>
              </w:rPr>
            </w:pPr>
            <w:r>
              <w:rPr>
                <w:noProof/>
              </w:rPr>
              <w:t>Ar investīciju plānu tiek būvētas un atjaunotas skolas sporta objekti un sporta zāles, lai nodrošinātu izglītības piedā</w:t>
            </w:r>
            <w:r>
              <w:rPr>
                <w:noProof/>
              </w:rPr>
              <w:t>vājuma palielināšanu un skolu telpu stiprināšanu, kas veicina mācību laika paildzināšanu. Paredzams, ka iniciatīva veicinās skolas integrāciju apkārtējās teritorijās un uzlabos sporta un motorizēto nodarbību praktizēšanu.</w:t>
            </w:r>
          </w:p>
          <w:p w14:paraId="04981F78" w14:textId="77777777" w:rsidR="00C972CB" w:rsidRDefault="00C972CB">
            <w:pPr>
              <w:rPr>
                <w:rFonts w:ascii="Arial Narrow" w:hAnsi="Arial Narrow"/>
                <w:noProof/>
                <w:color w:val="006100"/>
                <w:sz w:val="20"/>
              </w:rPr>
            </w:pPr>
          </w:p>
        </w:tc>
      </w:tr>
      <w:tr w:rsidR="00C972CB" w14:paraId="64647706" w14:textId="77777777">
        <w:trPr>
          <w:trHeight w:val="309"/>
        </w:trPr>
        <w:tc>
          <w:tcPr>
            <w:tcW w:w="380" w:type="pct"/>
            <w:shd w:val="clear" w:color="auto" w:fill="C6EFCE"/>
            <w:noWrap/>
            <w:vAlign w:val="center"/>
          </w:tcPr>
          <w:p w14:paraId="0FEC9DEB" w14:textId="77777777" w:rsidR="00C972CB" w:rsidRDefault="002457F6">
            <w:pPr>
              <w:pStyle w:val="P68B1DB1-Normal11"/>
              <w:jc w:val="center"/>
              <w:rPr>
                <w:noProof/>
              </w:rPr>
            </w:pPr>
            <w:r>
              <w:rPr>
                <w:noProof/>
              </w:rPr>
              <w:t>M4C1–9</w:t>
            </w:r>
          </w:p>
        </w:tc>
        <w:tc>
          <w:tcPr>
            <w:tcW w:w="500" w:type="pct"/>
            <w:shd w:val="clear" w:color="auto" w:fill="C6EFCE"/>
            <w:noWrap/>
            <w:vAlign w:val="center"/>
          </w:tcPr>
          <w:p w14:paraId="0373053C" w14:textId="77777777" w:rsidR="00C972CB" w:rsidRDefault="002457F6">
            <w:pPr>
              <w:pStyle w:val="P68B1DB1-Normal11"/>
              <w:jc w:val="center"/>
              <w:rPr>
                <w:noProof/>
              </w:rPr>
            </w:pPr>
            <w:r>
              <w:rPr>
                <w:noProof/>
              </w:rPr>
              <w:t xml:space="preserve">Ieguldījums 1.1: </w:t>
            </w:r>
            <w:r>
              <w:rPr>
                <w:noProof/>
              </w:rPr>
              <w:t>Bērnudārzu un pirmsskolas izglītības un aprūpes pakalpojumu plāns</w:t>
            </w:r>
          </w:p>
        </w:tc>
        <w:tc>
          <w:tcPr>
            <w:tcW w:w="358" w:type="pct"/>
            <w:shd w:val="clear" w:color="auto" w:fill="C6EFCE"/>
            <w:noWrap/>
            <w:vAlign w:val="center"/>
          </w:tcPr>
          <w:p w14:paraId="6E9C7F7F" w14:textId="77777777" w:rsidR="00C972CB" w:rsidRDefault="002457F6">
            <w:pPr>
              <w:pStyle w:val="P68B1DB1-Normal11"/>
              <w:jc w:val="center"/>
              <w:rPr>
                <w:noProof/>
              </w:rPr>
            </w:pPr>
            <w:r>
              <w:rPr>
                <w:noProof/>
              </w:rPr>
              <w:t>Starpposma mērķis</w:t>
            </w:r>
          </w:p>
        </w:tc>
        <w:tc>
          <w:tcPr>
            <w:tcW w:w="572" w:type="pct"/>
            <w:shd w:val="clear" w:color="auto" w:fill="C6EFCE"/>
            <w:noWrap/>
            <w:vAlign w:val="center"/>
          </w:tcPr>
          <w:p w14:paraId="04D42DE4" w14:textId="14D9C68F" w:rsidR="00C972CB" w:rsidRDefault="002457F6">
            <w:pPr>
              <w:pStyle w:val="P68B1DB1-Normal11"/>
              <w:jc w:val="center"/>
              <w:rPr>
                <w:noProof/>
              </w:rPr>
            </w:pPr>
            <w:r>
              <w:rPr>
                <w:noProof/>
              </w:rPr>
              <w:t>Līgumu slēgšanas tiesību piešķiršana par bērnudārzu, pirmsskolas izglītības un agrīnās pirmsskolas izglītības un aprūpes pakalpojumu būvniecību, atjaunošanu un drošības nod</w:t>
            </w:r>
            <w:r>
              <w:rPr>
                <w:noProof/>
              </w:rPr>
              <w:t>rošināšanu</w:t>
            </w:r>
          </w:p>
        </w:tc>
        <w:tc>
          <w:tcPr>
            <w:tcW w:w="480" w:type="pct"/>
            <w:shd w:val="clear" w:color="auto" w:fill="C6EFCE"/>
            <w:noWrap/>
            <w:vAlign w:val="center"/>
          </w:tcPr>
          <w:p w14:paraId="5AF135F4" w14:textId="77777777" w:rsidR="00C972CB" w:rsidRDefault="00C972CB">
            <w:pPr>
              <w:jc w:val="center"/>
              <w:rPr>
                <w:rFonts w:ascii="Arial Narrow" w:hAnsi="Arial Narrow"/>
                <w:noProof/>
                <w:color w:val="006100"/>
                <w:sz w:val="20"/>
              </w:rPr>
            </w:pPr>
          </w:p>
          <w:p w14:paraId="72AFBF55" w14:textId="77777777" w:rsidR="00C972CB" w:rsidRDefault="002457F6">
            <w:pPr>
              <w:pStyle w:val="P68B1DB1-Normal11"/>
              <w:jc w:val="center"/>
              <w:rPr>
                <w:noProof/>
              </w:rPr>
            </w:pPr>
            <w:r>
              <w:rPr>
                <w:noProof/>
              </w:rPr>
              <w:t>Saņēmēju vietējo iestāžu paziņojums par publiskā iepirkuma līguma slēgšanas tiesību piešķiršanu pirmajam atbalsttiesīgo intervenču kopumam</w:t>
            </w:r>
          </w:p>
        </w:tc>
        <w:tc>
          <w:tcPr>
            <w:tcW w:w="422" w:type="pct"/>
            <w:shd w:val="clear" w:color="auto" w:fill="C6EFCE"/>
            <w:noWrap/>
            <w:vAlign w:val="center"/>
          </w:tcPr>
          <w:p w14:paraId="5B4C1D15" w14:textId="77777777" w:rsidR="00C972CB" w:rsidRDefault="002457F6">
            <w:pPr>
              <w:pStyle w:val="P68B1DB1-Normal11"/>
              <w:jc w:val="center"/>
              <w:rPr>
                <w:noProof/>
              </w:rPr>
            </w:pPr>
            <w:r>
              <w:rPr>
                <w:noProof/>
              </w:rPr>
              <w:t>NEPIEMĒRO</w:t>
            </w:r>
          </w:p>
        </w:tc>
        <w:tc>
          <w:tcPr>
            <w:tcW w:w="375" w:type="pct"/>
            <w:shd w:val="clear" w:color="auto" w:fill="C6EFCE"/>
            <w:noWrap/>
            <w:vAlign w:val="center"/>
          </w:tcPr>
          <w:p w14:paraId="12049C8D" w14:textId="77777777" w:rsidR="00C972CB" w:rsidRDefault="002457F6">
            <w:pPr>
              <w:pStyle w:val="P68B1DB1-Normal11"/>
              <w:jc w:val="center"/>
              <w:rPr>
                <w:noProof/>
              </w:rPr>
            </w:pPr>
            <w:r>
              <w:rPr>
                <w:noProof/>
              </w:rPr>
              <w:t>NEPIEMĒRO</w:t>
            </w:r>
          </w:p>
        </w:tc>
        <w:tc>
          <w:tcPr>
            <w:tcW w:w="343" w:type="pct"/>
            <w:shd w:val="clear" w:color="auto" w:fill="C6EFCE"/>
            <w:noWrap/>
            <w:vAlign w:val="center"/>
          </w:tcPr>
          <w:p w14:paraId="55F6929B" w14:textId="77777777" w:rsidR="00C972CB" w:rsidRDefault="002457F6">
            <w:pPr>
              <w:pStyle w:val="P68B1DB1-Normal11"/>
              <w:jc w:val="center"/>
              <w:rPr>
                <w:noProof/>
              </w:rPr>
            </w:pPr>
            <w:r>
              <w:rPr>
                <w:noProof/>
              </w:rPr>
              <w:t>NEPIEMĒRO</w:t>
            </w:r>
          </w:p>
        </w:tc>
        <w:tc>
          <w:tcPr>
            <w:tcW w:w="286" w:type="pct"/>
            <w:shd w:val="clear" w:color="auto" w:fill="C6EFCE"/>
            <w:noWrap/>
            <w:vAlign w:val="center"/>
          </w:tcPr>
          <w:p w14:paraId="6F6325CA" w14:textId="77777777" w:rsidR="00C972CB" w:rsidRDefault="002457F6">
            <w:pPr>
              <w:pStyle w:val="P68B1DB1-Normal11"/>
              <w:jc w:val="center"/>
              <w:rPr>
                <w:noProof/>
              </w:rPr>
            </w:pPr>
            <w:r>
              <w:rPr>
                <w:noProof/>
              </w:rPr>
              <w:t>2. CET.</w:t>
            </w:r>
          </w:p>
        </w:tc>
        <w:tc>
          <w:tcPr>
            <w:tcW w:w="238" w:type="pct"/>
            <w:shd w:val="clear" w:color="auto" w:fill="C6EFCE"/>
            <w:noWrap/>
            <w:vAlign w:val="center"/>
          </w:tcPr>
          <w:p w14:paraId="49AD9C49" w14:textId="77777777" w:rsidR="00C972CB" w:rsidRDefault="002457F6">
            <w:pPr>
              <w:pStyle w:val="P68B1DB1-Normal11"/>
              <w:jc w:val="center"/>
              <w:rPr>
                <w:noProof/>
              </w:rPr>
            </w:pPr>
            <w:r>
              <w:rPr>
                <w:noProof/>
              </w:rPr>
              <w:t>2023</w:t>
            </w:r>
          </w:p>
        </w:tc>
        <w:tc>
          <w:tcPr>
            <w:tcW w:w="1047" w:type="pct"/>
            <w:shd w:val="clear" w:color="auto" w:fill="C6EFCE"/>
            <w:noWrap/>
            <w:vAlign w:val="center"/>
          </w:tcPr>
          <w:p w14:paraId="2451778F" w14:textId="77777777" w:rsidR="00C972CB" w:rsidRDefault="002457F6">
            <w:pPr>
              <w:pStyle w:val="P68B1DB1-Normal11"/>
              <w:rPr>
                <w:noProof/>
              </w:rPr>
            </w:pPr>
            <w:r>
              <w:rPr>
                <w:noProof/>
              </w:rPr>
              <w:t xml:space="preserve">Līgumu slēgšanas tiesību piešķiršana un teritoriālā sadale </w:t>
            </w:r>
            <w:r>
              <w:rPr>
                <w:noProof/>
              </w:rPr>
              <w:t>bērnudārza, pirmsskolas izglītības un aprūpes pakalpojumu jomā. Piešķiršanu veic saskaņā ar Tehniskajiem norādījumiem “nenodari būtisku kaitējumu” (2021/C58/01), izmantojot izslēgšanas sarakstu un prasību par atbilstību attiecīgajiem ES un valsts tiesību a</w:t>
            </w:r>
            <w:r>
              <w:rPr>
                <w:noProof/>
              </w:rPr>
              <w:t>ktiem vides jomā.</w:t>
            </w:r>
          </w:p>
        </w:tc>
      </w:tr>
      <w:tr w:rsidR="00C972CB" w14:paraId="18F10699" w14:textId="77777777">
        <w:trPr>
          <w:trHeight w:val="309"/>
        </w:trPr>
        <w:tc>
          <w:tcPr>
            <w:tcW w:w="380" w:type="pct"/>
            <w:shd w:val="clear" w:color="auto" w:fill="C6EFCE"/>
            <w:noWrap/>
            <w:vAlign w:val="center"/>
          </w:tcPr>
          <w:p w14:paraId="7D37055B" w14:textId="77777777" w:rsidR="00C972CB" w:rsidRDefault="002457F6">
            <w:pPr>
              <w:pStyle w:val="P68B1DB1-Normal11"/>
              <w:jc w:val="center"/>
              <w:rPr>
                <w:noProof/>
              </w:rPr>
            </w:pPr>
            <w:r>
              <w:rPr>
                <w:noProof/>
              </w:rPr>
              <w:t>M4C1–10</w:t>
            </w:r>
          </w:p>
        </w:tc>
        <w:tc>
          <w:tcPr>
            <w:tcW w:w="500" w:type="pct"/>
            <w:shd w:val="clear" w:color="auto" w:fill="C6EFCE"/>
            <w:noWrap/>
            <w:vAlign w:val="center"/>
          </w:tcPr>
          <w:p w14:paraId="42D56EA4" w14:textId="77777777" w:rsidR="00C972CB" w:rsidRDefault="002457F6">
            <w:pPr>
              <w:pStyle w:val="P68B1DB1-Normal11"/>
              <w:jc w:val="center"/>
              <w:rPr>
                <w:noProof/>
              </w:rPr>
            </w:pPr>
            <w:r>
              <w:rPr>
                <w:noProof/>
              </w:rPr>
              <w:t xml:space="preserve">Reforma. Skolotāju pieņemšana darbā; Reforma: Skolu sistēmas reorganizācija; Reforma: Terciārās profesionālās izglītības sistēmas (ITS) reforma; Reforma: “Orientācijas” sistēmas reforma; Reforma: Universitātes grāda grupu </w:t>
            </w:r>
            <w:r>
              <w:rPr>
                <w:noProof/>
              </w:rPr>
              <w:t>reforma; Reforma. Augstskolu grādu reformas veicināšana</w:t>
            </w:r>
          </w:p>
        </w:tc>
        <w:tc>
          <w:tcPr>
            <w:tcW w:w="358" w:type="pct"/>
            <w:shd w:val="clear" w:color="auto" w:fill="C6EFCE"/>
            <w:noWrap/>
            <w:vAlign w:val="center"/>
          </w:tcPr>
          <w:p w14:paraId="110269B7" w14:textId="77777777" w:rsidR="00C972CB" w:rsidRDefault="002457F6">
            <w:pPr>
              <w:pStyle w:val="P68B1DB1-Normal11"/>
              <w:jc w:val="center"/>
              <w:rPr>
                <w:noProof/>
              </w:rPr>
            </w:pPr>
            <w:r>
              <w:rPr>
                <w:noProof/>
              </w:rPr>
              <w:t>Starpposma mērķis</w:t>
            </w:r>
          </w:p>
        </w:tc>
        <w:tc>
          <w:tcPr>
            <w:tcW w:w="572" w:type="pct"/>
            <w:shd w:val="clear" w:color="auto" w:fill="C6EFCE"/>
            <w:noWrap/>
            <w:vAlign w:val="center"/>
          </w:tcPr>
          <w:p w14:paraId="249E46AE" w14:textId="77777777" w:rsidR="00C972CB" w:rsidRDefault="002457F6">
            <w:pPr>
              <w:pStyle w:val="P68B1DB1-Normal11"/>
              <w:jc w:val="center"/>
              <w:rPr>
                <w:noProof/>
              </w:rPr>
            </w:pPr>
            <w:r>
              <w:rPr>
                <w:noProof/>
              </w:rPr>
              <w:t>Noteikumu stāšanās spēkā, lai vajadzības gadījumā efektīvi īstenotu un piemērotu visus pasākumus, kas attiecas uz pamatizglītības, vidējās un augstākās izglītības reformām</w:t>
            </w:r>
          </w:p>
        </w:tc>
        <w:tc>
          <w:tcPr>
            <w:tcW w:w="480" w:type="pct"/>
            <w:shd w:val="clear" w:color="auto" w:fill="C6EFCE"/>
            <w:noWrap/>
            <w:vAlign w:val="center"/>
          </w:tcPr>
          <w:p w14:paraId="670A59B3" w14:textId="77777777" w:rsidR="00C972CB" w:rsidRDefault="002457F6">
            <w:pPr>
              <w:pStyle w:val="P68B1DB1-Normal11"/>
              <w:jc w:val="center"/>
              <w:rPr>
                <w:noProof/>
                <w:color w:val="375623"/>
              </w:rPr>
            </w:pPr>
            <w:r>
              <w:rPr>
                <w:noProof/>
              </w:rPr>
              <w:t xml:space="preserve">Likuma </w:t>
            </w:r>
            <w:r>
              <w:rPr>
                <w:noProof/>
              </w:rPr>
              <w:t>norma, kas norāda uz noteikumu stāšanos spēkā.</w:t>
            </w:r>
          </w:p>
        </w:tc>
        <w:tc>
          <w:tcPr>
            <w:tcW w:w="422" w:type="pct"/>
            <w:shd w:val="clear" w:color="auto" w:fill="C6EFCE"/>
            <w:noWrap/>
            <w:vAlign w:val="center"/>
          </w:tcPr>
          <w:p w14:paraId="132015BA" w14:textId="77777777" w:rsidR="00C972CB" w:rsidRDefault="002457F6">
            <w:pPr>
              <w:pStyle w:val="P68B1DB1-Normal11"/>
              <w:jc w:val="center"/>
              <w:rPr>
                <w:noProof/>
              </w:rPr>
            </w:pPr>
            <w:r>
              <w:rPr>
                <w:noProof/>
              </w:rPr>
              <w:t>NEPIEMĒRO</w:t>
            </w:r>
          </w:p>
        </w:tc>
        <w:tc>
          <w:tcPr>
            <w:tcW w:w="375" w:type="pct"/>
            <w:shd w:val="clear" w:color="auto" w:fill="C6EFCE"/>
            <w:noWrap/>
            <w:vAlign w:val="center"/>
          </w:tcPr>
          <w:p w14:paraId="50EE310C" w14:textId="77777777" w:rsidR="00C972CB" w:rsidRDefault="002457F6">
            <w:pPr>
              <w:pStyle w:val="P68B1DB1-Normal11"/>
              <w:jc w:val="center"/>
              <w:rPr>
                <w:noProof/>
              </w:rPr>
            </w:pPr>
            <w:r>
              <w:rPr>
                <w:noProof/>
              </w:rPr>
              <w:t>NEPIEMĒRO</w:t>
            </w:r>
          </w:p>
        </w:tc>
        <w:tc>
          <w:tcPr>
            <w:tcW w:w="343" w:type="pct"/>
            <w:shd w:val="clear" w:color="auto" w:fill="C6EFCE"/>
            <w:noWrap/>
            <w:vAlign w:val="center"/>
          </w:tcPr>
          <w:p w14:paraId="5CDC8734" w14:textId="77777777" w:rsidR="00C972CB" w:rsidRDefault="002457F6">
            <w:pPr>
              <w:pStyle w:val="P68B1DB1-Normal11"/>
              <w:jc w:val="center"/>
              <w:rPr>
                <w:noProof/>
              </w:rPr>
            </w:pPr>
            <w:r>
              <w:rPr>
                <w:noProof/>
              </w:rPr>
              <w:t>NEPIEMĒRO</w:t>
            </w:r>
          </w:p>
        </w:tc>
        <w:tc>
          <w:tcPr>
            <w:tcW w:w="286" w:type="pct"/>
            <w:shd w:val="clear" w:color="auto" w:fill="C6EFCE"/>
            <w:noWrap/>
            <w:vAlign w:val="center"/>
          </w:tcPr>
          <w:p w14:paraId="133BBAAC"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757517B9" w14:textId="77777777" w:rsidR="00C972CB" w:rsidRDefault="002457F6">
            <w:pPr>
              <w:pStyle w:val="P68B1DB1-Normal11"/>
              <w:jc w:val="center"/>
              <w:rPr>
                <w:noProof/>
              </w:rPr>
            </w:pPr>
            <w:r>
              <w:rPr>
                <w:noProof/>
              </w:rPr>
              <w:t>2023</w:t>
            </w:r>
          </w:p>
        </w:tc>
        <w:tc>
          <w:tcPr>
            <w:tcW w:w="1047" w:type="pct"/>
            <w:shd w:val="clear" w:color="auto" w:fill="C6EFCE"/>
            <w:noWrap/>
            <w:vAlign w:val="center"/>
          </w:tcPr>
          <w:p w14:paraId="281BF9BD" w14:textId="77777777" w:rsidR="00C972CB" w:rsidRDefault="002457F6">
            <w:pPr>
              <w:pStyle w:val="P68B1DB1-Normal11"/>
              <w:rPr>
                <w:noProof/>
              </w:rPr>
            </w:pPr>
            <w:r>
              <w:rPr>
                <w:noProof/>
              </w:rPr>
              <w:t xml:space="preserve">Sekundārie tiesību akti ietver visas regulas, kas vajadzīgas, lai efektīvi īstenotu un piemērotu visus pasākumus, kuri attiecas uz pamatizglītības, vidējās un </w:t>
            </w:r>
            <w:r>
              <w:rPr>
                <w:noProof/>
              </w:rPr>
              <w:t>augstākās izglītības reformām:</w:t>
            </w:r>
          </w:p>
          <w:p w14:paraId="54487FEE" w14:textId="77777777" w:rsidR="00C972CB" w:rsidRDefault="002457F6">
            <w:pPr>
              <w:pStyle w:val="P68B1DB1-Normal11"/>
              <w:rPr>
                <w:noProof/>
              </w:rPr>
            </w:pPr>
            <w:r>
              <w:rPr>
                <w:noProof/>
              </w:rPr>
              <w:t>Terciārās izglītības sistēmas reformas, lai uzlabotu izglītības rezultātus (pamattiesību akti) šādās jomās: dot iespēju iegūt akadēmiskos grādus; augstākās izglītības grupas; doktorantūras programmu reforma;</w:t>
            </w:r>
          </w:p>
          <w:p w14:paraId="7C60B71B" w14:textId="77777777" w:rsidR="00C972CB" w:rsidRDefault="002457F6">
            <w:pPr>
              <w:pStyle w:val="P68B1DB1-Normal11"/>
              <w:rPr>
                <w:noProof/>
              </w:rPr>
            </w:pPr>
            <w:r>
              <w:rPr>
                <w:noProof/>
              </w:rPr>
              <w:t>—Ministriju dekrē</w:t>
            </w:r>
            <w:r>
              <w:rPr>
                <w:noProof/>
              </w:rPr>
              <w:t>tus par reformām attiecībā uz stipendijām, lai uzlabotu piekļuvi augstākajai izglītībai;</w:t>
            </w:r>
          </w:p>
          <w:p w14:paraId="255D8B5C" w14:textId="77777777" w:rsidR="00C972CB" w:rsidRDefault="002457F6">
            <w:pPr>
              <w:pStyle w:val="P68B1DB1-Normal11"/>
              <w:rPr>
                <w:noProof/>
              </w:rPr>
            </w:pPr>
            <w:r>
              <w:rPr>
                <w:noProof/>
              </w:rPr>
              <w:t>Skolotāja profesijas reforma;</w:t>
            </w:r>
          </w:p>
          <w:p w14:paraId="10B80857" w14:textId="77777777" w:rsidR="00C972CB" w:rsidRDefault="002457F6">
            <w:pPr>
              <w:pStyle w:val="P68B1DB1-Normal11"/>
              <w:rPr>
                <w:noProof/>
              </w:rPr>
            </w:pPr>
            <w:r>
              <w:rPr>
                <w:noProof/>
              </w:rPr>
              <w:t>— Pamatizglītības un vidējās izglītības sistēmas reformas, lai uzlabotu izglītības rezultātus;</w:t>
            </w:r>
          </w:p>
          <w:p w14:paraId="3B84CC4F" w14:textId="1DE5D471" w:rsidR="00C972CB" w:rsidRDefault="002457F6">
            <w:pPr>
              <w:pStyle w:val="P68B1DB1-Normal11"/>
              <w:rPr>
                <w:noProof/>
              </w:rPr>
            </w:pPr>
            <w:r>
              <w:rPr>
                <w:noProof/>
              </w:rPr>
              <w:t>— Tiesību aktu mērķis bija izveidot kvalit</w:t>
            </w:r>
            <w:r>
              <w:rPr>
                <w:noProof/>
              </w:rPr>
              <w:t xml:space="preserve">atīvu mācību sistēmu skolām. </w:t>
            </w:r>
          </w:p>
          <w:p w14:paraId="709ED8D3" w14:textId="77777777" w:rsidR="00C972CB" w:rsidRDefault="00C972CB">
            <w:pPr>
              <w:rPr>
                <w:rFonts w:ascii="Arial Narrow" w:hAnsi="Arial Narrow"/>
                <w:noProof/>
                <w:color w:val="006100"/>
                <w:sz w:val="20"/>
              </w:rPr>
            </w:pPr>
          </w:p>
        </w:tc>
      </w:tr>
      <w:tr w:rsidR="00C972CB" w14:paraId="5FFCC573" w14:textId="77777777">
        <w:trPr>
          <w:trHeight w:val="309"/>
        </w:trPr>
        <w:tc>
          <w:tcPr>
            <w:tcW w:w="380" w:type="pct"/>
            <w:shd w:val="clear" w:color="auto" w:fill="C6EFCE"/>
            <w:noWrap/>
            <w:vAlign w:val="center"/>
          </w:tcPr>
          <w:p w14:paraId="7A9BD381" w14:textId="533D6100" w:rsidR="00C972CB" w:rsidRDefault="002457F6">
            <w:pPr>
              <w:pStyle w:val="P68B1DB1-Normal11"/>
              <w:jc w:val="center"/>
              <w:rPr>
                <w:noProof/>
              </w:rPr>
            </w:pPr>
            <w:r>
              <w:rPr>
                <w:noProof/>
              </w:rPr>
              <w:t>M4C1–10 bis</w:t>
            </w:r>
          </w:p>
        </w:tc>
        <w:tc>
          <w:tcPr>
            <w:tcW w:w="500" w:type="pct"/>
            <w:shd w:val="clear" w:color="auto" w:fill="C6EFCE"/>
            <w:noWrap/>
            <w:vAlign w:val="center"/>
          </w:tcPr>
          <w:p w14:paraId="470DE403" w14:textId="74BF205A" w:rsidR="00C972CB" w:rsidRDefault="002457F6">
            <w:pPr>
              <w:pStyle w:val="P68B1DB1-Normal11"/>
              <w:jc w:val="center"/>
              <w:rPr>
                <w:noProof/>
              </w:rPr>
            </w:pPr>
            <w:r>
              <w:rPr>
                <w:noProof/>
              </w:rPr>
              <w:t>Reforma. Tehnisko un profesionālo institūtu reforma</w:t>
            </w:r>
          </w:p>
        </w:tc>
        <w:tc>
          <w:tcPr>
            <w:tcW w:w="358" w:type="pct"/>
            <w:shd w:val="clear" w:color="auto" w:fill="C6EFCE"/>
            <w:noWrap/>
            <w:vAlign w:val="center"/>
          </w:tcPr>
          <w:p w14:paraId="7AF13382" w14:textId="6349175A" w:rsidR="00C972CB" w:rsidRDefault="002457F6">
            <w:pPr>
              <w:pStyle w:val="P68B1DB1-Normal11"/>
              <w:jc w:val="center"/>
              <w:rPr>
                <w:noProof/>
              </w:rPr>
            </w:pPr>
            <w:r>
              <w:rPr>
                <w:noProof/>
              </w:rPr>
              <w:t>Starpposma mērķis</w:t>
            </w:r>
          </w:p>
        </w:tc>
        <w:tc>
          <w:tcPr>
            <w:tcW w:w="572" w:type="pct"/>
            <w:shd w:val="clear" w:color="auto" w:fill="C6EFCE"/>
            <w:noWrap/>
            <w:vAlign w:val="center"/>
          </w:tcPr>
          <w:p w14:paraId="1251FC10" w14:textId="0611BEE0" w:rsidR="00C972CB" w:rsidRDefault="002457F6">
            <w:pPr>
              <w:pStyle w:val="P68B1DB1-Normal11"/>
              <w:jc w:val="center"/>
              <w:rPr>
                <w:noProof/>
              </w:rPr>
            </w:pPr>
            <w:r>
              <w:rPr>
                <w:noProof/>
              </w:rPr>
              <w:t>Sekundāro tiesību aktu stāšanās spēkā.</w:t>
            </w:r>
          </w:p>
        </w:tc>
        <w:tc>
          <w:tcPr>
            <w:tcW w:w="480" w:type="pct"/>
            <w:shd w:val="clear" w:color="auto" w:fill="C6EFCE"/>
            <w:noWrap/>
            <w:vAlign w:val="center"/>
          </w:tcPr>
          <w:p w14:paraId="6E3FB2C6" w14:textId="69604A67" w:rsidR="00C972CB" w:rsidRDefault="002457F6">
            <w:pPr>
              <w:pStyle w:val="P68B1DB1-Normal11"/>
              <w:jc w:val="center"/>
              <w:rPr>
                <w:noProof/>
              </w:rPr>
            </w:pPr>
            <w:r>
              <w:rPr>
                <w:noProof/>
              </w:rPr>
              <w:t>Tiesību norma, kas norāda uz sekundāro tiesību aktu stāšanos spēkā.</w:t>
            </w:r>
          </w:p>
        </w:tc>
        <w:tc>
          <w:tcPr>
            <w:tcW w:w="422" w:type="pct"/>
            <w:shd w:val="clear" w:color="auto" w:fill="C6EFCE"/>
            <w:noWrap/>
            <w:vAlign w:val="center"/>
          </w:tcPr>
          <w:p w14:paraId="1CBA4247" w14:textId="78F7B6FA" w:rsidR="00C972CB" w:rsidRDefault="002457F6">
            <w:pPr>
              <w:pStyle w:val="P68B1DB1-Normal11"/>
              <w:jc w:val="center"/>
              <w:rPr>
                <w:noProof/>
              </w:rPr>
            </w:pPr>
            <w:r>
              <w:rPr>
                <w:noProof/>
              </w:rPr>
              <w:t>NEPIEMĒRO</w:t>
            </w:r>
          </w:p>
        </w:tc>
        <w:tc>
          <w:tcPr>
            <w:tcW w:w="375" w:type="pct"/>
            <w:shd w:val="clear" w:color="auto" w:fill="C6EFCE"/>
            <w:noWrap/>
            <w:vAlign w:val="center"/>
          </w:tcPr>
          <w:p w14:paraId="308D6A72" w14:textId="52337F71" w:rsidR="00C972CB" w:rsidRDefault="002457F6">
            <w:pPr>
              <w:pStyle w:val="P68B1DB1-Normal11"/>
              <w:jc w:val="center"/>
              <w:rPr>
                <w:noProof/>
              </w:rPr>
            </w:pPr>
            <w:r>
              <w:rPr>
                <w:noProof/>
              </w:rPr>
              <w:t>NEPIEMĒRO</w:t>
            </w:r>
          </w:p>
        </w:tc>
        <w:tc>
          <w:tcPr>
            <w:tcW w:w="343" w:type="pct"/>
            <w:shd w:val="clear" w:color="auto" w:fill="C6EFCE"/>
            <w:noWrap/>
            <w:vAlign w:val="center"/>
          </w:tcPr>
          <w:p w14:paraId="3C396A49" w14:textId="1CACFE2D" w:rsidR="00C972CB" w:rsidRDefault="002457F6">
            <w:pPr>
              <w:pStyle w:val="P68B1DB1-Normal11"/>
              <w:jc w:val="center"/>
              <w:rPr>
                <w:noProof/>
              </w:rPr>
            </w:pPr>
            <w:r>
              <w:rPr>
                <w:noProof/>
              </w:rPr>
              <w:t>NEPIEMĒRO</w:t>
            </w:r>
          </w:p>
        </w:tc>
        <w:tc>
          <w:tcPr>
            <w:tcW w:w="286" w:type="pct"/>
            <w:shd w:val="clear" w:color="auto" w:fill="C6EFCE"/>
            <w:noWrap/>
            <w:vAlign w:val="center"/>
          </w:tcPr>
          <w:p w14:paraId="01AF4851" w14:textId="339FBBF2" w:rsidR="00C972CB" w:rsidRDefault="002457F6">
            <w:pPr>
              <w:pStyle w:val="P68B1DB1-Normal11"/>
              <w:jc w:val="center"/>
              <w:rPr>
                <w:noProof/>
              </w:rPr>
            </w:pPr>
            <w:r>
              <w:rPr>
                <w:noProof/>
              </w:rPr>
              <w:t xml:space="preserve">4. CET. </w:t>
            </w:r>
          </w:p>
        </w:tc>
        <w:tc>
          <w:tcPr>
            <w:tcW w:w="238" w:type="pct"/>
            <w:shd w:val="clear" w:color="auto" w:fill="C6EFCE"/>
            <w:noWrap/>
            <w:vAlign w:val="center"/>
          </w:tcPr>
          <w:p w14:paraId="3C75FE14" w14:textId="11FA0437" w:rsidR="00C972CB" w:rsidRDefault="002457F6">
            <w:pPr>
              <w:pStyle w:val="P68B1DB1-Normal11"/>
              <w:jc w:val="center"/>
              <w:rPr>
                <w:noProof/>
              </w:rPr>
            </w:pPr>
            <w:r>
              <w:rPr>
                <w:noProof/>
              </w:rPr>
              <w:t>2024</w:t>
            </w:r>
          </w:p>
        </w:tc>
        <w:tc>
          <w:tcPr>
            <w:tcW w:w="1047" w:type="pct"/>
            <w:shd w:val="clear" w:color="auto" w:fill="C6EFCE"/>
            <w:noWrap/>
            <w:vAlign w:val="center"/>
          </w:tcPr>
          <w:p w14:paraId="15A11705" w14:textId="3F806887" w:rsidR="00C972CB" w:rsidRDefault="002457F6">
            <w:pPr>
              <w:pStyle w:val="P68B1DB1-Normal11"/>
              <w:rPr>
                <w:noProof/>
              </w:rPr>
            </w:pPr>
            <w:r>
              <w:rPr>
                <w:noProof/>
              </w:rPr>
              <w:t>Stājās spēkā sekundārie tiesību akti par tehnisko un profesionālo institūtu reformu.</w:t>
            </w:r>
          </w:p>
        </w:tc>
      </w:tr>
      <w:tr w:rsidR="00C972CB" w14:paraId="4737FB24" w14:textId="77777777">
        <w:trPr>
          <w:trHeight w:val="309"/>
        </w:trPr>
        <w:tc>
          <w:tcPr>
            <w:tcW w:w="380" w:type="pct"/>
            <w:shd w:val="clear" w:color="auto" w:fill="C6EFCE"/>
            <w:noWrap/>
            <w:vAlign w:val="center"/>
          </w:tcPr>
          <w:p w14:paraId="43BA2B4A" w14:textId="3AA3D3AA" w:rsidR="00C972CB" w:rsidRDefault="002457F6">
            <w:pPr>
              <w:pStyle w:val="P68B1DB1-Normal11"/>
              <w:jc w:val="center"/>
              <w:rPr>
                <w:noProof/>
              </w:rPr>
            </w:pPr>
            <w:r>
              <w:rPr>
                <w:noProof/>
              </w:rPr>
              <w:t>M4C1–11</w:t>
            </w:r>
          </w:p>
        </w:tc>
        <w:tc>
          <w:tcPr>
            <w:tcW w:w="500" w:type="pct"/>
            <w:shd w:val="clear" w:color="auto" w:fill="C6EFCE"/>
            <w:noWrap/>
            <w:vAlign w:val="center"/>
          </w:tcPr>
          <w:p w14:paraId="3681E591" w14:textId="7E29CAF6" w:rsidR="00C972CB" w:rsidRDefault="002457F6">
            <w:pPr>
              <w:pStyle w:val="P68B1DB1-Normal11"/>
              <w:jc w:val="center"/>
              <w:rPr>
                <w:noProof/>
              </w:rPr>
            </w:pPr>
            <w:r>
              <w:rPr>
                <w:noProof/>
              </w:rPr>
              <w:t>Ieguldījums 1.7. Stipendijas par piekļuvi universitātēm</w:t>
            </w:r>
          </w:p>
        </w:tc>
        <w:tc>
          <w:tcPr>
            <w:tcW w:w="358" w:type="pct"/>
            <w:shd w:val="clear" w:color="auto" w:fill="C6EFCE"/>
            <w:noWrap/>
            <w:vAlign w:val="center"/>
          </w:tcPr>
          <w:p w14:paraId="3050BD93"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2F663D1B" w14:textId="77777777" w:rsidR="00C972CB" w:rsidRDefault="002457F6">
            <w:pPr>
              <w:pStyle w:val="P68B1DB1-Normal11"/>
              <w:jc w:val="center"/>
              <w:rPr>
                <w:noProof/>
              </w:rPr>
            </w:pPr>
            <w:r>
              <w:rPr>
                <w:noProof/>
              </w:rPr>
              <w:t>Piešķirta universitātes stipendija</w:t>
            </w:r>
          </w:p>
        </w:tc>
        <w:tc>
          <w:tcPr>
            <w:tcW w:w="480" w:type="pct"/>
            <w:shd w:val="clear" w:color="auto" w:fill="C6EFCE"/>
            <w:noWrap/>
            <w:vAlign w:val="center"/>
          </w:tcPr>
          <w:p w14:paraId="004301B0"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25A47E5A"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112E6A8F" w14:textId="6A34CB4F" w:rsidR="00C972CB" w:rsidRDefault="002457F6">
            <w:pPr>
              <w:pStyle w:val="P68B1DB1-Normal11"/>
              <w:jc w:val="center"/>
              <w:rPr>
                <w:noProof/>
              </w:rPr>
            </w:pPr>
            <w:r>
              <w:rPr>
                <w:noProof/>
              </w:rPr>
              <w:t>0</w:t>
            </w:r>
          </w:p>
        </w:tc>
        <w:tc>
          <w:tcPr>
            <w:tcW w:w="343" w:type="pct"/>
            <w:shd w:val="clear" w:color="auto" w:fill="C6EFCE"/>
            <w:noWrap/>
            <w:vAlign w:val="center"/>
          </w:tcPr>
          <w:p w14:paraId="3CBAA0E1" w14:textId="6AAA16B4" w:rsidR="00C972CB" w:rsidRDefault="002457F6">
            <w:pPr>
              <w:pStyle w:val="P68B1DB1-Normal11"/>
              <w:jc w:val="center"/>
              <w:rPr>
                <w:noProof/>
              </w:rPr>
            </w:pPr>
            <w:r>
              <w:rPr>
                <w:noProof/>
              </w:rPr>
              <w:t>55 000</w:t>
            </w:r>
          </w:p>
        </w:tc>
        <w:tc>
          <w:tcPr>
            <w:tcW w:w="286" w:type="pct"/>
            <w:shd w:val="clear" w:color="auto" w:fill="C6EFCE"/>
            <w:noWrap/>
            <w:vAlign w:val="center"/>
          </w:tcPr>
          <w:p w14:paraId="5EBAA2AA"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38FF462D" w14:textId="77777777" w:rsidR="00C972CB" w:rsidRDefault="002457F6">
            <w:pPr>
              <w:pStyle w:val="P68B1DB1-Normal11"/>
              <w:jc w:val="center"/>
              <w:rPr>
                <w:noProof/>
              </w:rPr>
            </w:pPr>
            <w:r>
              <w:rPr>
                <w:noProof/>
              </w:rPr>
              <w:t>2023</w:t>
            </w:r>
          </w:p>
        </w:tc>
        <w:tc>
          <w:tcPr>
            <w:tcW w:w="1047" w:type="pct"/>
            <w:shd w:val="clear" w:color="auto" w:fill="C6EFCE"/>
            <w:noWrap/>
            <w:vAlign w:val="center"/>
          </w:tcPr>
          <w:p w14:paraId="3433EDD6" w14:textId="203AE3F5" w:rsidR="00C972CB" w:rsidRDefault="002457F6">
            <w:pPr>
              <w:rPr>
                <w:rStyle w:val="normaltextrun"/>
                <w:rFonts w:ascii="Arial Narrow" w:eastAsiaTheme="majorEastAsia" w:hAnsi="Arial Narrow"/>
                <w:noProof/>
                <w:sz w:val="20"/>
              </w:rPr>
            </w:pPr>
            <w:r>
              <w:rPr>
                <w:rFonts w:ascii="Arial Narrow" w:hAnsi="Arial Narrow"/>
                <w:noProof/>
                <w:color w:val="006100"/>
                <w:sz w:val="20"/>
              </w:rPr>
              <w:t>Vismaz 55000</w:t>
            </w:r>
            <w:r>
              <w:rPr>
                <w:rFonts w:ascii="Arial Narrow" w:hAnsi="Arial Narrow"/>
                <w:noProof/>
                <w:color w:val="006100"/>
                <w:sz w:val="20"/>
              </w:rPr>
              <w:t xml:space="preserve"> studentu tiek piešķirtas stipendijas, ko finansē tikai no ANM līdzekļiem.</w:t>
            </w:r>
            <w:r>
              <w:rPr>
                <w:rStyle w:val="normaltextrun"/>
                <w:rFonts w:ascii="Arial Narrow" w:hAnsi="Arial Narrow"/>
                <w:noProof/>
                <w:color w:val="006100"/>
                <w:sz w:val="20"/>
                <w:shd w:val="clear" w:color="auto" w:fill="FFFFFF"/>
              </w:rPr>
              <w:t xml:space="preserve"> </w:t>
            </w:r>
          </w:p>
        </w:tc>
      </w:tr>
      <w:tr w:rsidR="00C972CB" w14:paraId="1B2ED885" w14:textId="77777777">
        <w:trPr>
          <w:trHeight w:val="309"/>
        </w:trPr>
        <w:tc>
          <w:tcPr>
            <w:tcW w:w="380" w:type="pct"/>
            <w:shd w:val="clear" w:color="auto" w:fill="C6EFCE"/>
            <w:noWrap/>
            <w:vAlign w:val="center"/>
          </w:tcPr>
          <w:p w14:paraId="12427534" w14:textId="3DFEA80A" w:rsidR="00C972CB" w:rsidRDefault="002457F6">
            <w:pPr>
              <w:pStyle w:val="P68B1DB1-Normal11"/>
              <w:jc w:val="center"/>
              <w:rPr>
                <w:noProof/>
              </w:rPr>
            </w:pPr>
            <w:r>
              <w:rPr>
                <w:noProof/>
              </w:rPr>
              <w:t>M4C1–12</w:t>
            </w:r>
          </w:p>
        </w:tc>
        <w:tc>
          <w:tcPr>
            <w:tcW w:w="500" w:type="pct"/>
            <w:shd w:val="clear" w:color="auto" w:fill="C6EFCE"/>
            <w:noWrap/>
            <w:vAlign w:val="center"/>
          </w:tcPr>
          <w:p w14:paraId="1A971360" w14:textId="77777777" w:rsidR="00C972CB" w:rsidRDefault="002457F6">
            <w:pPr>
              <w:pStyle w:val="P68B1DB1-Normal11"/>
              <w:jc w:val="center"/>
              <w:rPr>
                <w:noProof/>
              </w:rPr>
            </w:pPr>
            <w:r>
              <w:rPr>
                <w:noProof/>
              </w:rPr>
              <w:t>Ieguldījums 4.1. Doktorantūras (uz pētniecību orientēta, valsts pārvalde un kultūras mantojums) skaita un karjeras iespēju paplašināšana</w:t>
            </w:r>
          </w:p>
        </w:tc>
        <w:tc>
          <w:tcPr>
            <w:tcW w:w="358" w:type="pct"/>
            <w:shd w:val="clear" w:color="auto" w:fill="C6EFCE"/>
            <w:noWrap/>
            <w:vAlign w:val="center"/>
          </w:tcPr>
          <w:p w14:paraId="30CF084B"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117DE47D" w14:textId="77777777" w:rsidR="00C972CB" w:rsidRDefault="002457F6">
            <w:pPr>
              <w:pStyle w:val="P68B1DB1-Normal11"/>
              <w:jc w:val="center"/>
              <w:rPr>
                <w:noProof/>
              </w:rPr>
            </w:pPr>
            <w:r>
              <w:rPr>
                <w:noProof/>
              </w:rPr>
              <w:t xml:space="preserve">Doktorantūras stipendiju </w:t>
            </w:r>
            <w:r>
              <w:rPr>
                <w:noProof/>
              </w:rPr>
              <w:t>programmas, ko piešķir gadā (trīs gados)</w:t>
            </w:r>
          </w:p>
        </w:tc>
        <w:tc>
          <w:tcPr>
            <w:tcW w:w="480" w:type="pct"/>
            <w:shd w:val="clear" w:color="auto" w:fill="C6EFCE"/>
            <w:noWrap/>
            <w:vAlign w:val="center"/>
          </w:tcPr>
          <w:p w14:paraId="25B34E94"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6ADA3BF6"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513B2F0C" w14:textId="77AA7174" w:rsidR="00C972CB" w:rsidRDefault="002457F6">
            <w:pPr>
              <w:pStyle w:val="P68B1DB1-Normal11"/>
              <w:jc w:val="center"/>
              <w:rPr>
                <w:noProof/>
              </w:rPr>
            </w:pPr>
            <w:r>
              <w:rPr>
                <w:noProof/>
              </w:rPr>
              <w:t>9 000</w:t>
            </w:r>
          </w:p>
        </w:tc>
        <w:tc>
          <w:tcPr>
            <w:tcW w:w="343" w:type="pct"/>
            <w:shd w:val="clear" w:color="auto" w:fill="C6EFCE"/>
            <w:noWrap/>
            <w:vAlign w:val="center"/>
          </w:tcPr>
          <w:p w14:paraId="6688C1BD" w14:textId="118A8DBC" w:rsidR="00C972CB" w:rsidRDefault="002457F6">
            <w:pPr>
              <w:pStyle w:val="P68B1DB1-Normal11"/>
              <w:jc w:val="center"/>
              <w:rPr>
                <w:noProof/>
              </w:rPr>
            </w:pPr>
            <w:r>
              <w:rPr>
                <w:noProof/>
              </w:rPr>
              <w:t>16 200</w:t>
            </w:r>
          </w:p>
        </w:tc>
        <w:tc>
          <w:tcPr>
            <w:tcW w:w="286" w:type="pct"/>
            <w:shd w:val="clear" w:color="auto" w:fill="C6EFCE"/>
            <w:noWrap/>
            <w:vAlign w:val="center"/>
          </w:tcPr>
          <w:p w14:paraId="277D5C75"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0F50C475" w14:textId="77777777" w:rsidR="00C972CB" w:rsidRDefault="002457F6">
            <w:pPr>
              <w:pStyle w:val="P68B1DB1-Normal11"/>
              <w:jc w:val="center"/>
              <w:rPr>
                <w:noProof/>
              </w:rPr>
            </w:pPr>
            <w:r>
              <w:rPr>
                <w:noProof/>
              </w:rPr>
              <w:t>2024</w:t>
            </w:r>
          </w:p>
        </w:tc>
        <w:tc>
          <w:tcPr>
            <w:tcW w:w="1047" w:type="pct"/>
            <w:shd w:val="clear" w:color="auto" w:fill="C6EFCE"/>
            <w:noWrap/>
            <w:vAlign w:val="center"/>
          </w:tcPr>
          <w:p w14:paraId="288D68B7" w14:textId="252D9DCB" w:rsidR="00C972CB" w:rsidRDefault="002457F6">
            <w:pPr>
              <w:pStyle w:val="P68B1DB1-Normal11"/>
              <w:rPr>
                <w:noProof/>
              </w:rPr>
            </w:pPr>
            <w:r>
              <w:rPr>
                <w:noProof/>
              </w:rPr>
              <w:t xml:space="preserve">Vismaz 1200 papildu doktorantūras stipendiju programmas, ko piešķir gadā trīs gadu laikā); gadā (trīs gados) tiek piešķirtas vismaz 1000 papildu doktorantūras stipendiju </w:t>
            </w:r>
            <w:r>
              <w:rPr>
                <w:noProof/>
              </w:rPr>
              <w:t>programmas par valsts pārvaldi; gadā (trīs gados) tiek piešķirtas vismaz 200 jaunas doktorantūras stipendiju programmas kultūras mantojuma jomā.</w:t>
            </w:r>
          </w:p>
          <w:p w14:paraId="53F6EE66" w14:textId="77777777" w:rsidR="00C972CB" w:rsidRDefault="002457F6">
            <w:pPr>
              <w:pStyle w:val="P68B1DB1-Normal11"/>
              <w:rPr>
                <w:noProof/>
              </w:rPr>
            </w:pPr>
            <w:r>
              <w:rPr>
                <w:noProof/>
              </w:rPr>
              <w:t>Pamatscenārijs tika noteikts kā pašreizējais (noapaļotais) to doktorantūras studentu skaits, kuri katru gadu sā</w:t>
            </w:r>
            <w:r>
              <w:rPr>
                <w:noProof/>
              </w:rPr>
              <w:t>k savu programmu Itālijā:</w:t>
            </w:r>
          </w:p>
          <w:p w14:paraId="4324A88E" w14:textId="77777777" w:rsidR="00C972CB" w:rsidRDefault="00C972CB">
            <w:pPr>
              <w:rPr>
                <w:rFonts w:ascii="Arial Narrow" w:hAnsi="Arial Narrow"/>
                <w:noProof/>
                <w:color w:val="006100"/>
                <w:sz w:val="20"/>
              </w:rPr>
            </w:pPr>
          </w:p>
          <w:p w14:paraId="2F639A9A" w14:textId="6DE67562" w:rsidR="00C972CB" w:rsidRDefault="002457F6">
            <w:pPr>
              <w:pStyle w:val="P68B1DB1-Normal10"/>
              <w:rPr>
                <w:noProof/>
                <w:color w:val="006100"/>
                <w:sz w:val="20"/>
              </w:rPr>
            </w:pPr>
            <w:r>
              <w:rPr>
                <w:noProof/>
                <w:color w:val="006100"/>
                <w:sz w:val="20"/>
              </w:rPr>
              <w:t xml:space="preserve">doktorantūras programmu izstrādā tā, lai labāk iesaistītu uzņēmumus un veicinātu lietišķo pētniecību; </w:t>
            </w:r>
            <w:r>
              <w:rPr>
                <w:noProof/>
              </w:rPr>
              <w:t xml:space="preserve"> </w:t>
            </w:r>
            <w:r>
              <w:rPr>
                <w:noProof/>
              </w:rPr>
              <w:br/>
            </w:r>
            <w:r>
              <w:rPr>
                <w:noProof/>
                <w:color w:val="006100"/>
                <w:sz w:val="20"/>
              </w:rPr>
              <w:t>valsts pārvaldes doktora grāds ievēro tiesisko regulējumu, kas jāīsteno sadarbībā ar Valsts pārvaldes ministriju. Doktora grā</w:t>
            </w:r>
            <w:r>
              <w:rPr>
                <w:noProof/>
                <w:color w:val="006100"/>
                <w:sz w:val="20"/>
              </w:rPr>
              <w:t>du valsts pārvaldē var piedāvāt dažādās doktorantūras klasēs, ko noteikusi CUN, Consiglio Universitario Nazionale (piemēram, Tiesības, ekonomika un statistika, politiskās un sociālās zinātnes), ciktāl to mērķis ir vēl vairāk kvalificēt kandidātu, lai veici</w:t>
            </w:r>
            <w:r>
              <w:rPr>
                <w:noProof/>
                <w:color w:val="006100"/>
                <w:sz w:val="20"/>
              </w:rPr>
              <w:t>nātu uzlabotu valsts sistēmu attīstību.</w:t>
            </w:r>
            <w:r>
              <w:rPr>
                <w:noProof/>
              </w:rPr>
              <w:t xml:space="preserve"> </w:t>
            </w:r>
            <w:r>
              <w:rPr>
                <w:noProof/>
              </w:rPr>
              <w:br/>
            </w:r>
            <w:r>
              <w:rPr>
                <w:noProof/>
                <w:color w:val="006100"/>
                <w:sz w:val="20"/>
              </w:rPr>
              <w:t>doktorantūras studijas kultūras mantojuma jomā ievēro sistēmu, kas jānosaka ciešā sadarbībā ar Kultūras ministriju (piemēram, senlietas, filoloģija, literatūras studijas, mākslas vēsture un vēsture, filozofija, peda</w:t>
            </w:r>
            <w:r>
              <w:rPr>
                <w:noProof/>
                <w:color w:val="006100"/>
                <w:sz w:val="20"/>
              </w:rPr>
              <w:t>goģija un psiholoģija, kā noteikusi CUN, Consiglio Universitario Nazionale).</w:t>
            </w:r>
          </w:p>
        </w:tc>
      </w:tr>
      <w:tr w:rsidR="00C972CB" w14:paraId="774C7E77" w14:textId="77777777">
        <w:trPr>
          <w:trHeight w:val="309"/>
        </w:trPr>
        <w:tc>
          <w:tcPr>
            <w:tcW w:w="380" w:type="pct"/>
            <w:shd w:val="clear" w:color="auto" w:fill="C6EFCE"/>
            <w:noWrap/>
            <w:vAlign w:val="center"/>
          </w:tcPr>
          <w:p w14:paraId="6F35203C" w14:textId="77777777" w:rsidR="00C972CB" w:rsidRDefault="002457F6">
            <w:pPr>
              <w:pStyle w:val="P68B1DB1-Normal11"/>
              <w:jc w:val="center"/>
              <w:rPr>
                <w:noProof/>
              </w:rPr>
            </w:pPr>
            <w:r>
              <w:rPr>
                <w:noProof/>
              </w:rPr>
              <w:t>M4C1–13</w:t>
            </w:r>
          </w:p>
        </w:tc>
        <w:tc>
          <w:tcPr>
            <w:tcW w:w="500" w:type="pct"/>
            <w:shd w:val="clear" w:color="auto" w:fill="C6EFCE"/>
            <w:noWrap/>
            <w:vAlign w:val="center"/>
          </w:tcPr>
          <w:p w14:paraId="1BAD3EDC" w14:textId="7AA976F0" w:rsidR="00C972CB" w:rsidRDefault="002457F6">
            <w:pPr>
              <w:pStyle w:val="P68B1DB1-Normal11"/>
              <w:jc w:val="center"/>
              <w:rPr>
                <w:noProof/>
              </w:rPr>
            </w:pPr>
            <w:r>
              <w:rPr>
                <w:noProof/>
              </w:rPr>
              <w:t>Ieguldījums 2.1.: Integrēta digitālā mācīšana un apmācība par digitālo pārveidi skolu darbiniekiem;</w:t>
            </w:r>
          </w:p>
        </w:tc>
        <w:tc>
          <w:tcPr>
            <w:tcW w:w="358" w:type="pct"/>
            <w:shd w:val="clear" w:color="auto" w:fill="C6EFCE"/>
            <w:noWrap/>
            <w:vAlign w:val="center"/>
          </w:tcPr>
          <w:p w14:paraId="60514600"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35CA63E5" w14:textId="0F6CD556" w:rsidR="00C972CB" w:rsidRDefault="002457F6">
            <w:pPr>
              <w:pStyle w:val="P68B1DB1-Normal11"/>
              <w:jc w:val="center"/>
              <w:rPr>
                <w:noProof/>
              </w:rPr>
            </w:pPr>
            <w:r>
              <w:rPr>
                <w:noProof/>
              </w:rPr>
              <w:t>Skolu vadītāju, skolotāju un administratīvā personāla apmācība</w:t>
            </w:r>
          </w:p>
        </w:tc>
        <w:tc>
          <w:tcPr>
            <w:tcW w:w="480" w:type="pct"/>
            <w:shd w:val="clear" w:color="auto" w:fill="C6EFCE"/>
            <w:noWrap/>
            <w:vAlign w:val="center"/>
          </w:tcPr>
          <w:p w14:paraId="30670A5B"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67FB77B4"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352C25C2" w14:textId="77777777" w:rsidR="00C972CB" w:rsidRDefault="002457F6">
            <w:pPr>
              <w:pStyle w:val="P68B1DB1-Normal11"/>
              <w:jc w:val="center"/>
              <w:rPr>
                <w:noProof/>
              </w:rPr>
            </w:pPr>
            <w:r>
              <w:rPr>
                <w:noProof/>
              </w:rPr>
              <w:t>0</w:t>
            </w:r>
          </w:p>
        </w:tc>
        <w:tc>
          <w:tcPr>
            <w:tcW w:w="343" w:type="pct"/>
            <w:shd w:val="clear" w:color="auto" w:fill="C6EFCE"/>
            <w:noWrap/>
            <w:vAlign w:val="center"/>
          </w:tcPr>
          <w:p w14:paraId="79B1567E" w14:textId="2905FA1E" w:rsidR="00C972CB" w:rsidRDefault="002457F6">
            <w:pPr>
              <w:pStyle w:val="P68B1DB1-Normal11"/>
              <w:jc w:val="center"/>
              <w:rPr>
                <w:noProof/>
              </w:rPr>
            </w:pPr>
            <w:r>
              <w:rPr>
                <w:noProof/>
              </w:rPr>
              <w:t>650 000</w:t>
            </w:r>
          </w:p>
        </w:tc>
        <w:tc>
          <w:tcPr>
            <w:tcW w:w="286" w:type="pct"/>
            <w:shd w:val="clear" w:color="auto" w:fill="C6EFCE"/>
            <w:noWrap/>
            <w:vAlign w:val="center"/>
          </w:tcPr>
          <w:p w14:paraId="235029DE"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5562FA7F" w14:textId="77777777" w:rsidR="00C972CB" w:rsidRDefault="002457F6">
            <w:pPr>
              <w:pStyle w:val="P68B1DB1-Normal11"/>
              <w:jc w:val="center"/>
              <w:rPr>
                <w:noProof/>
              </w:rPr>
            </w:pPr>
            <w:r>
              <w:rPr>
                <w:noProof/>
              </w:rPr>
              <w:t>2025</w:t>
            </w:r>
          </w:p>
        </w:tc>
        <w:tc>
          <w:tcPr>
            <w:tcW w:w="1047" w:type="pct"/>
            <w:shd w:val="clear" w:color="auto" w:fill="C6EFCE"/>
            <w:noWrap/>
            <w:vAlign w:val="center"/>
          </w:tcPr>
          <w:p w14:paraId="5130B39A" w14:textId="62B3B1A0" w:rsidR="00C972CB" w:rsidRDefault="002457F6">
            <w:pPr>
              <w:pStyle w:val="P68B1DB1-Normal11"/>
              <w:rPr>
                <w:noProof/>
              </w:rPr>
            </w:pPr>
            <w:r>
              <w:rPr>
                <w:noProof/>
              </w:rPr>
              <w:t>Ir apmācīti vismaz 650000 skolu vadītāju, skolotāju un administratīvo darbinieku</w:t>
            </w:r>
          </w:p>
          <w:p w14:paraId="5466F023" w14:textId="77777777" w:rsidR="00C972CB" w:rsidRDefault="00C972CB">
            <w:pPr>
              <w:rPr>
                <w:rFonts w:ascii="Arial Narrow" w:hAnsi="Arial Narrow"/>
                <w:noProof/>
                <w:color w:val="006100"/>
                <w:sz w:val="20"/>
              </w:rPr>
            </w:pPr>
          </w:p>
          <w:p w14:paraId="0C175CB7" w14:textId="24E3F336" w:rsidR="00C972CB" w:rsidRDefault="002457F6">
            <w:pPr>
              <w:pStyle w:val="P68B1DB1-Normal11"/>
              <w:rPr>
                <w:noProof/>
              </w:rPr>
            </w:pPr>
            <w:r>
              <w:rPr>
                <w:noProof/>
              </w:rPr>
              <w:t>Integrēta digitālā izglītība un skolu darbinieku apmācība digitālās pārkārtošanās procesā (650000 skolotāju, vadītāju un administratīv</w:t>
            </w:r>
            <w:r>
              <w:rPr>
                <w:noProof/>
              </w:rPr>
              <w:t>o darbinieku, kopumā apmācīti).</w:t>
            </w:r>
          </w:p>
        </w:tc>
      </w:tr>
      <w:tr w:rsidR="00C972CB" w14:paraId="2593C82D" w14:textId="77777777">
        <w:trPr>
          <w:trHeight w:val="309"/>
        </w:trPr>
        <w:tc>
          <w:tcPr>
            <w:tcW w:w="380" w:type="pct"/>
            <w:shd w:val="clear" w:color="auto" w:fill="C6EFCE"/>
            <w:noWrap/>
            <w:vAlign w:val="center"/>
          </w:tcPr>
          <w:p w14:paraId="4C9C9EF4" w14:textId="77777777" w:rsidR="00C972CB" w:rsidRDefault="002457F6">
            <w:pPr>
              <w:pStyle w:val="P68B1DB1-Normal11"/>
              <w:jc w:val="center"/>
              <w:rPr>
                <w:noProof/>
              </w:rPr>
            </w:pPr>
            <w:r>
              <w:rPr>
                <w:noProof/>
              </w:rPr>
              <w:t>M4C1–14</w:t>
            </w:r>
          </w:p>
          <w:p w14:paraId="2F8ADD12" w14:textId="77777777" w:rsidR="00C972CB" w:rsidRDefault="00C972CB">
            <w:pPr>
              <w:jc w:val="center"/>
              <w:rPr>
                <w:rFonts w:ascii="Arial Narrow" w:hAnsi="Arial Narrow"/>
                <w:noProof/>
                <w:color w:val="006100"/>
                <w:sz w:val="20"/>
              </w:rPr>
            </w:pPr>
          </w:p>
        </w:tc>
        <w:tc>
          <w:tcPr>
            <w:tcW w:w="500" w:type="pct"/>
            <w:shd w:val="clear" w:color="auto" w:fill="C6EFCE"/>
            <w:noWrap/>
            <w:vAlign w:val="center"/>
          </w:tcPr>
          <w:p w14:paraId="76B78A14" w14:textId="1E92FF4B" w:rsidR="00C972CB" w:rsidRDefault="002457F6">
            <w:pPr>
              <w:pStyle w:val="P68B1DB1-Normal11"/>
              <w:jc w:val="center"/>
              <w:rPr>
                <w:noProof/>
              </w:rPr>
            </w:pPr>
            <w:r>
              <w:rPr>
                <w:noProof/>
              </w:rPr>
              <w:t>Reforma. Skolotāju pieņemšana darbā</w:t>
            </w:r>
          </w:p>
        </w:tc>
        <w:tc>
          <w:tcPr>
            <w:tcW w:w="358" w:type="pct"/>
            <w:shd w:val="clear" w:color="auto" w:fill="C6EFCE"/>
            <w:noWrap/>
            <w:vAlign w:val="center"/>
          </w:tcPr>
          <w:p w14:paraId="7A390824"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78FA360D" w14:textId="77777777" w:rsidR="00C972CB" w:rsidRDefault="002457F6">
            <w:pPr>
              <w:pStyle w:val="P68B1DB1-Normal11"/>
              <w:jc w:val="center"/>
              <w:rPr>
                <w:noProof/>
              </w:rPr>
            </w:pPr>
            <w:r>
              <w:rPr>
                <w:noProof/>
              </w:rPr>
              <w:t>Skolotāji, kas pieņemti darbā reformētajā darbā pieņemšanas sistēmā</w:t>
            </w:r>
          </w:p>
        </w:tc>
        <w:tc>
          <w:tcPr>
            <w:tcW w:w="480" w:type="pct"/>
            <w:shd w:val="clear" w:color="auto" w:fill="C6EFCE"/>
            <w:noWrap/>
            <w:vAlign w:val="center"/>
          </w:tcPr>
          <w:p w14:paraId="31F87CFF"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24E0083F"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41A928E9" w14:textId="77777777" w:rsidR="00C972CB" w:rsidRDefault="002457F6">
            <w:pPr>
              <w:pStyle w:val="P68B1DB1-Normal11"/>
              <w:jc w:val="center"/>
              <w:rPr>
                <w:noProof/>
              </w:rPr>
            </w:pPr>
            <w:r>
              <w:rPr>
                <w:noProof/>
              </w:rPr>
              <w:t>0</w:t>
            </w:r>
          </w:p>
        </w:tc>
        <w:tc>
          <w:tcPr>
            <w:tcW w:w="343" w:type="pct"/>
            <w:shd w:val="clear" w:color="auto" w:fill="C6EFCE"/>
            <w:noWrap/>
            <w:vAlign w:val="center"/>
          </w:tcPr>
          <w:p w14:paraId="5ADE833C" w14:textId="17A502EF" w:rsidR="00C972CB" w:rsidRDefault="002457F6">
            <w:pPr>
              <w:pStyle w:val="P68B1DB1-Normal11"/>
              <w:jc w:val="center"/>
              <w:rPr>
                <w:noProof/>
              </w:rPr>
            </w:pPr>
            <w:r>
              <w:rPr>
                <w:noProof/>
              </w:rPr>
              <w:t>20 000</w:t>
            </w:r>
          </w:p>
        </w:tc>
        <w:tc>
          <w:tcPr>
            <w:tcW w:w="286" w:type="pct"/>
            <w:shd w:val="clear" w:color="auto" w:fill="C6EFCE"/>
            <w:noWrap/>
            <w:vAlign w:val="center"/>
          </w:tcPr>
          <w:p w14:paraId="255D7EAC"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0ED15937" w14:textId="77777777" w:rsidR="00C972CB" w:rsidRDefault="002457F6">
            <w:pPr>
              <w:pStyle w:val="P68B1DB1-Normal11"/>
              <w:jc w:val="center"/>
              <w:rPr>
                <w:noProof/>
              </w:rPr>
            </w:pPr>
            <w:r>
              <w:rPr>
                <w:noProof/>
              </w:rPr>
              <w:t>2024</w:t>
            </w:r>
          </w:p>
        </w:tc>
        <w:tc>
          <w:tcPr>
            <w:tcW w:w="1047" w:type="pct"/>
            <w:shd w:val="clear" w:color="auto" w:fill="C6EFCE"/>
            <w:noWrap/>
            <w:vAlign w:val="center"/>
          </w:tcPr>
          <w:p w14:paraId="10584676" w14:textId="1324A172" w:rsidR="00C972CB" w:rsidRDefault="002457F6">
            <w:pPr>
              <w:pStyle w:val="P68B1DB1-Normal11"/>
              <w:rPr>
                <w:noProof/>
              </w:rPr>
            </w:pPr>
            <w:r>
              <w:rPr>
                <w:noProof/>
              </w:rPr>
              <w:t xml:space="preserve">Vismaz 20000 skolotāju, kas pieņemti darbā reformētajā darbā </w:t>
            </w:r>
            <w:r>
              <w:rPr>
                <w:noProof/>
              </w:rPr>
              <w:t>pieņemšanas sistēmā</w:t>
            </w:r>
          </w:p>
        </w:tc>
      </w:tr>
      <w:tr w:rsidR="00C972CB" w14:paraId="5233C2A3" w14:textId="77777777">
        <w:trPr>
          <w:trHeight w:val="309"/>
        </w:trPr>
        <w:tc>
          <w:tcPr>
            <w:tcW w:w="380" w:type="pct"/>
            <w:shd w:val="clear" w:color="auto" w:fill="C6EFCE"/>
            <w:noWrap/>
            <w:vAlign w:val="center"/>
          </w:tcPr>
          <w:p w14:paraId="658D2EFE" w14:textId="7B76C42C" w:rsidR="00C972CB" w:rsidRDefault="002457F6">
            <w:pPr>
              <w:pStyle w:val="P68B1DB1-Normal11"/>
              <w:jc w:val="center"/>
              <w:rPr>
                <w:noProof/>
              </w:rPr>
            </w:pPr>
            <w:r>
              <w:rPr>
                <w:noProof/>
              </w:rPr>
              <w:t>M4C1–14 bis</w:t>
            </w:r>
          </w:p>
        </w:tc>
        <w:tc>
          <w:tcPr>
            <w:tcW w:w="500" w:type="pct"/>
            <w:shd w:val="clear" w:color="auto" w:fill="C6EFCE"/>
            <w:noWrap/>
            <w:vAlign w:val="center"/>
          </w:tcPr>
          <w:p w14:paraId="7450B610" w14:textId="0615F425" w:rsidR="00C972CB" w:rsidRDefault="002457F6">
            <w:pPr>
              <w:pStyle w:val="P68B1DB1-Normal11"/>
              <w:jc w:val="center"/>
              <w:rPr>
                <w:noProof/>
              </w:rPr>
            </w:pPr>
            <w:r>
              <w:rPr>
                <w:noProof/>
              </w:rPr>
              <w:t xml:space="preserve">Reforma. Skolotāju pieņemšana darbā  </w:t>
            </w:r>
          </w:p>
        </w:tc>
        <w:tc>
          <w:tcPr>
            <w:tcW w:w="358" w:type="pct"/>
            <w:shd w:val="clear" w:color="auto" w:fill="C6EFCE"/>
            <w:noWrap/>
            <w:vAlign w:val="center"/>
          </w:tcPr>
          <w:p w14:paraId="57658450" w14:textId="69DCC9B6" w:rsidR="00C972CB" w:rsidRDefault="002457F6">
            <w:pPr>
              <w:pStyle w:val="P68B1DB1-Normal11"/>
              <w:jc w:val="center"/>
              <w:rPr>
                <w:noProof/>
              </w:rPr>
            </w:pPr>
            <w:r>
              <w:rPr>
                <w:noProof/>
              </w:rPr>
              <w:t xml:space="preserve">Mērķa </w:t>
            </w:r>
          </w:p>
        </w:tc>
        <w:tc>
          <w:tcPr>
            <w:tcW w:w="572" w:type="pct"/>
            <w:shd w:val="clear" w:color="auto" w:fill="C6EFCE"/>
            <w:noWrap/>
            <w:vAlign w:val="center"/>
          </w:tcPr>
          <w:p w14:paraId="6C91DEAE" w14:textId="563345C6" w:rsidR="00C972CB" w:rsidRDefault="002457F6">
            <w:pPr>
              <w:pStyle w:val="P68B1DB1-Normal11"/>
              <w:jc w:val="center"/>
              <w:rPr>
                <w:noProof/>
              </w:rPr>
            </w:pPr>
            <w:r>
              <w:rPr>
                <w:noProof/>
              </w:rPr>
              <w:t>Skolotāji, kas pieņemti darbā reformētajā darbā pieņemšanas sistēmā</w:t>
            </w:r>
          </w:p>
        </w:tc>
        <w:tc>
          <w:tcPr>
            <w:tcW w:w="480" w:type="pct"/>
            <w:shd w:val="clear" w:color="auto" w:fill="C6EFCE"/>
            <w:noWrap/>
            <w:vAlign w:val="center"/>
          </w:tcPr>
          <w:p w14:paraId="3318AF73" w14:textId="0808A409" w:rsidR="00C972CB" w:rsidRDefault="002457F6">
            <w:pPr>
              <w:pStyle w:val="P68B1DB1-Normal11"/>
              <w:jc w:val="center"/>
              <w:rPr>
                <w:noProof/>
              </w:rPr>
            </w:pPr>
            <w:r>
              <w:rPr>
                <w:noProof/>
              </w:rPr>
              <w:t xml:space="preserve">NEPIEMĒRO </w:t>
            </w:r>
          </w:p>
        </w:tc>
        <w:tc>
          <w:tcPr>
            <w:tcW w:w="422" w:type="pct"/>
            <w:shd w:val="clear" w:color="auto" w:fill="C6EFCE"/>
            <w:noWrap/>
            <w:vAlign w:val="center"/>
          </w:tcPr>
          <w:p w14:paraId="550F9A87" w14:textId="4E899E59" w:rsidR="00C972CB" w:rsidRDefault="002457F6">
            <w:pPr>
              <w:pStyle w:val="P68B1DB1-Normal11"/>
              <w:jc w:val="center"/>
              <w:rPr>
                <w:noProof/>
              </w:rPr>
            </w:pPr>
            <w:r>
              <w:rPr>
                <w:noProof/>
              </w:rPr>
              <w:t xml:space="preserve">Skaits </w:t>
            </w:r>
          </w:p>
        </w:tc>
        <w:tc>
          <w:tcPr>
            <w:tcW w:w="375" w:type="pct"/>
            <w:shd w:val="clear" w:color="auto" w:fill="C6EFCE"/>
            <w:noWrap/>
            <w:vAlign w:val="center"/>
          </w:tcPr>
          <w:p w14:paraId="52A81F62" w14:textId="108C9533" w:rsidR="00C972CB" w:rsidRDefault="002457F6">
            <w:pPr>
              <w:pStyle w:val="P68B1DB1-Normal11"/>
              <w:jc w:val="center"/>
              <w:rPr>
                <w:noProof/>
              </w:rPr>
            </w:pPr>
            <w:r>
              <w:rPr>
                <w:noProof/>
              </w:rPr>
              <w:t xml:space="preserve">0 </w:t>
            </w:r>
          </w:p>
        </w:tc>
        <w:tc>
          <w:tcPr>
            <w:tcW w:w="343" w:type="pct"/>
            <w:shd w:val="clear" w:color="auto" w:fill="C6EFCE"/>
            <w:noWrap/>
            <w:vAlign w:val="center"/>
          </w:tcPr>
          <w:p w14:paraId="16C8D37D" w14:textId="79FC21DC" w:rsidR="00C972CB" w:rsidRDefault="002457F6">
            <w:pPr>
              <w:pStyle w:val="P68B1DB1-Normal11"/>
              <w:jc w:val="center"/>
              <w:rPr>
                <w:noProof/>
              </w:rPr>
            </w:pPr>
            <w:r>
              <w:rPr>
                <w:noProof/>
              </w:rPr>
              <w:t>20 000</w:t>
            </w:r>
          </w:p>
        </w:tc>
        <w:tc>
          <w:tcPr>
            <w:tcW w:w="286" w:type="pct"/>
            <w:shd w:val="clear" w:color="auto" w:fill="C6EFCE"/>
            <w:noWrap/>
            <w:vAlign w:val="center"/>
          </w:tcPr>
          <w:p w14:paraId="31661091" w14:textId="6C5590D7" w:rsidR="00C972CB" w:rsidRDefault="002457F6">
            <w:pPr>
              <w:pStyle w:val="P68B1DB1-Normal11"/>
              <w:jc w:val="center"/>
              <w:rPr>
                <w:noProof/>
              </w:rPr>
            </w:pPr>
            <w:r>
              <w:rPr>
                <w:noProof/>
              </w:rPr>
              <w:t>3. CET.</w:t>
            </w:r>
          </w:p>
        </w:tc>
        <w:tc>
          <w:tcPr>
            <w:tcW w:w="238" w:type="pct"/>
            <w:shd w:val="clear" w:color="auto" w:fill="C6EFCE"/>
            <w:noWrap/>
            <w:vAlign w:val="center"/>
          </w:tcPr>
          <w:p w14:paraId="33966052" w14:textId="29A277D3" w:rsidR="00C972CB" w:rsidRDefault="002457F6">
            <w:pPr>
              <w:pStyle w:val="P68B1DB1-Normal11"/>
              <w:jc w:val="center"/>
              <w:rPr>
                <w:noProof/>
              </w:rPr>
            </w:pPr>
            <w:r>
              <w:rPr>
                <w:noProof/>
              </w:rPr>
              <w:t xml:space="preserve">2025 </w:t>
            </w:r>
          </w:p>
        </w:tc>
        <w:tc>
          <w:tcPr>
            <w:tcW w:w="1047" w:type="pct"/>
            <w:shd w:val="clear" w:color="auto" w:fill="C6EFCE"/>
            <w:noWrap/>
            <w:vAlign w:val="center"/>
          </w:tcPr>
          <w:p w14:paraId="2AF9F4DE" w14:textId="13B19D99" w:rsidR="00C972CB" w:rsidRDefault="002457F6">
            <w:pPr>
              <w:pStyle w:val="P68B1DB1-Normal11"/>
              <w:rPr>
                <w:noProof/>
              </w:rPr>
            </w:pPr>
            <w:r>
              <w:rPr>
                <w:noProof/>
              </w:rPr>
              <w:t xml:space="preserve">Vismaz 20000 skolotāju, kas pieņemti darbā reformētajā darbā </w:t>
            </w:r>
            <w:r>
              <w:rPr>
                <w:noProof/>
              </w:rPr>
              <w:t>pieņemšanas sistēmā</w:t>
            </w:r>
          </w:p>
        </w:tc>
      </w:tr>
      <w:tr w:rsidR="00C972CB" w14:paraId="53E5EFC8" w14:textId="77777777">
        <w:trPr>
          <w:trHeight w:val="309"/>
        </w:trPr>
        <w:tc>
          <w:tcPr>
            <w:tcW w:w="380" w:type="pct"/>
            <w:shd w:val="clear" w:color="auto" w:fill="C6EFCE"/>
            <w:noWrap/>
            <w:vAlign w:val="center"/>
          </w:tcPr>
          <w:p w14:paraId="47770153" w14:textId="53DE99C3" w:rsidR="00C972CB" w:rsidRDefault="002457F6">
            <w:pPr>
              <w:pStyle w:val="P68B1DB1-Normal11"/>
              <w:jc w:val="center"/>
              <w:rPr>
                <w:noProof/>
              </w:rPr>
            </w:pPr>
            <w:r>
              <w:rPr>
                <w:noProof/>
              </w:rPr>
              <w:t>M4C1–15 ter</w:t>
            </w:r>
          </w:p>
        </w:tc>
        <w:tc>
          <w:tcPr>
            <w:tcW w:w="500" w:type="pct"/>
            <w:shd w:val="clear" w:color="auto" w:fill="C6EFCE"/>
            <w:noWrap/>
            <w:vAlign w:val="center"/>
          </w:tcPr>
          <w:p w14:paraId="3B7A9C34" w14:textId="5ADC3FA8" w:rsidR="00C972CB" w:rsidRDefault="002457F6">
            <w:pPr>
              <w:pStyle w:val="P68B1DB1-Normal11"/>
              <w:jc w:val="center"/>
              <w:rPr>
                <w:noProof/>
              </w:rPr>
            </w:pPr>
            <w:r>
              <w:rPr>
                <w:noProof/>
              </w:rPr>
              <w:t>Reforma. Skolotāju pieņemšana darbā</w:t>
            </w:r>
          </w:p>
        </w:tc>
        <w:tc>
          <w:tcPr>
            <w:tcW w:w="358" w:type="pct"/>
            <w:shd w:val="clear" w:color="auto" w:fill="C6EFCE"/>
            <w:noWrap/>
            <w:vAlign w:val="center"/>
          </w:tcPr>
          <w:p w14:paraId="69C74291" w14:textId="4E82F52F" w:rsidR="00C972CB" w:rsidRDefault="002457F6">
            <w:pPr>
              <w:pStyle w:val="P68B1DB1-Normal11"/>
              <w:jc w:val="center"/>
              <w:rPr>
                <w:noProof/>
              </w:rPr>
            </w:pPr>
            <w:r>
              <w:rPr>
                <w:noProof/>
              </w:rPr>
              <w:t>Mērķa</w:t>
            </w:r>
          </w:p>
        </w:tc>
        <w:tc>
          <w:tcPr>
            <w:tcW w:w="572" w:type="pct"/>
            <w:shd w:val="clear" w:color="auto" w:fill="C6EFCE"/>
            <w:noWrap/>
            <w:vAlign w:val="center"/>
          </w:tcPr>
          <w:p w14:paraId="1C51A00D" w14:textId="1104EE29" w:rsidR="00C972CB" w:rsidRDefault="002457F6">
            <w:pPr>
              <w:pStyle w:val="P68B1DB1-Normal11"/>
              <w:jc w:val="center"/>
              <w:rPr>
                <w:noProof/>
              </w:rPr>
            </w:pPr>
            <w:r>
              <w:rPr>
                <w:noProof/>
              </w:rPr>
              <w:t>Kandidāti, kas sekmīgi nokārtojuši publisko konkursu, lai kļūtu par skolotājiem saskaņā ar reformēto darbā pieņemšanas sistēmu.</w:t>
            </w:r>
          </w:p>
        </w:tc>
        <w:tc>
          <w:tcPr>
            <w:tcW w:w="480" w:type="pct"/>
            <w:shd w:val="clear" w:color="auto" w:fill="C6EFCE"/>
            <w:noWrap/>
            <w:vAlign w:val="center"/>
          </w:tcPr>
          <w:p w14:paraId="0275D15E" w14:textId="05314575" w:rsidR="00C972CB" w:rsidRDefault="002457F6">
            <w:pPr>
              <w:pStyle w:val="P68B1DB1-Normal11"/>
              <w:jc w:val="center"/>
              <w:rPr>
                <w:noProof/>
              </w:rPr>
            </w:pPr>
            <w:r>
              <w:rPr>
                <w:noProof/>
              </w:rPr>
              <w:t xml:space="preserve">NEPIEMĒRO </w:t>
            </w:r>
          </w:p>
        </w:tc>
        <w:tc>
          <w:tcPr>
            <w:tcW w:w="422" w:type="pct"/>
            <w:shd w:val="clear" w:color="auto" w:fill="C6EFCE"/>
            <w:noWrap/>
            <w:vAlign w:val="center"/>
          </w:tcPr>
          <w:p w14:paraId="7CEDB0ED" w14:textId="4E425393" w:rsidR="00C972CB" w:rsidRDefault="002457F6">
            <w:pPr>
              <w:pStyle w:val="P68B1DB1-Normal11"/>
              <w:jc w:val="center"/>
              <w:rPr>
                <w:noProof/>
              </w:rPr>
            </w:pPr>
            <w:r>
              <w:rPr>
                <w:noProof/>
              </w:rPr>
              <w:t>Skaits</w:t>
            </w:r>
          </w:p>
        </w:tc>
        <w:tc>
          <w:tcPr>
            <w:tcW w:w="375" w:type="pct"/>
            <w:shd w:val="clear" w:color="auto" w:fill="C6EFCE"/>
            <w:noWrap/>
            <w:vAlign w:val="center"/>
          </w:tcPr>
          <w:p w14:paraId="45A973A1" w14:textId="380D7624" w:rsidR="00C972CB" w:rsidRDefault="002457F6">
            <w:pPr>
              <w:pStyle w:val="P68B1DB1-Normal11"/>
              <w:jc w:val="center"/>
              <w:rPr>
                <w:noProof/>
              </w:rPr>
            </w:pPr>
            <w:r>
              <w:rPr>
                <w:noProof/>
              </w:rPr>
              <w:t>0</w:t>
            </w:r>
          </w:p>
        </w:tc>
        <w:tc>
          <w:tcPr>
            <w:tcW w:w="343" w:type="pct"/>
            <w:shd w:val="clear" w:color="auto" w:fill="C6EFCE"/>
            <w:noWrap/>
            <w:vAlign w:val="center"/>
          </w:tcPr>
          <w:p w14:paraId="10C5B7E4" w14:textId="59408EDA" w:rsidR="00C972CB" w:rsidRDefault="002457F6">
            <w:pPr>
              <w:pStyle w:val="P68B1DB1-Normal11"/>
              <w:jc w:val="center"/>
              <w:rPr>
                <w:noProof/>
              </w:rPr>
            </w:pPr>
            <w:r>
              <w:rPr>
                <w:noProof/>
              </w:rPr>
              <w:t>30 000</w:t>
            </w:r>
          </w:p>
        </w:tc>
        <w:tc>
          <w:tcPr>
            <w:tcW w:w="286" w:type="pct"/>
            <w:shd w:val="clear" w:color="auto" w:fill="C6EFCE"/>
            <w:noWrap/>
            <w:vAlign w:val="center"/>
          </w:tcPr>
          <w:p w14:paraId="0C2C557C" w14:textId="02B9665A" w:rsidR="00C972CB" w:rsidRDefault="002457F6">
            <w:pPr>
              <w:pStyle w:val="P68B1DB1-Normal11"/>
              <w:jc w:val="center"/>
              <w:rPr>
                <w:noProof/>
              </w:rPr>
            </w:pPr>
            <w:r>
              <w:rPr>
                <w:noProof/>
              </w:rPr>
              <w:t xml:space="preserve">2. CET. </w:t>
            </w:r>
          </w:p>
        </w:tc>
        <w:tc>
          <w:tcPr>
            <w:tcW w:w="238" w:type="pct"/>
            <w:shd w:val="clear" w:color="auto" w:fill="C6EFCE"/>
            <w:noWrap/>
            <w:vAlign w:val="center"/>
          </w:tcPr>
          <w:p w14:paraId="1BD83D9B" w14:textId="1D982D17" w:rsidR="00C972CB" w:rsidRDefault="002457F6">
            <w:pPr>
              <w:pStyle w:val="P68B1DB1-Normal11"/>
              <w:jc w:val="center"/>
              <w:rPr>
                <w:noProof/>
              </w:rPr>
            </w:pPr>
            <w:r>
              <w:rPr>
                <w:noProof/>
              </w:rPr>
              <w:t>2026</w:t>
            </w:r>
          </w:p>
        </w:tc>
        <w:tc>
          <w:tcPr>
            <w:tcW w:w="1047" w:type="pct"/>
            <w:shd w:val="clear" w:color="auto" w:fill="C6EFCE"/>
            <w:noWrap/>
            <w:vAlign w:val="center"/>
          </w:tcPr>
          <w:p w14:paraId="72068D24" w14:textId="6C760772" w:rsidR="00C972CB" w:rsidRDefault="002457F6">
            <w:pPr>
              <w:pStyle w:val="P68B1DB1-Normal11"/>
              <w:rPr>
                <w:noProof/>
              </w:rPr>
            </w:pPr>
            <w:r>
              <w:rPr>
                <w:noProof/>
              </w:rPr>
              <w:t xml:space="preserve">Vismaz 30000 kandidātu ir sekmīgi izturējuši publisko konkursu, lai kļūtu par skolotājiem saskaņā ar reformēto darbā pieņemšanas sistēmu.  </w:t>
            </w:r>
          </w:p>
          <w:p w14:paraId="0061A15B" w14:textId="77777777" w:rsidR="00C972CB" w:rsidRDefault="00C972CB">
            <w:pPr>
              <w:rPr>
                <w:rFonts w:ascii="Arial Narrow" w:hAnsi="Arial Narrow"/>
                <w:noProof/>
                <w:color w:val="006100"/>
                <w:sz w:val="20"/>
              </w:rPr>
            </w:pPr>
          </w:p>
          <w:p w14:paraId="51C028B1" w14:textId="3C77DC87" w:rsidR="00C972CB" w:rsidRDefault="002457F6">
            <w:pPr>
              <w:pStyle w:val="P68B1DB1-Normal11"/>
              <w:rPr>
                <w:noProof/>
              </w:rPr>
            </w:pPr>
            <w:r>
              <w:rPr>
                <w:noProof/>
              </w:rPr>
              <w:t>Pirms dalības publiskajā konkursā visi veiksmīgie kandidāti ir pabeiguši 60 ECTS sākotnējās kvalifikācijas procesu.</w:t>
            </w:r>
          </w:p>
        </w:tc>
      </w:tr>
      <w:tr w:rsidR="00C972CB" w14:paraId="1F2DF8BB" w14:textId="77777777">
        <w:trPr>
          <w:trHeight w:val="309"/>
        </w:trPr>
        <w:tc>
          <w:tcPr>
            <w:tcW w:w="380" w:type="pct"/>
            <w:shd w:val="clear" w:color="auto" w:fill="C6EFCE"/>
            <w:noWrap/>
            <w:vAlign w:val="center"/>
          </w:tcPr>
          <w:p w14:paraId="31733FBD" w14:textId="77777777" w:rsidR="00C972CB" w:rsidRDefault="002457F6">
            <w:pPr>
              <w:pStyle w:val="P68B1DB1-Normal11"/>
              <w:jc w:val="center"/>
              <w:rPr>
                <w:noProof/>
              </w:rPr>
            </w:pPr>
            <w:r>
              <w:rPr>
                <w:noProof/>
              </w:rPr>
              <w:t>M4C1–15</w:t>
            </w:r>
          </w:p>
        </w:tc>
        <w:tc>
          <w:tcPr>
            <w:tcW w:w="500" w:type="pct"/>
            <w:shd w:val="clear" w:color="auto" w:fill="C6EFCE"/>
            <w:noWrap/>
            <w:vAlign w:val="center"/>
          </w:tcPr>
          <w:p w14:paraId="2D6103E3" w14:textId="77777777" w:rsidR="00C972CB" w:rsidRDefault="002457F6">
            <w:pPr>
              <w:pStyle w:val="P68B1DB1-Normal11"/>
              <w:jc w:val="center"/>
              <w:rPr>
                <w:noProof/>
              </w:rPr>
            </w:pPr>
            <w:r>
              <w:rPr>
                <w:noProof/>
              </w:rPr>
              <w:t>Ieguldījums 1.7. Stipendijas par piekļuvi universitātēm</w:t>
            </w:r>
          </w:p>
        </w:tc>
        <w:tc>
          <w:tcPr>
            <w:tcW w:w="358" w:type="pct"/>
            <w:shd w:val="clear" w:color="auto" w:fill="C6EFCE"/>
            <w:noWrap/>
            <w:vAlign w:val="center"/>
          </w:tcPr>
          <w:p w14:paraId="7DDEE737" w14:textId="77777777" w:rsidR="00C972CB" w:rsidRDefault="002457F6">
            <w:pPr>
              <w:pStyle w:val="P68B1DB1-Normal11"/>
              <w:rPr>
                <w:noProof/>
              </w:rPr>
            </w:pPr>
            <w:r>
              <w:rPr>
                <w:noProof/>
              </w:rPr>
              <w:t>Mērķa</w:t>
            </w:r>
          </w:p>
        </w:tc>
        <w:tc>
          <w:tcPr>
            <w:tcW w:w="572" w:type="pct"/>
            <w:shd w:val="clear" w:color="auto" w:fill="C6EFCE"/>
            <w:noWrap/>
            <w:vAlign w:val="center"/>
          </w:tcPr>
          <w:p w14:paraId="6B591B52" w14:textId="77777777" w:rsidR="00C972CB" w:rsidRDefault="002457F6">
            <w:pPr>
              <w:pStyle w:val="P68B1DB1-Normal11"/>
              <w:jc w:val="center"/>
              <w:rPr>
                <w:noProof/>
              </w:rPr>
            </w:pPr>
            <w:r>
              <w:rPr>
                <w:noProof/>
              </w:rPr>
              <w:t>Piešķirtās stipendijas par piekļuvi universitātei</w:t>
            </w:r>
          </w:p>
        </w:tc>
        <w:tc>
          <w:tcPr>
            <w:tcW w:w="480" w:type="pct"/>
            <w:shd w:val="clear" w:color="auto" w:fill="C6EFCE"/>
            <w:noWrap/>
            <w:vAlign w:val="center"/>
          </w:tcPr>
          <w:p w14:paraId="5479F9D2"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6671CFD1"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73B43E19" w14:textId="5E8B4148" w:rsidR="00C972CB" w:rsidRDefault="002457F6">
            <w:pPr>
              <w:pStyle w:val="P68B1DB1-Normal11"/>
              <w:jc w:val="center"/>
              <w:rPr>
                <w:noProof/>
              </w:rPr>
            </w:pPr>
            <w:r>
              <w:rPr>
                <w:noProof/>
              </w:rPr>
              <w:t>0</w:t>
            </w:r>
          </w:p>
        </w:tc>
        <w:tc>
          <w:tcPr>
            <w:tcW w:w="343" w:type="pct"/>
            <w:shd w:val="clear" w:color="auto" w:fill="C6EFCE"/>
            <w:noWrap/>
            <w:vAlign w:val="center"/>
          </w:tcPr>
          <w:p w14:paraId="17D7BE72" w14:textId="6EE197C5" w:rsidR="00C972CB" w:rsidRDefault="002457F6">
            <w:pPr>
              <w:pStyle w:val="P68B1DB1-Normal11"/>
              <w:jc w:val="center"/>
              <w:rPr>
                <w:noProof/>
              </w:rPr>
            </w:pPr>
            <w:r>
              <w:rPr>
                <w:noProof/>
              </w:rPr>
              <w:t>55 000</w:t>
            </w:r>
          </w:p>
        </w:tc>
        <w:tc>
          <w:tcPr>
            <w:tcW w:w="286" w:type="pct"/>
            <w:shd w:val="clear" w:color="auto" w:fill="C6EFCE"/>
            <w:noWrap/>
            <w:vAlign w:val="center"/>
          </w:tcPr>
          <w:p w14:paraId="4AB1DBB4"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24465C63" w14:textId="77777777" w:rsidR="00C972CB" w:rsidRDefault="002457F6">
            <w:pPr>
              <w:pStyle w:val="P68B1DB1-Normal11"/>
              <w:rPr>
                <w:noProof/>
              </w:rPr>
            </w:pPr>
            <w:r>
              <w:rPr>
                <w:noProof/>
              </w:rPr>
              <w:t>2024</w:t>
            </w:r>
          </w:p>
        </w:tc>
        <w:tc>
          <w:tcPr>
            <w:tcW w:w="1047" w:type="pct"/>
            <w:shd w:val="clear" w:color="auto" w:fill="C6EFCE"/>
            <w:noWrap/>
            <w:vAlign w:val="center"/>
          </w:tcPr>
          <w:p w14:paraId="3A530D32" w14:textId="26E52422" w:rsidR="00C972CB" w:rsidRDefault="002457F6">
            <w:pPr>
              <w:pStyle w:val="P68B1DB1-Normal11"/>
              <w:rPr>
                <w:noProof/>
              </w:rPr>
            </w:pPr>
            <w:r>
              <w:rPr>
                <w:noProof/>
              </w:rPr>
              <w:t>Vismaz 55000 studentu tiek piešķirtas stipendijas, ko finansē tikai no ANM līdzekļiem.</w:t>
            </w:r>
          </w:p>
        </w:tc>
      </w:tr>
      <w:tr w:rsidR="00C972CB" w14:paraId="4A1F5368" w14:textId="77777777">
        <w:trPr>
          <w:trHeight w:val="309"/>
        </w:trPr>
        <w:tc>
          <w:tcPr>
            <w:tcW w:w="380" w:type="pct"/>
            <w:shd w:val="clear" w:color="auto" w:fill="C6EFCE"/>
            <w:noWrap/>
            <w:vAlign w:val="center"/>
          </w:tcPr>
          <w:p w14:paraId="41ABCEF0" w14:textId="77777777" w:rsidR="00C972CB" w:rsidRDefault="002457F6">
            <w:pPr>
              <w:pStyle w:val="P68B1DB1-Normal11"/>
              <w:jc w:val="center"/>
              <w:rPr>
                <w:noProof/>
              </w:rPr>
            </w:pPr>
            <w:r>
              <w:rPr>
                <w:noProof/>
              </w:rPr>
              <w:t>M4C1–15</w:t>
            </w:r>
            <w:r>
              <w:rPr>
                <w:noProof/>
              </w:rPr>
              <w:t xml:space="preserve"> bis</w:t>
            </w:r>
          </w:p>
        </w:tc>
        <w:tc>
          <w:tcPr>
            <w:tcW w:w="500" w:type="pct"/>
            <w:shd w:val="clear" w:color="auto" w:fill="C6EFCE"/>
            <w:noWrap/>
            <w:vAlign w:val="center"/>
          </w:tcPr>
          <w:p w14:paraId="772E9F15" w14:textId="77777777" w:rsidR="00C972CB" w:rsidRDefault="002457F6">
            <w:pPr>
              <w:pStyle w:val="P68B1DB1-Normal11"/>
              <w:jc w:val="center"/>
              <w:rPr>
                <w:noProof/>
              </w:rPr>
            </w:pPr>
            <w:r>
              <w:rPr>
                <w:noProof/>
              </w:rPr>
              <w:t>Ieguldījums 1.7. Stipendijas par piekļuvi universitātēm</w:t>
            </w:r>
          </w:p>
        </w:tc>
        <w:tc>
          <w:tcPr>
            <w:tcW w:w="358" w:type="pct"/>
            <w:shd w:val="clear" w:color="auto" w:fill="C6EFCE"/>
            <w:noWrap/>
            <w:vAlign w:val="center"/>
          </w:tcPr>
          <w:p w14:paraId="5299D6EC"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72D703F5" w14:textId="77777777" w:rsidR="00C972CB" w:rsidRDefault="002457F6">
            <w:pPr>
              <w:pStyle w:val="P68B1DB1-Normal11"/>
              <w:jc w:val="center"/>
              <w:rPr>
                <w:noProof/>
              </w:rPr>
            </w:pPr>
            <w:r>
              <w:rPr>
                <w:noProof/>
              </w:rPr>
              <w:t>Piešķirtās stipendijas par piekļuvi universitātei</w:t>
            </w:r>
          </w:p>
        </w:tc>
        <w:tc>
          <w:tcPr>
            <w:tcW w:w="480" w:type="pct"/>
            <w:shd w:val="clear" w:color="auto" w:fill="C6EFCE"/>
            <w:noWrap/>
            <w:vAlign w:val="center"/>
          </w:tcPr>
          <w:p w14:paraId="3DBFC13E"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00654F74"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77AF4B56" w14:textId="3C4EA51A" w:rsidR="00C972CB" w:rsidRDefault="002457F6">
            <w:pPr>
              <w:pStyle w:val="P68B1DB1-Normal11"/>
              <w:jc w:val="center"/>
              <w:rPr>
                <w:noProof/>
              </w:rPr>
            </w:pPr>
            <w:r>
              <w:rPr>
                <w:noProof/>
              </w:rPr>
              <w:t>0</w:t>
            </w:r>
          </w:p>
        </w:tc>
        <w:tc>
          <w:tcPr>
            <w:tcW w:w="343" w:type="pct"/>
            <w:shd w:val="clear" w:color="auto" w:fill="C6EFCE"/>
            <w:noWrap/>
            <w:vAlign w:val="center"/>
          </w:tcPr>
          <w:p w14:paraId="22B1272B" w14:textId="0B1DF81C" w:rsidR="00C972CB" w:rsidRDefault="002457F6">
            <w:pPr>
              <w:pStyle w:val="P68B1DB1-Normal11"/>
              <w:jc w:val="center"/>
              <w:rPr>
                <w:noProof/>
              </w:rPr>
            </w:pPr>
            <w:r>
              <w:rPr>
                <w:noProof/>
              </w:rPr>
              <w:t>55 000</w:t>
            </w:r>
          </w:p>
        </w:tc>
        <w:tc>
          <w:tcPr>
            <w:tcW w:w="286" w:type="pct"/>
            <w:shd w:val="clear" w:color="auto" w:fill="C6EFCE"/>
            <w:noWrap/>
            <w:vAlign w:val="center"/>
          </w:tcPr>
          <w:p w14:paraId="01385186"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689C3E4B" w14:textId="77777777" w:rsidR="00C972CB" w:rsidRDefault="002457F6">
            <w:pPr>
              <w:pStyle w:val="P68B1DB1-Normal11"/>
              <w:jc w:val="center"/>
              <w:rPr>
                <w:noProof/>
              </w:rPr>
            </w:pPr>
            <w:r>
              <w:rPr>
                <w:noProof/>
              </w:rPr>
              <w:t>2025</w:t>
            </w:r>
          </w:p>
        </w:tc>
        <w:tc>
          <w:tcPr>
            <w:tcW w:w="1047" w:type="pct"/>
            <w:shd w:val="clear" w:color="auto" w:fill="C6EFCE"/>
            <w:noWrap/>
            <w:vAlign w:val="center"/>
          </w:tcPr>
          <w:p w14:paraId="4D0EC16D" w14:textId="57F197EE" w:rsidR="00C972CB" w:rsidRDefault="002457F6">
            <w:pPr>
              <w:pStyle w:val="P68B1DB1-Normal11"/>
              <w:rPr>
                <w:noProof/>
              </w:rPr>
            </w:pPr>
            <w:r>
              <w:rPr>
                <w:noProof/>
              </w:rPr>
              <w:t>Vismaz 55000 studentu tiek piešķirtas stipendijas, ko finansē tikai no ANM līdzekļiem.</w:t>
            </w:r>
          </w:p>
        </w:tc>
      </w:tr>
      <w:tr w:rsidR="00C972CB" w14:paraId="4246AE0D" w14:textId="77777777">
        <w:trPr>
          <w:trHeight w:val="309"/>
        </w:trPr>
        <w:tc>
          <w:tcPr>
            <w:tcW w:w="380" w:type="pct"/>
            <w:shd w:val="clear" w:color="auto" w:fill="C6EFCE"/>
            <w:noWrap/>
            <w:vAlign w:val="center"/>
          </w:tcPr>
          <w:p w14:paraId="2ECF8A55" w14:textId="77777777" w:rsidR="00C972CB" w:rsidRDefault="002457F6">
            <w:pPr>
              <w:pStyle w:val="P68B1DB1-Normal11"/>
              <w:jc w:val="center"/>
              <w:rPr>
                <w:noProof/>
              </w:rPr>
            </w:pPr>
            <w:r>
              <w:rPr>
                <w:noProof/>
              </w:rPr>
              <w:t>M4C1–16</w:t>
            </w:r>
          </w:p>
        </w:tc>
        <w:tc>
          <w:tcPr>
            <w:tcW w:w="500" w:type="pct"/>
            <w:shd w:val="clear" w:color="auto" w:fill="C6EFCE"/>
            <w:noWrap/>
            <w:vAlign w:val="center"/>
          </w:tcPr>
          <w:p w14:paraId="6AFAB8A4" w14:textId="77777777" w:rsidR="00C972CB" w:rsidRDefault="002457F6">
            <w:pPr>
              <w:pStyle w:val="P68B1DB1-Normal11"/>
              <w:jc w:val="center"/>
              <w:rPr>
                <w:noProof/>
              </w:rPr>
            </w:pPr>
            <w:r>
              <w:rPr>
                <w:noProof/>
              </w:rPr>
              <w:t>Ieguldījums 3.1.: Jaunas prasmes un jaunas valodas</w:t>
            </w:r>
          </w:p>
        </w:tc>
        <w:tc>
          <w:tcPr>
            <w:tcW w:w="358" w:type="pct"/>
            <w:shd w:val="clear" w:color="auto" w:fill="C6EFCE"/>
            <w:noWrap/>
            <w:vAlign w:val="center"/>
          </w:tcPr>
          <w:p w14:paraId="2F8A5CA5"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6A110386" w14:textId="77777777" w:rsidR="00C972CB" w:rsidRDefault="002457F6">
            <w:pPr>
              <w:pStyle w:val="P68B1DB1-Normal11"/>
              <w:jc w:val="center"/>
              <w:rPr>
                <w:noProof/>
              </w:rPr>
            </w:pPr>
            <w:r>
              <w:rPr>
                <w:noProof/>
              </w:rPr>
              <w:t>Skolas, kas 2024./25. gadā ir aktivizējušas STEM vadlīniju projektus</w:t>
            </w:r>
          </w:p>
          <w:p w14:paraId="29C126DD" w14:textId="77777777" w:rsidR="00C972CB" w:rsidRDefault="00C972CB">
            <w:pPr>
              <w:jc w:val="center"/>
              <w:rPr>
                <w:rFonts w:ascii="Arial Narrow" w:hAnsi="Arial Narrow"/>
                <w:noProof/>
                <w:color w:val="006100"/>
                <w:sz w:val="20"/>
              </w:rPr>
            </w:pPr>
          </w:p>
          <w:p w14:paraId="71FCB76F" w14:textId="77777777" w:rsidR="00C972CB" w:rsidRDefault="00C972CB">
            <w:pPr>
              <w:jc w:val="center"/>
              <w:rPr>
                <w:rFonts w:ascii="Arial Narrow" w:hAnsi="Arial Narrow"/>
                <w:noProof/>
                <w:color w:val="006100"/>
                <w:sz w:val="20"/>
              </w:rPr>
            </w:pPr>
          </w:p>
        </w:tc>
        <w:tc>
          <w:tcPr>
            <w:tcW w:w="480" w:type="pct"/>
            <w:shd w:val="clear" w:color="auto" w:fill="C6EFCE"/>
            <w:noWrap/>
            <w:vAlign w:val="center"/>
          </w:tcPr>
          <w:p w14:paraId="071624A6"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7788A993"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50DE7239" w14:textId="77777777" w:rsidR="00C972CB" w:rsidRDefault="002457F6">
            <w:pPr>
              <w:pStyle w:val="P68B1DB1-Normal11"/>
              <w:jc w:val="center"/>
              <w:rPr>
                <w:noProof/>
              </w:rPr>
            </w:pPr>
            <w:r>
              <w:rPr>
                <w:noProof/>
              </w:rPr>
              <w:t>0</w:t>
            </w:r>
          </w:p>
        </w:tc>
        <w:tc>
          <w:tcPr>
            <w:tcW w:w="343" w:type="pct"/>
            <w:shd w:val="clear" w:color="auto" w:fill="C6EFCE"/>
            <w:noWrap/>
            <w:vAlign w:val="center"/>
          </w:tcPr>
          <w:p w14:paraId="00D0DE6F" w14:textId="40C5C6CB" w:rsidR="00C972CB" w:rsidRDefault="002457F6">
            <w:pPr>
              <w:pStyle w:val="P68B1DB1-Normal11"/>
              <w:jc w:val="center"/>
              <w:rPr>
                <w:noProof/>
              </w:rPr>
            </w:pPr>
            <w:r>
              <w:rPr>
                <w:noProof/>
              </w:rPr>
              <w:t>8 000</w:t>
            </w:r>
          </w:p>
        </w:tc>
        <w:tc>
          <w:tcPr>
            <w:tcW w:w="286" w:type="pct"/>
            <w:shd w:val="clear" w:color="auto" w:fill="C6EFCE"/>
            <w:noWrap/>
            <w:vAlign w:val="center"/>
          </w:tcPr>
          <w:p w14:paraId="67F2071D" w14:textId="77777777" w:rsidR="00C972CB" w:rsidRDefault="002457F6">
            <w:pPr>
              <w:pStyle w:val="P68B1DB1-Normal11"/>
              <w:jc w:val="center"/>
              <w:rPr>
                <w:noProof/>
              </w:rPr>
            </w:pPr>
            <w:r>
              <w:rPr>
                <w:noProof/>
              </w:rPr>
              <w:t>2. CET.</w:t>
            </w:r>
          </w:p>
        </w:tc>
        <w:tc>
          <w:tcPr>
            <w:tcW w:w="238" w:type="pct"/>
            <w:shd w:val="clear" w:color="auto" w:fill="C6EFCE"/>
            <w:noWrap/>
            <w:vAlign w:val="center"/>
          </w:tcPr>
          <w:p w14:paraId="4B07C59E" w14:textId="77777777" w:rsidR="00C972CB" w:rsidRDefault="002457F6">
            <w:pPr>
              <w:pStyle w:val="P68B1DB1-Normal11"/>
              <w:jc w:val="center"/>
              <w:rPr>
                <w:noProof/>
              </w:rPr>
            </w:pPr>
            <w:r>
              <w:rPr>
                <w:noProof/>
              </w:rPr>
              <w:t>2025</w:t>
            </w:r>
          </w:p>
        </w:tc>
        <w:tc>
          <w:tcPr>
            <w:tcW w:w="1047" w:type="pct"/>
            <w:shd w:val="clear" w:color="auto" w:fill="C6EFCE"/>
            <w:noWrap/>
            <w:vAlign w:val="center"/>
          </w:tcPr>
          <w:p w14:paraId="04351ACA" w14:textId="7D288354" w:rsidR="00C972CB" w:rsidRDefault="002457F6">
            <w:pPr>
              <w:pStyle w:val="P68B1DB1-Normal11"/>
              <w:rPr>
                <w:noProof/>
              </w:rPr>
            </w:pPr>
            <w:r>
              <w:rPr>
                <w:noProof/>
              </w:rPr>
              <w:t>Vismaz 8000 skolu, kas ir aktivizējušas STEM vadlīniju projektus.</w:t>
            </w:r>
          </w:p>
          <w:p w14:paraId="04516970" w14:textId="77777777" w:rsidR="00C972CB" w:rsidRDefault="002457F6">
            <w:pPr>
              <w:pStyle w:val="P68B1DB1-Normal11"/>
              <w:rPr>
                <w:noProof/>
              </w:rPr>
            </w:pPr>
            <w:r>
              <w:rPr>
                <w:noProof/>
              </w:rPr>
              <w:t xml:space="preserve">Projektu mērķis ir </w:t>
            </w:r>
            <w:r>
              <w:rPr>
                <w:noProof/>
              </w:rPr>
              <w:t>izstrādāt un digitalizēt valsts digitālo platformu STEM, kuras mērķis ir pilnībā īstenot programmu, uzraudzīt un izplatīt informāciju un datus (sadalījumā pa dzimumiem), sākot no pirmsskolas un sākumskolas līdz pirmajai un otrajai vidusskolai un beidzot ar</w:t>
            </w:r>
            <w:r>
              <w:rPr>
                <w:noProof/>
              </w:rPr>
              <w:t xml:space="preserve"> tehniskajiem un profesionālajiem institūtiem un universitātēm.</w:t>
            </w:r>
          </w:p>
        </w:tc>
      </w:tr>
      <w:tr w:rsidR="00C972CB" w14:paraId="1EC3EEDC" w14:textId="77777777">
        <w:trPr>
          <w:trHeight w:val="309"/>
        </w:trPr>
        <w:tc>
          <w:tcPr>
            <w:tcW w:w="380" w:type="pct"/>
            <w:shd w:val="clear" w:color="auto" w:fill="C6EFCE"/>
            <w:noWrap/>
            <w:vAlign w:val="center"/>
          </w:tcPr>
          <w:p w14:paraId="2C9003B0" w14:textId="77777777" w:rsidR="00C972CB" w:rsidRDefault="002457F6">
            <w:pPr>
              <w:pStyle w:val="P68B1DB1-Normal11"/>
              <w:jc w:val="center"/>
              <w:rPr>
                <w:noProof/>
              </w:rPr>
            </w:pPr>
            <w:r>
              <w:rPr>
                <w:noProof/>
              </w:rPr>
              <w:t>M4C1–17</w:t>
            </w:r>
          </w:p>
        </w:tc>
        <w:tc>
          <w:tcPr>
            <w:tcW w:w="500" w:type="pct"/>
            <w:shd w:val="clear" w:color="auto" w:fill="C6EFCE"/>
            <w:noWrap/>
            <w:vAlign w:val="center"/>
          </w:tcPr>
          <w:p w14:paraId="2BEA3E0C" w14:textId="77777777" w:rsidR="00C972CB" w:rsidRDefault="002457F6">
            <w:pPr>
              <w:pStyle w:val="P68B1DB1-Normal11"/>
              <w:jc w:val="center"/>
              <w:rPr>
                <w:noProof/>
              </w:rPr>
            </w:pPr>
            <w:r>
              <w:rPr>
                <w:noProof/>
              </w:rPr>
              <w:t>Ieguldījums 3.1.: Jaunas prasmes un jaunas valodas</w:t>
            </w:r>
          </w:p>
        </w:tc>
        <w:tc>
          <w:tcPr>
            <w:tcW w:w="358" w:type="pct"/>
            <w:shd w:val="clear" w:color="auto" w:fill="C6EFCE"/>
            <w:noWrap/>
            <w:vAlign w:val="center"/>
          </w:tcPr>
          <w:p w14:paraId="545B144C"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45267B74" w14:textId="4F89E87D" w:rsidR="00C972CB" w:rsidRDefault="002457F6">
            <w:pPr>
              <w:pStyle w:val="P68B1DB1-Normal11"/>
              <w:jc w:val="center"/>
              <w:rPr>
                <w:noProof/>
              </w:rPr>
            </w:pPr>
            <w:r>
              <w:rPr>
                <w:noProof/>
              </w:rPr>
              <w:t>Ikgadējie valodu kursi un metodiskie kursi, kas tiek nodrošināti skolotājiem</w:t>
            </w:r>
          </w:p>
        </w:tc>
        <w:tc>
          <w:tcPr>
            <w:tcW w:w="480" w:type="pct"/>
            <w:shd w:val="clear" w:color="auto" w:fill="C6EFCE"/>
            <w:noWrap/>
            <w:vAlign w:val="center"/>
          </w:tcPr>
          <w:p w14:paraId="705AF4CB"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6C6DFFE9"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52FF8AB3" w14:textId="77777777" w:rsidR="00C972CB" w:rsidRDefault="002457F6">
            <w:pPr>
              <w:pStyle w:val="P68B1DB1-Normal11"/>
              <w:jc w:val="center"/>
              <w:rPr>
                <w:noProof/>
              </w:rPr>
            </w:pPr>
            <w:r>
              <w:rPr>
                <w:noProof/>
              </w:rPr>
              <w:t>0</w:t>
            </w:r>
          </w:p>
        </w:tc>
        <w:tc>
          <w:tcPr>
            <w:tcW w:w="343" w:type="pct"/>
            <w:shd w:val="clear" w:color="auto" w:fill="C6EFCE"/>
            <w:noWrap/>
            <w:vAlign w:val="center"/>
          </w:tcPr>
          <w:p w14:paraId="2690A1B8" w14:textId="5DD0A060" w:rsidR="00C972CB" w:rsidRDefault="002457F6">
            <w:pPr>
              <w:pStyle w:val="P68B1DB1-Normal11"/>
              <w:jc w:val="center"/>
              <w:rPr>
                <w:noProof/>
              </w:rPr>
            </w:pPr>
            <w:r>
              <w:rPr>
                <w:noProof/>
              </w:rPr>
              <w:t>1 000</w:t>
            </w:r>
          </w:p>
        </w:tc>
        <w:tc>
          <w:tcPr>
            <w:tcW w:w="286" w:type="pct"/>
            <w:shd w:val="clear" w:color="auto" w:fill="C6EFCE"/>
            <w:noWrap/>
            <w:vAlign w:val="center"/>
          </w:tcPr>
          <w:p w14:paraId="1598CA37" w14:textId="77777777" w:rsidR="00C972CB" w:rsidRDefault="002457F6">
            <w:pPr>
              <w:pStyle w:val="P68B1DB1-Normal11"/>
              <w:jc w:val="center"/>
              <w:rPr>
                <w:noProof/>
              </w:rPr>
            </w:pPr>
            <w:r>
              <w:rPr>
                <w:noProof/>
              </w:rPr>
              <w:t>2. CET.</w:t>
            </w:r>
          </w:p>
        </w:tc>
        <w:tc>
          <w:tcPr>
            <w:tcW w:w="238" w:type="pct"/>
            <w:shd w:val="clear" w:color="auto" w:fill="C6EFCE"/>
            <w:noWrap/>
            <w:vAlign w:val="center"/>
          </w:tcPr>
          <w:p w14:paraId="21926691" w14:textId="77777777" w:rsidR="00C972CB" w:rsidRDefault="002457F6">
            <w:pPr>
              <w:pStyle w:val="P68B1DB1-Normal11"/>
              <w:jc w:val="center"/>
              <w:rPr>
                <w:noProof/>
              </w:rPr>
            </w:pPr>
            <w:r>
              <w:rPr>
                <w:noProof/>
              </w:rPr>
              <w:t>2025</w:t>
            </w:r>
          </w:p>
        </w:tc>
        <w:tc>
          <w:tcPr>
            <w:tcW w:w="1047" w:type="pct"/>
            <w:shd w:val="clear" w:color="auto" w:fill="C6EFCE"/>
            <w:noWrap/>
            <w:vAlign w:val="center"/>
          </w:tcPr>
          <w:p w14:paraId="08758034" w14:textId="68AA06B8" w:rsidR="00C972CB" w:rsidRDefault="002457F6">
            <w:pPr>
              <w:pStyle w:val="P68B1DB1-Normal11"/>
              <w:rPr>
                <w:noProof/>
              </w:rPr>
            </w:pPr>
            <w:r>
              <w:rPr>
                <w:noProof/>
              </w:rPr>
              <w:t xml:space="preserve">Visiem </w:t>
            </w:r>
            <w:r>
              <w:rPr>
                <w:noProof/>
              </w:rPr>
              <w:t>skolotājiem tiek nodrošināti vismaz 1000 valodu un metodiskie kursi gadā.</w:t>
            </w:r>
          </w:p>
        </w:tc>
      </w:tr>
      <w:tr w:rsidR="00C972CB" w14:paraId="48ECBEFB" w14:textId="77777777">
        <w:trPr>
          <w:trHeight w:val="309"/>
        </w:trPr>
        <w:tc>
          <w:tcPr>
            <w:tcW w:w="380" w:type="pct"/>
            <w:shd w:val="clear" w:color="auto" w:fill="C6EFCE"/>
            <w:noWrap/>
            <w:vAlign w:val="center"/>
          </w:tcPr>
          <w:p w14:paraId="50558E2F" w14:textId="77777777" w:rsidR="00C972CB" w:rsidRDefault="002457F6">
            <w:pPr>
              <w:pStyle w:val="P68B1DB1-Normal11"/>
              <w:jc w:val="center"/>
              <w:rPr>
                <w:noProof/>
              </w:rPr>
            </w:pPr>
            <w:r>
              <w:rPr>
                <w:noProof/>
              </w:rPr>
              <w:t>M4C1–18</w:t>
            </w:r>
          </w:p>
        </w:tc>
        <w:tc>
          <w:tcPr>
            <w:tcW w:w="500" w:type="pct"/>
            <w:shd w:val="clear" w:color="auto" w:fill="C6EFCE"/>
            <w:noWrap/>
            <w:vAlign w:val="center"/>
          </w:tcPr>
          <w:p w14:paraId="7D3C706B" w14:textId="77777777" w:rsidR="00C972CB" w:rsidRDefault="002457F6">
            <w:pPr>
              <w:pStyle w:val="P68B1DB1-Normal11"/>
              <w:jc w:val="center"/>
              <w:rPr>
                <w:noProof/>
              </w:rPr>
            </w:pPr>
            <w:r>
              <w:rPr>
                <w:noProof/>
              </w:rPr>
              <w:t>Ieguldījums 1.1: Bērnudārzu un pirmsskolas izglītības un aprūpes pakalpojumu plāns</w:t>
            </w:r>
          </w:p>
        </w:tc>
        <w:tc>
          <w:tcPr>
            <w:tcW w:w="358" w:type="pct"/>
            <w:shd w:val="clear" w:color="auto" w:fill="C6EFCE"/>
            <w:noWrap/>
            <w:vAlign w:val="center"/>
          </w:tcPr>
          <w:p w14:paraId="12B1C6CA"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4923E80F" w14:textId="77777777" w:rsidR="00C972CB" w:rsidRDefault="002457F6">
            <w:pPr>
              <w:pStyle w:val="P68B1DB1-Normal11"/>
              <w:jc w:val="center"/>
              <w:rPr>
                <w:noProof/>
              </w:rPr>
            </w:pPr>
            <w:r>
              <w:rPr>
                <w:noProof/>
              </w:rPr>
              <w:t xml:space="preserve">Jaunas vietas, kas aktivizētas izglītības un agrīnās pirmsskolas aprūpes </w:t>
            </w:r>
            <w:r>
              <w:rPr>
                <w:noProof/>
              </w:rPr>
              <w:t>pakalpojumiem (no nulles līdz sešiem gadiem)</w:t>
            </w:r>
          </w:p>
        </w:tc>
        <w:tc>
          <w:tcPr>
            <w:tcW w:w="480" w:type="pct"/>
            <w:shd w:val="clear" w:color="auto" w:fill="C6EFCE"/>
            <w:noWrap/>
            <w:vAlign w:val="center"/>
          </w:tcPr>
          <w:p w14:paraId="018A5587"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32FFD9DC"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1C55A125" w14:textId="77777777" w:rsidR="00C972CB" w:rsidRDefault="002457F6">
            <w:pPr>
              <w:pStyle w:val="P68B1DB1-Normal11"/>
              <w:jc w:val="center"/>
              <w:rPr>
                <w:noProof/>
              </w:rPr>
            </w:pPr>
            <w:r>
              <w:rPr>
                <w:noProof/>
              </w:rPr>
              <w:t>0</w:t>
            </w:r>
          </w:p>
        </w:tc>
        <w:tc>
          <w:tcPr>
            <w:tcW w:w="343" w:type="pct"/>
            <w:shd w:val="clear" w:color="auto" w:fill="C6EFCE"/>
            <w:noWrap/>
            <w:vAlign w:val="center"/>
          </w:tcPr>
          <w:p w14:paraId="1C13CDB7" w14:textId="1149A2F8" w:rsidR="00C972CB" w:rsidRDefault="002457F6">
            <w:pPr>
              <w:pStyle w:val="P68B1DB1-Normal11"/>
              <w:rPr>
                <w:noProof/>
              </w:rPr>
            </w:pPr>
            <w:r>
              <w:rPr>
                <w:noProof/>
              </w:rPr>
              <w:t>150 480</w:t>
            </w:r>
          </w:p>
        </w:tc>
        <w:tc>
          <w:tcPr>
            <w:tcW w:w="286" w:type="pct"/>
            <w:shd w:val="clear" w:color="auto" w:fill="C6EFCE"/>
            <w:noWrap/>
            <w:vAlign w:val="center"/>
          </w:tcPr>
          <w:p w14:paraId="3EC7A954" w14:textId="77777777" w:rsidR="00C972CB" w:rsidRDefault="002457F6">
            <w:pPr>
              <w:pStyle w:val="P68B1DB1-Normal11"/>
              <w:jc w:val="center"/>
              <w:rPr>
                <w:noProof/>
              </w:rPr>
            </w:pPr>
            <w:r>
              <w:rPr>
                <w:noProof/>
              </w:rPr>
              <w:t>2. CET.</w:t>
            </w:r>
          </w:p>
        </w:tc>
        <w:tc>
          <w:tcPr>
            <w:tcW w:w="238" w:type="pct"/>
            <w:shd w:val="clear" w:color="auto" w:fill="C6EFCE"/>
            <w:noWrap/>
            <w:vAlign w:val="center"/>
          </w:tcPr>
          <w:p w14:paraId="0CB7D46C" w14:textId="77777777" w:rsidR="00C972CB" w:rsidRDefault="002457F6">
            <w:pPr>
              <w:pStyle w:val="P68B1DB1-Normal11"/>
              <w:jc w:val="center"/>
              <w:rPr>
                <w:noProof/>
              </w:rPr>
            </w:pPr>
            <w:r>
              <w:rPr>
                <w:noProof/>
              </w:rPr>
              <w:t>2026</w:t>
            </w:r>
          </w:p>
        </w:tc>
        <w:tc>
          <w:tcPr>
            <w:tcW w:w="1047" w:type="pct"/>
            <w:shd w:val="clear" w:color="auto" w:fill="C6EFCE"/>
            <w:noWrap/>
            <w:vAlign w:val="center"/>
          </w:tcPr>
          <w:p w14:paraId="1E2584A1" w14:textId="32FEF09D" w:rsidR="00C972CB" w:rsidRDefault="002457F6">
            <w:pPr>
              <w:pStyle w:val="P68B1DB1-Normal11"/>
              <w:rPr>
                <w:noProof/>
              </w:rPr>
            </w:pPr>
            <w:r>
              <w:rPr>
                <w:noProof/>
              </w:rPr>
              <w:t>Vismaz 150480 jaunu vietu izglītības un agrīnās pirmsskolas aprūpes pakalpojumiem (no nulles līdz sešiem gadiem).</w:t>
            </w:r>
          </w:p>
          <w:p w14:paraId="109DF8E3" w14:textId="77777777" w:rsidR="00C972CB" w:rsidRDefault="00C972CB">
            <w:pPr>
              <w:rPr>
                <w:rFonts w:ascii="Arial Narrow" w:hAnsi="Arial Narrow"/>
                <w:noProof/>
                <w:color w:val="006100"/>
                <w:sz w:val="20"/>
              </w:rPr>
            </w:pPr>
          </w:p>
          <w:p w14:paraId="205DC8CA" w14:textId="77777777" w:rsidR="00C972CB" w:rsidRDefault="002457F6">
            <w:pPr>
              <w:pStyle w:val="P68B1DB1-Normal11"/>
              <w:rPr>
                <w:noProof/>
              </w:rPr>
            </w:pPr>
            <w:r>
              <w:rPr>
                <w:noProof/>
              </w:rPr>
              <w:t xml:space="preserve">Ar bērnudārzu būvniecības un pārbūves plānu mērķis ir </w:t>
            </w:r>
            <w:r>
              <w:rPr>
                <w:noProof/>
              </w:rPr>
              <w:t>palielināt pieejamo vietu skaitu, uzlabojot izglītības pakalpojumus vecumā no nulles līdz sešiem gadiem.</w:t>
            </w:r>
          </w:p>
        </w:tc>
      </w:tr>
      <w:tr w:rsidR="00C972CB" w14:paraId="443532E3" w14:textId="77777777">
        <w:trPr>
          <w:trHeight w:val="309"/>
        </w:trPr>
        <w:tc>
          <w:tcPr>
            <w:tcW w:w="380" w:type="pct"/>
            <w:shd w:val="clear" w:color="auto" w:fill="C6EFCE"/>
            <w:noWrap/>
            <w:vAlign w:val="center"/>
          </w:tcPr>
          <w:p w14:paraId="3D67759B" w14:textId="77777777" w:rsidR="00C972CB" w:rsidRDefault="002457F6">
            <w:pPr>
              <w:pStyle w:val="P68B1DB1-Normal11"/>
              <w:jc w:val="center"/>
              <w:rPr>
                <w:noProof/>
              </w:rPr>
            </w:pPr>
            <w:r>
              <w:rPr>
                <w:noProof/>
              </w:rPr>
              <w:t>M4C1–19</w:t>
            </w:r>
          </w:p>
        </w:tc>
        <w:tc>
          <w:tcPr>
            <w:tcW w:w="500" w:type="pct"/>
            <w:shd w:val="clear" w:color="auto" w:fill="C6EFCE"/>
            <w:noWrap/>
            <w:vAlign w:val="center"/>
          </w:tcPr>
          <w:p w14:paraId="45178DA8" w14:textId="77777777" w:rsidR="00C972CB" w:rsidRDefault="002457F6">
            <w:pPr>
              <w:pStyle w:val="P68B1DB1-Normal11"/>
              <w:jc w:val="center"/>
              <w:rPr>
                <w:noProof/>
              </w:rPr>
            </w:pPr>
            <w:r>
              <w:rPr>
                <w:noProof/>
              </w:rPr>
              <w:t>Ieguldījums 3.2.: Skola 4.0: inovatīvas skolas, elektroinstalācijas, jaunas klases un darbsemināri</w:t>
            </w:r>
          </w:p>
        </w:tc>
        <w:tc>
          <w:tcPr>
            <w:tcW w:w="358" w:type="pct"/>
            <w:shd w:val="clear" w:color="auto" w:fill="C6EFCE"/>
            <w:noWrap/>
            <w:vAlign w:val="center"/>
          </w:tcPr>
          <w:p w14:paraId="33A23169"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704E58A4" w14:textId="77777777" w:rsidR="00C972CB" w:rsidRDefault="002457F6">
            <w:pPr>
              <w:pStyle w:val="P68B1DB1-Normal11"/>
              <w:jc w:val="center"/>
              <w:rPr>
                <w:noProof/>
              </w:rPr>
            </w:pPr>
            <w:r>
              <w:rPr>
                <w:noProof/>
              </w:rPr>
              <w:t>Nodarbības tiek pārveidotas inovatīvā</w:t>
            </w:r>
            <w:r>
              <w:rPr>
                <w:noProof/>
              </w:rPr>
              <w:t xml:space="preserve"> mācību vidē, pateicoties skolai 4.0</w:t>
            </w:r>
          </w:p>
        </w:tc>
        <w:tc>
          <w:tcPr>
            <w:tcW w:w="480" w:type="pct"/>
            <w:shd w:val="clear" w:color="auto" w:fill="C6EFCE"/>
            <w:noWrap/>
            <w:vAlign w:val="center"/>
          </w:tcPr>
          <w:p w14:paraId="08AB8112"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36833BD3"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44F26983" w14:textId="4757F060" w:rsidR="00C972CB" w:rsidRDefault="002457F6">
            <w:pPr>
              <w:pStyle w:val="P68B1DB1-Normal11"/>
              <w:jc w:val="center"/>
              <w:rPr>
                <w:noProof/>
              </w:rPr>
            </w:pPr>
            <w:r>
              <w:rPr>
                <w:noProof/>
              </w:rPr>
              <w:t>0</w:t>
            </w:r>
          </w:p>
        </w:tc>
        <w:tc>
          <w:tcPr>
            <w:tcW w:w="343" w:type="pct"/>
            <w:shd w:val="clear" w:color="auto" w:fill="C6EFCE"/>
            <w:noWrap/>
            <w:vAlign w:val="center"/>
          </w:tcPr>
          <w:p w14:paraId="22C69737" w14:textId="2DF45F13" w:rsidR="00C972CB" w:rsidRDefault="002457F6">
            <w:pPr>
              <w:pStyle w:val="P68B1DB1-Normal11"/>
              <w:jc w:val="center"/>
              <w:rPr>
                <w:noProof/>
              </w:rPr>
            </w:pPr>
            <w:r>
              <w:rPr>
                <w:noProof/>
              </w:rPr>
              <w:t>100 000</w:t>
            </w:r>
          </w:p>
        </w:tc>
        <w:tc>
          <w:tcPr>
            <w:tcW w:w="286" w:type="pct"/>
            <w:shd w:val="clear" w:color="auto" w:fill="C6EFCE"/>
            <w:noWrap/>
            <w:vAlign w:val="center"/>
          </w:tcPr>
          <w:p w14:paraId="37A3DD8A"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2476D8B1" w14:textId="77777777" w:rsidR="00C972CB" w:rsidRDefault="002457F6">
            <w:pPr>
              <w:pStyle w:val="P68B1DB1-Normal11"/>
              <w:jc w:val="center"/>
              <w:rPr>
                <w:noProof/>
              </w:rPr>
            </w:pPr>
            <w:r>
              <w:rPr>
                <w:noProof/>
              </w:rPr>
              <w:t>2025</w:t>
            </w:r>
          </w:p>
        </w:tc>
        <w:tc>
          <w:tcPr>
            <w:tcW w:w="1047" w:type="pct"/>
            <w:shd w:val="clear" w:color="auto" w:fill="C6EFCE"/>
            <w:noWrap/>
            <w:vAlign w:val="center"/>
          </w:tcPr>
          <w:p w14:paraId="5482101D" w14:textId="242DCCFE" w:rsidR="00C972CB" w:rsidRDefault="002457F6">
            <w:pPr>
              <w:pStyle w:val="P68B1DB1-Normal11"/>
              <w:rPr>
                <w:noProof/>
              </w:rPr>
            </w:pPr>
            <w:r>
              <w:rPr>
                <w:noProof/>
              </w:rPr>
              <w:t>To klašu telpu skaits, kas pārveidotas inovatīvā mācību vidē par plānu “Skola 4.0”.</w:t>
            </w:r>
          </w:p>
          <w:p w14:paraId="1CB11D5A" w14:textId="77777777" w:rsidR="00C972CB" w:rsidRDefault="00C972CB">
            <w:pPr>
              <w:rPr>
                <w:rFonts w:ascii="Arial Narrow" w:hAnsi="Arial Narrow"/>
                <w:noProof/>
                <w:color w:val="006100"/>
                <w:sz w:val="20"/>
              </w:rPr>
            </w:pPr>
          </w:p>
          <w:p w14:paraId="51BFBFFD" w14:textId="71799648" w:rsidR="00C972CB" w:rsidRDefault="002457F6">
            <w:pPr>
              <w:pStyle w:val="P68B1DB1-Normal11"/>
              <w:rPr>
                <w:noProof/>
              </w:rPr>
            </w:pPr>
            <w:r>
              <w:rPr>
                <w:noProof/>
              </w:rPr>
              <w:t>Ar šo darbību skolu telpas, ko izmanto tradicionālajās klasēs, pārveido inovatīvā, adaptīvā un</w:t>
            </w:r>
            <w:r>
              <w:rPr>
                <w:noProof/>
              </w:rPr>
              <w:t xml:space="preserve"> elastīgā mācību vidē, kas ir savienota un integrēta ar digitālajām tehnoloģijām, fiziski un virtuāli. Ar šo ieguldījumu visas inovatīvākās mācīšanas tehnoloģijas (piemēram, kodēšanas un robotikas ierīces, virtuālās realitātes ierīces un progresīvas digitā</w:t>
            </w:r>
            <w:r>
              <w:rPr>
                <w:noProof/>
              </w:rPr>
              <w:t>lās ierīces iekļaujošai mācīšanai) tiks iekļautas vismaz 100000 klasēs pamatskolās un vidusskolās, ko izmanto mācīšanai.</w:t>
            </w:r>
          </w:p>
        </w:tc>
      </w:tr>
      <w:tr w:rsidR="00C972CB" w14:paraId="628CB384" w14:textId="77777777">
        <w:trPr>
          <w:trHeight w:val="309"/>
        </w:trPr>
        <w:tc>
          <w:tcPr>
            <w:tcW w:w="380" w:type="pct"/>
            <w:shd w:val="clear" w:color="auto" w:fill="C6EFCE"/>
            <w:noWrap/>
            <w:vAlign w:val="center"/>
          </w:tcPr>
          <w:p w14:paraId="47EE1079" w14:textId="77777777" w:rsidR="00C972CB" w:rsidRDefault="002457F6">
            <w:pPr>
              <w:pStyle w:val="P68B1DB1-Normal11"/>
              <w:jc w:val="center"/>
              <w:rPr>
                <w:noProof/>
              </w:rPr>
            </w:pPr>
            <w:r>
              <w:rPr>
                <w:noProof/>
              </w:rPr>
              <w:t>M4C1–20</w:t>
            </w:r>
          </w:p>
        </w:tc>
        <w:tc>
          <w:tcPr>
            <w:tcW w:w="500" w:type="pct"/>
            <w:shd w:val="clear" w:color="auto" w:fill="C6EFCE"/>
            <w:noWrap/>
            <w:vAlign w:val="center"/>
          </w:tcPr>
          <w:p w14:paraId="12FABBEA" w14:textId="77777777" w:rsidR="00C972CB" w:rsidRDefault="002457F6">
            <w:pPr>
              <w:pStyle w:val="P68B1DB1-Normal11"/>
              <w:jc w:val="center"/>
              <w:rPr>
                <w:noProof/>
              </w:rPr>
            </w:pPr>
            <w:r>
              <w:rPr>
                <w:noProof/>
              </w:rPr>
              <w:t>Ieguldījums 1,5: Terciārās profesionālās izglītības sistēmas (ITS) izstrāde</w:t>
            </w:r>
          </w:p>
        </w:tc>
        <w:tc>
          <w:tcPr>
            <w:tcW w:w="358" w:type="pct"/>
            <w:shd w:val="clear" w:color="auto" w:fill="C6EFCE"/>
            <w:noWrap/>
            <w:vAlign w:val="center"/>
          </w:tcPr>
          <w:p w14:paraId="3807BE33"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1C187B3A" w14:textId="77777777" w:rsidR="00C972CB" w:rsidRDefault="002457F6">
            <w:pPr>
              <w:pStyle w:val="P68B1DB1-Normal11"/>
              <w:jc w:val="center"/>
              <w:rPr>
                <w:noProof/>
              </w:rPr>
            </w:pPr>
            <w:r>
              <w:rPr>
                <w:noProof/>
              </w:rPr>
              <w:t xml:space="preserve">Arodmācību sistēmā (ITS) uzņemto studentu </w:t>
            </w:r>
            <w:r>
              <w:rPr>
                <w:noProof/>
              </w:rPr>
              <w:t>skaits</w:t>
            </w:r>
          </w:p>
        </w:tc>
        <w:tc>
          <w:tcPr>
            <w:tcW w:w="480" w:type="pct"/>
            <w:shd w:val="clear" w:color="auto" w:fill="C6EFCE"/>
            <w:noWrap/>
            <w:vAlign w:val="center"/>
          </w:tcPr>
          <w:p w14:paraId="723C2B98"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09616A05"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792D08C5" w14:textId="3E5AA0EA" w:rsidR="00C972CB" w:rsidRDefault="002457F6">
            <w:pPr>
              <w:pStyle w:val="P68B1DB1-Normal11"/>
              <w:jc w:val="center"/>
              <w:rPr>
                <w:noProof/>
              </w:rPr>
            </w:pPr>
            <w:r>
              <w:rPr>
                <w:noProof/>
              </w:rPr>
              <w:t>11 000</w:t>
            </w:r>
          </w:p>
        </w:tc>
        <w:tc>
          <w:tcPr>
            <w:tcW w:w="343" w:type="pct"/>
            <w:shd w:val="clear" w:color="auto" w:fill="C6EFCE"/>
            <w:noWrap/>
            <w:vAlign w:val="center"/>
          </w:tcPr>
          <w:p w14:paraId="4FB66E4B" w14:textId="54E3E0A7" w:rsidR="00C972CB" w:rsidRDefault="002457F6">
            <w:pPr>
              <w:pStyle w:val="P68B1DB1-Normal11"/>
              <w:jc w:val="center"/>
              <w:rPr>
                <w:noProof/>
              </w:rPr>
            </w:pPr>
            <w:r>
              <w:rPr>
                <w:noProof/>
              </w:rPr>
              <w:t>22 000</w:t>
            </w:r>
          </w:p>
        </w:tc>
        <w:tc>
          <w:tcPr>
            <w:tcW w:w="286" w:type="pct"/>
            <w:shd w:val="clear" w:color="auto" w:fill="C6EFCE"/>
            <w:noWrap/>
            <w:vAlign w:val="center"/>
          </w:tcPr>
          <w:p w14:paraId="24B20F7C"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5E08D286" w14:textId="77777777" w:rsidR="00C972CB" w:rsidRDefault="002457F6">
            <w:pPr>
              <w:pStyle w:val="P68B1DB1-Normal11"/>
              <w:jc w:val="center"/>
              <w:rPr>
                <w:noProof/>
              </w:rPr>
            </w:pPr>
            <w:r>
              <w:rPr>
                <w:noProof/>
              </w:rPr>
              <w:t>2025</w:t>
            </w:r>
          </w:p>
        </w:tc>
        <w:tc>
          <w:tcPr>
            <w:tcW w:w="1047" w:type="pct"/>
            <w:shd w:val="clear" w:color="auto" w:fill="C6EFCE"/>
            <w:noWrap/>
            <w:vAlign w:val="center"/>
          </w:tcPr>
          <w:p w14:paraId="13814DA7" w14:textId="77777777" w:rsidR="00C972CB" w:rsidRDefault="002457F6">
            <w:pPr>
              <w:pStyle w:val="P68B1DB1-Normal11"/>
              <w:rPr>
                <w:noProof/>
              </w:rPr>
            </w:pPr>
            <w:r>
              <w:rPr>
                <w:noProof/>
              </w:rPr>
              <w:t>Profesionālās izglītības sistēmā uzņemto studentu skaita pieaugums gadā (100 %).</w:t>
            </w:r>
          </w:p>
        </w:tc>
      </w:tr>
      <w:tr w:rsidR="00C972CB" w14:paraId="54B0EA6B" w14:textId="77777777">
        <w:trPr>
          <w:trHeight w:val="309"/>
        </w:trPr>
        <w:tc>
          <w:tcPr>
            <w:tcW w:w="380" w:type="pct"/>
            <w:shd w:val="clear" w:color="auto" w:fill="C6EFCE"/>
            <w:noWrap/>
            <w:vAlign w:val="center"/>
          </w:tcPr>
          <w:p w14:paraId="4ACFC377" w14:textId="7E64EAB4" w:rsidR="00C972CB" w:rsidRDefault="002457F6">
            <w:pPr>
              <w:pStyle w:val="P68B1DB1-Normal11"/>
              <w:jc w:val="center"/>
              <w:rPr>
                <w:noProof/>
              </w:rPr>
            </w:pPr>
            <w:r>
              <w:rPr>
                <w:noProof/>
              </w:rPr>
              <w:t>M4C1–20 bis</w:t>
            </w:r>
          </w:p>
        </w:tc>
        <w:tc>
          <w:tcPr>
            <w:tcW w:w="500" w:type="pct"/>
            <w:shd w:val="clear" w:color="auto" w:fill="C6EFCE"/>
            <w:noWrap/>
            <w:vAlign w:val="center"/>
          </w:tcPr>
          <w:p w14:paraId="22DE3457" w14:textId="78F56727" w:rsidR="00C972CB" w:rsidRDefault="002457F6">
            <w:pPr>
              <w:pStyle w:val="P68B1DB1-Normal11"/>
              <w:jc w:val="center"/>
              <w:rPr>
                <w:noProof/>
              </w:rPr>
            </w:pPr>
            <w:r>
              <w:rPr>
                <w:noProof/>
              </w:rPr>
              <w:t>Ieguldījums 1,5: Terciārās profesionālās izglītības sistēmas (ITS) izstrāde</w:t>
            </w:r>
          </w:p>
        </w:tc>
        <w:tc>
          <w:tcPr>
            <w:tcW w:w="358" w:type="pct"/>
            <w:shd w:val="clear" w:color="auto" w:fill="C6EFCE"/>
            <w:noWrap/>
            <w:vAlign w:val="center"/>
          </w:tcPr>
          <w:p w14:paraId="418AA7C0" w14:textId="77777777" w:rsidR="00C972CB" w:rsidRDefault="002457F6">
            <w:pPr>
              <w:pStyle w:val="P68B1DB1-Normal11"/>
              <w:jc w:val="center"/>
              <w:rPr>
                <w:noProof/>
              </w:rPr>
            </w:pPr>
            <w:r>
              <w:rPr>
                <w:noProof/>
              </w:rPr>
              <w:t>Starpposma mērķis</w:t>
            </w:r>
          </w:p>
        </w:tc>
        <w:tc>
          <w:tcPr>
            <w:tcW w:w="572" w:type="pct"/>
            <w:shd w:val="clear" w:color="auto" w:fill="C6EFCE"/>
            <w:noWrap/>
            <w:vAlign w:val="center"/>
          </w:tcPr>
          <w:p w14:paraId="7F5248CA" w14:textId="77777777" w:rsidR="00C972CB" w:rsidRDefault="002457F6">
            <w:pPr>
              <w:pStyle w:val="P68B1DB1-Normal11"/>
              <w:jc w:val="center"/>
              <w:rPr>
                <w:noProof/>
              </w:rPr>
            </w:pPr>
            <w:r>
              <w:rPr>
                <w:noProof/>
              </w:rPr>
              <w:t xml:space="preserve">Jaunās valsts uzraudzības sistēmas īstenošana </w:t>
            </w:r>
          </w:p>
        </w:tc>
        <w:tc>
          <w:tcPr>
            <w:tcW w:w="480" w:type="pct"/>
            <w:shd w:val="clear" w:color="auto" w:fill="C6EFCE"/>
            <w:noWrap/>
            <w:vAlign w:val="center"/>
          </w:tcPr>
          <w:p w14:paraId="12BF57A2" w14:textId="77777777" w:rsidR="00C972CB" w:rsidRDefault="002457F6">
            <w:pPr>
              <w:pStyle w:val="P68B1DB1-Normal11"/>
              <w:jc w:val="center"/>
              <w:rPr>
                <w:noProof/>
              </w:rPr>
            </w:pPr>
            <w:r>
              <w:rPr>
                <w:noProof/>
              </w:rPr>
              <w:t xml:space="preserve">Jaunas ITS uzraudzības sistēmas ieviešana </w:t>
            </w:r>
          </w:p>
        </w:tc>
        <w:tc>
          <w:tcPr>
            <w:tcW w:w="422" w:type="pct"/>
            <w:shd w:val="clear" w:color="auto" w:fill="C6EFCE"/>
            <w:noWrap/>
            <w:vAlign w:val="center"/>
          </w:tcPr>
          <w:p w14:paraId="5191AB35" w14:textId="77777777" w:rsidR="00C972CB" w:rsidRDefault="002457F6">
            <w:pPr>
              <w:pStyle w:val="P68B1DB1-Normal11"/>
              <w:jc w:val="center"/>
              <w:rPr>
                <w:noProof/>
              </w:rPr>
            </w:pPr>
            <w:r>
              <w:rPr>
                <w:noProof/>
              </w:rPr>
              <w:t>NEPIEMĒRO</w:t>
            </w:r>
          </w:p>
        </w:tc>
        <w:tc>
          <w:tcPr>
            <w:tcW w:w="375" w:type="pct"/>
            <w:shd w:val="clear" w:color="auto" w:fill="C6EFCE"/>
            <w:noWrap/>
            <w:vAlign w:val="center"/>
          </w:tcPr>
          <w:p w14:paraId="5C61E36C" w14:textId="77777777" w:rsidR="00C972CB" w:rsidRDefault="002457F6">
            <w:pPr>
              <w:pStyle w:val="P68B1DB1-Normal11"/>
              <w:jc w:val="center"/>
              <w:rPr>
                <w:noProof/>
              </w:rPr>
            </w:pPr>
            <w:r>
              <w:rPr>
                <w:noProof/>
              </w:rPr>
              <w:t>NEPIEMĒRO</w:t>
            </w:r>
          </w:p>
        </w:tc>
        <w:tc>
          <w:tcPr>
            <w:tcW w:w="343" w:type="pct"/>
            <w:shd w:val="clear" w:color="auto" w:fill="C6EFCE"/>
            <w:noWrap/>
            <w:vAlign w:val="center"/>
          </w:tcPr>
          <w:p w14:paraId="325E97E7" w14:textId="77777777" w:rsidR="00C972CB" w:rsidRDefault="002457F6">
            <w:pPr>
              <w:pStyle w:val="P68B1DB1-Normal11"/>
              <w:jc w:val="center"/>
              <w:rPr>
                <w:noProof/>
              </w:rPr>
            </w:pPr>
            <w:r>
              <w:rPr>
                <w:noProof/>
              </w:rPr>
              <w:t>NEPIEMĒRO</w:t>
            </w:r>
          </w:p>
        </w:tc>
        <w:tc>
          <w:tcPr>
            <w:tcW w:w="286" w:type="pct"/>
            <w:shd w:val="clear" w:color="auto" w:fill="C6EFCE"/>
            <w:noWrap/>
            <w:vAlign w:val="center"/>
          </w:tcPr>
          <w:p w14:paraId="71F64172" w14:textId="77777777" w:rsidR="00C972CB" w:rsidRDefault="002457F6">
            <w:pPr>
              <w:pStyle w:val="P68B1DB1-Normal11"/>
              <w:jc w:val="center"/>
              <w:rPr>
                <w:noProof/>
              </w:rPr>
            </w:pPr>
            <w:r>
              <w:rPr>
                <w:noProof/>
              </w:rPr>
              <w:t>4. CET.</w:t>
            </w:r>
          </w:p>
        </w:tc>
        <w:tc>
          <w:tcPr>
            <w:tcW w:w="238" w:type="pct"/>
            <w:shd w:val="clear" w:color="auto" w:fill="C6EFCE"/>
            <w:noWrap/>
            <w:vAlign w:val="center"/>
          </w:tcPr>
          <w:p w14:paraId="0F39AC07" w14:textId="77777777" w:rsidR="00C972CB" w:rsidRDefault="002457F6">
            <w:pPr>
              <w:pStyle w:val="P68B1DB1-Normal11"/>
              <w:jc w:val="center"/>
              <w:rPr>
                <w:noProof/>
              </w:rPr>
            </w:pPr>
            <w:r>
              <w:rPr>
                <w:noProof/>
              </w:rPr>
              <w:t>2025</w:t>
            </w:r>
          </w:p>
        </w:tc>
        <w:tc>
          <w:tcPr>
            <w:tcW w:w="1047" w:type="pct"/>
            <w:shd w:val="clear" w:color="auto" w:fill="C6EFCE"/>
            <w:noWrap/>
            <w:vAlign w:val="center"/>
          </w:tcPr>
          <w:p w14:paraId="32893487" w14:textId="77777777" w:rsidR="00C972CB" w:rsidRDefault="002457F6">
            <w:pPr>
              <w:pStyle w:val="P68B1DB1-Normal11"/>
              <w:jc w:val="both"/>
              <w:rPr>
                <w:rFonts w:eastAsiaTheme="minorEastAsia" w:cstheme="minorBidi"/>
                <w:noProof/>
              </w:rPr>
            </w:pPr>
            <w:r>
              <w:rPr>
                <w:noProof/>
              </w:rPr>
              <w:t>Jaunā valsts sistēma, lai uzraudzītu rezultātus, kas sasniegti ar ITS kursiem, kuri ir pilnībā ieviesti un darbojas.</w:t>
            </w:r>
          </w:p>
        </w:tc>
      </w:tr>
      <w:tr w:rsidR="00C972CB" w14:paraId="2669CE1F" w14:textId="77777777">
        <w:trPr>
          <w:trHeight w:val="309"/>
        </w:trPr>
        <w:tc>
          <w:tcPr>
            <w:tcW w:w="380" w:type="pct"/>
            <w:shd w:val="clear" w:color="auto" w:fill="C6EFCE"/>
            <w:noWrap/>
            <w:vAlign w:val="center"/>
          </w:tcPr>
          <w:p w14:paraId="221E00BC" w14:textId="77777777" w:rsidR="00C972CB" w:rsidRDefault="002457F6">
            <w:pPr>
              <w:pStyle w:val="P68B1DB1-Normal11"/>
              <w:jc w:val="center"/>
              <w:rPr>
                <w:noProof/>
              </w:rPr>
            </w:pPr>
            <w:r>
              <w:rPr>
                <w:noProof/>
              </w:rPr>
              <w:t>M4C1–21</w:t>
            </w:r>
          </w:p>
        </w:tc>
        <w:tc>
          <w:tcPr>
            <w:tcW w:w="500" w:type="pct"/>
            <w:shd w:val="clear" w:color="auto" w:fill="C6EFCE"/>
            <w:noWrap/>
            <w:vAlign w:val="center"/>
          </w:tcPr>
          <w:p w14:paraId="740EFB6B" w14:textId="77777777" w:rsidR="00C972CB" w:rsidRDefault="002457F6">
            <w:pPr>
              <w:pStyle w:val="P68B1DB1-Normal11"/>
              <w:jc w:val="center"/>
              <w:rPr>
                <w:noProof/>
              </w:rPr>
            </w:pPr>
            <w:r>
              <w:rPr>
                <w:noProof/>
              </w:rPr>
              <w:t>Ieguldījums 1.2: Pilna laika pagarināšanas plāns</w:t>
            </w:r>
          </w:p>
        </w:tc>
        <w:tc>
          <w:tcPr>
            <w:tcW w:w="358" w:type="pct"/>
            <w:shd w:val="clear" w:color="auto" w:fill="C6EFCE"/>
            <w:noWrap/>
            <w:vAlign w:val="center"/>
          </w:tcPr>
          <w:p w14:paraId="7DD030E0"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36F00F11" w14:textId="77777777" w:rsidR="00C972CB" w:rsidRDefault="002457F6">
            <w:pPr>
              <w:pStyle w:val="P68B1DB1-Normal11"/>
              <w:jc w:val="center"/>
              <w:rPr>
                <w:noProof/>
                <w:color w:val="375623"/>
              </w:rPr>
            </w:pPr>
            <w:r>
              <w:rPr>
                <w:noProof/>
              </w:rPr>
              <w:t>Struktūras skolēnu uzņemšanai pēc skolas laika</w:t>
            </w:r>
          </w:p>
        </w:tc>
        <w:tc>
          <w:tcPr>
            <w:tcW w:w="480" w:type="pct"/>
            <w:shd w:val="clear" w:color="auto" w:fill="C6EFCE"/>
            <w:noWrap/>
            <w:vAlign w:val="center"/>
          </w:tcPr>
          <w:p w14:paraId="327EC53C"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44616244"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13CBE327" w14:textId="43F6B648" w:rsidR="00C972CB" w:rsidRDefault="002457F6">
            <w:pPr>
              <w:pStyle w:val="P68B1DB1-Normal11"/>
              <w:jc w:val="center"/>
              <w:rPr>
                <w:noProof/>
              </w:rPr>
            </w:pPr>
            <w:r>
              <w:rPr>
                <w:noProof/>
              </w:rPr>
              <w:t>0</w:t>
            </w:r>
          </w:p>
        </w:tc>
        <w:tc>
          <w:tcPr>
            <w:tcW w:w="343" w:type="pct"/>
            <w:shd w:val="clear" w:color="auto" w:fill="C6EFCE"/>
            <w:noWrap/>
            <w:vAlign w:val="center"/>
          </w:tcPr>
          <w:p w14:paraId="1F6CCE69" w14:textId="452E3724" w:rsidR="00C972CB" w:rsidRDefault="002457F6">
            <w:pPr>
              <w:pStyle w:val="P68B1DB1-Normal11"/>
              <w:jc w:val="center"/>
              <w:rPr>
                <w:noProof/>
              </w:rPr>
            </w:pPr>
            <w:r>
              <w:rPr>
                <w:noProof/>
              </w:rPr>
              <w:t>1 000</w:t>
            </w:r>
          </w:p>
        </w:tc>
        <w:tc>
          <w:tcPr>
            <w:tcW w:w="286" w:type="pct"/>
            <w:shd w:val="clear" w:color="auto" w:fill="C6EFCE"/>
            <w:noWrap/>
            <w:vAlign w:val="center"/>
          </w:tcPr>
          <w:p w14:paraId="2C3750DC" w14:textId="77777777" w:rsidR="00C972CB" w:rsidRDefault="002457F6">
            <w:pPr>
              <w:pStyle w:val="P68B1DB1-Normal11"/>
              <w:jc w:val="center"/>
              <w:rPr>
                <w:noProof/>
              </w:rPr>
            </w:pPr>
            <w:r>
              <w:rPr>
                <w:noProof/>
              </w:rPr>
              <w:t>2. CET.</w:t>
            </w:r>
          </w:p>
        </w:tc>
        <w:tc>
          <w:tcPr>
            <w:tcW w:w="238" w:type="pct"/>
            <w:shd w:val="clear" w:color="auto" w:fill="C6EFCE"/>
            <w:noWrap/>
            <w:vAlign w:val="center"/>
          </w:tcPr>
          <w:p w14:paraId="6125E308" w14:textId="77777777" w:rsidR="00C972CB" w:rsidRDefault="002457F6">
            <w:pPr>
              <w:pStyle w:val="P68B1DB1-Normal11"/>
              <w:jc w:val="center"/>
              <w:rPr>
                <w:noProof/>
              </w:rPr>
            </w:pPr>
            <w:r>
              <w:rPr>
                <w:noProof/>
              </w:rPr>
              <w:t>2026</w:t>
            </w:r>
          </w:p>
        </w:tc>
        <w:tc>
          <w:tcPr>
            <w:tcW w:w="1047" w:type="pct"/>
            <w:shd w:val="clear" w:color="auto" w:fill="C6EFCE"/>
            <w:noWrap/>
            <w:vAlign w:val="center"/>
          </w:tcPr>
          <w:p w14:paraId="0583A551" w14:textId="19063D11" w:rsidR="00C972CB" w:rsidRDefault="002457F6">
            <w:pPr>
              <w:pStyle w:val="P68B1DB1-Normal11"/>
              <w:rPr>
                <w:noProof/>
              </w:rPr>
            </w:pPr>
            <w:r>
              <w:rPr>
                <w:noProof/>
              </w:rPr>
              <w:t xml:space="preserve">Ir uzbūvētas vai modernizētas vismaz 1000 konstrukcijas, lai atvieglotu mācību laika pagarināšanu un skolu atvēršanu teritorijai pēc mācību laika beigām. </w:t>
            </w:r>
          </w:p>
        </w:tc>
      </w:tr>
      <w:tr w:rsidR="00C972CB" w14:paraId="568866FA" w14:textId="77777777">
        <w:trPr>
          <w:trHeight w:val="309"/>
        </w:trPr>
        <w:tc>
          <w:tcPr>
            <w:tcW w:w="380" w:type="pct"/>
            <w:shd w:val="clear" w:color="auto" w:fill="C6EFCE"/>
            <w:noWrap/>
            <w:vAlign w:val="center"/>
          </w:tcPr>
          <w:p w14:paraId="44154FDB" w14:textId="77777777" w:rsidR="00C972CB" w:rsidRDefault="002457F6">
            <w:pPr>
              <w:pStyle w:val="P68B1DB1-Normal11"/>
              <w:jc w:val="center"/>
              <w:rPr>
                <w:noProof/>
              </w:rPr>
            </w:pPr>
            <w:r>
              <w:rPr>
                <w:noProof/>
              </w:rPr>
              <w:t>M4C1–22</w:t>
            </w:r>
          </w:p>
        </w:tc>
        <w:tc>
          <w:tcPr>
            <w:tcW w:w="500" w:type="pct"/>
            <w:shd w:val="clear" w:color="auto" w:fill="C6EFCE"/>
            <w:noWrap/>
            <w:vAlign w:val="center"/>
          </w:tcPr>
          <w:p w14:paraId="638D9BF1" w14:textId="7A3787CD" w:rsidR="00C972CB" w:rsidRDefault="002457F6">
            <w:pPr>
              <w:pStyle w:val="P68B1DB1-Normal11"/>
              <w:jc w:val="center"/>
              <w:rPr>
                <w:noProof/>
              </w:rPr>
            </w:pPr>
            <w:r>
              <w:rPr>
                <w:noProof/>
              </w:rPr>
              <w:t>Ieguldījums 1.3. Skolu sporta infrastruktūras stiprināšanas plāns</w:t>
            </w:r>
          </w:p>
        </w:tc>
        <w:tc>
          <w:tcPr>
            <w:tcW w:w="358" w:type="pct"/>
            <w:shd w:val="clear" w:color="auto" w:fill="C6EFCE"/>
            <w:noWrap/>
            <w:vAlign w:val="center"/>
          </w:tcPr>
          <w:p w14:paraId="4AA446EA"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1B416690" w14:textId="77777777" w:rsidR="00C972CB" w:rsidRDefault="002457F6">
            <w:pPr>
              <w:pStyle w:val="P68B1DB1-Normal11"/>
              <w:jc w:val="center"/>
              <w:rPr>
                <w:noProof/>
              </w:rPr>
            </w:pPr>
            <w:r>
              <w:rPr>
                <w:noProof/>
              </w:rPr>
              <w:t xml:space="preserve">Izbūvēti vai </w:t>
            </w:r>
            <w:r>
              <w:rPr>
                <w:noProof/>
              </w:rPr>
              <w:t>renovēti Sqm tiek izmantoti kā sporta zāles vai sporta objekti</w:t>
            </w:r>
          </w:p>
        </w:tc>
        <w:tc>
          <w:tcPr>
            <w:tcW w:w="480" w:type="pct"/>
            <w:shd w:val="clear" w:color="auto" w:fill="C6EFCE"/>
            <w:noWrap/>
            <w:vAlign w:val="center"/>
          </w:tcPr>
          <w:p w14:paraId="370856D7"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55F8363E"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2E45D4F2" w14:textId="77777777" w:rsidR="00C972CB" w:rsidRDefault="002457F6">
            <w:pPr>
              <w:pStyle w:val="P68B1DB1-Normal11"/>
              <w:jc w:val="center"/>
              <w:rPr>
                <w:noProof/>
              </w:rPr>
            </w:pPr>
            <w:r>
              <w:rPr>
                <w:noProof/>
              </w:rPr>
              <w:t>0</w:t>
            </w:r>
          </w:p>
        </w:tc>
        <w:tc>
          <w:tcPr>
            <w:tcW w:w="343" w:type="pct"/>
            <w:shd w:val="clear" w:color="auto" w:fill="C6EFCE"/>
            <w:noWrap/>
            <w:vAlign w:val="center"/>
          </w:tcPr>
          <w:p w14:paraId="53B265C7" w14:textId="795CE4CA" w:rsidR="00C972CB" w:rsidRDefault="002457F6">
            <w:pPr>
              <w:pStyle w:val="P68B1DB1-Normal11"/>
              <w:jc w:val="center"/>
              <w:rPr>
                <w:noProof/>
              </w:rPr>
            </w:pPr>
            <w:r>
              <w:rPr>
                <w:noProof/>
              </w:rPr>
              <w:t>230 400</w:t>
            </w:r>
          </w:p>
        </w:tc>
        <w:tc>
          <w:tcPr>
            <w:tcW w:w="286" w:type="pct"/>
            <w:shd w:val="clear" w:color="auto" w:fill="C6EFCE"/>
            <w:noWrap/>
            <w:vAlign w:val="center"/>
          </w:tcPr>
          <w:p w14:paraId="7DF761B3" w14:textId="77777777" w:rsidR="00C972CB" w:rsidRDefault="002457F6">
            <w:pPr>
              <w:pStyle w:val="P68B1DB1-Normal11"/>
              <w:jc w:val="center"/>
              <w:rPr>
                <w:noProof/>
              </w:rPr>
            </w:pPr>
            <w:r>
              <w:rPr>
                <w:noProof/>
              </w:rPr>
              <w:t>2. CET.</w:t>
            </w:r>
          </w:p>
        </w:tc>
        <w:tc>
          <w:tcPr>
            <w:tcW w:w="238" w:type="pct"/>
            <w:shd w:val="clear" w:color="auto" w:fill="C6EFCE"/>
            <w:noWrap/>
            <w:vAlign w:val="center"/>
          </w:tcPr>
          <w:p w14:paraId="166C0B23" w14:textId="77777777" w:rsidR="00C972CB" w:rsidRDefault="002457F6">
            <w:pPr>
              <w:pStyle w:val="P68B1DB1-Normal11"/>
              <w:jc w:val="center"/>
              <w:rPr>
                <w:noProof/>
              </w:rPr>
            </w:pPr>
            <w:r>
              <w:rPr>
                <w:noProof/>
              </w:rPr>
              <w:t>2026</w:t>
            </w:r>
          </w:p>
        </w:tc>
        <w:tc>
          <w:tcPr>
            <w:tcW w:w="1047" w:type="pct"/>
            <w:shd w:val="clear" w:color="auto" w:fill="C6EFCE"/>
            <w:noWrap/>
            <w:vAlign w:val="center"/>
          </w:tcPr>
          <w:p w14:paraId="49F401F9" w14:textId="042EE174" w:rsidR="00C972CB" w:rsidRDefault="002457F6">
            <w:pPr>
              <w:pStyle w:val="P68B1DB1-Normal11"/>
              <w:rPr>
                <w:noProof/>
              </w:rPr>
            </w:pPr>
            <w:r>
              <w:rPr>
                <w:noProof/>
              </w:rPr>
              <w:t>Vismaz 230400 Sqm ir uzbūvēti vai atjaunoti, lai tos izmantotu kā sporta zāles vai sporta objektus, kas piestiprināti skolai.</w:t>
            </w:r>
          </w:p>
          <w:p w14:paraId="30FC9981" w14:textId="77777777" w:rsidR="00C972CB" w:rsidRDefault="00C972CB">
            <w:pPr>
              <w:rPr>
                <w:rFonts w:ascii="Arial Narrow" w:hAnsi="Arial Narrow"/>
                <w:noProof/>
                <w:color w:val="006100"/>
                <w:sz w:val="20"/>
              </w:rPr>
            </w:pPr>
          </w:p>
          <w:p w14:paraId="6599C0DA" w14:textId="77777777" w:rsidR="00C972CB" w:rsidRDefault="002457F6">
            <w:pPr>
              <w:pStyle w:val="P68B1DB1-Normal11"/>
              <w:rPr>
                <w:noProof/>
              </w:rPr>
            </w:pPr>
            <w:r>
              <w:rPr>
                <w:noProof/>
              </w:rPr>
              <w:t xml:space="preserve">Valsts skolu ēku reģistrs </w:t>
            </w:r>
            <w:r>
              <w:rPr>
                <w:noProof/>
              </w:rPr>
              <w:t>un dati, kas izriet no VPU uzraudzības un ir derīgi valsts trīs gadu programmā</w:t>
            </w:r>
          </w:p>
        </w:tc>
      </w:tr>
      <w:tr w:rsidR="00C972CB" w14:paraId="49F23C07" w14:textId="77777777">
        <w:trPr>
          <w:trHeight w:val="309"/>
        </w:trPr>
        <w:tc>
          <w:tcPr>
            <w:tcW w:w="380" w:type="pct"/>
            <w:shd w:val="clear" w:color="auto" w:fill="C6EFCE"/>
            <w:noWrap/>
            <w:vAlign w:val="center"/>
            <w:hideMark/>
          </w:tcPr>
          <w:p w14:paraId="49E3615B" w14:textId="77777777" w:rsidR="00C972CB" w:rsidRDefault="002457F6">
            <w:pPr>
              <w:pStyle w:val="P68B1DB1-Normal11"/>
              <w:jc w:val="center"/>
              <w:rPr>
                <w:noProof/>
              </w:rPr>
            </w:pPr>
            <w:r>
              <w:rPr>
                <w:noProof/>
              </w:rPr>
              <w:t>M4C1–23</w:t>
            </w:r>
          </w:p>
        </w:tc>
        <w:tc>
          <w:tcPr>
            <w:tcW w:w="500" w:type="pct"/>
            <w:shd w:val="clear" w:color="auto" w:fill="C6EFCE"/>
            <w:noWrap/>
            <w:vAlign w:val="center"/>
            <w:hideMark/>
          </w:tcPr>
          <w:p w14:paraId="253A88A2" w14:textId="46ACD213" w:rsidR="00C972CB" w:rsidRDefault="002457F6">
            <w:pPr>
              <w:pStyle w:val="P68B1DB1-Normal11"/>
              <w:jc w:val="center"/>
              <w:rPr>
                <w:noProof/>
              </w:rPr>
            </w:pPr>
            <w:r>
              <w:rPr>
                <w:noProof/>
              </w:rPr>
              <w:t>Ieguldījums 3.4. Mācīšana un padziļinātas universitātes prasmes</w:t>
            </w:r>
          </w:p>
        </w:tc>
        <w:tc>
          <w:tcPr>
            <w:tcW w:w="358" w:type="pct"/>
            <w:shd w:val="clear" w:color="auto" w:fill="C6EFCE"/>
            <w:noWrap/>
            <w:vAlign w:val="center"/>
            <w:hideMark/>
          </w:tcPr>
          <w:p w14:paraId="51986433" w14:textId="77777777" w:rsidR="00C972CB" w:rsidRDefault="002457F6">
            <w:pPr>
              <w:pStyle w:val="P68B1DB1-Normal11"/>
              <w:jc w:val="center"/>
              <w:rPr>
                <w:noProof/>
              </w:rPr>
            </w:pPr>
            <w:r>
              <w:rPr>
                <w:noProof/>
              </w:rPr>
              <w:t>Mērķa</w:t>
            </w:r>
          </w:p>
        </w:tc>
        <w:tc>
          <w:tcPr>
            <w:tcW w:w="572" w:type="pct"/>
            <w:shd w:val="clear" w:color="auto" w:fill="C6EFCE"/>
            <w:noWrap/>
            <w:vAlign w:val="center"/>
            <w:hideMark/>
          </w:tcPr>
          <w:p w14:paraId="48A89C4F" w14:textId="3A2C84A5" w:rsidR="00C972CB" w:rsidRDefault="002457F6">
            <w:pPr>
              <w:pStyle w:val="P68B1DB1-Normal11"/>
              <w:jc w:val="center"/>
              <w:rPr>
                <w:noProof/>
              </w:rPr>
            </w:pPr>
            <w:r>
              <w:rPr>
                <w:noProof/>
              </w:rPr>
              <w:t xml:space="preserve">Jaunas doktorantūras studijas, kas piešķirtas uz trim gadiem digitālās un vidiskās pārkārtošanās </w:t>
            </w:r>
            <w:r>
              <w:rPr>
                <w:noProof/>
              </w:rPr>
              <w:t>programmās</w:t>
            </w:r>
          </w:p>
        </w:tc>
        <w:tc>
          <w:tcPr>
            <w:tcW w:w="480" w:type="pct"/>
            <w:shd w:val="clear" w:color="auto" w:fill="C6EFCE"/>
            <w:noWrap/>
            <w:vAlign w:val="center"/>
            <w:hideMark/>
          </w:tcPr>
          <w:p w14:paraId="0AB9356F" w14:textId="77777777" w:rsidR="00C972CB" w:rsidRDefault="002457F6">
            <w:pPr>
              <w:pStyle w:val="P68B1DB1-Normal11"/>
              <w:jc w:val="center"/>
              <w:rPr>
                <w:noProof/>
              </w:rPr>
            </w:pPr>
            <w:r>
              <w:rPr>
                <w:noProof/>
              </w:rPr>
              <w:t>NEPIEMĒRO</w:t>
            </w:r>
          </w:p>
        </w:tc>
        <w:tc>
          <w:tcPr>
            <w:tcW w:w="422" w:type="pct"/>
            <w:shd w:val="clear" w:color="auto" w:fill="C6EFCE"/>
            <w:noWrap/>
            <w:vAlign w:val="center"/>
            <w:hideMark/>
          </w:tcPr>
          <w:p w14:paraId="7E43A64E" w14:textId="77777777" w:rsidR="00C972CB" w:rsidRDefault="002457F6">
            <w:pPr>
              <w:pStyle w:val="P68B1DB1-Normal11"/>
              <w:jc w:val="center"/>
              <w:rPr>
                <w:noProof/>
              </w:rPr>
            </w:pPr>
            <w:r>
              <w:rPr>
                <w:noProof/>
              </w:rPr>
              <w:t>Skaits</w:t>
            </w:r>
          </w:p>
        </w:tc>
        <w:tc>
          <w:tcPr>
            <w:tcW w:w="375" w:type="pct"/>
            <w:shd w:val="clear" w:color="auto" w:fill="C6EFCE"/>
            <w:noWrap/>
            <w:vAlign w:val="center"/>
            <w:hideMark/>
          </w:tcPr>
          <w:p w14:paraId="2CFE0F73" w14:textId="0B9FF507" w:rsidR="00C972CB" w:rsidRDefault="002457F6">
            <w:pPr>
              <w:pStyle w:val="P68B1DB1-Normal11"/>
              <w:jc w:val="center"/>
              <w:rPr>
                <w:noProof/>
              </w:rPr>
            </w:pPr>
            <w:r>
              <w:rPr>
                <w:noProof/>
              </w:rPr>
              <w:t>0</w:t>
            </w:r>
          </w:p>
        </w:tc>
        <w:tc>
          <w:tcPr>
            <w:tcW w:w="343" w:type="pct"/>
            <w:shd w:val="clear" w:color="auto" w:fill="C6EFCE"/>
            <w:noWrap/>
            <w:vAlign w:val="center"/>
            <w:hideMark/>
          </w:tcPr>
          <w:p w14:paraId="2BDC899C" w14:textId="370A4481" w:rsidR="00C972CB" w:rsidRDefault="002457F6">
            <w:pPr>
              <w:pStyle w:val="P68B1DB1-Normal11"/>
              <w:jc w:val="center"/>
              <w:rPr>
                <w:noProof/>
              </w:rPr>
            </w:pPr>
            <w:r>
              <w:rPr>
                <w:noProof/>
              </w:rPr>
              <w:t>500</w:t>
            </w:r>
          </w:p>
        </w:tc>
        <w:tc>
          <w:tcPr>
            <w:tcW w:w="286" w:type="pct"/>
            <w:shd w:val="clear" w:color="auto" w:fill="C6EFCE"/>
            <w:noWrap/>
            <w:vAlign w:val="center"/>
            <w:hideMark/>
          </w:tcPr>
          <w:p w14:paraId="4697E549" w14:textId="77777777" w:rsidR="00C972CB" w:rsidRDefault="002457F6">
            <w:pPr>
              <w:pStyle w:val="P68B1DB1-Normal11"/>
              <w:jc w:val="center"/>
              <w:rPr>
                <w:noProof/>
              </w:rPr>
            </w:pPr>
            <w:r>
              <w:rPr>
                <w:noProof/>
              </w:rPr>
              <w:t>2. CET.</w:t>
            </w:r>
          </w:p>
        </w:tc>
        <w:tc>
          <w:tcPr>
            <w:tcW w:w="238" w:type="pct"/>
            <w:shd w:val="clear" w:color="auto" w:fill="C6EFCE"/>
            <w:noWrap/>
            <w:vAlign w:val="center"/>
            <w:hideMark/>
          </w:tcPr>
          <w:p w14:paraId="4C440386" w14:textId="77777777" w:rsidR="00C972CB" w:rsidRDefault="002457F6">
            <w:pPr>
              <w:pStyle w:val="P68B1DB1-Normal11"/>
              <w:jc w:val="center"/>
              <w:rPr>
                <w:noProof/>
              </w:rPr>
            </w:pPr>
            <w:r>
              <w:rPr>
                <w:noProof/>
              </w:rPr>
              <w:t>2026</w:t>
            </w:r>
          </w:p>
        </w:tc>
        <w:tc>
          <w:tcPr>
            <w:tcW w:w="1047" w:type="pct"/>
            <w:shd w:val="clear" w:color="auto" w:fill="C6EFCE"/>
            <w:noWrap/>
            <w:vAlign w:val="center"/>
            <w:hideMark/>
          </w:tcPr>
          <w:p w14:paraId="3166EA31" w14:textId="77777777" w:rsidR="00C972CB" w:rsidRDefault="002457F6">
            <w:pPr>
              <w:pStyle w:val="P68B1DB1-Normal11"/>
              <w:rPr>
                <w:noProof/>
              </w:rPr>
            </w:pPr>
            <w:r>
              <w:rPr>
                <w:noProof/>
              </w:rPr>
              <w:t>Vismaz 500 jaunu doktorantūras studiju programmas, ko piešķir uz trim gadiem digitālās un vidiskās pārkārtošanās programmās.</w:t>
            </w:r>
          </w:p>
          <w:p w14:paraId="54332A7F" w14:textId="77777777" w:rsidR="00C972CB" w:rsidRDefault="002457F6">
            <w:pPr>
              <w:pStyle w:val="P68B1DB1-Normal11"/>
              <w:rPr>
                <w:rFonts w:eastAsia="Calibri"/>
                <w:noProof/>
              </w:rPr>
            </w:pPr>
            <w:r>
              <w:rPr>
                <w:noProof/>
              </w:rPr>
              <w:t xml:space="preserve">Projekta mērķis ir kvalificēt un inovēt universitātes (un doktorantūras) ceļus, </w:t>
            </w:r>
            <w:r>
              <w:rPr>
                <w:noProof/>
              </w:rPr>
              <w:t>izmantojot šādas sviras: digitalizācija; b) “inovācijas kultūra”; internacionalizācija.</w:t>
            </w:r>
          </w:p>
        </w:tc>
      </w:tr>
      <w:tr w:rsidR="00C972CB" w14:paraId="26F5C392" w14:textId="77777777">
        <w:trPr>
          <w:trHeight w:val="309"/>
        </w:trPr>
        <w:tc>
          <w:tcPr>
            <w:tcW w:w="380" w:type="pct"/>
            <w:shd w:val="clear" w:color="auto" w:fill="C6EFCE"/>
            <w:noWrap/>
            <w:vAlign w:val="center"/>
            <w:hideMark/>
          </w:tcPr>
          <w:p w14:paraId="6CF5B5FA" w14:textId="7C6F60AA" w:rsidR="00C972CB" w:rsidRDefault="002457F6">
            <w:pPr>
              <w:pStyle w:val="P68B1DB1-Normal11"/>
              <w:jc w:val="center"/>
              <w:rPr>
                <w:noProof/>
              </w:rPr>
            </w:pPr>
            <w:r>
              <w:rPr>
                <w:noProof/>
              </w:rPr>
              <w:t>M4C1–23 bis</w:t>
            </w:r>
          </w:p>
        </w:tc>
        <w:tc>
          <w:tcPr>
            <w:tcW w:w="500" w:type="pct"/>
            <w:shd w:val="clear" w:color="auto" w:fill="C6EFCE"/>
            <w:noWrap/>
            <w:vAlign w:val="center"/>
            <w:hideMark/>
          </w:tcPr>
          <w:p w14:paraId="75C1D0B8" w14:textId="4F19BF3D" w:rsidR="00C972CB" w:rsidRDefault="002457F6">
            <w:pPr>
              <w:pStyle w:val="P68B1DB1-Normal11"/>
              <w:jc w:val="center"/>
              <w:rPr>
                <w:noProof/>
              </w:rPr>
            </w:pPr>
            <w:r>
              <w:rPr>
                <w:noProof/>
              </w:rPr>
              <w:t>Ieguldījums 3.4. Mācīšana un padziļinātas universitātes prasmes</w:t>
            </w:r>
          </w:p>
        </w:tc>
        <w:tc>
          <w:tcPr>
            <w:tcW w:w="358" w:type="pct"/>
            <w:shd w:val="clear" w:color="auto" w:fill="C6EFCE"/>
            <w:noWrap/>
            <w:vAlign w:val="center"/>
            <w:hideMark/>
          </w:tcPr>
          <w:p w14:paraId="277110FD" w14:textId="77777777" w:rsidR="00C972CB" w:rsidRDefault="002457F6">
            <w:pPr>
              <w:pStyle w:val="P68B1DB1-Normal11"/>
              <w:jc w:val="center"/>
              <w:rPr>
                <w:noProof/>
              </w:rPr>
            </w:pPr>
            <w:r>
              <w:rPr>
                <w:noProof/>
              </w:rPr>
              <w:t>Starpposma mērķis</w:t>
            </w:r>
          </w:p>
        </w:tc>
        <w:tc>
          <w:tcPr>
            <w:tcW w:w="572" w:type="pct"/>
            <w:shd w:val="clear" w:color="auto" w:fill="C6EFCE"/>
            <w:noWrap/>
            <w:vAlign w:val="center"/>
            <w:hideMark/>
          </w:tcPr>
          <w:p w14:paraId="37A59459" w14:textId="77777777" w:rsidR="00C972CB" w:rsidRDefault="002457F6">
            <w:pPr>
              <w:pStyle w:val="P68B1DB1-Normal11"/>
              <w:jc w:val="center"/>
              <w:rPr>
                <w:noProof/>
              </w:rPr>
            </w:pPr>
            <w:r>
              <w:rPr>
                <w:noProof/>
              </w:rPr>
              <w:t>Apakšpasākumu par mācīšanu un augstākām universitātes prasmēm īstenošanas</w:t>
            </w:r>
            <w:r>
              <w:rPr>
                <w:noProof/>
              </w:rPr>
              <w:t xml:space="preserve"> pabeigšana</w:t>
            </w:r>
          </w:p>
        </w:tc>
        <w:tc>
          <w:tcPr>
            <w:tcW w:w="480" w:type="pct"/>
            <w:shd w:val="clear" w:color="auto" w:fill="C6EFCE"/>
            <w:noWrap/>
            <w:vAlign w:val="center"/>
            <w:hideMark/>
          </w:tcPr>
          <w:p w14:paraId="6638FD63" w14:textId="77777777" w:rsidR="00C972CB" w:rsidRDefault="002457F6">
            <w:pPr>
              <w:pStyle w:val="P68B1DB1-Normal11"/>
              <w:jc w:val="center"/>
              <w:rPr>
                <w:noProof/>
              </w:rPr>
            </w:pPr>
            <w:r>
              <w:rPr>
                <w:noProof/>
              </w:rPr>
              <w:t>Tiek īstenoti apakšpasākumi attiecībā uz mācīšanu un augstākām universitātes prasmēm.</w:t>
            </w:r>
          </w:p>
        </w:tc>
        <w:tc>
          <w:tcPr>
            <w:tcW w:w="422" w:type="pct"/>
            <w:shd w:val="clear" w:color="auto" w:fill="C6EFCE"/>
            <w:noWrap/>
            <w:vAlign w:val="center"/>
            <w:hideMark/>
          </w:tcPr>
          <w:p w14:paraId="39FAE967" w14:textId="70C1BEB4" w:rsidR="00C972CB" w:rsidRDefault="002457F6">
            <w:pPr>
              <w:pStyle w:val="P68B1DB1-Normal11"/>
              <w:jc w:val="center"/>
              <w:rPr>
                <w:noProof/>
              </w:rPr>
            </w:pPr>
            <w:r>
              <w:rPr>
                <w:noProof/>
              </w:rPr>
              <w:t>NEPIEMĒRO</w:t>
            </w:r>
          </w:p>
        </w:tc>
        <w:tc>
          <w:tcPr>
            <w:tcW w:w="375" w:type="pct"/>
            <w:shd w:val="clear" w:color="auto" w:fill="C6EFCE"/>
            <w:noWrap/>
            <w:vAlign w:val="center"/>
            <w:hideMark/>
          </w:tcPr>
          <w:p w14:paraId="7B9AF38A" w14:textId="3689F34D" w:rsidR="00C972CB" w:rsidRDefault="002457F6">
            <w:pPr>
              <w:pStyle w:val="P68B1DB1-Normal11"/>
              <w:jc w:val="center"/>
              <w:rPr>
                <w:noProof/>
              </w:rPr>
            </w:pPr>
            <w:r>
              <w:rPr>
                <w:noProof/>
              </w:rPr>
              <w:t>NEPIEMĒRO</w:t>
            </w:r>
          </w:p>
        </w:tc>
        <w:tc>
          <w:tcPr>
            <w:tcW w:w="343" w:type="pct"/>
            <w:shd w:val="clear" w:color="auto" w:fill="C6EFCE"/>
            <w:noWrap/>
            <w:vAlign w:val="center"/>
            <w:hideMark/>
          </w:tcPr>
          <w:p w14:paraId="0E69CC83" w14:textId="7DF3C801" w:rsidR="00C972CB" w:rsidRDefault="002457F6">
            <w:pPr>
              <w:pStyle w:val="P68B1DB1-Normal11"/>
              <w:jc w:val="center"/>
              <w:rPr>
                <w:noProof/>
              </w:rPr>
            </w:pPr>
            <w:r>
              <w:rPr>
                <w:noProof/>
              </w:rPr>
              <w:t>NEPIEMĒRO</w:t>
            </w:r>
          </w:p>
        </w:tc>
        <w:tc>
          <w:tcPr>
            <w:tcW w:w="286" w:type="pct"/>
            <w:shd w:val="clear" w:color="auto" w:fill="C6EFCE"/>
            <w:noWrap/>
            <w:vAlign w:val="center"/>
            <w:hideMark/>
          </w:tcPr>
          <w:p w14:paraId="0BD77989" w14:textId="77777777" w:rsidR="00C972CB" w:rsidRDefault="002457F6">
            <w:pPr>
              <w:pStyle w:val="P68B1DB1-Normal11"/>
              <w:jc w:val="center"/>
              <w:rPr>
                <w:noProof/>
              </w:rPr>
            </w:pPr>
            <w:r>
              <w:rPr>
                <w:noProof/>
              </w:rPr>
              <w:t>2. CET.</w:t>
            </w:r>
          </w:p>
        </w:tc>
        <w:tc>
          <w:tcPr>
            <w:tcW w:w="238" w:type="pct"/>
            <w:shd w:val="clear" w:color="auto" w:fill="C6EFCE"/>
            <w:noWrap/>
            <w:vAlign w:val="center"/>
            <w:hideMark/>
          </w:tcPr>
          <w:p w14:paraId="645E3C3B" w14:textId="77777777" w:rsidR="00C972CB" w:rsidRDefault="002457F6">
            <w:pPr>
              <w:pStyle w:val="P68B1DB1-Normal11"/>
              <w:jc w:val="center"/>
              <w:rPr>
                <w:noProof/>
              </w:rPr>
            </w:pPr>
            <w:r>
              <w:rPr>
                <w:noProof/>
              </w:rPr>
              <w:t>2026</w:t>
            </w:r>
          </w:p>
        </w:tc>
        <w:tc>
          <w:tcPr>
            <w:tcW w:w="1047" w:type="pct"/>
            <w:shd w:val="clear" w:color="auto" w:fill="C6EFCE"/>
            <w:noWrap/>
            <w:vAlign w:val="center"/>
            <w:hideMark/>
          </w:tcPr>
          <w:p w14:paraId="0E399DDF" w14:textId="5CAA0504" w:rsidR="00C972CB" w:rsidRDefault="002457F6">
            <w:pPr>
              <w:pStyle w:val="P68B1DB1-Normal11"/>
              <w:rPr>
                <w:noProof/>
              </w:rPr>
            </w:pPr>
            <w:r>
              <w:rPr>
                <w:noProof/>
              </w:rPr>
              <w:t xml:space="preserve">Tiek īstenoti apakšpasākumi attiecībā uz mācīšanu un augstākām universitātes prasmēm. </w:t>
            </w:r>
          </w:p>
          <w:p w14:paraId="536A1FD8" w14:textId="77777777" w:rsidR="00C972CB" w:rsidRDefault="00C972CB">
            <w:pPr>
              <w:rPr>
                <w:rFonts w:ascii="Arial Narrow" w:hAnsi="Arial Narrow"/>
                <w:noProof/>
                <w:color w:val="006100"/>
                <w:sz w:val="20"/>
              </w:rPr>
            </w:pPr>
          </w:p>
          <w:p w14:paraId="29548546" w14:textId="22EBFE58" w:rsidR="00C972CB" w:rsidRDefault="002457F6">
            <w:pPr>
              <w:pStyle w:val="P68B1DB1-Normal11"/>
              <w:rPr>
                <w:noProof/>
              </w:rPr>
            </w:pPr>
            <w:r>
              <w:rPr>
                <w:noProof/>
              </w:rPr>
              <w:t xml:space="preserve">Apakšpasākumi ietver: </w:t>
            </w:r>
          </w:p>
          <w:p w14:paraId="2A89A62C" w14:textId="2EDF9D51" w:rsidR="00C972CB" w:rsidRDefault="002457F6">
            <w:pPr>
              <w:pStyle w:val="P68B1DB1-ListParagraph13"/>
              <w:numPr>
                <w:ilvl w:val="0"/>
                <w:numId w:val="56"/>
              </w:numPr>
              <w:spacing w:before="0" w:after="0"/>
              <w:jc w:val="left"/>
              <w:rPr>
                <w:noProof/>
              </w:rPr>
            </w:pPr>
            <w:r>
              <w:rPr>
                <w:noProof/>
              </w:rPr>
              <w:t>Trīs</w:t>
            </w:r>
            <w:r>
              <w:rPr>
                <w:noProof/>
              </w:rPr>
              <w:t xml:space="preserve"> digitālās izglītības centru (DEH) izveide;</w:t>
            </w:r>
          </w:p>
          <w:p w14:paraId="7DB8B45B" w14:textId="2E78A130" w:rsidR="00C972CB" w:rsidRDefault="002457F6">
            <w:pPr>
              <w:pStyle w:val="P68B1DB1-ListParagraph13"/>
              <w:numPr>
                <w:ilvl w:val="0"/>
                <w:numId w:val="56"/>
              </w:numPr>
              <w:spacing w:before="0" w:after="0"/>
              <w:jc w:val="left"/>
              <w:rPr>
                <w:noProof/>
              </w:rPr>
            </w:pPr>
            <w:r>
              <w:rPr>
                <w:noProof/>
              </w:rPr>
              <w:t>Trīs augstākās universitātes skolu aktivizēšana;</w:t>
            </w:r>
          </w:p>
          <w:p w14:paraId="31EC071D" w14:textId="194F10F2" w:rsidR="00C972CB" w:rsidRDefault="002457F6">
            <w:pPr>
              <w:pStyle w:val="P68B1DB1-ListParagraph13"/>
              <w:numPr>
                <w:ilvl w:val="0"/>
                <w:numId w:val="56"/>
              </w:numPr>
              <w:spacing w:before="0" w:after="0"/>
              <w:jc w:val="left"/>
              <w:rPr>
                <w:noProof/>
              </w:rPr>
            </w:pPr>
            <w:r>
              <w:rPr>
                <w:noProof/>
              </w:rPr>
              <w:t>Desmit transnacionālu izglītības iniciatīvu īstenošana — TNE;</w:t>
            </w:r>
          </w:p>
          <w:p w14:paraId="46D9A758" w14:textId="77777777" w:rsidR="00C972CB" w:rsidRDefault="002457F6">
            <w:pPr>
              <w:pStyle w:val="P68B1DB1-ListParagraph13"/>
              <w:numPr>
                <w:ilvl w:val="0"/>
                <w:numId w:val="56"/>
              </w:numPr>
              <w:spacing w:before="0" w:after="0"/>
              <w:jc w:val="left"/>
              <w:rPr>
                <w:noProof/>
              </w:rPr>
            </w:pPr>
            <w:r>
              <w:rPr>
                <w:noProof/>
              </w:rPr>
              <w:t>15 mākslas un mūzikas augstākās izglītības iestāžu (AFAM) internacionalizācijas pasākumu projektu īst</w:t>
            </w:r>
            <w:r>
              <w:rPr>
                <w:noProof/>
              </w:rPr>
              <w:t>enošana.</w:t>
            </w:r>
          </w:p>
        </w:tc>
      </w:tr>
      <w:tr w:rsidR="00C972CB" w14:paraId="4B9ED250" w14:textId="77777777">
        <w:trPr>
          <w:trHeight w:val="309"/>
        </w:trPr>
        <w:tc>
          <w:tcPr>
            <w:tcW w:w="380" w:type="pct"/>
            <w:shd w:val="clear" w:color="auto" w:fill="C6EFCE"/>
            <w:noWrap/>
            <w:vAlign w:val="center"/>
          </w:tcPr>
          <w:p w14:paraId="3D5C8165" w14:textId="77777777" w:rsidR="00C972CB" w:rsidRDefault="002457F6">
            <w:pPr>
              <w:pStyle w:val="P68B1DB1-Normal11"/>
              <w:jc w:val="center"/>
              <w:rPr>
                <w:noProof/>
              </w:rPr>
            </w:pPr>
            <w:r>
              <w:rPr>
                <w:noProof/>
              </w:rPr>
              <w:t>M4C1–24</w:t>
            </w:r>
          </w:p>
        </w:tc>
        <w:tc>
          <w:tcPr>
            <w:tcW w:w="500" w:type="pct"/>
            <w:shd w:val="clear" w:color="auto" w:fill="C6EFCE"/>
            <w:noWrap/>
            <w:vAlign w:val="center"/>
          </w:tcPr>
          <w:p w14:paraId="4DD1F063" w14:textId="598BA570" w:rsidR="00C972CB" w:rsidRDefault="002457F6">
            <w:pPr>
              <w:pStyle w:val="P68B1DB1-Normal11"/>
              <w:jc w:val="center"/>
              <w:rPr>
                <w:noProof/>
              </w:rPr>
            </w:pPr>
            <w:r>
              <w:rPr>
                <w:noProof/>
              </w:rPr>
              <w:t>Ieguldījums 1.6. Aktīva orientācija pārejā no skolas uz augstskolu.</w:t>
            </w:r>
          </w:p>
        </w:tc>
        <w:tc>
          <w:tcPr>
            <w:tcW w:w="358" w:type="pct"/>
            <w:shd w:val="clear" w:color="auto" w:fill="C6EFCE"/>
            <w:noWrap/>
            <w:vAlign w:val="center"/>
          </w:tcPr>
          <w:p w14:paraId="09FFD937"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3073F53D" w14:textId="77777777" w:rsidR="00C972CB" w:rsidRDefault="002457F6">
            <w:pPr>
              <w:pStyle w:val="P68B1DB1-Normal11"/>
              <w:jc w:val="center"/>
              <w:rPr>
                <w:noProof/>
              </w:rPr>
            </w:pPr>
            <w:r>
              <w:rPr>
                <w:noProof/>
              </w:rPr>
              <w:t>Skolēni, kas apguvuši pārejas kursus no skolas uz augstskolu</w:t>
            </w:r>
          </w:p>
        </w:tc>
        <w:tc>
          <w:tcPr>
            <w:tcW w:w="480" w:type="pct"/>
            <w:shd w:val="clear" w:color="auto" w:fill="C6EFCE"/>
            <w:noWrap/>
            <w:vAlign w:val="center"/>
          </w:tcPr>
          <w:p w14:paraId="2A8E15A5"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4B164AB2"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1264B0C6" w14:textId="77777777" w:rsidR="00C972CB" w:rsidRDefault="002457F6">
            <w:pPr>
              <w:pStyle w:val="P68B1DB1-Normal11"/>
              <w:jc w:val="center"/>
              <w:rPr>
                <w:noProof/>
              </w:rPr>
            </w:pPr>
            <w:r>
              <w:rPr>
                <w:noProof/>
              </w:rPr>
              <w:t>0</w:t>
            </w:r>
          </w:p>
        </w:tc>
        <w:tc>
          <w:tcPr>
            <w:tcW w:w="343" w:type="pct"/>
            <w:shd w:val="clear" w:color="auto" w:fill="C6EFCE"/>
            <w:noWrap/>
            <w:vAlign w:val="center"/>
          </w:tcPr>
          <w:p w14:paraId="4555DEAE" w14:textId="52620D92" w:rsidR="00C972CB" w:rsidRDefault="002457F6">
            <w:pPr>
              <w:pStyle w:val="P68B1DB1-Normal11"/>
              <w:jc w:val="center"/>
              <w:rPr>
                <w:noProof/>
              </w:rPr>
            </w:pPr>
            <w:r>
              <w:rPr>
                <w:noProof/>
              </w:rPr>
              <w:t>1 000 000</w:t>
            </w:r>
          </w:p>
        </w:tc>
        <w:tc>
          <w:tcPr>
            <w:tcW w:w="286" w:type="pct"/>
            <w:shd w:val="clear" w:color="auto" w:fill="C6EFCE"/>
            <w:noWrap/>
            <w:vAlign w:val="center"/>
          </w:tcPr>
          <w:p w14:paraId="0A4C9AD9" w14:textId="77777777" w:rsidR="00C972CB" w:rsidRDefault="002457F6">
            <w:pPr>
              <w:pStyle w:val="P68B1DB1-Normal11"/>
              <w:jc w:val="center"/>
              <w:rPr>
                <w:noProof/>
              </w:rPr>
            </w:pPr>
            <w:r>
              <w:rPr>
                <w:noProof/>
              </w:rPr>
              <w:t>2. CET.</w:t>
            </w:r>
          </w:p>
        </w:tc>
        <w:tc>
          <w:tcPr>
            <w:tcW w:w="238" w:type="pct"/>
            <w:shd w:val="clear" w:color="auto" w:fill="C6EFCE"/>
            <w:noWrap/>
            <w:vAlign w:val="center"/>
          </w:tcPr>
          <w:p w14:paraId="37DD1DF2" w14:textId="77777777" w:rsidR="00C972CB" w:rsidRDefault="002457F6">
            <w:pPr>
              <w:pStyle w:val="P68B1DB1-Normal11"/>
              <w:jc w:val="center"/>
              <w:rPr>
                <w:noProof/>
              </w:rPr>
            </w:pPr>
            <w:r>
              <w:rPr>
                <w:noProof/>
              </w:rPr>
              <w:t>2026</w:t>
            </w:r>
          </w:p>
        </w:tc>
        <w:tc>
          <w:tcPr>
            <w:tcW w:w="1047" w:type="pct"/>
            <w:shd w:val="clear" w:color="auto" w:fill="C6EFCE"/>
            <w:noWrap/>
            <w:vAlign w:val="center"/>
          </w:tcPr>
          <w:p w14:paraId="297A15B0" w14:textId="14B5C973" w:rsidR="00C972CB" w:rsidRDefault="002457F6">
            <w:pPr>
              <w:pStyle w:val="P68B1DB1-Normal11"/>
              <w:jc w:val="center"/>
              <w:rPr>
                <w:noProof/>
              </w:rPr>
            </w:pPr>
            <w:r>
              <w:rPr>
                <w:noProof/>
              </w:rPr>
              <w:t xml:space="preserve">Vismaz 1000000 vidusskolu audzēkņu apmeklēja vienu mācību kursu pārejai no skolas uz augstskolu.  </w:t>
            </w:r>
          </w:p>
        </w:tc>
      </w:tr>
      <w:tr w:rsidR="00C972CB" w14:paraId="051650DB" w14:textId="77777777">
        <w:trPr>
          <w:trHeight w:val="309"/>
        </w:trPr>
        <w:tc>
          <w:tcPr>
            <w:tcW w:w="380" w:type="pct"/>
            <w:shd w:val="clear" w:color="auto" w:fill="C6EFCE"/>
            <w:noWrap/>
            <w:vAlign w:val="center"/>
          </w:tcPr>
          <w:p w14:paraId="26F71B95" w14:textId="77777777" w:rsidR="00C972CB" w:rsidRDefault="002457F6">
            <w:pPr>
              <w:pStyle w:val="P68B1DB1-Normal11"/>
              <w:jc w:val="center"/>
              <w:rPr>
                <w:noProof/>
              </w:rPr>
            </w:pPr>
            <w:r>
              <w:rPr>
                <w:noProof/>
              </w:rPr>
              <w:t>M4C1–25</w:t>
            </w:r>
          </w:p>
        </w:tc>
        <w:tc>
          <w:tcPr>
            <w:tcW w:w="500" w:type="pct"/>
            <w:shd w:val="clear" w:color="auto" w:fill="C6EFCE"/>
            <w:noWrap/>
            <w:vAlign w:val="center"/>
          </w:tcPr>
          <w:p w14:paraId="70E9F8C5" w14:textId="77777777" w:rsidR="00C972CB" w:rsidRDefault="002457F6">
            <w:pPr>
              <w:pStyle w:val="P68B1DB1-Normal11"/>
              <w:jc w:val="center"/>
              <w:rPr>
                <w:noProof/>
              </w:rPr>
            </w:pPr>
            <w:r>
              <w:rPr>
                <w:noProof/>
              </w:rPr>
              <w:t xml:space="preserve">Ieguldījums 1.4.: Ārkārtas intervence, kuras mērķis ir samazināt teritoriālās atšķirības vidusskolas I un II ciklos un novērst mācību priekšlaicīgu </w:t>
            </w:r>
            <w:r>
              <w:rPr>
                <w:noProof/>
              </w:rPr>
              <w:t>pārtraukšanu</w:t>
            </w:r>
          </w:p>
        </w:tc>
        <w:tc>
          <w:tcPr>
            <w:tcW w:w="358" w:type="pct"/>
            <w:shd w:val="clear" w:color="auto" w:fill="C6EFCE"/>
            <w:noWrap/>
            <w:vAlign w:val="center"/>
          </w:tcPr>
          <w:p w14:paraId="5AF98F02"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32F019DE" w14:textId="46F92B79" w:rsidR="00C972CB" w:rsidRDefault="002457F6">
            <w:pPr>
              <w:pStyle w:val="P68B1DB1-Normal11"/>
              <w:jc w:val="center"/>
              <w:rPr>
                <w:noProof/>
              </w:rPr>
            </w:pPr>
            <w:r>
              <w:rPr>
                <w:noProof/>
              </w:rPr>
              <w:t>Vidējā izglītībā priekšlaicīgi pametušo rādītāju atšķirība</w:t>
            </w:r>
          </w:p>
        </w:tc>
        <w:tc>
          <w:tcPr>
            <w:tcW w:w="480" w:type="pct"/>
            <w:shd w:val="clear" w:color="auto" w:fill="C6EFCE"/>
            <w:noWrap/>
            <w:vAlign w:val="center"/>
          </w:tcPr>
          <w:p w14:paraId="401D20D5"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38815449" w14:textId="77777777" w:rsidR="00C972CB" w:rsidRDefault="002457F6">
            <w:pPr>
              <w:pStyle w:val="P68B1DB1-Normal11"/>
              <w:jc w:val="center"/>
              <w:rPr>
                <w:noProof/>
              </w:rPr>
            </w:pPr>
            <w:r>
              <w:rPr>
                <w:noProof/>
              </w:rPr>
              <w:t>Procentuālā daļa</w:t>
            </w:r>
          </w:p>
        </w:tc>
        <w:tc>
          <w:tcPr>
            <w:tcW w:w="375" w:type="pct"/>
            <w:shd w:val="clear" w:color="auto" w:fill="C6EFCE"/>
            <w:noWrap/>
            <w:vAlign w:val="center"/>
          </w:tcPr>
          <w:p w14:paraId="548B443E" w14:textId="77777777" w:rsidR="00C972CB" w:rsidRDefault="002457F6">
            <w:pPr>
              <w:pStyle w:val="P68B1DB1-Normal11"/>
              <w:jc w:val="center"/>
              <w:rPr>
                <w:noProof/>
              </w:rPr>
            </w:pPr>
            <w:r>
              <w:rPr>
                <w:noProof/>
              </w:rPr>
              <w:t>13,5</w:t>
            </w:r>
          </w:p>
        </w:tc>
        <w:tc>
          <w:tcPr>
            <w:tcW w:w="343" w:type="pct"/>
            <w:shd w:val="clear" w:color="auto" w:fill="C6EFCE"/>
            <w:noWrap/>
            <w:vAlign w:val="center"/>
          </w:tcPr>
          <w:p w14:paraId="7DC5E28D" w14:textId="77777777" w:rsidR="00C972CB" w:rsidRDefault="002457F6">
            <w:pPr>
              <w:pStyle w:val="P68B1DB1-Normal11"/>
              <w:jc w:val="center"/>
              <w:rPr>
                <w:noProof/>
              </w:rPr>
            </w:pPr>
            <w:r>
              <w:rPr>
                <w:noProof/>
              </w:rPr>
              <w:t>10,2</w:t>
            </w:r>
          </w:p>
        </w:tc>
        <w:tc>
          <w:tcPr>
            <w:tcW w:w="286" w:type="pct"/>
            <w:shd w:val="clear" w:color="auto" w:fill="C6EFCE"/>
            <w:noWrap/>
            <w:vAlign w:val="center"/>
          </w:tcPr>
          <w:p w14:paraId="2B9127DF" w14:textId="77777777" w:rsidR="00C972CB" w:rsidRDefault="002457F6">
            <w:pPr>
              <w:pStyle w:val="P68B1DB1-Normal11"/>
              <w:jc w:val="center"/>
              <w:rPr>
                <w:noProof/>
              </w:rPr>
            </w:pPr>
            <w:r>
              <w:rPr>
                <w:noProof/>
              </w:rPr>
              <w:t>2. CET.</w:t>
            </w:r>
          </w:p>
        </w:tc>
        <w:tc>
          <w:tcPr>
            <w:tcW w:w="238" w:type="pct"/>
            <w:shd w:val="clear" w:color="auto" w:fill="C6EFCE"/>
            <w:noWrap/>
            <w:vAlign w:val="center"/>
          </w:tcPr>
          <w:p w14:paraId="7AB3582C" w14:textId="77777777" w:rsidR="00C972CB" w:rsidRDefault="002457F6">
            <w:pPr>
              <w:pStyle w:val="P68B1DB1-Normal11"/>
              <w:jc w:val="center"/>
              <w:rPr>
                <w:noProof/>
              </w:rPr>
            </w:pPr>
            <w:r>
              <w:rPr>
                <w:noProof/>
              </w:rPr>
              <w:t>2026</w:t>
            </w:r>
          </w:p>
        </w:tc>
        <w:tc>
          <w:tcPr>
            <w:tcW w:w="1047" w:type="pct"/>
            <w:shd w:val="clear" w:color="auto" w:fill="C6EFCE"/>
            <w:noWrap/>
            <w:vAlign w:val="center"/>
          </w:tcPr>
          <w:p w14:paraId="41917A86" w14:textId="31617746" w:rsidR="00C972CB" w:rsidRDefault="002457F6">
            <w:pPr>
              <w:pStyle w:val="P68B1DB1-Normal11"/>
              <w:rPr>
                <w:noProof/>
              </w:rPr>
            </w:pPr>
            <w:r>
              <w:rPr>
                <w:noProof/>
              </w:rPr>
              <w:t>Samazināt vidējās izglītības priekšlaicīgas pamešanas rādītāju atšķirību, lai sasniegtu ES vidējo rādītāju 2019. gadā (10,2 %).</w:t>
            </w:r>
          </w:p>
        </w:tc>
      </w:tr>
      <w:tr w:rsidR="00C972CB" w14:paraId="74A857BF" w14:textId="77777777">
        <w:trPr>
          <w:trHeight w:val="309"/>
        </w:trPr>
        <w:tc>
          <w:tcPr>
            <w:tcW w:w="380" w:type="pct"/>
            <w:shd w:val="clear" w:color="auto" w:fill="C6EFCE"/>
            <w:noWrap/>
            <w:vAlign w:val="center"/>
          </w:tcPr>
          <w:p w14:paraId="4428A3CC" w14:textId="77777777" w:rsidR="00C972CB" w:rsidRDefault="002457F6">
            <w:pPr>
              <w:pStyle w:val="P68B1DB1-Normal11"/>
              <w:jc w:val="center"/>
              <w:rPr>
                <w:noProof/>
              </w:rPr>
            </w:pPr>
            <w:r>
              <w:rPr>
                <w:noProof/>
              </w:rPr>
              <w:t>M4C1–26</w:t>
            </w:r>
          </w:p>
        </w:tc>
        <w:tc>
          <w:tcPr>
            <w:tcW w:w="500" w:type="pct"/>
            <w:shd w:val="clear" w:color="auto" w:fill="C6EFCE"/>
            <w:noWrap/>
            <w:vAlign w:val="center"/>
          </w:tcPr>
          <w:p w14:paraId="66209276" w14:textId="77777777" w:rsidR="00C972CB" w:rsidRDefault="002457F6">
            <w:pPr>
              <w:pStyle w:val="P68B1DB1-Normal11"/>
              <w:jc w:val="center"/>
              <w:rPr>
                <w:noProof/>
              </w:rPr>
            </w:pPr>
            <w:r>
              <w:rPr>
                <w:noProof/>
              </w:rPr>
              <w:t>Ieguldījums 3.3. Skolu ēku drošība un strukturālas rehabilitācijas plāns</w:t>
            </w:r>
          </w:p>
        </w:tc>
        <w:tc>
          <w:tcPr>
            <w:tcW w:w="358" w:type="pct"/>
            <w:shd w:val="clear" w:color="auto" w:fill="C6EFCE"/>
            <w:noWrap/>
            <w:vAlign w:val="center"/>
          </w:tcPr>
          <w:p w14:paraId="0A9FB268" w14:textId="77777777" w:rsidR="00C972CB" w:rsidRDefault="002457F6">
            <w:pPr>
              <w:pStyle w:val="P68B1DB1-Normal11"/>
              <w:jc w:val="center"/>
              <w:rPr>
                <w:noProof/>
              </w:rPr>
            </w:pPr>
            <w:r>
              <w:rPr>
                <w:noProof/>
              </w:rPr>
              <w:t>Mērķa</w:t>
            </w:r>
          </w:p>
        </w:tc>
        <w:tc>
          <w:tcPr>
            <w:tcW w:w="572" w:type="pct"/>
            <w:shd w:val="clear" w:color="auto" w:fill="C6EFCE"/>
            <w:noWrap/>
            <w:vAlign w:val="center"/>
          </w:tcPr>
          <w:p w14:paraId="2B8BE4B9" w14:textId="3BDE76D8" w:rsidR="00C972CB" w:rsidRDefault="002457F6">
            <w:pPr>
              <w:pStyle w:val="P68B1DB1-Normal11"/>
              <w:jc w:val="center"/>
              <w:rPr>
                <w:noProof/>
              </w:rPr>
            </w:pPr>
            <w:r>
              <w:rPr>
                <w:noProof/>
              </w:rPr>
              <w:t>Renovēto skolu ēku platība</w:t>
            </w:r>
          </w:p>
        </w:tc>
        <w:tc>
          <w:tcPr>
            <w:tcW w:w="480" w:type="pct"/>
            <w:shd w:val="clear" w:color="auto" w:fill="C6EFCE"/>
            <w:noWrap/>
            <w:vAlign w:val="center"/>
          </w:tcPr>
          <w:p w14:paraId="30D255BD" w14:textId="77777777" w:rsidR="00C972CB" w:rsidRDefault="002457F6">
            <w:pPr>
              <w:pStyle w:val="P68B1DB1-Normal11"/>
              <w:jc w:val="center"/>
              <w:rPr>
                <w:noProof/>
              </w:rPr>
            </w:pPr>
            <w:r>
              <w:rPr>
                <w:noProof/>
              </w:rPr>
              <w:t>NEPIEMĒRO</w:t>
            </w:r>
          </w:p>
        </w:tc>
        <w:tc>
          <w:tcPr>
            <w:tcW w:w="422" w:type="pct"/>
            <w:shd w:val="clear" w:color="auto" w:fill="C6EFCE"/>
            <w:noWrap/>
            <w:vAlign w:val="center"/>
          </w:tcPr>
          <w:p w14:paraId="103006E9" w14:textId="77777777" w:rsidR="00C972CB" w:rsidRDefault="002457F6">
            <w:pPr>
              <w:pStyle w:val="P68B1DB1-Normal11"/>
              <w:jc w:val="center"/>
              <w:rPr>
                <w:noProof/>
              </w:rPr>
            </w:pPr>
            <w:r>
              <w:rPr>
                <w:noProof/>
              </w:rPr>
              <w:t>Skaits</w:t>
            </w:r>
          </w:p>
        </w:tc>
        <w:tc>
          <w:tcPr>
            <w:tcW w:w="375" w:type="pct"/>
            <w:shd w:val="clear" w:color="auto" w:fill="C6EFCE"/>
            <w:noWrap/>
            <w:vAlign w:val="center"/>
          </w:tcPr>
          <w:p w14:paraId="1D85C48E" w14:textId="77777777" w:rsidR="00C972CB" w:rsidRDefault="002457F6">
            <w:pPr>
              <w:pStyle w:val="P68B1DB1-Normal11"/>
              <w:jc w:val="center"/>
              <w:rPr>
                <w:noProof/>
              </w:rPr>
            </w:pPr>
            <w:r>
              <w:rPr>
                <w:noProof/>
              </w:rPr>
              <w:t>0</w:t>
            </w:r>
          </w:p>
        </w:tc>
        <w:tc>
          <w:tcPr>
            <w:tcW w:w="343" w:type="pct"/>
            <w:shd w:val="clear" w:color="auto" w:fill="C6EFCE"/>
            <w:noWrap/>
            <w:vAlign w:val="center"/>
          </w:tcPr>
          <w:p w14:paraId="2FEDED42" w14:textId="49711FAF" w:rsidR="00C972CB" w:rsidRDefault="002457F6">
            <w:pPr>
              <w:pStyle w:val="P68B1DB1-Normal11"/>
              <w:jc w:val="center"/>
              <w:rPr>
                <w:noProof/>
              </w:rPr>
            </w:pPr>
            <w:r>
              <w:rPr>
                <w:noProof/>
              </w:rPr>
              <w:t>2 600 000</w:t>
            </w:r>
          </w:p>
        </w:tc>
        <w:tc>
          <w:tcPr>
            <w:tcW w:w="286" w:type="pct"/>
            <w:shd w:val="clear" w:color="auto" w:fill="C6EFCE"/>
            <w:noWrap/>
            <w:vAlign w:val="center"/>
          </w:tcPr>
          <w:p w14:paraId="55B3CBBA" w14:textId="77777777" w:rsidR="00C972CB" w:rsidRDefault="002457F6">
            <w:pPr>
              <w:pStyle w:val="P68B1DB1-Normal11"/>
              <w:jc w:val="center"/>
              <w:rPr>
                <w:noProof/>
              </w:rPr>
            </w:pPr>
            <w:r>
              <w:rPr>
                <w:noProof/>
              </w:rPr>
              <w:t>2. CET.</w:t>
            </w:r>
          </w:p>
        </w:tc>
        <w:tc>
          <w:tcPr>
            <w:tcW w:w="238" w:type="pct"/>
            <w:shd w:val="clear" w:color="auto" w:fill="C6EFCE"/>
            <w:noWrap/>
            <w:vAlign w:val="center"/>
          </w:tcPr>
          <w:p w14:paraId="6D9B74BC" w14:textId="77777777" w:rsidR="00C972CB" w:rsidRDefault="002457F6">
            <w:pPr>
              <w:pStyle w:val="P68B1DB1-Normal11"/>
              <w:jc w:val="center"/>
              <w:rPr>
                <w:noProof/>
              </w:rPr>
            </w:pPr>
            <w:r>
              <w:rPr>
                <w:noProof/>
              </w:rPr>
              <w:t>2026</w:t>
            </w:r>
          </w:p>
        </w:tc>
        <w:tc>
          <w:tcPr>
            <w:tcW w:w="1047" w:type="pct"/>
            <w:shd w:val="clear" w:color="auto" w:fill="C6EFCE"/>
            <w:noWrap/>
            <w:vAlign w:val="center"/>
          </w:tcPr>
          <w:p w14:paraId="7FDA4C26" w14:textId="4420997C" w:rsidR="00C972CB" w:rsidRDefault="002457F6">
            <w:pPr>
              <w:pStyle w:val="P68B1DB1-Normal11"/>
              <w:rPr>
                <w:noProof/>
              </w:rPr>
            </w:pPr>
            <w:r>
              <w:rPr>
                <w:noProof/>
              </w:rPr>
              <w:t xml:space="preserve">Vismaz 2600000 kvadrātmetru skolu ēku tiek renovētas vai rekonstruētas. Saskaņā ar plānu skolu ēku </w:t>
            </w:r>
            <w:r>
              <w:rPr>
                <w:noProof/>
              </w:rPr>
              <w:t>strukturālai un energorekonstrukcijai paredzams, ka kopējā platība būs 2600000 Sqm.</w:t>
            </w:r>
          </w:p>
        </w:tc>
      </w:tr>
    </w:tbl>
    <w:p w14:paraId="0CC31A72" w14:textId="77777777" w:rsidR="00C972CB" w:rsidRDefault="00C972CB">
      <w:pPr>
        <w:tabs>
          <w:tab w:val="left" w:pos="3045"/>
        </w:tabs>
        <w:spacing w:before="120" w:after="120"/>
        <w:jc w:val="both"/>
        <w:rPr>
          <w:b/>
          <w:noProof/>
          <w:u w:val="single"/>
        </w:rPr>
        <w:sectPr w:rsidR="00C972CB" w:rsidSect="000D3774">
          <w:headerReference w:type="even" r:id="rId236"/>
          <w:headerReference w:type="default" r:id="rId237"/>
          <w:footerReference w:type="even" r:id="rId238"/>
          <w:footerReference w:type="default" r:id="rId239"/>
          <w:headerReference w:type="first" r:id="rId240"/>
          <w:footerReference w:type="first" r:id="rId241"/>
          <w:pgSz w:w="16839" w:h="11907" w:orient="landscape"/>
          <w:pgMar w:top="1134" w:right="1134" w:bottom="1134" w:left="1134" w:header="567" w:footer="567" w:gutter="0"/>
          <w:cols w:space="720"/>
          <w:docGrid w:linePitch="360"/>
        </w:sectPr>
      </w:pPr>
    </w:p>
    <w:p w14:paraId="082D8ECF" w14:textId="77777777" w:rsidR="00C972CB" w:rsidRDefault="002457F6">
      <w:pPr>
        <w:pStyle w:val="Heading3"/>
        <w:numPr>
          <w:ilvl w:val="0"/>
          <w:numId w:val="0"/>
        </w:numPr>
        <w:ind w:left="850" w:hanging="850"/>
        <w:rPr>
          <w:rFonts w:ascii="Segoe UI" w:hAnsi="Segoe UI" w:cs="Segoe UI"/>
          <w:i w:val="0"/>
          <w:noProof/>
          <w:sz w:val="18"/>
        </w:rPr>
      </w:pPr>
      <w:r>
        <w:rPr>
          <w:rStyle w:val="normaltextrun"/>
          <w:b/>
          <w:noProof/>
          <w:u w:val="single"/>
        </w:rPr>
        <w:t>J.3. Aizdevumam pieteikto reformu un investīciju apraksts</w:t>
      </w:r>
      <w:r>
        <w:rPr>
          <w:rStyle w:val="eop"/>
          <w:noProof/>
        </w:rPr>
        <w:t xml:space="preserve"> </w:t>
      </w:r>
    </w:p>
    <w:p w14:paraId="56CC4EF9" w14:textId="77777777" w:rsidR="00C972CB" w:rsidRDefault="002457F6">
      <w:pPr>
        <w:pStyle w:val="paragraph"/>
        <w:spacing w:before="0" w:beforeAutospacing="0" w:after="0" w:afterAutospacing="0"/>
        <w:jc w:val="both"/>
        <w:textAlignment w:val="baseline"/>
        <w:rPr>
          <w:rStyle w:val="normaltextrun"/>
          <w:rFonts w:ascii="Segoe UI" w:hAnsi="Segoe UI" w:cs="Segoe UI"/>
          <w:noProof/>
          <w:sz w:val="18"/>
        </w:rPr>
      </w:pPr>
      <w:r>
        <w:rPr>
          <w:rStyle w:val="eop"/>
          <w:noProof/>
        </w:rPr>
        <w:t xml:space="preserve"> </w:t>
      </w:r>
    </w:p>
    <w:p w14:paraId="76FE9400" w14:textId="77777777" w:rsidR="00C972CB" w:rsidRDefault="002457F6">
      <w:pPr>
        <w:pStyle w:val="paragraph"/>
        <w:spacing w:before="0" w:beforeAutospacing="0" w:after="0" w:afterAutospacing="0"/>
        <w:jc w:val="both"/>
        <w:textAlignment w:val="baseline"/>
        <w:rPr>
          <w:rFonts w:ascii="Segoe UI" w:hAnsi="Segoe UI" w:cs="Segoe UI"/>
          <w:noProof/>
          <w:sz w:val="18"/>
        </w:rPr>
      </w:pPr>
      <w:r>
        <w:rPr>
          <w:rStyle w:val="normaltextrun"/>
          <w:b/>
          <w:noProof/>
        </w:rPr>
        <w:t xml:space="preserve">Reforma. Studentu mājokļu regulējuma reforma un ieguldījumi studentu mājokļos </w:t>
      </w:r>
      <w:r>
        <w:rPr>
          <w:rStyle w:val="eop"/>
          <w:noProof/>
        </w:rPr>
        <w:t xml:space="preserve"> </w:t>
      </w:r>
    </w:p>
    <w:p w14:paraId="1F80B345" w14:textId="77777777" w:rsidR="00C972CB" w:rsidRDefault="00C972CB">
      <w:pPr>
        <w:pStyle w:val="paragraph"/>
        <w:spacing w:before="0" w:beforeAutospacing="0" w:after="0" w:afterAutospacing="0"/>
        <w:jc w:val="both"/>
        <w:textAlignment w:val="baseline"/>
        <w:rPr>
          <w:rStyle w:val="normaltextrun"/>
          <w:noProof/>
          <w:sz w:val="22"/>
        </w:rPr>
      </w:pPr>
    </w:p>
    <w:p w14:paraId="276A2DDE" w14:textId="77777777" w:rsidR="00C972CB" w:rsidRDefault="002457F6">
      <w:pPr>
        <w:pStyle w:val="paragraph"/>
        <w:spacing w:before="0" w:beforeAutospacing="0" w:after="120" w:afterAutospacing="0"/>
        <w:jc w:val="both"/>
        <w:textAlignment w:val="baseline"/>
        <w:rPr>
          <w:rFonts w:ascii="Segoe UI" w:hAnsi="Segoe UI" w:cs="Segoe UI"/>
          <w:noProof/>
        </w:rPr>
      </w:pPr>
      <w:r>
        <w:rPr>
          <w:rStyle w:val="normaltextrun"/>
          <w:noProof/>
        </w:rPr>
        <w:t>Reformas mērķis ir mudināt privātas un publiskas struktūras izveidot studentu izmitināšanas centrus, un Universitātes un pētniecības ministrija nodrošina daļu no īres ieņēmumi</w:t>
      </w:r>
      <w:r>
        <w:rPr>
          <w:rStyle w:val="normaltextrun"/>
          <w:noProof/>
        </w:rPr>
        <w:t xml:space="preserve">em pirmajos trīs šo struktūru darbības gados. Mērķis ir līdz 2026. gadam palielināt ārpusskolas audzēkņiem pieejamās vietas.  </w:t>
      </w:r>
    </w:p>
    <w:p w14:paraId="2F6E6249" w14:textId="57E2B3D9" w:rsidR="00C972CB" w:rsidRDefault="002457F6">
      <w:pPr>
        <w:pStyle w:val="paragraph"/>
        <w:spacing w:before="0" w:beforeAutospacing="0" w:after="120" w:afterAutospacing="0"/>
        <w:jc w:val="both"/>
        <w:textAlignment w:val="baseline"/>
        <w:rPr>
          <w:rFonts w:ascii="Segoe UI" w:hAnsi="Segoe UI" w:cs="Segoe UI"/>
          <w:noProof/>
        </w:rPr>
      </w:pPr>
      <w:r>
        <w:rPr>
          <w:rStyle w:val="normaltextrun"/>
          <w:noProof/>
        </w:rPr>
        <w:t>Paredzētā ieguldījuma mērķis ir pievienot 60000</w:t>
      </w:r>
      <w:r>
        <w:rPr>
          <w:rFonts w:ascii="Arial Narrow" w:hAnsi="Arial Narrow"/>
          <w:noProof/>
          <w:color w:val="006100"/>
          <w:sz w:val="20"/>
        </w:rPr>
        <w:t xml:space="preserve"> </w:t>
      </w:r>
      <w:r>
        <w:rPr>
          <w:rStyle w:val="normaltextrun"/>
          <w:noProof/>
        </w:rPr>
        <w:t>guļamvietu, tādējādi ievērojami samazinot Itālijas neatbilstību ES vidējam rādītā</w:t>
      </w:r>
      <w:r>
        <w:rPr>
          <w:rStyle w:val="normaltextrun"/>
          <w:noProof/>
        </w:rPr>
        <w:t>jam attiecībā uz to studentu īpatsvaru, kuriem nodrošinātas izmitināšanas iespējas. Tās mērķis ir nodrošināt plašu piekļuvi mājokļiem, lai saprātīgs skaits studentu varētu atļauties augstāko izglītību savā vēlamajā jomā un atrašanās vietā neatkarīgi no viņ</w:t>
      </w:r>
      <w:r>
        <w:rPr>
          <w:rStyle w:val="normaltextrun"/>
          <w:noProof/>
        </w:rPr>
        <w:t xml:space="preserve">u sociālekonomiskās izcelsmes. Šajā nolūkā 30 % jauno vietu rezervē studentiem, kas nonākuši sociālekonomiskās grūtībās, kā to definējušas tā sauktās Diritto allo Studio organizācijas (tiesības studēt organizācijās).   </w:t>
      </w:r>
    </w:p>
    <w:p w14:paraId="38BD4CAF" w14:textId="7CA7112D" w:rsidR="00C972CB" w:rsidRDefault="002457F6">
      <w:pPr>
        <w:pStyle w:val="paragraph"/>
        <w:spacing w:before="0" w:beforeAutospacing="0" w:after="120" w:afterAutospacing="0"/>
        <w:jc w:val="both"/>
        <w:textAlignment w:val="baseline"/>
        <w:rPr>
          <w:rFonts w:ascii="Segoe UI" w:hAnsi="Segoe UI" w:cs="Segoe UI"/>
          <w:noProof/>
        </w:rPr>
      </w:pPr>
      <w:r>
        <w:rPr>
          <w:rStyle w:val="normaltextrun"/>
          <w:noProof/>
        </w:rPr>
        <w:t>Nomas maksa augstskolu studentiem ir</w:t>
      </w:r>
      <w:r>
        <w:rPr>
          <w:rStyle w:val="normaltextrun"/>
          <w:noProof/>
        </w:rPr>
        <w:t xml:space="preserve"> noteikta vismaz par 15 % zemāka nekā vietējā tirgus cena. </w:t>
      </w:r>
    </w:p>
    <w:p w14:paraId="513397F6" w14:textId="77777777" w:rsidR="00C972CB" w:rsidRDefault="002457F6">
      <w:pPr>
        <w:pStyle w:val="paragraph"/>
        <w:spacing w:before="0" w:beforeAutospacing="0" w:after="120" w:afterAutospacing="0"/>
        <w:jc w:val="both"/>
        <w:textAlignment w:val="baseline"/>
        <w:rPr>
          <w:rFonts w:ascii="Segoe UI" w:hAnsi="Segoe UI" w:cs="Segoe UI"/>
          <w:noProof/>
        </w:rPr>
      </w:pPr>
      <w:r>
        <w:rPr>
          <w:rStyle w:val="normaltextrun"/>
          <w:noProof/>
        </w:rPr>
        <w:t xml:space="preserve">Ieguldījums neietver dabasgāzes katlu iepirkumu.  </w:t>
      </w:r>
    </w:p>
    <w:p w14:paraId="5DE91152" w14:textId="5EF385E8" w:rsidR="00C972CB" w:rsidRDefault="002457F6">
      <w:pPr>
        <w:pStyle w:val="paragraph"/>
        <w:spacing w:before="0" w:beforeAutospacing="0" w:after="120" w:afterAutospacing="0"/>
        <w:jc w:val="both"/>
        <w:textAlignment w:val="baseline"/>
        <w:rPr>
          <w:rFonts w:ascii="Segoe UI" w:hAnsi="Segoe UI" w:cs="Segoe UI"/>
          <w:noProof/>
        </w:rPr>
      </w:pPr>
      <w:r>
        <w:rPr>
          <w:rStyle w:val="normaltextrun"/>
          <w:noProof/>
        </w:rPr>
        <w:t>Izmitināšanas vietas, kas jau izmantotas studentu mājokļu vajadzībām pirms attiecīgā uzaicinājuma iesniegt projektus izsludināšanas, mērķos nevar</w:t>
      </w:r>
      <w:r>
        <w:rPr>
          <w:rStyle w:val="normaltextrun"/>
          <w:noProof/>
        </w:rPr>
        <w:t xml:space="preserve"> ņemt vērā. Lai sasniegtu galīgo mērķi izveidot gultas, uzaicinājumus iesniegt projektus izsludina laikposmā no 2021. līdz 2025. gadam. </w:t>
      </w:r>
    </w:p>
    <w:p w14:paraId="514A6934" w14:textId="77777777" w:rsidR="00C972CB" w:rsidRDefault="002457F6">
      <w:pPr>
        <w:pStyle w:val="Heading3"/>
        <w:numPr>
          <w:ilvl w:val="0"/>
          <w:numId w:val="0"/>
        </w:numPr>
        <w:ind w:left="850" w:hanging="850"/>
        <w:rPr>
          <w:rFonts w:ascii="Segoe UI" w:hAnsi="Segoe UI" w:cs="Segoe UI"/>
          <w:i w:val="0"/>
          <w:noProof/>
          <w:sz w:val="18"/>
        </w:rPr>
      </w:pPr>
      <w:r>
        <w:rPr>
          <w:rStyle w:val="normaltextrun"/>
          <w:b/>
          <w:noProof/>
          <w:u w:val="single"/>
        </w:rPr>
        <w:t>J.4. Atskaites punkti, mērķrādītāji, citi rādītāji un aizdevuma uzraudzības un īstenošanas grafiks</w:t>
      </w:r>
      <w:r>
        <w:rPr>
          <w:rStyle w:val="eop"/>
          <w:noProof/>
        </w:rPr>
        <w:t xml:space="preserve"> </w:t>
      </w:r>
    </w:p>
    <w:p w14:paraId="2EB2D7BE" w14:textId="77777777" w:rsidR="00C972CB" w:rsidRDefault="00C972CB">
      <w:pPr>
        <w:spacing w:before="120" w:after="120"/>
        <w:ind w:left="709"/>
        <w:contextualSpacing/>
        <w:jc w:val="both"/>
        <w:rPr>
          <w:noProof/>
        </w:rPr>
        <w:sectPr w:rsidR="00C972CB" w:rsidSect="000D3774">
          <w:headerReference w:type="even" r:id="rId242"/>
          <w:headerReference w:type="default" r:id="rId243"/>
          <w:footerReference w:type="even" r:id="rId244"/>
          <w:footerReference w:type="default" r:id="rId245"/>
          <w:headerReference w:type="first" r:id="rId246"/>
          <w:footerReference w:type="first" r:id="rId247"/>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133"/>
        <w:gridCol w:w="1418"/>
        <w:gridCol w:w="1702"/>
        <w:gridCol w:w="1690"/>
        <w:gridCol w:w="1148"/>
        <w:gridCol w:w="1133"/>
        <w:gridCol w:w="848"/>
        <w:gridCol w:w="900"/>
        <w:gridCol w:w="710"/>
        <w:gridCol w:w="3264"/>
      </w:tblGrid>
      <w:tr w:rsidR="00C972CB" w14:paraId="6F093A09" w14:textId="77777777">
        <w:trPr>
          <w:trHeight w:val="939"/>
          <w:tblHeader/>
          <w:jc w:val="center"/>
        </w:trPr>
        <w:tc>
          <w:tcPr>
            <w:tcW w:w="445" w:type="pct"/>
            <w:vMerge w:val="restart"/>
            <w:shd w:val="clear" w:color="auto" w:fill="BDD7EE"/>
            <w:vAlign w:val="center"/>
            <w:hideMark/>
          </w:tcPr>
          <w:p w14:paraId="1E0B646D" w14:textId="77777777" w:rsidR="00C972CB" w:rsidRDefault="002457F6">
            <w:pPr>
              <w:pStyle w:val="P68B1DB1-Normal9"/>
              <w:jc w:val="center"/>
              <w:rPr>
                <w:noProof/>
              </w:rPr>
            </w:pPr>
            <w:r>
              <w:rPr>
                <w:noProof/>
              </w:rPr>
              <w:t>Kārtas numurs</w:t>
            </w:r>
          </w:p>
        </w:tc>
        <w:tc>
          <w:tcPr>
            <w:tcW w:w="370" w:type="pct"/>
            <w:vMerge w:val="restart"/>
            <w:shd w:val="clear" w:color="auto" w:fill="BDD7EE"/>
            <w:vAlign w:val="center"/>
            <w:hideMark/>
          </w:tcPr>
          <w:p w14:paraId="36185941" w14:textId="77777777" w:rsidR="00C972CB" w:rsidRDefault="002457F6">
            <w:pPr>
              <w:pStyle w:val="P68B1DB1-Normal9"/>
              <w:jc w:val="center"/>
              <w:rPr>
                <w:noProof/>
              </w:rPr>
            </w:pPr>
            <w:r>
              <w:rPr>
                <w:noProof/>
              </w:rPr>
              <w:t>Pasākums (reforma vai investīcija)</w:t>
            </w:r>
          </w:p>
        </w:tc>
        <w:tc>
          <w:tcPr>
            <w:tcW w:w="463" w:type="pct"/>
            <w:vMerge w:val="restart"/>
            <w:shd w:val="clear" w:color="auto" w:fill="BDD7EE"/>
            <w:vAlign w:val="center"/>
            <w:hideMark/>
          </w:tcPr>
          <w:p w14:paraId="5F24DA2B" w14:textId="77777777" w:rsidR="00C972CB" w:rsidRDefault="002457F6">
            <w:pPr>
              <w:pStyle w:val="P68B1DB1-Normal9"/>
              <w:jc w:val="center"/>
              <w:rPr>
                <w:noProof/>
              </w:rPr>
            </w:pPr>
            <w:r>
              <w:rPr>
                <w:noProof/>
              </w:rPr>
              <w:t>Atskaites punkts/mērķrādītājs</w:t>
            </w:r>
          </w:p>
        </w:tc>
        <w:tc>
          <w:tcPr>
            <w:tcW w:w="556" w:type="pct"/>
            <w:vMerge w:val="restart"/>
            <w:shd w:val="clear" w:color="auto" w:fill="BDD7EE"/>
            <w:vAlign w:val="center"/>
            <w:hideMark/>
          </w:tcPr>
          <w:p w14:paraId="23D28F5F" w14:textId="77777777" w:rsidR="00C972CB" w:rsidRDefault="002457F6">
            <w:pPr>
              <w:pStyle w:val="P68B1DB1-Normal9"/>
              <w:jc w:val="center"/>
              <w:rPr>
                <w:noProof/>
              </w:rPr>
            </w:pPr>
            <w:r>
              <w:rPr>
                <w:noProof/>
              </w:rPr>
              <w:t>Uzvārds</w:t>
            </w:r>
          </w:p>
        </w:tc>
        <w:tc>
          <w:tcPr>
            <w:tcW w:w="552" w:type="pct"/>
            <w:vMerge w:val="restart"/>
            <w:shd w:val="clear" w:color="auto" w:fill="BDD7EE"/>
            <w:vAlign w:val="center"/>
            <w:hideMark/>
          </w:tcPr>
          <w:p w14:paraId="5FD2EAA1"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1022" w:type="pct"/>
            <w:gridSpan w:val="3"/>
            <w:shd w:val="clear" w:color="auto" w:fill="BDD7EE"/>
            <w:vAlign w:val="center"/>
            <w:hideMark/>
          </w:tcPr>
          <w:p w14:paraId="39800864"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526" w:type="pct"/>
            <w:gridSpan w:val="2"/>
            <w:shd w:val="clear" w:color="auto" w:fill="BDD7EE"/>
            <w:vAlign w:val="center"/>
            <w:hideMark/>
          </w:tcPr>
          <w:p w14:paraId="7FCEBF5D" w14:textId="77777777" w:rsidR="00C972CB" w:rsidRDefault="002457F6">
            <w:pPr>
              <w:pStyle w:val="P68B1DB1-Normal9"/>
              <w:jc w:val="center"/>
              <w:rPr>
                <w:noProof/>
              </w:rPr>
            </w:pPr>
            <w:r>
              <w:rPr>
                <w:noProof/>
              </w:rPr>
              <w:t>Orientējošs pabeigšanas termiņš</w:t>
            </w:r>
          </w:p>
        </w:tc>
        <w:tc>
          <w:tcPr>
            <w:tcW w:w="1066" w:type="pct"/>
            <w:vMerge w:val="restart"/>
            <w:shd w:val="clear" w:color="auto" w:fill="BDD7EE"/>
            <w:vAlign w:val="center"/>
            <w:hideMark/>
          </w:tcPr>
          <w:p w14:paraId="39904739" w14:textId="77777777" w:rsidR="00C972CB" w:rsidRDefault="002457F6">
            <w:pPr>
              <w:pStyle w:val="P68B1DB1-Normal9"/>
              <w:jc w:val="center"/>
              <w:rPr>
                <w:noProof/>
              </w:rPr>
            </w:pPr>
            <w:r>
              <w:rPr>
                <w:noProof/>
              </w:rPr>
              <w:t>Apraksts</w:t>
            </w:r>
            <w:r>
              <w:rPr>
                <w:noProof/>
              </w:rPr>
              <w:t xml:space="preserve"> par katru atskaites punktu un mērķrādītāju</w:t>
            </w:r>
          </w:p>
        </w:tc>
      </w:tr>
      <w:tr w:rsidR="00C972CB" w14:paraId="64DBB87F" w14:textId="77777777">
        <w:trPr>
          <w:trHeight w:val="1027"/>
          <w:jc w:val="center"/>
        </w:trPr>
        <w:tc>
          <w:tcPr>
            <w:tcW w:w="445" w:type="pct"/>
            <w:vMerge/>
            <w:vAlign w:val="center"/>
            <w:hideMark/>
          </w:tcPr>
          <w:p w14:paraId="50044D6D" w14:textId="77777777" w:rsidR="00C972CB" w:rsidRDefault="00C972CB">
            <w:pPr>
              <w:jc w:val="center"/>
              <w:rPr>
                <w:rFonts w:ascii="Arial Narrow" w:hAnsi="Arial Narrow"/>
                <w:b/>
                <w:noProof/>
                <w:sz w:val="20"/>
              </w:rPr>
            </w:pPr>
          </w:p>
        </w:tc>
        <w:tc>
          <w:tcPr>
            <w:tcW w:w="370" w:type="pct"/>
            <w:vMerge/>
            <w:vAlign w:val="center"/>
            <w:hideMark/>
          </w:tcPr>
          <w:p w14:paraId="501B26A3" w14:textId="77777777" w:rsidR="00C972CB" w:rsidRDefault="00C972CB">
            <w:pPr>
              <w:jc w:val="center"/>
              <w:rPr>
                <w:rFonts w:ascii="Arial Narrow" w:hAnsi="Arial Narrow"/>
                <w:b/>
                <w:noProof/>
                <w:sz w:val="20"/>
              </w:rPr>
            </w:pPr>
          </w:p>
        </w:tc>
        <w:tc>
          <w:tcPr>
            <w:tcW w:w="463" w:type="pct"/>
            <w:vMerge/>
            <w:vAlign w:val="center"/>
            <w:hideMark/>
          </w:tcPr>
          <w:p w14:paraId="3CA62577" w14:textId="77777777" w:rsidR="00C972CB" w:rsidRDefault="00C972CB">
            <w:pPr>
              <w:jc w:val="center"/>
              <w:rPr>
                <w:rFonts w:ascii="Arial Narrow" w:hAnsi="Arial Narrow"/>
                <w:b/>
                <w:noProof/>
                <w:sz w:val="20"/>
              </w:rPr>
            </w:pPr>
          </w:p>
        </w:tc>
        <w:tc>
          <w:tcPr>
            <w:tcW w:w="556" w:type="pct"/>
            <w:vMerge/>
            <w:vAlign w:val="center"/>
            <w:hideMark/>
          </w:tcPr>
          <w:p w14:paraId="4CF80F6F" w14:textId="77777777" w:rsidR="00C972CB" w:rsidRDefault="00C972CB">
            <w:pPr>
              <w:jc w:val="center"/>
              <w:rPr>
                <w:rFonts w:ascii="Arial Narrow" w:hAnsi="Arial Narrow"/>
                <w:b/>
                <w:noProof/>
                <w:sz w:val="20"/>
              </w:rPr>
            </w:pPr>
          </w:p>
        </w:tc>
        <w:tc>
          <w:tcPr>
            <w:tcW w:w="552" w:type="pct"/>
            <w:vMerge/>
            <w:vAlign w:val="center"/>
            <w:hideMark/>
          </w:tcPr>
          <w:p w14:paraId="637500EB" w14:textId="77777777" w:rsidR="00C972CB" w:rsidRDefault="00C972CB">
            <w:pPr>
              <w:jc w:val="center"/>
              <w:rPr>
                <w:rFonts w:ascii="Arial Narrow" w:hAnsi="Arial Narrow"/>
                <w:b/>
                <w:noProof/>
                <w:sz w:val="20"/>
              </w:rPr>
            </w:pPr>
          </w:p>
        </w:tc>
        <w:tc>
          <w:tcPr>
            <w:tcW w:w="375" w:type="pct"/>
            <w:shd w:val="clear" w:color="auto" w:fill="BDD7EE"/>
            <w:vAlign w:val="center"/>
            <w:hideMark/>
          </w:tcPr>
          <w:p w14:paraId="1AB13148" w14:textId="77777777" w:rsidR="00C972CB" w:rsidRDefault="002457F6">
            <w:pPr>
              <w:pStyle w:val="P68B1DB1-Normal9"/>
              <w:jc w:val="center"/>
              <w:rPr>
                <w:noProof/>
              </w:rPr>
            </w:pPr>
            <w:r>
              <w:rPr>
                <w:noProof/>
              </w:rPr>
              <w:t>Mēra vienība</w:t>
            </w:r>
          </w:p>
        </w:tc>
        <w:tc>
          <w:tcPr>
            <w:tcW w:w="370" w:type="pct"/>
            <w:shd w:val="clear" w:color="auto" w:fill="BDD7EE"/>
            <w:vAlign w:val="center"/>
            <w:hideMark/>
          </w:tcPr>
          <w:p w14:paraId="1ABC5EF1" w14:textId="77777777" w:rsidR="00C972CB" w:rsidRDefault="002457F6">
            <w:pPr>
              <w:pStyle w:val="P68B1DB1-Normal9"/>
              <w:jc w:val="center"/>
              <w:rPr>
                <w:noProof/>
              </w:rPr>
            </w:pPr>
            <w:r>
              <w:rPr>
                <w:noProof/>
              </w:rPr>
              <w:t>Pamatscenārijs</w:t>
            </w:r>
          </w:p>
        </w:tc>
        <w:tc>
          <w:tcPr>
            <w:tcW w:w="277" w:type="pct"/>
            <w:shd w:val="clear" w:color="auto" w:fill="BDD7EE"/>
            <w:vAlign w:val="center"/>
            <w:hideMark/>
          </w:tcPr>
          <w:p w14:paraId="4792F77A" w14:textId="77777777" w:rsidR="00C972CB" w:rsidRDefault="002457F6">
            <w:pPr>
              <w:pStyle w:val="P68B1DB1-Normal9"/>
              <w:jc w:val="center"/>
              <w:rPr>
                <w:noProof/>
              </w:rPr>
            </w:pPr>
            <w:r>
              <w:rPr>
                <w:noProof/>
              </w:rPr>
              <w:t>Mērķis</w:t>
            </w:r>
          </w:p>
        </w:tc>
        <w:tc>
          <w:tcPr>
            <w:tcW w:w="294" w:type="pct"/>
            <w:shd w:val="clear" w:color="auto" w:fill="BDD7EE"/>
            <w:vAlign w:val="center"/>
            <w:hideMark/>
          </w:tcPr>
          <w:p w14:paraId="6C2CD870" w14:textId="77777777" w:rsidR="00C972CB" w:rsidRDefault="002457F6">
            <w:pPr>
              <w:pStyle w:val="P68B1DB1-Normal9"/>
              <w:jc w:val="center"/>
              <w:rPr>
                <w:noProof/>
              </w:rPr>
            </w:pPr>
            <w:r>
              <w:rPr>
                <w:noProof/>
              </w:rPr>
              <w:t>Ceturtdaļa</w:t>
            </w:r>
          </w:p>
        </w:tc>
        <w:tc>
          <w:tcPr>
            <w:tcW w:w="232" w:type="pct"/>
            <w:shd w:val="clear" w:color="auto" w:fill="BDD7EE"/>
            <w:vAlign w:val="center"/>
            <w:hideMark/>
          </w:tcPr>
          <w:p w14:paraId="0F7827B8" w14:textId="77777777" w:rsidR="00C972CB" w:rsidRDefault="002457F6">
            <w:pPr>
              <w:pStyle w:val="P68B1DB1-Normal9"/>
              <w:jc w:val="center"/>
              <w:rPr>
                <w:noProof/>
              </w:rPr>
            </w:pPr>
            <w:r>
              <w:rPr>
                <w:noProof/>
              </w:rPr>
              <w:t>Gadā</w:t>
            </w:r>
          </w:p>
        </w:tc>
        <w:tc>
          <w:tcPr>
            <w:tcW w:w="1066" w:type="pct"/>
            <w:vMerge/>
            <w:vAlign w:val="center"/>
            <w:hideMark/>
          </w:tcPr>
          <w:p w14:paraId="0F986808" w14:textId="77777777" w:rsidR="00C972CB" w:rsidRDefault="00C972CB">
            <w:pPr>
              <w:rPr>
                <w:rFonts w:ascii="Arial Narrow" w:hAnsi="Arial Narrow"/>
                <w:b/>
                <w:noProof/>
                <w:sz w:val="20"/>
              </w:rPr>
            </w:pPr>
          </w:p>
        </w:tc>
      </w:tr>
      <w:tr w:rsidR="00C972CB" w14:paraId="0F4B3D77" w14:textId="77777777">
        <w:trPr>
          <w:trHeight w:val="313"/>
          <w:jc w:val="center"/>
        </w:trPr>
        <w:tc>
          <w:tcPr>
            <w:tcW w:w="445" w:type="pct"/>
            <w:shd w:val="clear" w:color="auto" w:fill="C6EFCE"/>
            <w:noWrap/>
            <w:vAlign w:val="center"/>
            <w:hideMark/>
          </w:tcPr>
          <w:p w14:paraId="5C41C5D0" w14:textId="77777777" w:rsidR="00C972CB" w:rsidRDefault="002457F6">
            <w:pPr>
              <w:pStyle w:val="P68B1DB1-Normal11"/>
              <w:jc w:val="center"/>
              <w:rPr>
                <w:noProof/>
              </w:rPr>
            </w:pPr>
            <w:r>
              <w:rPr>
                <w:noProof/>
              </w:rPr>
              <w:t>M4C1–27</w:t>
            </w:r>
          </w:p>
        </w:tc>
        <w:tc>
          <w:tcPr>
            <w:tcW w:w="370" w:type="pct"/>
            <w:shd w:val="clear" w:color="auto" w:fill="C6EFCE"/>
            <w:noWrap/>
            <w:vAlign w:val="center"/>
          </w:tcPr>
          <w:p w14:paraId="624EA90F" w14:textId="77777777" w:rsidR="00C972CB" w:rsidRDefault="002457F6">
            <w:pPr>
              <w:pStyle w:val="P68B1DB1-Normal11"/>
              <w:jc w:val="center"/>
              <w:rPr>
                <w:noProof/>
              </w:rPr>
            </w:pPr>
            <w:r>
              <w:rPr>
                <w:noProof/>
              </w:rPr>
              <w:t>Reforma. Studentu mājokļu regulējuma reforma un ieguldījumi studentu mājokļos</w:t>
            </w:r>
          </w:p>
        </w:tc>
        <w:tc>
          <w:tcPr>
            <w:tcW w:w="463" w:type="pct"/>
            <w:shd w:val="clear" w:color="auto" w:fill="C6EFCE"/>
            <w:noWrap/>
            <w:vAlign w:val="center"/>
            <w:hideMark/>
          </w:tcPr>
          <w:p w14:paraId="7EB87EE2" w14:textId="77777777" w:rsidR="00C972CB" w:rsidRDefault="002457F6">
            <w:pPr>
              <w:pStyle w:val="P68B1DB1-Normal11"/>
              <w:jc w:val="center"/>
              <w:rPr>
                <w:noProof/>
              </w:rPr>
            </w:pPr>
            <w:r>
              <w:rPr>
                <w:noProof/>
              </w:rPr>
              <w:t>Starpposma mērķis</w:t>
            </w:r>
          </w:p>
        </w:tc>
        <w:tc>
          <w:tcPr>
            <w:tcW w:w="556" w:type="pct"/>
            <w:shd w:val="clear" w:color="auto" w:fill="C6EFCE"/>
            <w:noWrap/>
            <w:vAlign w:val="center"/>
          </w:tcPr>
          <w:p w14:paraId="06E8AD86" w14:textId="77777777" w:rsidR="00C972CB" w:rsidRDefault="002457F6">
            <w:pPr>
              <w:pStyle w:val="P68B1DB1-Normal11"/>
              <w:jc w:val="center"/>
              <w:rPr>
                <w:noProof/>
              </w:rPr>
            </w:pPr>
            <w:r>
              <w:rPr>
                <w:noProof/>
              </w:rPr>
              <w:t xml:space="preserve">Stājas spēkā tiesību akti, lai grozītu </w:t>
            </w:r>
            <w:r>
              <w:rPr>
                <w:noProof/>
              </w:rPr>
              <w:t>pašreizējos noteikumus par studentu mājokli.</w:t>
            </w:r>
          </w:p>
        </w:tc>
        <w:tc>
          <w:tcPr>
            <w:tcW w:w="552" w:type="pct"/>
            <w:shd w:val="clear" w:color="auto" w:fill="C6EFCE"/>
            <w:noWrap/>
            <w:vAlign w:val="center"/>
            <w:hideMark/>
          </w:tcPr>
          <w:p w14:paraId="2755A641" w14:textId="77777777" w:rsidR="00C972CB" w:rsidRDefault="002457F6">
            <w:pPr>
              <w:pStyle w:val="P68B1DB1-Normal11"/>
              <w:jc w:val="center"/>
              <w:rPr>
                <w:noProof/>
              </w:rPr>
            </w:pPr>
            <w:r>
              <w:rPr>
                <w:noProof/>
              </w:rPr>
              <w:t>Likuma norma, kas norāda uz tiesību akta stāšanos spēkā.</w:t>
            </w:r>
          </w:p>
        </w:tc>
        <w:tc>
          <w:tcPr>
            <w:tcW w:w="375" w:type="pct"/>
            <w:shd w:val="clear" w:color="auto" w:fill="C6EFCE"/>
            <w:noWrap/>
            <w:vAlign w:val="center"/>
            <w:hideMark/>
          </w:tcPr>
          <w:p w14:paraId="1BD7C469" w14:textId="77777777" w:rsidR="00C972CB" w:rsidRDefault="002457F6">
            <w:pPr>
              <w:pStyle w:val="P68B1DB1-Normal11"/>
              <w:jc w:val="center"/>
              <w:rPr>
                <w:noProof/>
              </w:rPr>
            </w:pPr>
            <w:r>
              <w:rPr>
                <w:noProof/>
              </w:rPr>
              <w:t>NEPIEMĒRO</w:t>
            </w:r>
          </w:p>
        </w:tc>
        <w:tc>
          <w:tcPr>
            <w:tcW w:w="370" w:type="pct"/>
            <w:shd w:val="clear" w:color="auto" w:fill="C6EFCE"/>
            <w:noWrap/>
            <w:vAlign w:val="center"/>
          </w:tcPr>
          <w:p w14:paraId="3F96BDD8" w14:textId="77777777" w:rsidR="00C972CB" w:rsidRDefault="002457F6">
            <w:pPr>
              <w:pStyle w:val="P68B1DB1-Normal11"/>
              <w:jc w:val="center"/>
              <w:rPr>
                <w:noProof/>
              </w:rPr>
            </w:pPr>
            <w:r>
              <w:rPr>
                <w:noProof/>
              </w:rPr>
              <w:t>NEPIEMĒRO</w:t>
            </w:r>
          </w:p>
        </w:tc>
        <w:tc>
          <w:tcPr>
            <w:tcW w:w="277" w:type="pct"/>
            <w:shd w:val="clear" w:color="auto" w:fill="C6EFCE"/>
            <w:noWrap/>
            <w:vAlign w:val="center"/>
          </w:tcPr>
          <w:p w14:paraId="14FDEF2C" w14:textId="77777777" w:rsidR="00C972CB" w:rsidRDefault="002457F6">
            <w:pPr>
              <w:pStyle w:val="P68B1DB1-Normal11"/>
              <w:jc w:val="center"/>
              <w:rPr>
                <w:noProof/>
              </w:rPr>
            </w:pPr>
            <w:r>
              <w:rPr>
                <w:noProof/>
              </w:rPr>
              <w:t>NEPIEMĒRO</w:t>
            </w:r>
          </w:p>
        </w:tc>
        <w:tc>
          <w:tcPr>
            <w:tcW w:w="294" w:type="pct"/>
            <w:shd w:val="clear" w:color="auto" w:fill="C6EFCE"/>
            <w:noWrap/>
            <w:vAlign w:val="center"/>
            <w:hideMark/>
          </w:tcPr>
          <w:p w14:paraId="6CCD2D72" w14:textId="77777777" w:rsidR="00C972CB" w:rsidRDefault="002457F6">
            <w:pPr>
              <w:pStyle w:val="P68B1DB1-Normal11"/>
              <w:jc w:val="center"/>
              <w:rPr>
                <w:noProof/>
              </w:rPr>
            </w:pPr>
            <w:r>
              <w:rPr>
                <w:noProof/>
              </w:rPr>
              <w:t>4. CET.</w:t>
            </w:r>
          </w:p>
        </w:tc>
        <w:tc>
          <w:tcPr>
            <w:tcW w:w="232" w:type="pct"/>
            <w:shd w:val="clear" w:color="auto" w:fill="C6EFCE"/>
            <w:noWrap/>
            <w:vAlign w:val="center"/>
            <w:hideMark/>
          </w:tcPr>
          <w:p w14:paraId="16554CAD" w14:textId="77777777" w:rsidR="00C972CB" w:rsidRDefault="002457F6">
            <w:pPr>
              <w:pStyle w:val="P68B1DB1-Normal11"/>
              <w:jc w:val="center"/>
              <w:rPr>
                <w:noProof/>
              </w:rPr>
            </w:pPr>
            <w:r>
              <w:rPr>
                <w:noProof/>
              </w:rPr>
              <w:t>2021</w:t>
            </w:r>
          </w:p>
        </w:tc>
        <w:tc>
          <w:tcPr>
            <w:tcW w:w="1066" w:type="pct"/>
            <w:shd w:val="clear" w:color="auto" w:fill="C6EFCE"/>
            <w:noWrap/>
            <w:vAlign w:val="center"/>
            <w:hideMark/>
          </w:tcPr>
          <w:p w14:paraId="616B4FCE" w14:textId="77777777" w:rsidR="00C972CB" w:rsidRDefault="002457F6">
            <w:pPr>
              <w:pStyle w:val="P68B1DB1-Normal10"/>
              <w:rPr>
                <w:noProof/>
                <w:color w:val="006100"/>
                <w:sz w:val="20"/>
              </w:rPr>
            </w:pPr>
            <w:r>
              <w:rPr>
                <w:noProof/>
                <w:color w:val="006100"/>
                <w:sz w:val="20"/>
              </w:rPr>
              <w:t>Pārskatītie tiesību akti:</w:t>
            </w:r>
            <w:r>
              <w:rPr>
                <w:noProof/>
              </w:rPr>
              <w:t xml:space="preserve"> </w:t>
            </w:r>
            <w:r>
              <w:rPr>
                <w:noProof/>
              </w:rPr>
              <w:br/>
            </w:r>
            <w:r>
              <w:rPr>
                <w:noProof/>
                <w:color w:val="006100"/>
                <w:sz w:val="20"/>
              </w:rPr>
              <w:t>Grozīt pašreizējos noteikumus par studentu mājokli (Likums Nr. 338/2000 un Likumdoša</w:t>
            </w:r>
            <w:r>
              <w:rPr>
                <w:noProof/>
                <w:color w:val="006100"/>
                <w:sz w:val="20"/>
              </w:rPr>
              <w:t>nas dekrēts 68/2012), lai:</w:t>
            </w:r>
          </w:p>
          <w:p w14:paraId="6CE16C32" w14:textId="77777777" w:rsidR="00C972CB" w:rsidRDefault="002457F6">
            <w:pPr>
              <w:pStyle w:val="P68B1DB1-Normal11"/>
              <w:rPr>
                <w:noProof/>
              </w:rPr>
            </w:pPr>
            <w:r>
              <w:rPr>
                <w:noProof/>
              </w:rPr>
              <w:t>(1). Ēku pārstrukturēšanas un renovācijas veicināšana, nevis jaunas ēkas, kurās atrodas jaunizveidotas ēkas (ar lielāku kopfonda procentuālo daļu, kas pašlaik ir 50 %) ar visaugstākajiem vides standartiem, kuri jānodrošina ar ies</w:t>
            </w:r>
            <w:r>
              <w:rPr>
                <w:noProof/>
              </w:rPr>
              <w:t>niegtajiem projektiem;</w:t>
            </w:r>
          </w:p>
          <w:p w14:paraId="1F00BC9E" w14:textId="77777777" w:rsidR="00C972CB" w:rsidRDefault="00C972CB">
            <w:pPr>
              <w:rPr>
                <w:rFonts w:ascii="Arial Narrow" w:hAnsi="Arial Narrow"/>
                <w:noProof/>
                <w:color w:val="006100"/>
                <w:sz w:val="20"/>
              </w:rPr>
            </w:pPr>
          </w:p>
          <w:p w14:paraId="7A50B603" w14:textId="77777777" w:rsidR="00C972CB" w:rsidRDefault="002457F6">
            <w:pPr>
              <w:pStyle w:val="P68B1DB1-Normal11"/>
              <w:rPr>
                <w:noProof/>
              </w:rPr>
            </w:pPr>
            <w:r>
              <w:rPr>
                <w:noProof/>
              </w:rPr>
              <w:t>(2). Pateicoties arī digitalizācijai, vienkāršot projektu prezentāciju un atlasi un līdz ar to arī īstenošanas grafiku;</w:t>
            </w:r>
          </w:p>
          <w:p w14:paraId="05638F46" w14:textId="77777777" w:rsidR="00C972CB" w:rsidRDefault="00C972CB">
            <w:pPr>
              <w:rPr>
                <w:rFonts w:ascii="Arial Narrow" w:hAnsi="Arial Narrow"/>
                <w:noProof/>
                <w:color w:val="006100"/>
                <w:sz w:val="20"/>
              </w:rPr>
            </w:pPr>
          </w:p>
          <w:p w14:paraId="4FCDD4B6" w14:textId="577BDF79" w:rsidR="00C972CB" w:rsidRDefault="002457F6">
            <w:pPr>
              <w:pStyle w:val="P68B1DB1-Normal11"/>
              <w:rPr>
                <w:noProof/>
              </w:rPr>
            </w:pPr>
            <w:r>
              <w:rPr>
                <w:noProof/>
              </w:rPr>
              <w:t>(3)Saskaņā ar likumu paredzēt atkāpi no kritērijiem, kas noteikti Likumā Nr. 338/2000 attiecībā uz piešķiramā l</w:t>
            </w:r>
            <w:r>
              <w:rPr>
                <w:noProof/>
              </w:rPr>
              <w:t>īdzfinansējuma procentuālo daļu.</w:t>
            </w:r>
          </w:p>
          <w:p w14:paraId="26663498" w14:textId="77777777" w:rsidR="00C972CB" w:rsidRDefault="00C972CB">
            <w:pPr>
              <w:rPr>
                <w:rFonts w:ascii="Arial Narrow" w:hAnsi="Arial Narrow"/>
                <w:noProof/>
                <w:color w:val="006100"/>
                <w:sz w:val="20"/>
              </w:rPr>
            </w:pPr>
          </w:p>
          <w:p w14:paraId="39FC62F7" w14:textId="77777777" w:rsidR="00C972CB" w:rsidRDefault="002457F6">
            <w:pPr>
              <w:pStyle w:val="P68B1DB1-Normal11"/>
              <w:rPr>
                <w:noProof/>
              </w:rPr>
            </w:pPr>
            <w:r>
              <w:rPr>
                <w:noProof/>
              </w:rPr>
              <w:t>Tiks īstenota reforma, Itālijas tiesiskajā regulējumā attiecībā uz studentu mājokļu finansēšanu ieviešot šādas būtiskas izmaiņas:</w:t>
            </w:r>
          </w:p>
          <w:p w14:paraId="226D7CF7" w14:textId="77777777" w:rsidR="00C972CB" w:rsidRDefault="002457F6">
            <w:pPr>
              <w:pStyle w:val="P68B1DB1-Normal11"/>
              <w:rPr>
                <w:noProof/>
              </w:rPr>
            </w:pPr>
            <w:r>
              <w:rPr>
                <w:noProof/>
              </w:rPr>
              <w:t>1. Atvērt finansējumu arī privātajiem ieguldītājiem (saskaņā ar īstenošanā aprakstīto shēmu)</w:t>
            </w:r>
            <w:r>
              <w:rPr>
                <w:noProof/>
              </w:rPr>
              <w:t>, kā arī atļaut publiskā un privātā sektora partnerības, kurās universitāte izmantos pieejamo finansējumu, lai atbalstītu finansiālo līdzsvaru nekustamā īpašuma ieguldījumos studentu mājokļos;</w:t>
            </w:r>
          </w:p>
          <w:p w14:paraId="5D5FE466" w14:textId="77777777" w:rsidR="00C972CB" w:rsidRDefault="002457F6">
            <w:pPr>
              <w:pStyle w:val="P68B1DB1-Normal11"/>
              <w:rPr>
                <w:noProof/>
              </w:rPr>
            </w:pPr>
            <w:r>
              <w:rPr>
                <w:noProof/>
              </w:rPr>
              <w:t>2. Nodrošināt privāto ieguldījumu ilgtermiņa ilgtspēju, garantē</w:t>
            </w:r>
            <w:r>
              <w:rPr>
                <w:noProof/>
              </w:rPr>
              <w:t>jot nodokļu režīma maiņu no tās, ko piemēro viesnīcu pakalpojumiem, uz to, ko piemēro sociālajiem mājokļiem, ierobežojot jauno izmitināšanas vietu izmantošanu studentu mājokļu vajadzībām akadēmiskajā gadā, bet ļaujot izmantot struktūras, ja tās nav vajadzī</w:t>
            </w:r>
            <w:r>
              <w:rPr>
                <w:noProof/>
              </w:rPr>
              <w:t>gas studentu viesmīlībai. Tas savukārt palīdzēs nodrošināt jaunu mājokļu klāstu par pieejamu īres maksu;</w:t>
            </w:r>
          </w:p>
          <w:p w14:paraId="42CA00A2" w14:textId="77777777" w:rsidR="00C972CB" w:rsidRDefault="002457F6">
            <w:pPr>
              <w:pStyle w:val="P68B1DB1-Normal11"/>
              <w:rPr>
                <w:noProof/>
              </w:rPr>
            </w:pPr>
            <w:r>
              <w:rPr>
                <w:noProof/>
              </w:rPr>
              <w:t>3. Paredzēt nosacījumus finansējumam, kā arī papildu nodokļu atvieglojumiem (piemēram, vienlīdzīgai attieksmei ar sociālajiem mājokļiem) par jaunu izmi</w:t>
            </w:r>
            <w:r>
              <w:rPr>
                <w:noProof/>
              </w:rPr>
              <w:t>tināšanas vietu izmantošanu studentu mājokļos visā ieguldījumu periodā un atbilstību saskaņotajai augstākajai robežai īrē, ko maksā studentiem, pat pēc īpašo finansēšanas shēmu termiņa beigām, kuras es veicu, lai veicinātu privāto operatoru ieguldījumus;</w:t>
            </w:r>
          </w:p>
          <w:p w14:paraId="5A87300D" w14:textId="77777777" w:rsidR="00C972CB" w:rsidRDefault="002457F6">
            <w:pPr>
              <w:pStyle w:val="P68B1DB1-Normal11"/>
              <w:rPr>
                <w:noProof/>
              </w:rPr>
            </w:pPr>
            <w:r>
              <w:rPr>
                <w:noProof/>
              </w:rPr>
              <w:t>4</w:t>
            </w:r>
            <w:r>
              <w:rPr>
                <w:noProof/>
              </w:rPr>
              <w:t>. Pārdefinēt studentu izmitināšanas standartus, no jauna nosakot tiesību aktu prasības attiecībā uz kopējo telpu katram studentam, kas pieejama ēkās apmaiņā pret labāk aprīkotām (vienotām) telpām.</w:t>
            </w:r>
          </w:p>
        </w:tc>
      </w:tr>
      <w:tr w:rsidR="00C972CB" w14:paraId="35BB88A3" w14:textId="77777777">
        <w:trPr>
          <w:trHeight w:val="313"/>
          <w:jc w:val="center"/>
        </w:trPr>
        <w:tc>
          <w:tcPr>
            <w:tcW w:w="445" w:type="pct"/>
            <w:shd w:val="clear" w:color="auto" w:fill="C6EFCE"/>
            <w:noWrap/>
            <w:vAlign w:val="center"/>
            <w:hideMark/>
          </w:tcPr>
          <w:p w14:paraId="5481B06E" w14:textId="77777777" w:rsidR="00C972CB" w:rsidRDefault="002457F6">
            <w:pPr>
              <w:pStyle w:val="P68B1DB1-Normal11"/>
              <w:jc w:val="center"/>
              <w:rPr>
                <w:noProof/>
              </w:rPr>
            </w:pPr>
            <w:r>
              <w:rPr>
                <w:noProof/>
              </w:rPr>
              <w:t>M4C1–28</w:t>
            </w:r>
          </w:p>
        </w:tc>
        <w:tc>
          <w:tcPr>
            <w:tcW w:w="370" w:type="pct"/>
            <w:shd w:val="clear" w:color="auto" w:fill="C6EFCE"/>
            <w:noWrap/>
            <w:vAlign w:val="center"/>
            <w:hideMark/>
          </w:tcPr>
          <w:p w14:paraId="0E5A60A1" w14:textId="77777777" w:rsidR="00C972CB" w:rsidRDefault="002457F6">
            <w:pPr>
              <w:pStyle w:val="P68B1DB1-Normal11"/>
              <w:jc w:val="center"/>
              <w:rPr>
                <w:noProof/>
              </w:rPr>
            </w:pPr>
            <w:r>
              <w:rPr>
                <w:noProof/>
              </w:rPr>
              <w:t xml:space="preserve">Reforma. Studentu mājokļu regulējuma reforma un </w:t>
            </w:r>
            <w:r>
              <w:rPr>
                <w:noProof/>
              </w:rPr>
              <w:t>ieguldījumi studentu mājokļos</w:t>
            </w:r>
          </w:p>
        </w:tc>
        <w:tc>
          <w:tcPr>
            <w:tcW w:w="463" w:type="pct"/>
            <w:shd w:val="clear" w:color="auto" w:fill="C6EFCE"/>
            <w:noWrap/>
            <w:vAlign w:val="center"/>
            <w:hideMark/>
          </w:tcPr>
          <w:p w14:paraId="3C39ACD9" w14:textId="77777777" w:rsidR="00C972CB" w:rsidRDefault="002457F6">
            <w:pPr>
              <w:pStyle w:val="P68B1DB1-Normal11"/>
              <w:jc w:val="center"/>
              <w:rPr>
                <w:noProof/>
              </w:rPr>
            </w:pPr>
            <w:r>
              <w:rPr>
                <w:noProof/>
              </w:rPr>
              <w:t>Starpposma mērķis</w:t>
            </w:r>
          </w:p>
        </w:tc>
        <w:tc>
          <w:tcPr>
            <w:tcW w:w="556" w:type="pct"/>
            <w:shd w:val="clear" w:color="auto" w:fill="C6EFCE"/>
            <w:noWrap/>
            <w:vAlign w:val="center"/>
            <w:hideMark/>
          </w:tcPr>
          <w:p w14:paraId="0BA8C8B1" w14:textId="77777777" w:rsidR="00C972CB" w:rsidRDefault="002457F6">
            <w:pPr>
              <w:pStyle w:val="P68B1DB1-Normal11"/>
              <w:jc w:val="center"/>
              <w:rPr>
                <w:noProof/>
              </w:rPr>
            </w:pPr>
            <w:r>
              <w:rPr>
                <w:noProof/>
              </w:rPr>
              <w:t xml:space="preserve"> Sākotnējo līgumu slēgšanas tiesību piešķiršana par papildu guļamvietu (gultu) izveidi</w:t>
            </w:r>
          </w:p>
        </w:tc>
        <w:tc>
          <w:tcPr>
            <w:tcW w:w="552" w:type="pct"/>
            <w:shd w:val="clear" w:color="auto" w:fill="C6EFCE"/>
            <w:noWrap/>
            <w:vAlign w:val="center"/>
            <w:hideMark/>
          </w:tcPr>
          <w:p w14:paraId="6527E931" w14:textId="77777777" w:rsidR="00C972CB" w:rsidRDefault="002457F6">
            <w:pPr>
              <w:pStyle w:val="P68B1DB1-Normal11"/>
              <w:jc w:val="center"/>
              <w:rPr>
                <w:noProof/>
              </w:rPr>
            </w:pPr>
            <w:r>
              <w:rPr>
                <w:noProof/>
              </w:rPr>
              <w:t xml:space="preserve"> Balvu publicēšana ministrijas tīmekļa vietnē</w:t>
            </w:r>
          </w:p>
        </w:tc>
        <w:tc>
          <w:tcPr>
            <w:tcW w:w="375" w:type="pct"/>
            <w:shd w:val="clear" w:color="auto" w:fill="C6EFCE"/>
            <w:noWrap/>
            <w:vAlign w:val="center"/>
            <w:hideMark/>
          </w:tcPr>
          <w:p w14:paraId="4729F429" w14:textId="77777777" w:rsidR="00C972CB" w:rsidRDefault="002457F6">
            <w:pPr>
              <w:pStyle w:val="P68B1DB1-Normal11"/>
              <w:jc w:val="center"/>
              <w:rPr>
                <w:noProof/>
              </w:rPr>
            </w:pPr>
            <w:r>
              <w:rPr>
                <w:noProof/>
              </w:rPr>
              <w:t>NEPIEMĒRO</w:t>
            </w:r>
          </w:p>
        </w:tc>
        <w:tc>
          <w:tcPr>
            <w:tcW w:w="370" w:type="pct"/>
            <w:shd w:val="clear" w:color="auto" w:fill="C6EFCE"/>
            <w:noWrap/>
            <w:vAlign w:val="center"/>
            <w:hideMark/>
          </w:tcPr>
          <w:p w14:paraId="2F88B04C" w14:textId="77777777" w:rsidR="00C972CB" w:rsidRDefault="002457F6">
            <w:pPr>
              <w:pStyle w:val="P68B1DB1-Normal11"/>
              <w:jc w:val="center"/>
              <w:rPr>
                <w:noProof/>
              </w:rPr>
            </w:pPr>
            <w:r>
              <w:rPr>
                <w:noProof/>
              </w:rPr>
              <w:t>NEPIEMĒRO</w:t>
            </w:r>
          </w:p>
        </w:tc>
        <w:tc>
          <w:tcPr>
            <w:tcW w:w="277" w:type="pct"/>
            <w:shd w:val="clear" w:color="auto" w:fill="C6EFCE"/>
            <w:noWrap/>
            <w:vAlign w:val="center"/>
            <w:hideMark/>
          </w:tcPr>
          <w:p w14:paraId="29E02090" w14:textId="77777777" w:rsidR="00C972CB" w:rsidRDefault="002457F6">
            <w:pPr>
              <w:pStyle w:val="P68B1DB1-Normal11"/>
              <w:jc w:val="center"/>
              <w:rPr>
                <w:noProof/>
              </w:rPr>
            </w:pPr>
            <w:r>
              <w:rPr>
                <w:noProof/>
              </w:rPr>
              <w:t>NEPIEMĒRO</w:t>
            </w:r>
          </w:p>
        </w:tc>
        <w:tc>
          <w:tcPr>
            <w:tcW w:w="294" w:type="pct"/>
            <w:shd w:val="clear" w:color="auto" w:fill="C6EFCE"/>
            <w:noWrap/>
            <w:vAlign w:val="center"/>
            <w:hideMark/>
          </w:tcPr>
          <w:p w14:paraId="164DFCB2" w14:textId="77777777" w:rsidR="00C972CB" w:rsidRDefault="002457F6">
            <w:pPr>
              <w:pStyle w:val="P68B1DB1-Normal11"/>
              <w:jc w:val="center"/>
              <w:rPr>
                <w:noProof/>
              </w:rPr>
            </w:pPr>
            <w:r>
              <w:rPr>
                <w:noProof/>
              </w:rPr>
              <w:t>2. CET.</w:t>
            </w:r>
          </w:p>
        </w:tc>
        <w:tc>
          <w:tcPr>
            <w:tcW w:w="232" w:type="pct"/>
            <w:shd w:val="clear" w:color="auto" w:fill="C6EFCE"/>
            <w:noWrap/>
            <w:vAlign w:val="center"/>
            <w:hideMark/>
          </w:tcPr>
          <w:p w14:paraId="48E3FDF9" w14:textId="77777777" w:rsidR="00C972CB" w:rsidRDefault="002457F6">
            <w:pPr>
              <w:pStyle w:val="P68B1DB1-Normal11"/>
              <w:jc w:val="center"/>
              <w:rPr>
                <w:noProof/>
              </w:rPr>
            </w:pPr>
            <w:r>
              <w:rPr>
                <w:noProof/>
              </w:rPr>
              <w:t>2023</w:t>
            </w:r>
          </w:p>
        </w:tc>
        <w:tc>
          <w:tcPr>
            <w:tcW w:w="1066" w:type="pct"/>
            <w:shd w:val="clear" w:color="auto" w:fill="C6EFCE"/>
            <w:noWrap/>
            <w:vAlign w:val="center"/>
            <w:hideMark/>
          </w:tcPr>
          <w:p w14:paraId="3E71FB1E" w14:textId="77777777" w:rsidR="00C972CB" w:rsidRDefault="002457F6">
            <w:pPr>
              <w:pStyle w:val="P68B1DB1-Normal11"/>
              <w:rPr>
                <w:noProof/>
              </w:rPr>
            </w:pPr>
            <w:r>
              <w:rPr>
                <w:noProof/>
              </w:rPr>
              <w:t xml:space="preserve">Sākotnējo līgumu slēgšanas </w:t>
            </w:r>
            <w:r>
              <w:rPr>
                <w:noProof/>
              </w:rPr>
              <w:t>tiesību piešķiršana par papildu guļamvietu (gultu) izveidi”;</w:t>
            </w:r>
          </w:p>
        </w:tc>
      </w:tr>
      <w:tr w:rsidR="00C972CB" w14:paraId="2BCAFFB3" w14:textId="77777777">
        <w:trPr>
          <w:trHeight w:val="313"/>
          <w:jc w:val="center"/>
        </w:trPr>
        <w:tc>
          <w:tcPr>
            <w:tcW w:w="445" w:type="pct"/>
            <w:shd w:val="clear" w:color="auto" w:fill="C6EFCE"/>
            <w:noWrap/>
            <w:vAlign w:val="center"/>
            <w:hideMark/>
          </w:tcPr>
          <w:p w14:paraId="7675ADC7" w14:textId="77777777" w:rsidR="00C972CB" w:rsidRDefault="002457F6">
            <w:pPr>
              <w:pStyle w:val="P68B1DB1-Normal11"/>
              <w:jc w:val="center"/>
              <w:rPr>
                <w:noProof/>
              </w:rPr>
            </w:pPr>
            <w:r>
              <w:rPr>
                <w:noProof/>
              </w:rPr>
              <w:t>M4C1–29</w:t>
            </w:r>
          </w:p>
        </w:tc>
        <w:tc>
          <w:tcPr>
            <w:tcW w:w="370" w:type="pct"/>
            <w:shd w:val="clear" w:color="auto" w:fill="C6EFCE"/>
            <w:noWrap/>
            <w:vAlign w:val="center"/>
            <w:hideMark/>
          </w:tcPr>
          <w:p w14:paraId="493D4CCD" w14:textId="54112503" w:rsidR="00C972CB" w:rsidRDefault="002457F6">
            <w:pPr>
              <w:pStyle w:val="P68B1DB1-Normal11"/>
              <w:jc w:val="center"/>
              <w:rPr>
                <w:noProof/>
              </w:rPr>
            </w:pPr>
            <w:r>
              <w:rPr>
                <w:noProof/>
              </w:rPr>
              <w:t>Reforma. Studentu mājokļu regulējuma reforma un ieguldījumi studentu mājokļos</w:t>
            </w:r>
          </w:p>
        </w:tc>
        <w:tc>
          <w:tcPr>
            <w:tcW w:w="463" w:type="pct"/>
            <w:shd w:val="clear" w:color="auto" w:fill="C6EFCE"/>
            <w:noWrap/>
            <w:vAlign w:val="center"/>
            <w:hideMark/>
          </w:tcPr>
          <w:p w14:paraId="4FB8234C" w14:textId="77777777" w:rsidR="00C972CB" w:rsidRDefault="002457F6">
            <w:pPr>
              <w:pStyle w:val="P68B1DB1-Normal11"/>
              <w:jc w:val="center"/>
              <w:rPr>
                <w:noProof/>
              </w:rPr>
            </w:pPr>
            <w:r>
              <w:rPr>
                <w:noProof/>
              </w:rPr>
              <w:t>Starpposma mērķis</w:t>
            </w:r>
          </w:p>
        </w:tc>
        <w:tc>
          <w:tcPr>
            <w:tcW w:w="556" w:type="pct"/>
            <w:shd w:val="clear" w:color="auto" w:fill="C6EFCE"/>
            <w:noWrap/>
            <w:vAlign w:val="center"/>
            <w:hideMark/>
          </w:tcPr>
          <w:p w14:paraId="5012955B" w14:textId="178039D8" w:rsidR="00C972CB" w:rsidRDefault="002457F6">
            <w:pPr>
              <w:pStyle w:val="P68B1DB1-Normal11"/>
              <w:jc w:val="center"/>
              <w:rPr>
                <w:noProof/>
              </w:rPr>
            </w:pPr>
            <w:r>
              <w:rPr>
                <w:noProof/>
              </w:rPr>
              <w:t>Stājas spēkā studentu mājokļu tiesību aktu reforma.</w:t>
            </w:r>
          </w:p>
        </w:tc>
        <w:tc>
          <w:tcPr>
            <w:tcW w:w="552" w:type="pct"/>
            <w:shd w:val="clear" w:color="auto" w:fill="C6EFCE"/>
            <w:noWrap/>
            <w:vAlign w:val="center"/>
            <w:hideMark/>
          </w:tcPr>
          <w:p w14:paraId="248929D3" w14:textId="77777777" w:rsidR="00C972CB" w:rsidRDefault="002457F6">
            <w:pPr>
              <w:pStyle w:val="P68B1DB1-Normal11"/>
              <w:jc w:val="center"/>
              <w:rPr>
                <w:noProof/>
              </w:rPr>
            </w:pPr>
            <w:r>
              <w:rPr>
                <w:noProof/>
              </w:rPr>
              <w:t xml:space="preserve">Likuma noteikums, kas norāda uz </w:t>
            </w:r>
            <w:r>
              <w:rPr>
                <w:noProof/>
              </w:rPr>
              <w:t>reformas stāšanos spēkā.</w:t>
            </w:r>
          </w:p>
        </w:tc>
        <w:tc>
          <w:tcPr>
            <w:tcW w:w="375" w:type="pct"/>
            <w:shd w:val="clear" w:color="auto" w:fill="C6EFCE"/>
            <w:noWrap/>
            <w:vAlign w:val="center"/>
            <w:hideMark/>
          </w:tcPr>
          <w:p w14:paraId="3D16376E" w14:textId="77777777" w:rsidR="00C972CB" w:rsidRDefault="002457F6">
            <w:pPr>
              <w:pStyle w:val="P68B1DB1-Normal11"/>
              <w:jc w:val="center"/>
              <w:rPr>
                <w:noProof/>
              </w:rPr>
            </w:pPr>
            <w:r>
              <w:rPr>
                <w:noProof/>
              </w:rPr>
              <w:t>NEPIEMĒRO</w:t>
            </w:r>
          </w:p>
        </w:tc>
        <w:tc>
          <w:tcPr>
            <w:tcW w:w="370" w:type="pct"/>
            <w:shd w:val="clear" w:color="auto" w:fill="C6EFCE"/>
            <w:noWrap/>
            <w:vAlign w:val="center"/>
            <w:hideMark/>
          </w:tcPr>
          <w:p w14:paraId="18593E25" w14:textId="77777777" w:rsidR="00C972CB" w:rsidRDefault="002457F6">
            <w:pPr>
              <w:pStyle w:val="P68B1DB1-Normal11"/>
              <w:jc w:val="center"/>
              <w:rPr>
                <w:noProof/>
              </w:rPr>
            </w:pPr>
            <w:r>
              <w:rPr>
                <w:noProof/>
              </w:rPr>
              <w:t>NEPIEMĒRO</w:t>
            </w:r>
          </w:p>
        </w:tc>
        <w:tc>
          <w:tcPr>
            <w:tcW w:w="277" w:type="pct"/>
            <w:shd w:val="clear" w:color="auto" w:fill="C6EFCE"/>
            <w:noWrap/>
            <w:vAlign w:val="center"/>
            <w:hideMark/>
          </w:tcPr>
          <w:p w14:paraId="32B1DA59" w14:textId="77777777" w:rsidR="00C972CB" w:rsidRDefault="002457F6">
            <w:pPr>
              <w:pStyle w:val="P68B1DB1-Normal11"/>
              <w:jc w:val="center"/>
              <w:rPr>
                <w:noProof/>
              </w:rPr>
            </w:pPr>
            <w:r>
              <w:rPr>
                <w:noProof/>
              </w:rPr>
              <w:t>NEPIEMĒRO</w:t>
            </w:r>
          </w:p>
        </w:tc>
        <w:tc>
          <w:tcPr>
            <w:tcW w:w="294" w:type="pct"/>
            <w:shd w:val="clear" w:color="auto" w:fill="C6EFCE"/>
            <w:noWrap/>
            <w:vAlign w:val="center"/>
            <w:hideMark/>
          </w:tcPr>
          <w:p w14:paraId="6C12580E" w14:textId="77777777" w:rsidR="00C972CB" w:rsidRDefault="002457F6">
            <w:pPr>
              <w:pStyle w:val="P68B1DB1-Normal11"/>
              <w:jc w:val="center"/>
              <w:rPr>
                <w:noProof/>
              </w:rPr>
            </w:pPr>
            <w:r>
              <w:rPr>
                <w:noProof/>
              </w:rPr>
              <w:t>4. CET.</w:t>
            </w:r>
          </w:p>
        </w:tc>
        <w:tc>
          <w:tcPr>
            <w:tcW w:w="232" w:type="pct"/>
            <w:shd w:val="clear" w:color="auto" w:fill="C6EFCE"/>
            <w:noWrap/>
            <w:vAlign w:val="center"/>
            <w:hideMark/>
          </w:tcPr>
          <w:p w14:paraId="16C8F51E" w14:textId="77777777" w:rsidR="00C972CB" w:rsidRDefault="002457F6">
            <w:pPr>
              <w:pStyle w:val="P68B1DB1-Normal11"/>
              <w:jc w:val="center"/>
              <w:rPr>
                <w:noProof/>
              </w:rPr>
            </w:pPr>
            <w:r>
              <w:rPr>
                <w:noProof/>
              </w:rPr>
              <w:t>2022</w:t>
            </w:r>
          </w:p>
        </w:tc>
        <w:tc>
          <w:tcPr>
            <w:tcW w:w="1066" w:type="pct"/>
            <w:shd w:val="clear" w:color="auto" w:fill="C6EFCE"/>
            <w:noWrap/>
            <w:vAlign w:val="center"/>
            <w:hideMark/>
          </w:tcPr>
          <w:p w14:paraId="0C441AF6" w14:textId="77777777" w:rsidR="00C972CB" w:rsidRDefault="002457F6">
            <w:pPr>
              <w:pStyle w:val="P68B1DB1-Normal11"/>
              <w:rPr>
                <w:noProof/>
              </w:rPr>
            </w:pPr>
            <w:r>
              <w:rPr>
                <w:noProof/>
              </w:rPr>
              <w:t>Reforma ietver: Finansējuma pieejamības nodrošināšana arī privātiem ieguldītājiem, kā arī publiskā un privātā sektora partnerības, kurās universitāte izmantos pieejamo finansējumu, lai atb</w:t>
            </w:r>
            <w:r>
              <w:rPr>
                <w:noProof/>
              </w:rPr>
              <w:t xml:space="preserve">alstītu finansiālo līdzsvaru nekustamā īpašuma ieguldījumos studentu mājokļos; (2). Nodrošināt privāto ieguldījumu ilgtspēju ilgtermiņā, garantējot izmaiņas nodokļu shēmā no tās, ko piemēro viesnīcu pakalpojumiem, uz to, ko iesniedz sociālajiem mājokļiem, </w:t>
            </w:r>
            <w:r>
              <w:rPr>
                <w:noProof/>
              </w:rPr>
              <w:t>ierobežojot jauno izmitināšanas vietu izmantošanu studentu mājokļu vajadzībām akadēmiskā gada laikā, bet ļaujot izmantot struktūras, ja tās nav vajadzīgas studentu viesmīlībai; (3). Paredzēt nosacījumus finansējumam, kā arī papildu nodokļu atvieglojumiem (</w:t>
            </w:r>
            <w:r>
              <w:rPr>
                <w:noProof/>
              </w:rPr>
              <w:t>piemēram, vienlīdzīgai attieksmei ar sociālajiem mājokļiem) par jaunu izmitināšanas vietu izmantošanu studentu mājokļiem visā ieguldījumu periodā un atbilstību saskaņotajai augstākajai robežai īrē, ko maksā studenti, pat pēc īpašo finansēšanas shēmu termiņ</w:t>
            </w:r>
            <w:r>
              <w:rPr>
                <w:noProof/>
              </w:rPr>
              <w:t>a beigām, kuras es veicu, lai veicinātu privāto operatoru ieguldījumus; (4). Pārdefinēt studentu izmitināšanas standartus, no jauna nosakot tiesību aktu prasības attiecībā uz kopējo telpu katram studentam, kas pieejama ēkās apmaiņā pret labāk aprīkotām (vi</w:t>
            </w:r>
            <w:r>
              <w:rPr>
                <w:noProof/>
              </w:rPr>
              <w:t>enotām) telpām.</w:t>
            </w:r>
          </w:p>
        </w:tc>
      </w:tr>
      <w:tr w:rsidR="00C972CB" w14:paraId="56D36307" w14:textId="77777777">
        <w:trPr>
          <w:trHeight w:val="313"/>
          <w:jc w:val="center"/>
        </w:trPr>
        <w:tc>
          <w:tcPr>
            <w:tcW w:w="445" w:type="pct"/>
            <w:shd w:val="clear" w:color="auto" w:fill="C6EFCE"/>
            <w:noWrap/>
            <w:vAlign w:val="center"/>
            <w:hideMark/>
          </w:tcPr>
          <w:p w14:paraId="25C02F93" w14:textId="77777777" w:rsidR="00C972CB" w:rsidRDefault="002457F6">
            <w:pPr>
              <w:pStyle w:val="P68B1DB1-Normal11"/>
              <w:jc w:val="center"/>
              <w:rPr>
                <w:noProof/>
              </w:rPr>
            </w:pPr>
            <w:r>
              <w:rPr>
                <w:noProof/>
              </w:rPr>
              <w:t>M4C1–30</w:t>
            </w:r>
          </w:p>
        </w:tc>
        <w:tc>
          <w:tcPr>
            <w:tcW w:w="370" w:type="pct"/>
            <w:shd w:val="clear" w:color="auto" w:fill="C6EFCE"/>
            <w:noWrap/>
            <w:vAlign w:val="center"/>
            <w:hideMark/>
          </w:tcPr>
          <w:p w14:paraId="58EDE10F" w14:textId="77777777" w:rsidR="00C972CB" w:rsidRDefault="002457F6">
            <w:pPr>
              <w:pStyle w:val="P68B1DB1-Normal11"/>
              <w:jc w:val="center"/>
              <w:rPr>
                <w:noProof/>
              </w:rPr>
            </w:pPr>
            <w:r>
              <w:rPr>
                <w:noProof/>
              </w:rPr>
              <w:t>Reforma. Studentu mājokļu regulējuma reforma un ieguldījumi studentu mājokļos</w:t>
            </w:r>
          </w:p>
        </w:tc>
        <w:tc>
          <w:tcPr>
            <w:tcW w:w="463" w:type="pct"/>
            <w:shd w:val="clear" w:color="auto" w:fill="C6EFCE"/>
            <w:noWrap/>
            <w:vAlign w:val="center"/>
            <w:hideMark/>
          </w:tcPr>
          <w:p w14:paraId="38DFE14E" w14:textId="77777777" w:rsidR="00C972CB" w:rsidRDefault="002457F6">
            <w:pPr>
              <w:pStyle w:val="P68B1DB1-Normal11"/>
              <w:jc w:val="center"/>
              <w:rPr>
                <w:noProof/>
              </w:rPr>
            </w:pPr>
            <w:r>
              <w:rPr>
                <w:noProof/>
              </w:rPr>
              <w:t>Mērķa</w:t>
            </w:r>
          </w:p>
        </w:tc>
        <w:tc>
          <w:tcPr>
            <w:tcW w:w="556" w:type="pct"/>
            <w:shd w:val="clear" w:color="auto" w:fill="C6EFCE"/>
            <w:noWrap/>
            <w:vAlign w:val="center"/>
            <w:hideMark/>
          </w:tcPr>
          <w:p w14:paraId="7FD3338A" w14:textId="41B48EA4" w:rsidR="00C972CB" w:rsidRDefault="002457F6">
            <w:pPr>
              <w:pStyle w:val="P68B1DB1-Normal11"/>
              <w:jc w:val="center"/>
              <w:rPr>
                <w:noProof/>
              </w:rPr>
            </w:pPr>
            <w:r>
              <w:rPr>
                <w:noProof/>
              </w:rPr>
              <w:t>Studentu guļamvietas, kas izveidotas saskaņā ar attiecīgajiem tiesību aktiem</w:t>
            </w:r>
          </w:p>
        </w:tc>
        <w:tc>
          <w:tcPr>
            <w:tcW w:w="552" w:type="pct"/>
            <w:shd w:val="clear" w:color="auto" w:fill="C6EFCE"/>
            <w:noWrap/>
            <w:vAlign w:val="center"/>
            <w:hideMark/>
          </w:tcPr>
          <w:p w14:paraId="646D3CE7" w14:textId="77777777" w:rsidR="00C972CB" w:rsidRDefault="002457F6">
            <w:pPr>
              <w:pStyle w:val="P68B1DB1-Normal11"/>
              <w:jc w:val="center"/>
              <w:rPr>
                <w:noProof/>
              </w:rPr>
            </w:pPr>
            <w:r>
              <w:rPr>
                <w:noProof/>
              </w:rPr>
              <w:t>NEPIEMĒRO</w:t>
            </w:r>
          </w:p>
        </w:tc>
        <w:tc>
          <w:tcPr>
            <w:tcW w:w="375" w:type="pct"/>
            <w:shd w:val="clear" w:color="auto" w:fill="C6EFCE"/>
            <w:noWrap/>
            <w:vAlign w:val="center"/>
            <w:hideMark/>
          </w:tcPr>
          <w:p w14:paraId="4DC648DA" w14:textId="77777777" w:rsidR="00C972CB" w:rsidRDefault="002457F6">
            <w:pPr>
              <w:pStyle w:val="P68B1DB1-Normal11"/>
              <w:jc w:val="center"/>
              <w:rPr>
                <w:noProof/>
              </w:rPr>
            </w:pPr>
            <w:r>
              <w:rPr>
                <w:noProof/>
              </w:rPr>
              <w:t>Skaits</w:t>
            </w:r>
          </w:p>
        </w:tc>
        <w:tc>
          <w:tcPr>
            <w:tcW w:w="370" w:type="pct"/>
            <w:shd w:val="clear" w:color="auto" w:fill="C6EFCE"/>
            <w:noWrap/>
            <w:vAlign w:val="center"/>
            <w:hideMark/>
          </w:tcPr>
          <w:p w14:paraId="68F81AC2" w14:textId="6A792054" w:rsidR="00C972CB" w:rsidRDefault="002457F6">
            <w:pPr>
              <w:pStyle w:val="P68B1DB1-Normal11"/>
              <w:jc w:val="center"/>
              <w:rPr>
                <w:noProof/>
              </w:rPr>
            </w:pPr>
            <w:r>
              <w:rPr>
                <w:noProof/>
              </w:rPr>
              <w:t>0</w:t>
            </w:r>
          </w:p>
        </w:tc>
        <w:tc>
          <w:tcPr>
            <w:tcW w:w="277" w:type="pct"/>
            <w:shd w:val="clear" w:color="auto" w:fill="C6EFCE"/>
            <w:noWrap/>
            <w:vAlign w:val="center"/>
            <w:hideMark/>
          </w:tcPr>
          <w:p w14:paraId="306DE32C" w14:textId="176ABD8E" w:rsidR="00C972CB" w:rsidRDefault="002457F6">
            <w:pPr>
              <w:pStyle w:val="P68B1DB1-Normal11"/>
              <w:jc w:val="center"/>
              <w:rPr>
                <w:noProof/>
              </w:rPr>
            </w:pPr>
            <w:r>
              <w:rPr>
                <w:noProof/>
              </w:rPr>
              <w:t>60 000</w:t>
            </w:r>
          </w:p>
        </w:tc>
        <w:tc>
          <w:tcPr>
            <w:tcW w:w="294" w:type="pct"/>
            <w:shd w:val="clear" w:color="auto" w:fill="C6EFCE"/>
            <w:noWrap/>
            <w:vAlign w:val="center"/>
            <w:hideMark/>
          </w:tcPr>
          <w:p w14:paraId="02B0ED40" w14:textId="77777777" w:rsidR="00C972CB" w:rsidRDefault="002457F6">
            <w:pPr>
              <w:pStyle w:val="P68B1DB1-Normal11"/>
              <w:jc w:val="center"/>
              <w:rPr>
                <w:noProof/>
              </w:rPr>
            </w:pPr>
            <w:r>
              <w:rPr>
                <w:noProof/>
              </w:rPr>
              <w:t>2. CET.</w:t>
            </w:r>
          </w:p>
        </w:tc>
        <w:tc>
          <w:tcPr>
            <w:tcW w:w="232" w:type="pct"/>
            <w:shd w:val="clear" w:color="auto" w:fill="C6EFCE"/>
            <w:noWrap/>
            <w:vAlign w:val="center"/>
            <w:hideMark/>
          </w:tcPr>
          <w:p w14:paraId="588A50B1" w14:textId="77777777" w:rsidR="00C972CB" w:rsidRDefault="002457F6">
            <w:pPr>
              <w:pStyle w:val="P68B1DB1-Normal11"/>
              <w:jc w:val="center"/>
              <w:rPr>
                <w:noProof/>
              </w:rPr>
            </w:pPr>
            <w:r>
              <w:rPr>
                <w:noProof/>
              </w:rPr>
              <w:t>2026</w:t>
            </w:r>
          </w:p>
        </w:tc>
        <w:tc>
          <w:tcPr>
            <w:tcW w:w="1066" w:type="pct"/>
            <w:shd w:val="clear" w:color="auto" w:fill="C6EFCE"/>
            <w:noWrap/>
            <w:vAlign w:val="center"/>
            <w:hideMark/>
          </w:tcPr>
          <w:p w14:paraId="260632B0" w14:textId="3670BAEE" w:rsidR="00C972CB" w:rsidRDefault="002457F6">
            <w:pPr>
              <w:pStyle w:val="paragraph"/>
              <w:spacing w:before="0" w:beforeAutospacing="0" w:after="0" w:afterAutospacing="0"/>
              <w:textAlignment w:val="baseline"/>
              <w:rPr>
                <w:rFonts w:ascii="Arial Narrow" w:hAnsi="Arial Narrow" w:cs="Segoe UI"/>
                <w:noProof/>
                <w:sz w:val="20"/>
              </w:rPr>
            </w:pPr>
            <w:r>
              <w:rPr>
                <w:rStyle w:val="normaltextrun"/>
                <w:rFonts w:ascii="Arial Narrow" w:hAnsi="Arial Narrow"/>
                <w:noProof/>
                <w:color w:val="006100"/>
                <w:sz w:val="20"/>
              </w:rPr>
              <w:t>Vismaz 60000 papildu guļamtelpu (gultas), kas izveidotas saskaņā ar attiecīgajiem tiesību aktiem, tostarp Likumu Nr. 338/2000, kas pārskatīts 2022. gada augustā, un jauno likumdošanas shēmu, kas pieņemta saskaņā ar starpposma mērķi M4C1–29, reforma 1.7: St</w:t>
            </w:r>
            <w:r>
              <w:rPr>
                <w:rStyle w:val="normaltextrun"/>
                <w:rFonts w:ascii="Arial Narrow" w:hAnsi="Arial Narrow"/>
                <w:noProof/>
                <w:color w:val="006100"/>
                <w:sz w:val="20"/>
              </w:rPr>
              <w:t xml:space="preserve">udentu mājokļu regulējuma reforma un ieguldījumi studentu mājokļos </w:t>
            </w:r>
          </w:p>
        </w:tc>
      </w:tr>
    </w:tbl>
    <w:p w14:paraId="068ADC43" w14:textId="77777777" w:rsidR="00C972CB" w:rsidRDefault="00C972CB">
      <w:pPr>
        <w:spacing w:before="120" w:after="120"/>
        <w:ind w:left="709"/>
        <w:jc w:val="both"/>
        <w:rPr>
          <w:b/>
          <w:noProof/>
        </w:rPr>
        <w:sectPr w:rsidR="00C972CB" w:rsidSect="000D3774">
          <w:headerReference w:type="even" r:id="rId248"/>
          <w:headerReference w:type="default" r:id="rId249"/>
          <w:footerReference w:type="even" r:id="rId250"/>
          <w:footerReference w:type="default" r:id="rId251"/>
          <w:headerReference w:type="first" r:id="rId252"/>
          <w:footerReference w:type="first" r:id="rId253"/>
          <w:pgSz w:w="16839" w:h="11907" w:orient="landscape"/>
          <w:pgMar w:top="1134" w:right="1134" w:bottom="1134" w:left="1134" w:header="567" w:footer="567" w:gutter="0"/>
          <w:cols w:space="720"/>
          <w:docGrid w:linePitch="360"/>
        </w:sectPr>
      </w:pPr>
    </w:p>
    <w:p w14:paraId="3AAB366E" w14:textId="2ACCBCD3" w:rsidR="00C972CB" w:rsidRDefault="002457F6">
      <w:pPr>
        <w:pStyle w:val="Heading2"/>
        <w:numPr>
          <w:ilvl w:val="0"/>
          <w:numId w:val="0"/>
        </w:numPr>
        <w:rPr>
          <w:noProof/>
        </w:rPr>
      </w:pPr>
      <w:r>
        <w:rPr>
          <w:noProof/>
        </w:rPr>
        <w:t xml:space="preserve">K. 4. MISIJAS 2. KOMPONENTS: </w:t>
      </w:r>
      <w:r>
        <w:rPr>
          <w:noProof/>
          <w:u w:val="single"/>
        </w:rPr>
        <w:t>No pētniecības līdz darījumdarbībai</w:t>
      </w:r>
    </w:p>
    <w:p w14:paraId="5553EF27" w14:textId="77777777" w:rsidR="00C972CB" w:rsidRDefault="002457F6">
      <w:pPr>
        <w:spacing w:before="120" w:after="120"/>
        <w:jc w:val="both"/>
        <w:rPr>
          <w:rFonts w:eastAsia="Calibri"/>
          <w:noProof/>
        </w:rPr>
      </w:pPr>
      <w:r>
        <w:rPr>
          <w:noProof/>
        </w:rPr>
        <w:t xml:space="preserve">Šā Itālijas atveseļošanas un noturības plāna komponenta </w:t>
      </w:r>
      <w:r>
        <w:rPr>
          <w:noProof/>
        </w:rPr>
        <w:t>mērķis ir atbalstīt investīcijas pētniecībā un inovācijā, veicināt inovāciju un tehnoloģiju izplatīšanu, stiprināt prasmes un atbalstīt pāreju uz zināšanu ekonomiku. Tas sniedz atbalstu valsts pētniecības sistēmai, pētnieku prasmēm un mobilitātei, kā arī p</w:t>
      </w:r>
      <w:r>
        <w:rPr>
          <w:noProof/>
        </w:rPr>
        <w:t>ubliskā un privātā sektora sadarbībai valstu un ES līmenī. Tās pamatā ir trīs galvenie pīlāri:  uzlabota zinātniskā bāze; spēcīgas uzņēmējdarbības un zinātnes saiknes (zināšanu un tehnoloģiju nodošana; atbalsts uzņēmējdarbības inovācijai (jo īpaši MVU, jau</w:t>
      </w:r>
      <w:r>
        <w:rPr>
          <w:noProof/>
        </w:rPr>
        <w:t>nuzņēmumiem).</w:t>
      </w:r>
    </w:p>
    <w:p w14:paraId="100A992A" w14:textId="77777777" w:rsidR="00C972CB" w:rsidRDefault="002457F6">
      <w:pPr>
        <w:spacing w:before="120" w:after="120"/>
        <w:jc w:val="both"/>
        <w:rPr>
          <w:noProof/>
        </w:rPr>
      </w:pPr>
      <w:r>
        <w:rPr>
          <w:noProof/>
        </w:rPr>
        <w:t>Investīcijas un reformas saskaņā ar šo komponentu palīdzēs īstenot Itālijai 2020. un 2019. gadā adresētos konkrētai valstij adresētos ieteikumus par nepieciešamību “ar investīcijām saistīto ekonomikas politiku koncentrēt uz pētniecību un inov</w:t>
      </w:r>
      <w:r>
        <w:rPr>
          <w:noProof/>
        </w:rPr>
        <w:t>āciju un infrastruktūras kvalitāti” (konkrētai valstij adresētais ieteikums Nr. 3, 2019), “veicināt privātās investīcijas, lai veicinātu ekonomikas atveseļošanu” (konkrētai valstij adresētais ieteikums Nr. 3, 2020), “koncentrēt investīcijas uz zaļo un digi</w:t>
      </w:r>
      <w:r>
        <w:rPr>
          <w:noProof/>
        </w:rPr>
        <w:t xml:space="preserve">tālo pārkārtošanos, jo īpaši uz pētniecību un inovāciju” (konkrētai valstij adresētais ieteikums Nr. 3, 2020). </w:t>
      </w:r>
    </w:p>
    <w:p w14:paraId="01A2AC9D" w14:textId="77777777" w:rsidR="00C972CB" w:rsidRDefault="002457F6">
      <w:pPr>
        <w:pStyle w:val="Heading3"/>
        <w:numPr>
          <w:ilvl w:val="0"/>
          <w:numId w:val="0"/>
        </w:numPr>
        <w:ind w:left="850" w:hanging="850"/>
        <w:rPr>
          <w:b/>
          <w:i w:val="0"/>
          <w:noProof/>
          <w:u w:val="single"/>
        </w:rPr>
      </w:pPr>
      <w:r>
        <w:rPr>
          <w:b/>
          <w:i w:val="0"/>
          <w:noProof/>
          <w:u w:val="single"/>
        </w:rPr>
        <w:t xml:space="preserve">K.1. </w:t>
      </w:r>
      <w:r>
        <w:rPr>
          <w:noProof/>
        </w:rPr>
        <w:tab/>
      </w:r>
      <w:r>
        <w:rPr>
          <w:b/>
          <w:i w:val="0"/>
          <w:noProof/>
          <w:u w:val="single"/>
        </w:rPr>
        <w:t>Neatmaksājamam finansiālajam atbalstam pieteikto reformu un investīciju apraksts</w:t>
      </w:r>
    </w:p>
    <w:p w14:paraId="58C4BA08" w14:textId="77777777" w:rsidR="00C972CB" w:rsidRDefault="002457F6">
      <w:pPr>
        <w:pStyle w:val="P68B1DB1-Normal2"/>
        <w:spacing w:before="120" w:after="120"/>
        <w:jc w:val="both"/>
        <w:rPr>
          <w:noProof/>
        </w:rPr>
      </w:pPr>
      <w:r>
        <w:rPr>
          <w:noProof/>
        </w:rPr>
        <w:t>Ieguldījums 1.2: Jauno pētnieku iesniegto projektu finans</w:t>
      </w:r>
      <w:r>
        <w:rPr>
          <w:noProof/>
        </w:rPr>
        <w:t>ēšana</w:t>
      </w:r>
    </w:p>
    <w:p w14:paraId="0E21AB30" w14:textId="21506BAB" w:rsidR="00C972CB" w:rsidRDefault="002457F6">
      <w:pPr>
        <w:spacing w:after="120"/>
        <w:jc w:val="both"/>
        <w:rPr>
          <w:noProof/>
        </w:rPr>
      </w:pPr>
      <w:r>
        <w:rPr>
          <w:noProof/>
        </w:rPr>
        <w:t>Ieguldījuma mērķis ir sniegt jaunas iespējas jaunajiem pētniekiem, lai saglabātu viņus Itālijā. Pasākums atbalsta pētniecības darbības, ko veic vismaz 850 jaunie pētnieki saskaņā ar tādām programmām kā Eiropas Pētniecības padome (EPP) un Marijas Sklo</w:t>
      </w:r>
      <w:r>
        <w:rPr>
          <w:noProof/>
        </w:rPr>
        <w:t>dovskas-Kirī vārdā nosauktās individuālās stipendijas (MSCA-IF), izcilības zīmogs un pēcdoktorantūras starptautiskie pētnieki, lai viņi varētu gūt sākotnējo pieredzi pētniecības atbildības jomā. Daļu no EPP pētniekiem piešķirtā ieguldījuma piešķir, lai pie</w:t>
      </w:r>
      <w:r>
        <w:rPr>
          <w:noProof/>
        </w:rPr>
        <w:t>ņemtu darbā vismaz vienu pētnieku, kas nav pastāvīgā darbā.</w:t>
      </w:r>
    </w:p>
    <w:p w14:paraId="3CB10D0E" w14:textId="77777777" w:rsidR="00C972CB" w:rsidRDefault="002457F6">
      <w:pPr>
        <w:spacing w:after="120"/>
        <w:jc w:val="both"/>
        <w:rPr>
          <w:rFonts w:eastAsia="Calibri"/>
          <w:noProof/>
        </w:rPr>
      </w:pPr>
      <w:r>
        <w:rPr>
          <w:noProof/>
        </w:rPr>
        <w:t>Lai nodrošinātu, ka pasākums atbilst Tehniskajām vadlīnijām “Nenodari būtisku kaitējumu” (2021/C58/01), atbilstības kritērijos, kas ietverti darba uzdevumā turpmākajiem uzaicinājumiem iesniegt pro</w:t>
      </w:r>
      <w:r>
        <w:rPr>
          <w:noProof/>
        </w:rPr>
        <w:t>jektus, izslēdz šādu darbību sarakstu: darbības, kas saistītas ar fosilajiem kurināmajiem, tostarp pakārtota izmantošana</w:t>
      </w:r>
      <w:r>
        <w:rPr>
          <w:rStyle w:val="FootnoteReference"/>
          <w:noProof/>
        </w:rPr>
        <w:footnoteReference w:id="71"/>
      </w:r>
      <w:r>
        <w:rPr>
          <w:noProof/>
        </w:rPr>
        <w:t>; darbības ES emisijas kvotu tirdzniecības sistēmas (ETS) ietvaros, lai sasniegtu prognozētās siltumnīcefekta gāzu emisijas, kas nav ze</w:t>
      </w:r>
      <w:r>
        <w:rPr>
          <w:noProof/>
        </w:rPr>
        <w:t>mākas par attiecīgajām līmeņatzīmēm</w:t>
      </w:r>
      <w:r>
        <w:rPr>
          <w:rStyle w:val="FootnoteReference"/>
          <w:noProof/>
        </w:rPr>
        <w:footnoteReference w:id="72"/>
      </w:r>
      <w:r>
        <w:rPr>
          <w:noProof/>
        </w:rPr>
        <w:t>; III) darbības, kas saistītas ar atkritumu poligoniem, atkritumu sadedzināšanas iekārtām</w:t>
      </w:r>
      <w:r>
        <w:rPr>
          <w:rStyle w:val="FootnoteReference"/>
          <w:noProof/>
        </w:rPr>
        <w:footnoteReference w:id="73"/>
      </w:r>
      <w:r>
        <w:rPr>
          <w:noProof/>
        </w:rPr>
        <w:t xml:space="preserve"> un mehāniski bioloģiskās apstrādes iekārtām</w:t>
      </w:r>
      <w:r>
        <w:rPr>
          <w:rStyle w:val="FootnoteReference"/>
          <w:noProof/>
        </w:rPr>
        <w:footnoteReference w:id="74"/>
      </w:r>
      <w:r>
        <w:rPr>
          <w:noProof/>
        </w:rPr>
        <w:t xml:space="preserve">; un iv) darbības, kurās atkritumu ilgtermiņa apglabāšana var radīt kaitējumu videi. </w:t>
      </w:r>
      <w:r>
        <w:rPr>
          <w:noProof/>
        </w:rPr>
        <w:t>Darba uzdevumā papildus nosaka, ka var izvēlēties tikai tās darbības, kas atbilst attiecīgajiem ES un valsts tiesību aktiem vides jomā.</w:t>
      </w:r>
    </w:p>
    <w:p w14:paraId="6F4EA9E6" w14:textId="77777777" w:rsidR="00C972CB" w:rsidRDefault="002457F6">
      <w:pPr>
        <w:pStyle w:val="P68B1DB1-Normal2"/>
        <w:spacing w:before="120" w:after="120" w:line="257" w:lineRule="auto"/>
        <w:ind w:left="-680" w:firstLine="709"/>
        <w:jc w:val="both"/>
        <w:rPr>
          <w:i/>
          <w:noProof/>
          <w:u w:val="single"/>
        </w:rPr>
      </w:pPr>
      <w:r>
        <w:rPr>
          <w:noProof/>
        </w:rPr>
        <w:t>Ieguldījums 2.2.: Partnerības pētniecības un inovācijas jomā — “Apvārsnis Eiropa”</w:t>
      </w:r>
    </w:p>
    <w:p w14:paraId="37D8D843" w14:textId="77777777" w:rsidR="00C972CB" w:rsidRDefault="002457F6">
      <w:pPr>
        <w:spacing w:before="120" w:after="120"/>
        <w:jc w:val="both"/>
        <w:rPr>
          <w:noProof/>
        </w:rPr>
      </w:pPr>
      <w:r>
        <w:rPr>
          <w:noProof/>
        </w:rPr>
        <w:t>Pasākuma mērķis ir atbalstīt pētniecīb</w:t>
      </w:r>
      <w:r>
        <w:rPr>
          <w:noProof/>
        </w:rPr>
        <w:t xml:space="preserve">as, izstrādes un inovācijas projektus, kas noteikti ar īpašiem uzaicinājumiem piedalīties Eiropas partnerībās saskaņā ar pamatprogrammu “Apvārsnis Eiropa”. Šīs transnacionālās pētniecības iniciatīvas var būt svarīgs virzītājspēks pētniecības un inovācijas </w:t>
      </w:r>
      <w:r>
        <w:rPr>
          <w:noProof/>
        </w:rPr>
        <w:t>attīstībai stratēģiskos jautājumos Itālijas ekonomikas atveseļošanai. Atbalsts jo īpaši ir vērsts uz šādām partnerībām: augstas veiktspējas datošana, ii) galvenās digitālās tehnoloģijas, iii) pāreja uz tīru enerģiju; zilie okeāni — klimatneitrāla, ilgtspēj</w:t>
      </w:r>
      <w:r>
        <w:rPr>
          <w:noProof/>
        </w:rPr>
        <w:t>īga un produktīva zilā ekonomika; inovatīviem MVU;</w:t>
      </w:r>
    </w:p>
    <w:p w14:paraId="14ED57FC" w14:textId="77777777" w:rsidR="00C972CB" w:rsidRDefault="002457F6">
      <w:pPr>
        <w:spacing w:before="120" w:after="120"/>
        <w:jc w:val="both"/>
        <w:rPr>
          <w:noProof/>
        </w:rPr>
      </w:pPr>
      <w:r>
        <w:rPr>
          <w:noProof/>
        </w:rPr>
        <w:t>Pasākums, ko īsteno MiSE — Ekonomikas attīstības ministrija, ļauj turpināt iniciatīvas, ko īsteno ar Ilgtspējīgas izaugsmes fonda (SFS) starpniecību, nodrošinot sinerģiju starp valdības līmeņiem un dažādie</w:t>
      </w:r>
      <w:r>
        <w:rPr>
          <w:noProof/>
        </w:rPr>
        <w:t>m finanšu avotiem.</w:t>
      </w:r>
    </w:p>
    <w:p w14:paraId="7055299F" w14:textId="6E6F862B" w:rsidR="00C972CB" w:rsidRDefault="002457F6">
      <w:pPr>
        <w:spacing w:before="120" w:after="120"/>
        <w:jc w:val="both"/>
        <w:rPr>
          <w:rFonts w:eastAsia="Calibri"/>
          <w:b/>
          <w:noProof/>
          <w:color w:val="000000" w:themeColor="text1"/>
        </w:rPr>
      </w:pPr>
      <w:r>
        <w:rPr>
          <w:noProof/>
        </w:rPr>
        <w:t>Lai nodrošinātu, ka pasākums atbilst Tehniskajām vadlīnijām “Nenodari būtisku kaitējumu” (2021/C58/01), atbilstības kritērijos, kas ietverti darba uzdevumā turpmākajiem uzaicinājumiem iesniegt projektus, izslēdz šādu darbību sarakstu: da</w:t>
      </w:r>
      <w:r>
        <w:rPr>
          <w:noProof/>
        </w:rPr>
        <w:t>rbības, kas saistītas ar fosilajiem kurināmajiem, tostarp pakārtota izmantošana</w:t>
      </w:r>
      <w:r>
        <w:rPr>
          <w:rStyle w:val="FootnoteReference"/>
          <w:noProof/>
          <w:color w:val="000000" w:themeColor="text1"/>
        </w:rPr>
        <w:footnoteReference w:id="75"/>
      </w:r>
      <w:r>
        <w:rPr>
          <w:noProof/>
        </w:rPr>
        <w:t>; darbības un aktīvi saskaņā ar ES emisijas kvotu tirdzniecības sistēmu (ETS), sasniedzot prognozētās siltumnīcefekta gāzu emisijas, kas nav zemākas par attiecīgajām līmeņatzīm</w:t>
      </w:r>
      <w:r>
        <w:rPr>
          <w:noProof/>
        </w:rPr>
        <w:t>ēm</w:t>
      </w:r>
      <w:r>
        <w:rPr>
          <w:rStyle w:val="FootnoteReference"/>
          <w:noProof/>
          <w:color w:val="000000" w:themeColor="text1"/>
        </w:rPr>
        <w:footnoteReference w:id="76"/>
      </w:r>
      <w:r>
        <w:rPr>
          <w:noProof/>
        </w:rPr>
        <w:t>; III) darbības un aktīvi, kas saistīti ar atkritumu poligoniem, sadedzināšanas iekārtām</w:t>
      </w:r>
      <w:r>
        <w:rPr>
          <w:noProof/>
        </w:rPr>
        <w:footnoteReference w:id="77"/>
      </w:r>
      <w:r>
        <w:rPr>
          <w:noProof/>
        </w:rPr>
        <w:t xml:space="preserve"> un mehāniski bioloģiskās apstrādes iekārtām</w:t>
      </w:r>
      <w:r>
        <w:rPr>
          <w:rStyle w:val="FootnoteReference"/>
          <w:noProof/>
          <w:color w:val="000000" w:themeColor="text1"/>
        </w:rPr>
        <w:footnoteReference w:id="78"/>
      </w:r>
      <w:r>
        <w:rPr>
          <w:noProof/>
        </w:rPr>
        <w:t xml:space="preserve">. Darba uzdevumā papildus nosaka, ka var izvēlēties tikai tās darbības, kas atbilst attiecīgajiem ES un valsts tiesību </w:t>
      </w:r>
      <w:r>
        <w:rPr>
          <w:noProof/>
        </w:rPr>
        <w:t>aktiem vides jomā.</w:t>
      </w:r>
    </w:p>
    <w:p w14:paraId="0E2AB91E" w14:textId="77777777" w:rsidR="00C972CB" w:rsidRDefault="002457F6">
      <w:pPr>
        <w:pStyle w:val="P68B1DB1-Normal2"/>
        <w:spacing w:before="120" w:after="120"/>
        <w:jc w:val="both"/>
        <w:rPr>
          <w:rFonts w:eastAsia="Calibri"/>
          <w:noProof/>
        </w:rPr>
      </w:pPr>
      <w:r>
        <w:rPr>
          <w:noProof/>
        </w:rPr>
        <w:t>Ieguldījums 3.3. Inovatīvu doktorantūras programmu ieviešana, kas atbilst inovācijas vajadzībām uzņēmumos un veicina pētnieku pieņemšanu darbā uzņēmumos</w:t>
      </w:r>
    </w:p>
    <w:p w14:paraId="180C6D39" w14:textId="77777777" w:rsidR="00C972CB" w:rsidRDefault="002457F6">
      <w:pPr>
        <w:spacing w:before="120" w:after="120"/>
        <w:jc w:val="both"/>
        <w:rPr>
          <w:rFonts w:eastAsiaTheme="minorEastAsia"/>
          <w:noProof/>
        </w:rPr>
      </w:pPr>
      <w:r>
        <w:rPr>
          <w:noProof/>
        </w:rPr>
        <w:t xml:space="preserve">Pasākuma mērķis ir uzlabot augsta līmeņa prasmes, jo īpaši svarīgu pamattehnoloģiju </w:t>
      </w:r>
      <w:r>
        <w:rPr>
          <w:noProof/>
        </w:rPr>
        <w:t>jomās, izmantojot:</w:t>
      </w:r>
    </w:p>
    <w:p w14:paraId="2FC6D576" w14:textId="2B5CACA1" w:rsidR="00C972CB" w:rsidRDefault="002457F6">
      <w:pPr>
        <w:pStyle w:val="ListParagraph"/>
        <w:numPr>
          <w:ilvl w:val="0"/>
          <w:numId w:val="54"/>
        </w:numPr>
        <w:spacing w:line="288" w:lineRule="auto"/>
        <w:rPr>
          <w:rFonts w:eastAsiaTheme="minorEastAsia"/>
          <w:noProof/>
        </w:rPr>
      </w:pPr>
      <w:r>
        <w:rPr>
          <w:noProof/>
        </w:rPr>
        <w:t>Īpašu doktorantūras programmu izveide, iesaistot uzņēmumus un iesaistot tos;</w:t>
      </w:r>
    </w:p>
    <w:p w14:paraId="79F7DAB8" w14:textId="77777777" w:rsidR="00C972CB" w:rsidRDefault="002457F6">
      <w:pPr>
        <w:pStyle w:val="ListParagraph"/>
        <w:numPr>
          <w:ilvl w:val="0"/>
          <w:numId w:val="54"/>
        </w:numPr>
        <w:spacing w:line="288" w:lineRule="auto"/>
        <w:rPr>
          <w:rFonts w:eastAsiaTheme="minorEastAsia"/>
          <w:noProof/>
        </w:rPr>
      </w:pPr>
      <w:r>
        <w:rPr>
          <w:noProof/>
        </w:rPr>
        <w:t>Stimuli uzņēmumiem pieņemt darbā pētniekus.</w:t>
      </w:r>
    </w:p>
    <w:p w14:paraId="610DF301" w14:textId="3BC99986" w:rsidR="00C972CB" w:rsidRDefault="002457F6">
      <w:pPr>
        <w:spacing w:before="120" w:after="120"/>
        <w:jc w:val="both"/>
        <w:rPr>
          <w:noProof/>
        </w:rPr>
      </w:pPr>
      <w:r>
        <w:rPr>
          <w:noProof/>
        </w:rPr>
        <w:t xml:space="preserve">Konkrētāk, pasākums, ko īsteno MUR — Universitāšu un pētniecības ministrija, paredz piešķirt kopumā 6000 </w:t>
      </w:r>
      <w:r>
        <w:rPr>
          <w:noProof/>
        </w:rPr>
        <w:t>doktorantūras stipendijas trīs gadu laikā ar privātu līdzfinansējumu un stimuliem uzņēmumiem pētnieku pieņemšanai darbā.</w:t>
      </w:r>
    </w:p>
    <w:p w14:paraId="6F304B52" w14:textId="77777777" w:rsidR="00C972CB" w:rsidRDefault="002457F6">
      <w:pPr>
        <w:pStyle w:val="P68B1DB1-Normal2"/>
        <w:spacing w:before="120" w:after="120" w:line="288" w:lineRule="auto"/>
        <w:jc w:val="both"/>
        <w:rPr>
          <w:rFonts w:eastAsiaTheme="minorEastAsia"/>
          <w:noProof/>
        </w:rPr>
      </w:pPr>
      <w:r>
        <w:rPr>
          <w:noProof/>
        </w:rPr>
        <w:t>Reforma. Pētniecības un inovācijas atbalsta pasākumu īstenošana, lai veicinātu vienkāršošanu un mobilitāti</w:t>
      </w:r>
    </w:p>
    <w:p w14:paraId="2AC68073" w14:textId="0C59C382" w:rsidR="00C972CB" w:rsidRDefault="002457F6">
      <w:pPr>
        <w:spacing w:before="120" w:after="120"/>
        <w:jc w:val="both"/>
        <w:rPr>
          <w:noProof/>
        </w:rPr>
      </w:pPr>
      <w:r>
        <w:rPr>
          <w:noProof/>
        </w:rPr>
        <w:t>Reformu īsteno Universitātes</w:t>
      </w:r>
      <w:r>
        <w:rPr>
          <w:noProof/>
        </w:rPr>
        <w:t xml:space="preserve"> un pētniecības ministrija (MUR) un Ekonomikas attīstības ministrija (MiSE), izveidojot starpministriju valdi un izdodot divus ministrijas dekrētus: I) palielināt un atbalstīt augsta līmeņa personu mobilitāti (ar stimuliem) (piemēram, pētnieki un vadītāji)</w:t>
      </w:r>
      <w:r>
        <w:rPr>
          <w:noProof/>
        </w:rPr>
        <w:t xml:space="preserve"> starp universitātēm, pētniecības infrastruktūrām un uzņēmumiem un ii) vienkāršot pētniecības fondu pārvaldību, iii) reformēt pētnieku karjeras ceļu, lai palielinātu viņu koncentrēšanos uz pētniecības darbībām. Reforma virzās uz sistēmiskāku pieeju pētniec</w:t>
      </w:r>
      <w:r>
        <w:rPr>
          <w:noProof/>
        </w:rPr>
        <w:t>ības un izstrādes darbībām, kas pārsniedz pašreizējo resursu pārdales loģiku, veicinot dalīšanas pieeju, un koncentrējas uz birokrātijas vienkāršošanu to līdzekļu pārvaldībā, kas paredzēti publiskā un privātā sektora pētniecības darbībām, radot būtisku iet</w:t>
      </w:r>
      <w:r>
        <w:rPr>
          <w:noProof/>
        </w:rPr>
        <w:t>ekmi, izvairoties no prioritāšu izkliedētības un sadrumstalotības, ko atbalsta arī misijas pirmais komponents. Publiskām pētniecības iestādēm (EPR) ir svarīga loma gan kā iespējamiem projektu vadītājiem partnerībām, valstu kampaņām un teritoriālajām ekosis</w:t>
      </w:r>
      <w:r>
        <w:rPr>
          <w:noProof/>
        </w:rPr>
        <w:t>tēmām, gan kā potenciālajiem dalībniekiem uzaicinājumos iesniegt priekšlikumus par PDR fondu un Infrastruktūras fondu.</w:t>
      </w:r>
    </w:p>
    <w:p w14:paraId="0F035AA4" w14:textId="3437F162" w:rsidR="00C972CB" w:rsidRDefault="002457F6">
      <w:pPr>
        <w:pStyle w:val="Heading3"/>
        <w:numPr>
          <w:ilvl w:val="0"/>
          <w:numId w:val="0"/>
        </w:numPr>
        <w:ind w:left="850" w:hanging="850"/>
        <w:rPr>
          <w:b/>
          <w:i w:val="0"/>
          <w:noProof/>
          <w:u w:val="single"/>
        </w:rPr>
        <w:sectPr w:rsidR="00C972CB">
          <w:headerReference w:type="even" r:id="rId254"/>
          <w:headerReference w:type="default" r:id="rId255"/>
          <w:footerReference w:type="even" r:id="rId256"/>
          <w:footerReference w:type="default" r:id="rId257"/>
          <w:headerReference w:type="first" r:id="rId258"/>
          <w:footerReference w:type="first" r:id="rId259"/>
          <w:pgSz w:w="11907" w:h="16839"/>
          <w:pgMar w:top="1440" w:right="1440" w:bottom="1440" w:left="1440" w:header="567" w:footer="567" w:gutter="0"/>
          <w:cols w:space="720"/>
          <w:docGrid w:linePitch="360"/>
        </w:sectPr>
      </w:pPr>
      <w:r>
        <w:rPr>
          <w:b/>
          <w:i w:val="0"/>
          <w:noProof/>
          <w:u w:val="single"/>
        </w:rPr>
        <w:t xml:space="preserve">K.2. </w:t>
      </w:r>
      <w:r>
        <w:rPr>
          <w:noProof/>
        </w:rPr>
        <w:tab/>
      </w:r>
      <w:r>
        <w:rPr>
          <w:b/>
          <w:i w:val="0"/>
          <w:noProof/>
          <w:u w:val="single"/>
        </w:rPr>
        <w:t>Atskaites punkti, mērķrādītāji, citi rādītāji un neatmaksājamā finansiālā atbalsta u</w:t>
      </w:r>
      <w:r>
        <w:rPr>
          <w:b/>
          <w:i w:val="0"/>
          <w:noProof/>
          <w:u w:val="single"/>
        </w:rPr>
        <w:t>zraudzības un īstenošanas grafiks</w:t>
      </w:r>
    </w:p>
    <w:p w14:paraId="6BF4C033" w14:textId="77777777" w:rsidR="00C972CB" w:rsidRDefault="00C972CB">
      <w:pPr>
        <w:spacing w:before="120" w:after="120"/>
        <w:jc w:val="both"/>
        <w:rPr>
          <w:noProof/>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96"/>
        <w:gridCol w:w="1775"/>
        <w:gridCol w:w="1362"/>
        <w:gridCol w:w="1607"/>
        <w:gridCol w:w="1201"/>
        <w:gridCol w:w="1420"/>
        <w:gridCol w:w="792"/>
        <w:gridCol w:w="1027"/>
        <w:gridCol w:w="648"/>
        <w:gridCol w:w="2977"/>
      </w:tblGrid>
      <w:tr w:rsidR="00C972CB" w14:paraId="053A3E01" w14:textId="77777777">
        <w:trPr>
          <w:trHeight w:val="927"/>
          <w:tblHeader/>
          <w:jc w:val="center"/>
        </w:trPr>
        <w:tc>
          <w:tcPr>
            <w:tcW w:w="1503" w:type="dxa"/>
            <w:vMerge w:val="restart"/>
            <w:shd w:val="clear" w:color="auto" w:fill="BDD7EE"/>
            <w:vAlign w:val="center"/>
            <w:hideMark/>
          </w:tcPr>
          <w:p w14:paraId="277E5C31" w14:textId="77777777" w:rsidR="00C972CB" w:rsidRDefault="002457F6">
            <w:pPr>
              <w:pStyle w:val="P68B1DB1-Normal9"/>
              <w:jc w:val="center"/>
              <w:rPr>
                <w:noProof/>
              </w:rPr>
            </w:pPr>
            <w:r>
              <w:rPr>
                <w:noProof/>
              </w:rPr>
              <w:t>Kārtas numurs</w:t>
            </w:r>
          </w:p>
        </w:tc>
        <w:tc>
          <w:tcPr>
            <w:tcW w:w="1596" w:type="dxa"/>
            <w:vMerge w:val="restart"/>
            <w:shd w:val="clear" w:color="auto" w:fill="BDD7EE"/>
            <w:vAlign w:val="center"/>
            <w:hideMark/>
          </w:tcPr>
          <w:p w14:paraId="35A37A6D" w14:textId="77777777" w:rsidR="00C972CB" w:rsidRDefault="002457F6">
            <w:pPr>
              <w:pStyle w:val="P68B1DB1-Normal9"/>
              <w:jc w:val="center"/>
              <w:rPr>
                <w:noProof/>
              </w:rPr>
            </w:pPr>
            <w:r>
              <w:rPr>
                <w:noProof/>
              </w:rPr>
              <w:t>Pasākums (reforma vai investīcija)</w:t>
            </w:r>
          </w:p>
        </w:tc>
        <w:tc>
          <w:tcPr>
            <w:tcW w:w="1416" w:type="dxa"/>
            <w:vMerge w:val="restart"/>
            <w:shd w:val="clear" w:color="auto" w:fill="BDD7EE"/>
            <w:vAlign w:val="center"/>
            <w:hideMark/>
          </w:tcPr>
          <w:p w14:paraId="5B9C6B08" w14:textId="77777777" w:rsidR="00C972CB" w:rsidRDefault="002457F6">
            <w:pPr>
              <w:pStyle w:val="P68B1DB1-Normal9"/>
              <w:jc w:val="center"/>
              <w:rPr>
                <w:noProof/>
              </w:rPr>
            </w:pPr>
            <w:r>
              <w:rPr>
                <w:noProof/>
              </w:rPr>
              <w:t>Atskaites punkts/mērķrādītājs</w:t>
            </w:r>
          </w:p>
        </w:tc>
        <w:tc>
          <w:tcPr>
            <w:tcW w:w="1362" w:type="dxa"/>
            <w:vMerge w:val="restart"/>
            <w:shd w:val="clear" w:color="auto" w:fill="BDD7EE"/>
            <w:vAlign w:val="center"/>
            <w:hideMark/>
          </w:tcPr>
          <w:p w14:paraId="1AC2FE08" w14:textId="77777777" w:rsidR="00C972CB" w:rsidRDefault="002457F6">
            <w:pPr>
              <w:pStyle w:val="P68B1DB1-Normal9"/>
              <w:jc w:val="center"/>
              <w:rPr>
                <w:noProof/>
              </w:rPr>
            </w:pPr>
            <w:r>
              <w:rPr>
                <w:noProof/>
              </w:rPr>
              <w:t>Uzvārds</w:t>
            </w:r>
          </w:p>
        </w:tc>
        <w:tc>
          <w:tcPr>
            <w:tcW w:w="1607" w:type="dxa"/>
            <w:vMerge w:val="restart"/>
            <w:shd w:val="clear" w:color="auto" w:fill="BDD7EE"/>
            <w:vAlign w:val="center"/>
            <w:hideMark/>
          </w:tcPr>
          <w:p w14:paraId="45983081"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2791" w:type="dxa"/>
            <w:gridSpan w:val="3"/>
            <w:shd w:val="clear" w:color="auto" w:fill="BDD7EE"/>
            <w:vAlign w:val="center"/>
            <w:hideMark/>
          </w:tcPr>
          <w:p w14:paraId="7A899628"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627" w:type="dxa"/>
            <w:gridSpan w:val="2"/>
            <w:shd w:val="clear" w:color="auto" w:fill="BDD7EE"/>
            <w:vAlign w:val="center"/>
            <w:hideMark/>
          </w:tcPr>
          <w:p w14:paraId="0B527FCF" w14:textId="77777777" w:rsidR="00C972CB" w:rsidRDefault="002457F6">
            <w:pPr>
              <w:pStyle w:val="P68B1DB1-Normal9"/>
              <w:jc w:val="center"/>
              <w:rPr>
                <w:noProof/>
              </w:rPr>
            </w:pPr>
            <w:r>
              <w:rPr>
                <w:noProof/>
              </w:rPr>
              <w:t>Orientējošs pabeigšanas termiņš</w:t>
            </w:r>
          </w:p>
        </w:tc>
        <w:tc>
          <w:tcPr>
            <w:tcW w:w="2977" w:type="dxa"/>
            <w:vMerge w:val="restart"/>
            <w:shd w:val="clear" w:color="auto" w:fill="BDD7EE"/>
            <w:vAlign w:val="center"/>
            <w:hideMark/>
          </w:tcPr>
          <w:p w14:paraId="76FDE4AA" w14:textId="77777777" w:rsidR="00C972CB" w:rsidRDefault="002457F6">
            <w:pPr>
              <w:pStyle w:val="P68B1DB1-Normal9"/>
              <w:jc w:val="center"/>
              <w:rPr>
                <w:noProof/>
              </w:rPr>
            </w:pPr>
            <w:r>
              <w:rPr>
                <w:noProof/>
              </w:rPr>
              <w:t xml:space="preserve">Apraksts par </w:t>
            </w:r>
            <w:r>
              <w:rPr>
                <w:noProof/>
              </w:rPr>
              <w:t>katru atskaites punktu un mērķrādītāju</w:t>
            </w:r>
          </w:p>
        </w:tc>
      </w:tr>
      <w:tr w:rsidR="00C972CB" w14:paraId="7354B6EC" w14:textId="77777777">
        <w:trPr>
          <w:trHeight w:val="802"/>
          <w:jc w:val="center"/>
        </w:trPr>
        <w:tc>
          <w:tcPr>
            <w:tcW w:w="1503" w:type="dxa"/>
            <w:vMerge/>
            <w:vAlign w:val="center"/>
            <w:hideMark/>
          </w:tcPr>
          <w:p w14:paraId="266963BD" w14:textId="77777777" w:rsidR="00C972CB" w:rsidRDefault="00C972CB">
            <w:pPr>
              <w:jc w:val="center"/>
              <w:rPr>
                <w:rFonts w:ascii="Arial Narrow" w:hAnsi="Arial Narrow"/>
                <w:b/>
                <w:noProof/>
                <w:sz w:val="20"/>
              </w:rPr>
            </w:pPr>
          </w:p>
        </w:tc>
        <w:tc>
          <w:tcPr>
            <w:tcW w:w="1596" w:type="dxa"/>
            <w:vMerge/>
            <w:vAlign w:val="center"/>
            <w:hideMark/>
          </w:tcPr>
          <w:p w14:paraId="3424060E" w14:textId="77777777" w:rsidR="00C972CB" w:rsidRDefault="00C972CB">
            <w:pPr>
              <w:jc w:val="center"/>
              <w:rPr>
                <w:rFonts w:ascii="Arial Narrow" w:hAnsi="Arial Narrow"/>
                <w:b/>
                <w:noProof/>
                <w:sz w:val="20"/>
              </w:rPr>
            </w:pPr>
          </w:p>
        </w:tc>
        <w:tc>
          <w:tcPr>
            <w:tcW w:w="1416" w:type="dxa"/>
            <w:vMerge/>
            <w:vAlign w:val="center"/>
            <w:hideMark/>
          </w:tcPr>
          <w:p w14:paraId="650909FF" w14:textId="77777777" w:rsidR="00C972CB" w:rsidRDefault="00C972CB">
            <w:pPr>
              <w:jc w:val="center"/>
              <w:rPr>
                <w:rFonts w:ascii="Arial Narrow" w:hAnsi="Arial Narrow"/>
                <w:b/>
                <w:noProof/>
                <w:sz w:val="20"/>
              </w:rPr>
            </w:pPr>
          </w:p>
        </w:tc>
        <w:tc>
          <w:tcPr>
            <w:tcW w:w="1362" w:type="dxa"/>
            <w:vMerge/>
            <w:vAlign w:val="center"/>
            <w:hideMark/>
          </w:tcPr>
          <w:p w14:paraId="26D15D58" w14:textId="77777777" w:rsidR="00C972CB" w:rsidRDefault="00C972CB">
            <w:pPr>
              <w:jc w:val="center"/>
              <w:rPr>
                <w:rFonts w:ascii="Arial Narrow" w:hAnsi="Arial Narrow"/>
                <w:b/>
                <w:noProof/>
                <w:sz w:val="20"/>
              </w:rPr>
            </w:pPr>
          </w:p>
        </w:tc>
        <w:tc>
          <w:tcPr>
            <w:tcW w:w="1607" w:type="dxa"/>
            <w:vMerge/>
            <w:vAlign w:val="center"/>
            <w:hideMark/>
          </w:tcPr>
          <w:p w14:paraId="48F6CD6A" w14:textId="77777777" w:rsidR="00C972CB" w:rsidRDefault="00C972CB">
            <w:pPr>
              <w:jc w:val="center"/>
              <w:rPr>
                <w:rFonts w:ascii="Arial Narrow" w:hAnsi="Arial Narrow"/>
                <w:b/>
                <w:noProof/>
                <w:sz w:val="20"/>
              </w:rPr>
            </w:pPr>
          </w:p>
        </w:tc>
        <w:tc>
          <w:tcPr>
            <w:tcW w:w="1008" w:type="dxa"/>
            <w:shd w:val="clear" w:color="auto" w:fill="BDD7EE"/>
            <w:vAlign w:val="center"/>
            <w:hideMark/>
          </w:tcPr>
          <w:p w14:paraId="3F332A2F" w14:textId="77777777" w:rsidR="00C972CB" w:rsidRDefault="002457F6">
            <w:pPr>
              <w:pStyle w:val="P68B1DB1-Normal9"/>
              <w:jc w:val="center"/>
              <w:rPr>
                <w:noProof/>
              </w:rPr>
            </w:pPr>
            <w:r>
              <w:rPr>
                <w:noProof/>
              </w:rPr>
              <w:t>Mēra vienība</w:t>
            </w:r>
          </w:p>
        </w:tc>
        <w:tc>
          <w:tcPr>
            <w:tcW w:w="991" w:type="dxa"/>
            <w:shd w:val="clear" w:color="auto" w:fill="BDD7EE"/>
            <w:vAlign w:val="center"/>
            <w:hideMark/>
          </w:tcPr>
          <w:p w14:paraId="28E61C46" w14:textId="77777777" w:rsidR="00C972CB" w:rsidRDefault="002457F6">
            <w:pPr>
              <w:pStyle w:val="P68B1DB1-Normal9"/>
              <w:jc w:val="center"/>
              <w:rPr>
                <w:noProof/>
              </w:rPr>
            </w:pPr>
            <w:r>
              <w:rPr>
                <w:noProof/>
              </w:rPr>
              <w:t>Pamatscenārijs</w:t>
            </w:r>
          </w:p>
        </w:tc>
        <w:tc>
          <w:tcPr>
            <w:tcW w:w="792" w:type="dxa"/>
            <w:shd w:val="clear" w:color="auto" w:fill="BDD7EE"/>
            <w:vAlign w:val="center"/>
            <w:hideMark/>
          </w:tcPr>
          <w:p w14:paraId="1ED7830C" w14:textId="77777777" w:rsidR="00C972CB" w:rsidRDefault="002457F6">
            <w:pPr>
              <w:pStyle w:val="P68B1DB1-Normal9"/>
              <w:jc w:val="center"/>
              <w:rPr>
                <w:noProof/>
              </w:rPr>
            </w:pPr>
            <w:r>
              <w:rPr>
                <w:noProof/>
              </w:rPr>
              <w:t>Mērķis</w:t>
            </w:r>
          </w:p>
        </w:tc>
        <w:tc>
          <w:tcPr>
            <w:tcW w:w="979" w:type="dxa"/>
            <w:shd w:val="clear" w:color="auto" w:fill="BDD7EE"/>
            <w:vAlign w:val="center"/>
            <w:hideMark/>
          </w:tcPr>
          <w:p w14:paraId="4CCB2020" w14:textId="77777777" w:rsidR="00C972CB" w:rsidRDefault="002457F6">
            <w:pPr>
              <w:pStyle w:val="P68B1DB1-Normal9"/>
              <w:jc w:val="center"/>
              <w:rPr>
                <w:noProof/>
              </w:rPr>
            </w:pPr>
            <w:r>
              <w:rPr>
                <w:noProof/>
              </w:rPr>
              <w:t>Ceturtdaļa</w:t>
            </w:r>
          </w:p>
        </w:tc>
        <w:tc>
          <w:tcPr>
            <w:tcW w:w="648" w:type="dxa"/>
            <w:shd w:val="clear" w:color="auto" w:fill="BDD7EE"/>
            <w:vAlign w:val="center"/>
            <w:hideMark/>
          </w:tcPr>
          <w:p w14:paraId="279C5161" w14:textId="77777777" w:rsidR="00C972CB" w:rsidRDefault="002457F6">
            <w:pPr>
              <w:pStyle w:val="P68B1DB1-Normal9"/>
              <w:jc w:val="center"/>
              <w:rPr>
                <w:noProof/>
              </w:rPr>
            </w:pPr>
            <w:r>
              <w:rPr>
                <w:noProof/>
              </w:rPr>
              <w:t>Gadā</w:t>
            </w:r>
          </w:p>
        </w:tc>
        <w:tc>
          <w:tcPr>
            <w:tcW w:w="2977" w:type="dxa"/>
            <w:vMerge/>
            <w:vAlign w:val="center"/>
            <w:hideMark/>
          </w:tcPr>
          <w:p w14:paraId="32EAC357" w14:textId="77777777" w:rsidR="00C972CB" w:rsidRDefault="00C972CB">
            <w:pPr>
              <w:rPr>
                <w:rFonts w:ascii="Arial Narrow" w:hAnsi="Arial Narrow"/>
                <w:b/>
                <w:noProof/>
                <w:sz w:val="20"/>
              </w:rPr>
            </w:pPr>
          </w:p>
        </w:tc>
      </w:tr>
      <w:tr w:rsidR="00C972CB" w14:paraId="5969AB8B" w14:textId="77777777">
        <w:trPr>
          <w:trHeight w:val="1065"/>
          <w:jc w:val="center"/>
        </w:trPr>
        <w:tc>
          <w:tcPr>
            <w:tcW w:w="1503" w:type="dxa"/>
            <w:shd w:val="clear" w:color="auto" w:fill="C6EFCE"/>
            <w:noWrap/>
            <w:vAlign w:val="center"/>
            <w:hideMark/>
          </w:tcPr>
          <w:p w14:paraId="13FA5F2B" w14:textId="77777777" w:rsidR="00C972CB" w:rsidRDefault="002457F6">
            <w:pPr>
              <w:pStyle w:val="P68B1DB1-Normal11"/>
              <w:jc w:val="center"/>
              <w:rPr>
                <w:noProof/>
              </w:rPr>
            </w:pPr>
            <w:r>
              <w:rPr>
                <w:noProof/>
              </w:rPr>
              <w:t>M4C2–1</w:t>
            </w:r>
          </w:p>
        </w:tc>
        <w:tc>
          <w:tcPr>
            <w:tcW w:w="1596" w:type="dxa"/>
            <w:shd w:val="clear" w:color="auto" w:fill="C6EFCE"/>
            <w:noWrap/>
            <w:vAlign w:val="center"/>
            <w:hideMark/>
          </w:tcPr>
          <w:p w14:paraId="0721A999" w14:textId="77777777" w:rsidR="00C972CB" w:rsidRDefault="002457F6">
            <w:pPr>
              <w:pStyle w:val="P68B1DB1-Normal11"/>
              <w:jc w:val="center"/>
              <w:rPr>
                <w:noProof/>
              </w:rPr>
            </w:pPr>
            <w:r>
              <w:rPr>
                <w:noProof/>
              </w:rPr>
              <w:t xml:space="preserve"> Ieguldījums 1.2: Jauno pētnieku iesniegto projektu finansēšana</w:t>
            </w:r>
          </w:p>
        </w:tc>
        <w:tc>
          <w:tcPr>
            <w:tcW w:w="1416" w:type="dxa"/>
            <w:shd w:val="clear" w:color="auto" w:fill="C6EFCE"/>
            <w:noWrap/>
            <w:vAlign w:val="center"/>
            <w:hideMark/>
          </w:tcPr>
          <w:p w14:paraId="3174162B" w14:textId="77777777" w:rsidR="00C972CB" w:rsidRDefault="002457F6">
            <w:pPr>
              <w:pStyle w:val="P68B1DB1-Normal11"/>
              <w:jc w:val="center"/>
              <w:rPr>
                <w:noProof/>
              </w:rPr>
            </w:pPr>
            <w:r>
              <w:rPr>
                <w:noProof/>
              </w:rPr>
              <w:t>Mērķa</w:t>
            </w:r>
          </w:p>
        </w:tc>
        <w:tc>
          <w:tcPr>
            <w:tcW w:w="1362" w:type="dxa"/>
            <w:shd w:val="clear" w:color="auto" w:fill="C6EFCE"/>
            <w:noWrap/>
            <w:vAlign w:val="center"/>
            <w:hideMark/>
          </w:tcPr>
          <w:p w14:paraId="3FBA5025" w14:textId="77777777" w:rsidR="00C972CB" w:rsidRDefault="002457F6">
            <w:pPr>
              <w:pStyle w:val="P68B1DB1-Normal11"/>
              <w:jc w:val="center"/>
              <w:rPr>
                <w:rFonts w:eastAsia="Calibri"/>
                <w:noProof/>
              </w:rPr>
            </w:pPr>
            <w:r>
              <w:rPr>
                <w:noProof/>
              </w:rPr>
              <w:t>To studentu skaits, kuriem piešķirta pētniecības stipendija</w:t>
            </w:r>
          </w:p>
        </w:tc>
        <w:tc>
          <w:tcPr>
            <w:tcW w:w="1607" w:type="dxa"/>
            <w:shd w:val="clear" w:color="auto" w:fill="C6EFCE"/>
            <w:noWrap/>
            <w:vAlign w:val="center"/>
            <w:hideMark/>
          </w:tcPr>
          <w:p w14:paraId="69A16D7C" w14:textId="77777777" w:rsidR="00C972CB" w:rsidRDefault="002457F6">
            <w:pPr>
              <w:pStyle w:val="P68B1DB1-Normal11"/>
              <w:jc w:val="center"/>
              <w:rPr>
                <w:noProof/>
              </w:rPr>
            </w:pPr>
            <w:r>
              <w:rPr>
                <w:noProof/>
              </w:rPr>
              <w:t>NEPIEMĒRO</w:t>
            </w:r>
          </w:p>
        </w:tc>
        <w:tc>
          <w:tcPr>
            <w:tcW w:w="1008" w:type="dxa"/>
            <w:shd w:val="clear" w:color="auto" w:fill="C6EFCE"/>
            <w:noWrap/>
            <w:vAlign w:val="center"/>
            <w:hideMark/>
          </w:tcPr>
          <w:p w14:paraId="70F22A46" w14:textId="77777777" w:rsidR="00C972CB" w:rsidRDefault="002457F6">
            <w:pPr>
              <w:pStyle w:val="P68B1DB1-Normal11"/>
              <w:jc w:val="center"/>
              <w:rPr>
                <w:noProof/>
              </w:rPr>
            </w:pPr>
            <w:r>
              <w:rPr>
                <w:noProof/>
              </w:rPr>
              <w:t>Skaits</w:t>
            </w:r>
          </w:p>
        </w:tc>
        <w:tc>
          <w:tcPr>
            <w:tcW w:w="991" w:type="dxa"/>
            <w:shd w:val="clear" w:color="auto" w:fill="C6EFCE"/>
            <w:noWrap/>
            <w:vAlign w:val="center"/>
            <w:hideMark/>
          </w:tcPr>
          <w:p w14:paraId="154CC5C7" w14:textId="77777777" w:rsidR="00C972CB" w:rsidRDefault="002457F6">
            <w:pPr>
              <w:pStyle w:val="P68B1DB1-Normal11"/>
              <w:jc w:val="center"/>
              <w:rPr>
                <w:noProof/>
              </w:rPr>
            </w:pPr>
            <w:r>
              <w:rPr>
                <w:noProof/>
              </w:rPr>
              <w:t>50</w:t>
            </w:r>
          </w:p>
        </w:tc>
        <w:tc>
          <w:tcPr>
            <w:tcW w:w="792" w:type="dxa"/>
            <w:shd w:val="clear" w:color="auto" w:fill="C6EFCE"/>
            <w:noWrap/>
            <w:vAlign w:val="center"/>
            <w:hideMark/>
          </w:tcPr>
          <w:p w14:paraId="3D4C30FE" w14:textId="77777777" w:rsidR="00C972CB" w:rsidRDefault="002457F6">
            <w:pPr>
              <w:pStyle w:val="P68B1DB1-Normal11"/>
              <w:jc w:val="center"/>
              <w:rPr>
                <w:noProof/>
              </w:rPr>
            </w:pPr>
            <w:r>
              <w:rPr>
                <w:noProof/>
              </w:rPr>
              <w:t>300</w:t>
            </w:r>
          </w:p>
        </w:tc>
        <w:tc>
          <w:tcPr>
            <w:tcW w:w="979" w:type="dxa"/>
            <w:shd w:val="clear" w:color="auto" w:fill="C6EFCE"/>
            <w:noWrap/>
            <w:vAlign w:val="center"/>
            <w:hideMark/>
          </w:tcPr>
          <w:p w14:paraId="2F0067FA" w14:textId="77777777" w:rsidR="00C972CB" w:rsidRDefault="002457F6">
            <w:pPr>
              <w:pStyle w:val="P68B1DB1-Normal11"/>
              <w:jc w:val="center"/>
              <w:rPr>
                <w:noProof/>
              </w:rPr>
            </w:pPr>
            <w:r>
              <w:rPr>
                <w:noProof/>
              </w:rPr>
              <w:t>4. CET.</w:t>
            </w:r>
          </w:p>
        </w:tc>
        <w:tc>
          <w:tcPr>
            <w:tcW w:w="648" w:type="dxa"/>
            <w:shd w:val="clear" w:color="auto" w:fill="C6EFCE"/>
            <w:noWrap/>
            <w:vAlign w:val="center"/>
            <w:hideMark/>
          </w:tcPr>
          <w:p w14:paraId="3DA1A448" w14:textId="77777777" w:rsidR="00C972CB" w:rsidRDefault="002457F6">
            <w:pPr>
              <w:pStyle w:val="P68B1DB1-Normal11"/>
              <w:jc w:val="center"/>
              <w:rPr>
                <w:noProof/>
              </w:rPr>
            </w:pPr>
            <w:r>
              <w:rPr>
                <w:noProof/>
              </w:rPr>
              <w:t>2022</w:t>
            </w:r>
          </w:p>
        </w:tc>
        <w:tc>
          <w:tcPr>
            <w:tcW w:w="2977" w:type="dxa"/>
            <w:shd w:val="clear" w:color="auto" w:fill="C6EFCE"/>
            <w:noWrap/>
            <w:vAlign w:val="center"/>
            <w:hideMark/>
          </w:tcPr>
          <w:p w14:paraId="7D283C6A" w14:textId="77777777" w:rsidR="00C972CB" w:rsidRDefault="002457F6">
            <w:pPr>
              <w:pStyle w:val="P68B1DB1-Normal11"/>
              <w:rPr>
                <w:noProof/>
              </w:rPr>
            </w:pPr>
            <w:r>
              <w:rPr>
                <w:noProof/>
              </w:rPr>
              <w:t>Vismaz 300 pētniecības stipendiju piešķiršana studentiem. Piešķiršanas atlases procedūrā iekļauj atbilstības kritērijus, kas nodrošina, ka atlasītie projekti atbilst Tehniskajiem norādījumiem “nenodari būtisku kaitējumu” (2021/C58/01), izm</w:t>
            </w:r>
            <w:r>
              <w:rPr>
                <w:noProof/>
              </w:rPr>
              <w:t>antojot izslēgšanas sarakstu un prasību par atbilstību attiecīgajiem ES un valsts tiesību aktiem vides jomā.</w:t>
            </w:r>
          </w:p>
          <w:p w14:paraId="0BA29BAF" w14:textId="77777777" w:rsidR="00C972CB" w:rsidRDefault="00C972CB">
            <w:pPr>
              <w:rPr>
                <w:rFonts w:ascii="Arial Narrow" w:hAnsi="Arial Narrow"/>
                <w:noProof/>
                <w:color w:val="006100"/>
                <w:sz w:val="20"/>
              </w:rPr>
            </w:pPr>
          </w:p>
          <w:p w14:paraId="117BE76B" w14:textId="7234F17B" w:rsidR="00C972CB" w:rsidRDefault="002457F6">
            <w:pPr>
              <w:pStyle w:val="P68B1DB1-Normal11"/>
              <w:rPr>
                <w:noProof/>
              </w:rPr>
            </w:pPr>
            <w:r>
              <w:rPr>
                <w:noProof/>
              </w:rPr>
              <w:t>Lai apmierinoši sasniegtu mērķi, tiks ņemts vērā arī tas, ka tiek slēgti līgumi par vismaz 300 jauniem pētniekiem.</w:t>
            </w:r>
          </w:p>
        </w:tc>
      </w:tr>
      <w:tr w:rsidR="00C972CB" w14:paraId="45CF462A" w14:textId="77777777">
        <w:trPr>
          <w:trHeight w:val="1065"/>
          <w:jc w:val="center"/>
        </w:trPr>
        <w:tc>
          <w:tcPr>
            <w:tcW w:w="1503" w:type="dxa"/>
            <w:shd w:val="clear" w:color="auto" w:fill="C6EFCE"/>
            <w:noWrap/>
            <w:vAlign w:val="center"/>
            <w:hideMark/>
          </w:tcPr>
          <w:p w14:paraId="45E6CBC3" w14:textId="77777777" w:rsidR="00C972CB" w:rsidRDefault="002457F6">
            <w:pPr>
              <w:pStyle w:val="P68B1DB1-Normal11"/>
              <w:jc w:val="center"/>
              <w:rPr>
                <w:rFonts w:eastAsia="Calibri"/>
                <w:noProof/>
              </w:rPr>
            </w:pPr>
            <w:r>
              <w:rPr>
                <w:noProof/>
              </w:rPr>
              <w:t>M4C2–1 bis</w:t>
            </w:r>
          </w:p>
        </w:tc>
        <w:tc>
          <w:tcPr>
            <w:tcW w:w="1596" w:type="dxa"/>
            <w:shd w:val="clear" w:color="auto" w:fill="C6EFCE"/>
            <w:noWrap/>
            <w:vAlign w:val="center"/>
            <w:hideMark/>
          </w:tcPr>
          <w:p w14:paraId="4223D0A1" w14:textId="77777777" w:rsidR="00C972CB" w:rsidRDefault="002457F6">
            <w:pPr>
              <w:pStyle w:val="P68B1DB1-Normal11"/>
              <w:jc w:val="center"/>
              <w:rPr>
                <w:noProof/>
              </w:rPr>
            </w:pPr>
            <w:r>
              <w:rPr>
                <w:noProof/>
              </w:rPr>
              <w:t xml:space="preserve">Ieguldījums 1.2: </w:t>
            </w:r>
            <w:r>
              <w:rPr>
                <w:noProof/>
              </w:rPr>
              <w:t>Jauno pētnieku iesniegto projektu finansēšana</w:t>
            </w:r>
          </w:p>
          <w:p w14:paraId="730793B1" w14:textId="77777777" w:rsidR="00C972CB" w:rsidRDefault="00C972CB">
            <w:pPr>
              <w:jc w:val="center"/>
              <w:rPr>
                <w:rFonts w:ascii="Arial Narrow" w:hAnsi="Arial Narrow"/>
                <w:noProof/>
                <w:color w:val="006100"/>
                <w:sz w:val="20"/>
              </w:rPr>
            </w:pPr>
          </w:p>
        </w:tc>
        <w:tc>
          <w:tcPr>
            <w:tcW w:w="1416" w:type="dxa"/>
            <w:shd w:val="clear" w:color="auto" w:fill="C6EFCE"/>
            <w:noWrap/>
            <w:vAlign w:val="center"/>
            <w:hideMark/>
          </w:tcPr>
          <w:p w14:paraId="68EDE13C" w14:textId="1E39A0E3" w:rsidR="00C972CB" w:rsidRDefault="002457F6">
            <w:pPr>
              <w:pStyle w:val="P68B1DB1-Normal11"/>
              <w:jc w:val="center"/>
              <w:rPr>
                <w:noProof/>
              </w:rPr>
            </w:pPr>
            <w:r>
              <w:rPr>
                <w:noProof/>
              </w:rPr>
              <w:t>Mērķa</w:t>
            </w:r>
          </w:p>
        </w:tc>
        <w:tc>
          <w:tcPr>
            <w:tcW w:w="1362" w:type="dxa"/>
            <w:shd w:val="clear" w:color="auto" w:fill="C6EFCE"/>
            <w:noWrap/>
            <w:vAlign w:val="center"/>
            <w:hideMark/>
          </w:tcPr>
          <w:p w14:paraId="08E69876" w14:textId="77777777" w:rsidR="00C972CB" w:rsidRDefault="002457F6">
            <w:pPr>
              <w:pStyle w:val="P68B1DB1-Normal11"/>
              <w:jc w:val="center"/>
              <w:rPr>
                <w:rFonts w:eastAsia="Calibri"/>
                <w:noProof/>
              </w:rPr>
            </w:pPr>
            <w:r>
              <w:rPr>
                <w:noProof/>
              </w:rPr>
              <w:t>To studentu skaits, kuriem piešķirta pētniecības stipendija</w:t>
            </w:r>
          </w:p>
          <w:p w14:paraId="11739C4B" w14:textId="77777777" w:rsidR="00C972CB" w:rsidRDefault="00C972CB">
            <w:pPr>
              <w:jc w:val="center"/>
              <w:rPr>
                <w:rFonts w:ascii="Arial Narrow" w:eastAsia="Calibri" w:hAnsi="Arial Narrow"/>
                <w:noProof/>
                <w:color w:val="006100"/>
                <w:sz w:val="20"/>
              </w:rPr>
            </w:pPr>
          </w:p>
        </w:tc>
        <w:tc>
          <w:tcPr>
            <w:tcW w:w="1607" w:type="dxa"/>
            <w:shd w:val="clear" w:color="auto" w:fill="C6EFCE"/>
            <w:noWrap/>
            <w:vAlign w:val="center"/>
            <w:hideMark/>
          </w:tcPr>
          <w:p w14:paraId="755A751F" w14:textId="23FE1AF7" w:rsidR="00C972CB" w:rsidRDefault="002457F6">
            <w:pPr>
              <w:pStyle w:val="P68B1DB1-Normal11"/>
              <w:jc w:val="center"/>
              <w:rPr>
                <w:noProof/>
              </w:rPr>
            </w:pPr>
            <w:r>
              <w:rPr>
                <w:noProof/>
              </w:rPr>
              <w:t>NEPIEMĒRO</w:t>
            </w:r>
          </w:p>
        </w:tc>
        <w:tc>
          <w:tcPr>
            <w:tcW w:w="1008" w:type="dxa"/>
            <w:shd w:val="clear" w:color="auto" w:fill="C6EFCE"/>
            <w:noWrap/>
            <w:vAlign w:val="center"/>
            <w:hideMark/>
          </w:tcPr>
          <w:p w14:paraId="46249849" w14:textId="0B341B03" w:rsidR="00C972CB" w:rsidRDefault="002457F6">
            <w:pPr>
              <w:pStyle w:val="P68B1DB1-Normal11"/>
              <w:jc w:val="center"/>
              <w:rPr>
                <w:noProof/>
              </w:rPr>
            </w:pPr>
            <w:r>
              <w:rPr>
                <w:noProof/>
              </w:rPr>
              <w:t>Skaits</w:t>
            </w:r>
          </w:p>
        </w:tc>
        <w:tc>
          <w:tcPr>
            <w:tcW w:w="991" w:type="dxa"/>
            <w:shd w:val="clear" w:color="auto" w:fill="C6EFCE"/>
            <w:noWrap/>
            <w:vAlign w:val="center"/>
            <w:hideMark/>
          </w:tcPr>
          <w:p w14:paraId="04F303C9" w14:textId="77777777" w:rsidR="00C972CB" w:rsidRDefault="002457F6">
            <w:pPr>
              <w:pStyle w:val="P68B1DB1-Normal11"/>
              <w:jc w:val="center"/>
              <w:rPr>
                <w:noProof/>
              </w:rPr>
            </w:pPr>
            <w:r>
              <w:rPr>
                <w:noProof/>
              </w:rPr>
              <w:t>300</w:t>
            </w:r>
          </w:p>
        </w:tc>
        <w:tc>
          <w:tcPr>
            <w:tcW w:w="792" w:type="dxa"/>
            <w:shd w:val="clear" w:color="auto" w:fill="C6EFCE"/>
            <w:noWrap/>
            <w:vAlign w:val="center"/>
            <w:hideMark/>
          </w:tcPr>
          <w:p w14:paraId="79E4F2A2" w14:textId="77777777" w:rsidR="00C972CB" w:rsidRDefault="002457F6">
            <w:pPr>
              <w:pStyle w:val="P68B1DB1-Normal11"/>
              <w:jc w:val="center"/>
              <w:rPr>
                <w:noProof/>
              </w:rPr>
            </w:pPr>
            <w:r>
              <w:rPr>
                <w:noProof/>
              </w:rPr>
              <w:t>850</w:t>
            </w:r>
          </w:p>
        </w:tc>
        <w:tc>
          <w:tcPr>
            <w:tcW w:w="979" w:type="dxa"/>
            <w:shd w:val="clear" w:color="auto" w:fill="C6EFCE"/>
            <w:noWrap/>
            <w:vAlign w:val="center"/>
            <w:hideMark/>
          </w:tcPr>
          <w:p w14:paraId="5F3D2F07" w14:textId="77777777" w:rsidR="00C972CB" w:rsidRDefault="002457F6">
            <w:pPr>
              <w:pStyle w:val="P68B1DB1-Normal11"/>
              <w:jc w:val="center"/>
              <w:rPr>
                <w:noProof/>
              </w:rPr>
            </w:pPr>
            <w:r>
              <w:rPr>
                <w:noProof/>
              </w:rPr>
              <w:t>2. CET.</w:t>
            </w:r>
          </w:p>
        </w:tc>
        <w:tc>
          <w:tcPr>
            <w:tcW w:w="648" w:type="dxa"/>
            <w:shd w:val="clear" w:color="auto" w:fill="C6EFCE"/>
            <w:noWrap/>
            <w:vAlign w:val="center"/>
            <w:hideMark/>
          </w:tcPr>
          <w:p w14:paraId="49421B40" w14:textId="77777777" w:rsidR="00C972CB" w:rsidRDefault="002457F6">
            <w:pPr>
              <w:pStyle w:val="P68B1DB1-Normal11"/>
              <w:jc w:val="center"/>
              <w:rPr>
                <w:noProof/>
              </w:rPr>
            </w:pPr>
            <w:r>
              <w:rPr>
                <w:noProof/>
              </w:rPr>
              <w:t>2025</w:t>
            </w:r>
          </w:p>
        </w:tc>
        <w:tc>
          <w:tcPr>
            <w:tcW w:w="2977" w:type="dxa"/>
            <w:shd w:val="clear" w:color="auto" w:fill="C6EFCE"/>
            <w:noWrap/>
            <w:vAlign w:val="center"/>
            <w:hideMark/>
          </w:tcPr>
          <w:p w14:paraId="081C3BD2" w14:textId="05C513C2" w:rsidR="00C972CB" w:rsidRDefault="002457F6">
            <w:pPr>
              <w:pStyle w:val="P68B1DB1-Normal11"/>
              <w:rPr>
                <w:noProof/>
              </w:rPr>
            </w:pPr>
            <w:r>
              <w:rPr>
                <w:noProof/>
              </w:rPr>
              <w:t xml:space="preserve">Vismaz 850 pētniecības stipendiju piešķiršana studentiem. Atlases procedūra pētniecības dotāciju </w:t>
            </w:r>
            <w:r>
              <w:rPr>
                <w:noProof/>
              </w:rPr>
              <w:t>piešķiršanai ietver atbilstības kritērijus, kas nodrošina, ka atlasītie projekti atbilst Tehniskajiem norādījumiem “nenodari būtisku kaitējumu” (2021/C58/01), izmantojot izslēgšanas sarakstu un prasību par atbilstību attiecīgajiem ES un valsts tiesību akti</w:t>
            </w:r>
            <w:r>
              <w:rPr>
                <w:noProof/>
              </w:rPr>
              <w:t>em vides jomā.</w:t>
            </w:r>
          </w:p>
          <w:p w14:paraId="3E2FAB66" w14:textId="4E8E17A9" w:rsidR="00C972CB" w:rsidRDefault="002457F6">
            <w:pPr>
              <w:pStyle w:val="P68B1DB1-Normal11"/>
              <w:rPr>
                <w:noProof/>
              </w:rPr>
            </w:pPr>
            <w:r>
              <w:rPr>
                <w:noProof/>
              </w:rPr>
              <w:t>Lai apmierinoši sasniegtu mērķi, ņem vērā arī to, ka ir noslēgti līgumi vismaz par 850 jauniem pētniekiem.</w:t>
            </w:r>
          </w:p>
        </w:tc>
      </w:tr>
      <w:tr w:rsidR="00C972CB" w14:paraId="676776B2" w14:textId="77777777">
        <w:trPr>
          <w:trHeight w:val="309"/>
          <w:jc w:val="center"/>
        </w:trPr>
        <w:tc>
          <w:tcPr>
            <w:tcW w:w="1503" w:type="dxa"/>
            <w:shd w:val="clear" w:color="auto" w:fill="C6EFCE"/>
            <w:noWrap/>
            <w:vAlign w:val="center"/>
            <w:hideMark/>
          </w:tcPr>
          <w:p w14:paraId="3BC3987E" w14:textId="77777777" w:rsidR="00C972CB" w:rsidRDefault="002457F6">
            <w:pPr>
              <w:pStyle w:val="P68B1DB1-Normal11"/>
              <w:jc w:val="center"/>
              <w:rPr>
                <w:noProof/>
              </w:rPr>
            </w:pPr>
            <w:r>
              <w:rPr>
                <w:noProof/>
              </w:rPr>
              <w:t>M4C2–2</w:t>
            </w:r>
          </w:p>
        </w:tc>
        <w:tc>
          <w:tcPr>
            <w:tcW w:w="1596" w:type="dxa"/>
            <w:shd w:val="clear" w:color="auto" w:fill="C6EFCE"/>
            <w:noWrap/>
            <w:vAlign w:val="center"/>
            <w:hideMark/>
          </w:tcPr>
          <w:p w14:paraId="59BDEE71" w14:textId="77777777" w:rsidR="00C972CB" w:rsidRDefault="002457F6">
            <w:pPr>
              <w:pStyle w:val="P68B1DB1-Normal11"/>
              <w:jc w:val="center"/>
              <w:rPr>
                <w:noProof/>
              </w:rPr>
            </w:pPr>
            <w:r>
              <w:rPr>
                <w:noProof/>
              </w:rPr>
              <w:t>Ieguldījums 2.2.: Partnerības pētniecības un inovācijas jomā — “Apvārsnis Eiropa”</w:t>
            </w:r>
          </w:p>
        </w:tc>
        <w:tc>
          <w:tcPr>
            <w:tcW w:w="1416" w:type="dxa"/>
            <w:shd w:val="clear" w:color="auto" w:fill="C6EFCE"/>
            <w:noWrap/>
            <w:vAlign w:val="center"/>
            <w:hideMark/>
          </w:tcPr>
          <w:p w14:paraId="667148A1" w14:textId="77777777" w:rsidR="00C972CB" w:rsidRDefault="002457F6">
            <w:pPr>
              <w:pStyle w:val="P68B1DB1-Normal11"/>
              <w:jc w:val="center"/>
              <w:rPr>
                <w:noProof/>
              </w:rPr>
            </w:pPr>
            <w:r>
              <w:rPr>
                <w:noProof/>
              </w:rPr>
              <w:t>Mērķa</w:t>
            </w:r>
          </w:p>
        </w:tc>
        <w:tc>
          <w:tcPr>
            <w:tcW w:w="1362" w:type="dxa"/>
            <w:shd w:val="clear" w:color="auto" w:fill="C6EFCE"/>
            <w:noWrap/>
            <w:vAlign w:val="center"/>
            <w:hideMark/>
          </w:tcPr>
          <w:p w14:paraId="22FC31B1" w14:textId="77777777" w:rsidR="00C972CB" w:rsidRDefault="002457F6">
            <w:pPr>
              <w:pStyle w:val="P68B1DB1-Normal11"/>
              <w:jc w:val="center"/>
              <w:rPr>
                <w:noProof/>
              </w:rPr>
            </w:pPr>
            <w:r>
              <w:rPr>
                <w:noProof/>
              </w:rPr>
              <w:t>No uzņēmumiem saņemto projektu skaits</w:t>
            </w:r>
          </w:p>
        </w:tc>
        <w:tc>
          <w:tcPr>
            <w:tcW w:w="1607" w:type="dxa"/>
            <w:shd w:val="clear" w:color="auto" w:fill="C6EFCE"/>
            <w:noWrap/>
            <w:vAlign w:val="center"/>
            <w:hideMark/>
          </w:tcPr>
          <w:p w14:paraId="400B07AD" w14:textId="77777777" w:rsidR="00C972CB" w:rsidRDefault="002457F6">
            <w:pPr>
              <w:pStyle w:val="P68B1DB1-Normal11"/>
              <w:jc w:val="center"/>
              <w:rPr>
                <w:rFonts w:eastAsia="Calibri"/>
                <w:noProof/>
              </w:rPr>
            </w:pPr>
            <w:r>
              <w:rPr>
                <w:noProof/>
              </w:rPr>
              <w:t>NEPIEMĒRO</w:t>
            </w:r>
          </w:p>
        </w:tc>
        <w:tc>
          <w:tcPr>
            <w:tcW w:w="1008" w:type="dxa"/>
            <w:shd w:val="clear" w:color="auto" w:fill="C6EFCE"/>
            <w:noWrap/>
            <w:vAlign w:val="center"/>
            <w:hideMark/>
          </w:tcPr>
          <w:p w14:paraId="0232506B" w14:textId="77777777" w:rsidR="00C972CB" w:rsidRDefault="002457F6">
            <w:pPr>
              <w:pStyle w:val="P68B1DB1-Normal11"/>
              <w:jc w:val="center"/>
              <w:rPr>
                <w:noProof/>
              </w:rPr>
            </w:pPr>
            <w:r>
              <w:rPr>
                <w:noProof/>
              </w:rPr>
              <w:t>Skaits</w:t>
            </w:r>
          </w:p>
        </w:tc>
        <w:tc>
          <w:tcPr>
            <w:tcW w:w="991" w:type="dxa"/>
            <w:shd w:val="clear" w:color="auto" w:fill="C6EFCE"/>
            <w:noWrap/>
            <w:vAlign w:val="center"/>
            <w:hideMark/>
          </w:tcPr>
          <w:p w14:paraId="5F43C0CE" w14:textId="77777777" w:rsidR="00C972CB" w:rsidRDefault="002457F6">
            <w:pPr>
              <w:pStyle w:val="P68B1DB1-Normal11"/>
              <w:jc w:val="center"/>
              <w:rPr>
                <w:noProof/>
              </w:rPr>
            </w:pPr>
            <w:r>
              <w:rPr>
                <w:noProof/>
              </w:rPr>
              <w:t>11</w:t>
            </w:r>
          </w:p>
        </w:tc>
        <w:tc>
          <w:tcPr>
            <w:tcW w:w="792" w:type="dxa"/>
            <w:shd w:val="clear" w:color="auto" w:fill="C6EFCE"/>
            <w:noWrap/>
            <w:vAlign w:val="center"/>
            <w:hideMark/>
          </w:tcPr>
          <w:p w14:paraId="454897EC" w14:textId="2722FFB4" w:rsidR="00C972CB" w:rsidRDefault="002457F6">
            <w:pPr>
              <w:pStyle w:val="P68B1DB1-Normal11"/>
              <w:jc w:val="center"/>
              <w:rPr>
                <w:noProof/>
              </w:rPr>
            </w:pPr>
            <w:r>
              <w:rPr>
                <w:noProof/>
              </w:rPr>
              <w:t>205</w:t>
            </w:r>
          </w:p>
        </w:tc>
        <w:tc>
          <w:tcPr>
            <w:tcW w:w="979" w:type="dxa"/>
            <w:shd w:val="clear" w:color="auto" w:fill="C6EFCE"/>
            <w:noWrap/>
            <w:vAlign w:val="center"/>
            <w:hideMark/>
          </w:tcPr>
          <w:p w14:paraId="0CF91799" w14:textId="77777777" w:rsidR="00C972CB" w:rsidRDefault="002457F6">
            <w:pPr>
              <w:pStyle w:val="P68B1DB1-Normal11"/>
              <w:jc w:val="center"/>
              <w:rPr>
                <w:noProof/>
              </w:rPr>
            </w:pPr>
            <w:r>
              <w:rPr>
                <w:noProof/>
              </w:rPr>
              <w:t>4. CET.</w:t>
            </w:r>
          </w:p>
        </w:tc>
        <w:tc>
          <w:tcPr>
            <w:tcW w:w="648" w:type="dxa"/>
            <w:shd w:val="clear" w:color="auto" w:fill="C6EFCE"/>
            <w:noWrap/>
            <w:vAlign w:val="center"/>
            <w:hideMark/>
          </w:tcPr>
          <w:p w14:paraId="4B0AFA69" w14:textId="77777777" w:rsidR="00C972CB" w:rsidRDefault="002457F6">
            <w:pPr>
              <w:pStyle w:val="P68B1DB1-Normal11"/>
              <w:jc w:val="center"/>
              <w:rPr>
                <w:noProof/>
              </w:rPr>
            </w:pPr>
            <w:r>
              <w:rPr>
                <w:noProof/>
              </w:rPr>
              <w:t>2025</w:t>
            </w:r>
          </w:p>
        </w:tc>
        <w:tc>
          <w:tcPr>
            <w:tcW w:w="2977" w:type="dxa"/>
            <w:shd w:val="clear" w:color="auto" w:fill="C6EFCE"/>
            <w:noWrap/>
            <w:vAlign w:val="center"/>
            <w:hideMark/>
          </w:tcPr>
          <w:p w14:paraId="7F355FF6" w14:textId="77777777" w:rsidR="00C972CB" w:rsidRDefault="002457F6">
            <w:pPr>
              <w:pStyle w:val="P68B1DB1-Normal11"/>
              <w:rPr>
                <w:noProof/>
              </w:rPr>
            </w:pPr>
            <w:r>
              <w:rPr>
                <w:noProof/>
              </w:rPr>
              <w:t>Piešķir vismaz 205 projektus. Piešķiršanas atlases procedūra ietver:</w:t>
            </w:r>
          </w:p>
          <w:p w14:paraId="3DAF6E0F" w14:textId="77777777" w:rsidR="00C972CB" w:rsidRDefault="002457F6">
            <w:pPr>
              <w:pStyle w:val="P68B1DB1-Normal11"/>
              <w:rPr>
                <w:noProof/>
              </w:rPr>
            </w:pPr>
            <w:r>
              <w:rPr>
                <w:noProof/>
              </w:rPr>
              <w:t>atbilstības kritēriji, kas nodrošina, ka atlasītie projekti atbilst Tehniskajiem norādījumiem “nenodari būtisku kaitējumu” (2021/C58/01), izmantojot i</w:t>
            </w:r>
            <w:r>
              <w:rPr>
                <w:noProof/>
              </w:rPr>
              <w:t>zslēgšanas sarakstu un prasību par atbilstību attiecīgajiem ES un valsts tiesību aktiem vides jomā.</w:t>
            </w:r>
          </w:p>
          <w:p w14:paraId="0E1DFB83" w14:textId="77777777" w:rsidR="00C972CB" w:rsidRDefault="002457F6">
            <w:pPr>
              <w:pStyle w:val="P68B1DB1-Normal11"/>
              <w:rPr>
                <w:noProof/>
              </w:rPr>
            </w:pPr>
            <w:r>
              <w:rPr>
                <w:noProof/>
              </w:rPr>
              <w:t>b) apņemšanās, ka investīciju ieguldījums klimata jomā saskaņā ar Regulas (ES) 2021/241 VI pielikumā izklāstīto metodiku veido vismaz 60 % no ANM atbalstīto</w:t>
            </w:r>
            <w:r>
              <w:rPr>
                <w:noProof/>
              </w:rPr>
              <w:t xml:space="preserve"> investīciju kopējām izmaksām.</w:t>
            </w:r>
          </w:p>
          <w:p w14:paraId="2F467DB3" w14:textId="77777777" w:rsidR="00C972CB" w:rsidRDefault="002457F6">
            <w:pPr>
              <w:pStyle w:val="P68B1DB1-Normal11"/>
              <w:rPr>
                <w:noProof/>
              </w:rPr>
            </w:pPr>
            <w:r>
              <w:rPr>
                <w:noProof/>
              </w:rPr>
              <w:t>C)apņemšanās, ka investīciju digitālais ieguldījums saskaņā ar Regulas (ES) 2021/241 VII pielikumā izklāstīto metodiku veido vismaz 40 % no ANM atbalstīto investīciju kopējām izmaksām.</w:t>
            </w:r>
          </w:p>
          <w:p w14:paraId="3E50FCD7" w14:textId="77777777" w:rsidR="00C972CB" w:rsidRDefault="002457F6">
            <w:pPr>
              <w:pStyle w:val="P68B1DB1-Normal11"/>
              <w:rPr>
                <w:noProof/>
              </w:rPr>
            </w:pPr>
            <w:r>
              <w:rPr>
                <w:noProof/>
              </w:rPr>
              <w:t>d) Saistības ziņot par pasākuma īstenoša</w:t>
            </w:r>
            <w:r>
              <w:rPr>
                <w:noProof/>
              </w:rPr>
              <w:t>nu visā shēmas darbības laikā un shēmas darbības beigās.</w:t>
            </w:r>
          </w:p>
          <w:p w14:paraId="4400A284" w14:textId="77777777" w:rsidR="00C972CB" w:rsidRDefault="00C972CB">
            <w:pPr>
              <w:rPr>
                <w:rFonts w:ascii="Arial Narrow" w:hAnsi="Arial Narrow"/>
                <w:noProof/>
                <w:color w:val="006100"/>
                <w:sz w:val="20"/>
              </w:rPr>
            </w:pPr>
          </w:p>
        </w:tc>
      </w:tr>
      <w:tr w:rsidR="00C972CB" w14:paraId="6CDE79DE" w14:textId="77777777">
        <w:trPr>
          <w:trHeight w:val="309"/>
          <w:jc w:val="center"/>
        </w:trPr>
        <w:tc>
          <w:tcPr>
            <w:tcW w:w="1503" w:type="dxa"/>
            <w:shd w:val="clear" w:color="auto" w:fill="C6EFCE"/>
            <w:noWrap/>
            <w:vAlign w:val="center"/>
            <w:hideMark/>
          </w:tcPr>
          <w:p w14:paraId="07417537" w14:textId="77777777" w:rsidR="00C972CB" w:rsidRDefault="002457F6">
            <w:pPr>
              <w:pStyle w:val="P68B1DB1-Normal11"/>
              <w:jc w:val="center"/>
              <w:rPr>
                <w:noProof/>
              </w:rPr>
            </w:pPr>
            <w:r>
              <w:rPr>
                <w:noProof/>
              </w:rPr>
              <w:t>M4C2–3</w:t>
            </w:r>
          </w:p>
        </w:tc>
        <w:tc>
          <w:tcPr>
            <w:tcW w:w="1596" w:type="dxa"/>
            <w:shd w:val="clear" w:color="auto" w:fill="C6EFCE"/>
            <w:noWrap/>
            <w:vAlign w:val="center"/>
            <w:hideMark/>
          </w:tcPr>
          <w:p w14:paraId="753A7DB1" w14:textId="77777777" w:rsidR="00C972CB" w:rsidRDefault="002457F6">
            <w:pPr>
              <w:pStyle w:val="P68B1DB1-Normal11"/>
              <w:jc w:val="center"/>
              <w:rPr>
                <w:rFonts w:eastAsia="Calibri"/>
                <w:noProof/>
              </w:rPr>
            </w:pPr>
            <w:r>
              <w:rPr>
                <w:noProof/>
              </w:rPr>
              <w:t>Ieguldījums 3.3. Inovatīvu doktorantūras programmu ieviešana, kas atbilst inovācijas vajadzībām uzņēmumos un veicina pētnieku pieņemšanu darbā uzņēmumos</w:t>
            </w:r>
          </w:p>
        </w:tc>
        <w:tc>
          <w:tcPr>
            <w:tcW w:w="1416" w:type="dxa"/>
            <w:shd w:val="clear" w:color="auto" w:fill="C6EFCE"/>
            <w:noWrap/>
            <w:vAlign w:val="center"/>
            <w:hideMark/>
          </w:tcPr>
          <w:p w14:paraId="5FF4F0C6" w14:textId="77777777" w:rsidR="00C972CB" w:rsidRDefault="002457F6">
            <w:pPr>
              <w:pStyle w:val="P68B1DB1-Normal11"/>
              <w:jc w:val="center"/>
              <w:rPr>
                <w:noProof/>
              </w:rPr>
            </w:pPr>
            <w:r>
              <w:rPr>
                <w:noProof/>
              </w:rPr>
              <w:t>Mērķa</w:t>
            </w:r>
          </w:p>
        </w:tc>
        <w:tc>
          <w:tcPr>
            <w:tcW w:w="1362" w:type="dxa"/>
            <w:shd w:val="clear" w:color="auto" w:fill="C6EFCE"/>
            <w:noWrap/>
            <w:vAlign w:val="center"/>
            <w:hideMark/>
          </w:tcPr>
          <w:p w14:paraId="52C5D756" w14:textId="77777777" w:rsidR="00C972CB" w:rsidRDefault="002457F6">
            <w:pPr>
              <w:pStyle w:val="P68B1DB1-Normal11"/>
              <w:jc w:val="center"/>
              <w:rPr>
                <w:noProof/>
              </w:rPr>
            </w:pPr>
            <w:r>
              <w:rPr>
                <w:noProof/>
              </w:rPr>
              <w:t xml:space="preserve">Tiek piešķirtas inovatīvas </w:t>
            </w:r>
            <w:r>
              <w:rPr>
                <w:noProof/>
              </w:rPr>
              <w:t>doktorantūras stipendijas</w:t>
            </w:r>
          </w:p>
        </w:tc>
        <w:tc>
          <w:tcPr>
            <w:tcW w:w="1607" w:type="dxa"/>
            <w:shd w:val="clear" w:color="auto" w:fill="C6EFCE"/>
            <w:noWrap/>
            <w:vAlign w:val="center"/>
            <w:hideMark/>
          </w:tcPr>
          <w:p w14:paraId="0AE2DE4E" w14:textId="77777777" w:rsidR="00C972CB" w:rsidRDefault="002457F6">
            <w:pPr>
              <w:pStyle w:val="P68B1DB1-Normal11"/>
              <w:jc w:val="center"/>
              <w:rPr>
                <w:noProof/>
              </w:rPr>
            </w:pPr>
            <w:r>
              <w:rPr>
                <w:noProof/>
              </w:rPr>
              <w:t>NEPIEMĒRO</w:t>
            </w:r>
          </w:p>
        </w:tc>
        <w:tc>
          <w:tcPr>
            <w:tcW w:w="1008" w:type="dxa"/>
            <w:shd w:val="clear" w:color="auto" w:fill="C6EFCE"/>
            <w:noWrap/>
            <w:vAlign w:val="center"/>
            <w:hideMark/>
          </w:tcPr>
          <w:p w14:paraId="3CF70B4A" w14:textId="7A3FEC34" w:rsidR="00C972CB" w:rsidRDefault="002457F6">
            <w:pPr>
              <w:pStyle w:val="P68B1DB1-Normal11"/>
              <w:jc w:val="center"/>
              <w:rPr>
                <w:rFonts w:eastAsia="Calibri"/>
                <w:noProof/>
              </w:rPr>
            </w:pPr>
            <w:r>
              <w:rPr>
                <w:noProof/>
              </w:rPr>
              <w:t>Skaits</w:t>
            </w:r>
          </w:p>
        </w:tc>
        <w:tc>
          <w:tcPr>
            <w:tcW w:w="991" w:type="dxa"/>
            <w:shd w:val="clear" w:color="auto" w:fill="C6EFCE"/>
            <w:noWrap/>
            <w:vAlign w:val="center"/>
            <w:hideMark/>
          </w:tcPr>
          <w:p w14:paraId="6C78DCD6" w14:textId="77777777" w:rsidR="00C972CB" w:rsidRDefault="002457F6">
            <w:pPr>
              <w:pStyle w:val="P68B1DB1-Normal11"/>
              <w:jc w:val="center"/>
              <w:rPr>
                <w:noProof/>
              </w:rPr>
            </w:pPr>
            <w:r>
              <w:rPr>
                <w:noProof/>
              </w:rPr>
              <w:t>0</w:t>
            </w:r>
          </w:p>
        </w:tc>
        <w:tc>
          <w:tcPr>
            <w:tcW w:w="792" w:type="dxa"/>
            <w:shd w:val="clear" w:color="auto" w:fill="C6EFCE"/>
            <w:noWrap/>
            <w:vAlign w:val="center"/>
            <w:hideMark/>
          </w:tcPr>
          <w:p w14:paraId="73BCFE77" w14:textId="2FB9CD3B" w:rsidR="00C972CB" w:rsidRDefault="002457F6">
            <w:pPr>
              <w:pStyle w:val="P68B1DB1-Normal11"/>
              <w:jc w:val="center"/>
              <w:rPr>
                <w:noProof/>
              </w:rPr>
            </w:pPr>
            <w:r>
              <w:rPr>
                <w:noProof/>
              </w:rPr>
              <w:t>6 000</w:t>
            </w:r>
          </w:p>
        </w:tc>
        <w:tc>
          <w:tcPr>
            <w:tcW w:w="979" w:type="dxa"/>
            <w:shd w:val="clear" w:color="auto" w:fill="C6EFCE"/>
            <w:noWrap/>
            <w:vAlign w:val="center"/>
            <w:hideMark/>
          </w:tcPr>
          <w:p w14:paraId="347B1DD5" w14:textId="77777777" w:rsidR="00C972CB" w:rsidRDefault="002457F6">
            <w:pPr>
              <w:pStyle w:val="P68B1DB1-Normal11"/>
              <w:jc w:val="center"/>
              <w:rPr>
                <w:noProof/>
              </w:rPr>
            </w:pPr>
            <w:r>
              <w:rPr>
                <w:noProof/>
              </w:rPr>
              <w:t>4. CET.</w:t>
            </w:r>
          </w:p>
        </w:tc>
        <w:tc>
          <w:tcPr>
            <w:tcW w:w="648" w:type="dxa"/>
            <w:shd w:val="clear" w:color="auto" w:fill="C6EFCE"/>
            <w:noWrap/>
            <w:vAlign w:val="center"/>
            <w:hideMark/>
          </w:tcPr>
          <w:p w14:paraId="72343EEE" w14:textId="77777777" w:rsidR="00C972CB" w:rsidRDefault="002457F6">
            <w:pPr>
              <w:pStyle w:val="P68B1DB1-Normal11"/>
              <w:jc w:val="center"/>
              <w:rPr>
                <w:noProof/>
              </w:rPr>
            </w:pPr>
            <w:r>
              <w:rPr>
                <w:noProof/>
              </w:rPr>
              <w:t>2024</w:t>
            </w:r>
          </w:p>
        </w:tc>
        <w:tc>
          <w:tcPr>
            <w:tcW w:w="2977" w:type="dxa"/>
            <w:shd w:val="clear" w:color="auto" w:fill="C6EFCE"/>
            <w:noWrap/>
            <w:vAlign w:val="center"/>
            <w:hideMark/>
          </w:tcPr>
          <w:p w14:paraId="3250ED4C" w14:textId="41825C39" w:rsidR="00C972CB" w:rsidRDefault="002457F6">
            <w:pPr>
              <w:pStyle w:val="P68B1DB1-Normal11"/>
              <w:rPr>
                <w:noProof/>
              </w:rPr>
            </w:pPr>
            <w:r>
              <w:rPr>
                <w:noProof/>
              </w:rPr>
              <w:t>Vismaz 6000 doktorantūras stipendiju piešķiršana.</w:t>
            </w:r>
          </w:p>
          <w:p w14:paraId="65AC5912" w14:textId="77777777" w:rsidR="00C972CB" w:rsidRDefault="002457F6">
            <w:pPr>
              <w:pStyle w:val="P68B1DB1-Normal11"/>
              <w:rPr>
                <w:noProof/>
              </w:rPr>
            </w:pPr>
            <w:r>
              <w:rPr>
                <w:noProof/>
              </w:rPr>
              <w:t>Kritiskās prasības inovatīvu doktora grādu identificēšanai ir šādas:</w:t>
            </w:r>
          </w:p>
          <w:p w14:paraId="1FE1E6ED" w14:textId="77777777" w:rsidR="00C972CB" w:rsidRDefault="002457F6">
            <w:pPr>
              <w:pStyle w:val="P68B1DB1-Normal11"/>
              <w:rPr>
                <w:noProof/>
              </w:rPr>
            </w:pPr>
            <w:r>
              <w:rPr>
                <w:noProof/>
              </w:rPr>
              <w:t xml:space="preserve">ietver disciplinārās un tematiskās jomas, kas atbilst programmā </w:t>
            </w:r>
            <w:r>
              <w:rPr>
                <w:noProof/>
              </w:rPr>
              <w:t>iesaistīto reģionu darba tirgus vajadzībām augsti kvalificētu datu ziņā;</w:t>
            </w:r>
          </w:p>
          <w:p w14:paraId="3864CE57" w14:textId="77777777" w:rsidR="00C972CB" w:rsidRDefault="002457F6">
            <w:pPr>
              <w:pStyle w:val="P68B1DB1-Normal11"/>
              <w:rPr>
                <w:noProof/>
              </w:rPr>
            </w:pPr>
            <w:r>
              <w:rPr>
                <w:noProof/>
              </w:rPr>
              <w:t>b) kuru kopējais ilgums ir 3 gadi;</w:t>
            </w:r>
          </w:p>
          <w:p w14:paraId="0E4CBAF2" w14:textId="77777777" w:rsidR="00C972CB" w:rsidRDefault="002457F6">
            <w:pPr>
              <w:pStyle w:val="P68B1DB1-Normal11"/>
              <w:rPr>
                <w:noProof/>
              </w:rPr>
            </w:pPr>
            <w:r>
              <w:rPr>
                <w:noProof/>
              </w:rPr>
              <w:t>nodrošināt visa doktorantūras, mācību, pētniecības un novērtēšanas kursa īstenošanu saņēmējas universitātes administratīvajā un operatīvajā galvenaj</w:t>
            </w:r>
            <w:r>
              <w:rPr>
                <w:noProof/>
              </w:rPr>
              <w:t>ā mītnē, kas atrodas programmas mērķa reģionos, neskarot studiju un pētniecības periodus uzņēmumā un ārvalstīs, kas plānoti saskaņā ar mācību un pētniecības pasākumiem, kuri paredzēti ierosinātāja subjekta birojos;</w:t>
            </w:r>
          </w:p>
          <w:p w14:paraId="30AC9980" w14:textId="77777777" w:rsidR="00C972CB" w:rsidRDefault="002457F6">
            <w:pPr>
              <w:pStyle w:val="P68B1DB1-Normal11"/>
              <w:rPr>
                <w:noProof/>
              </w:rPr>
            </w:pPr>
            <w:r>
              <w:rPr>
                <w:noProof/>
              </w:rPr>
              <w:t xml:space="preserve">paredzēt studiju un pētniecības periodus </w:t>
            </w:r>
            <w:r>
              <w:rPr>
                <w:noProof/>
              </w:rPr>
              <w:t>uzņēmumā no vismaz sešiem (6) mēnešiem līdz ne vairāk kā astoņpadsmit (18) mēnešiem;</w:t>
            </w:r>
          </w:p>
          <w:p w14:paraId="68899731" w14:textId="77777777" w:rsidR="00C972CB" w:rsidRDefault="002457F6">
            <w:pPr>
              <w:pStyle w:val="P68B1DB1-Normal11"/>
              <w:rPr>
                <w:noProof/>
              </w:rPr>
            </w:pPr>
            <w:r>
              <w:rPr>
                <w:noProof/>
              </w:rPr>
              <w:t>paredzēt studiju un pētniecības periodus ārvalstīs no vismaz sešiem (6) mēnešiem līdz ne vairāk kā astoņpadsmit (18) mēnešiem;</w:t>
            </w:r>
          </w:p>
          <w:p w14:paraId="017A2EE3" w14:textId="77777777" w:rsidR="00C972CB" w:rsidRDefault="002457F6">
            <w:pPr>
              <w:pStyle w:val="P68B1DB1-Normal11"/>
              <w:rPr>
                <w:noProof/>
              </w:rPr>
            </w:pPr>
            <w:r>
              <w:rPr>
                <w:noProof/>
              </w:rPr>
              <w:t>nodrošināt, ka doktorantūras students studij</w:t>
            </w:r>
            <w:r>
              <w:rPr>
                <w:noProof/>
              </w:rPr>
              <w:t>u un pētniecības darbībām saskaņā ar likumu var izmantot kvalificētas un specifiskas operatīvās un zinātniskās struktūras, tostarp (ja tas attiecas uz kursu veidu) zinātniskās laboratorijas, bibliotēkas, datubāzes u. c.;</w:t>
            </w:r>
          </w:p>
          <w:p w14:paraId="47656626" w14:textId="77777777" w:rsidR="00C972CB" w:rsidRDefault="002457F6">
            <w:pPr>
              <w:pStyle w:val="P68B1DB1-Normal11"/>
              <w:rPr>
                <w:noProof/>
              </w:rPr>
            </w:pPr>
            <w:r>
              <w:rPr>
                <w:noProof/>
              </w:rPr>
              <w:t>nodrošināt didaktikas pasākumu īste</w:t>
            </w:r>
            <w:r>
              <w:rPr>
                <w:noProof/>
              </w:rPr>
              <w:t>nošanu valodu un IT uzlabošanai, pētniecības pārvaldībai un zināšanām par Eiropas un starptautiskajām pētniecības sistēmām, pētniecības rezultātu un intelektuālā īpašuma uzlabošanai;</w:t>
            </w:r>
          </w:p>
          <w:p w14:paraId="180C95AD" w14:textId="77777777" w:rsidR="00C972CB" w:rsidRDefault="002457F6">
            <w:pPr>
              <w:pStyle w:val="P68B1DB1-Normal11"/>
              <w:rPr>
                <w:noProof/>
              </w:rPr>
            </w:pPr>
            <w:r>
              <w:rPr>
                <w:noProof/>
              </w:rPr>
              <w:t>nodrošināt uzņēmumu iesaistīšanos mācību kursa noteikšanā arī saistībā ar</w:t>
            </w:r>
            <w:r>
              <w:rPr>
                <w:noProof/>
              </w:rPr>
              <w:t xml:space="preserve"> plašāku sadarbību ar Universitāti;</w:t>
            </w:r>
          </w:p>
          <w:p w14:paraId="35D6D2EF" w14:textId="77777777" w:rsidR="00C972CB" w:rsidRDefault="002457F6">
            <w:pPr>
              <w:pStyle w:val="P68B1DB1-Normal11"/>
              <w:rPr>
                <w:noProof/>
              </w:rPr>
            </w:pPr>
            <w:r>
              <w:rPr>
                <w:noProof/>
              </w:rPr>
              <w:t>nodrošināt atbilstību horizontālajiem principiem (vides ilgtspēja; ilgtspējīga attīstība; vienlīdzīgas iespējas un nediskriminācija; pieejamība invalīdiem).</w:t>
            </w:r>
          </w:p>
          <w:p w14:paraId="0D66E070" w14:textId="77777777" w:rsidR="00C972CB" w:rsidRDefault="00C972CB">
            <w:pPr>
              <w:rPr>
                <w:rFonts w:ascii="Arial Narrow" w:hAnsi="Arial Narrow"/>
                <w:noProof/>
                <w:color w:val="006100"/>
                <w:sz w:val="20"/>
              </w:rPr>
            </w:pPr>
          </w:p>
          <w:p w14:paraId="3EBCD259" w14:textId="77777777" w:rsidR="00C972CB" w:rsidRDefault="002457F6">
            <w:pPr>
              <w:pStyle w:val="P68B1DB1-Normal11"/>
              <w:rPr>
                <w:noProof/>
              </w:rPr>
            </w:pPr>
            <w:r>
              <w:rPr>
                <w:noProof/>
              </w:rPr>
              <w:t>Atlases procedūrā iekļauj atbilstības kritērijus, kas nodrošin</w:t>
            </w:r>
            <w:r>
              <w:rPr>
                <w:noProof/>
              </w:rPr>
              <w:t>a, ka atlasītie projekti atbilst Tehniskajiem norādījumiem “nenodari būtisku kaitējumu” (2021/C58/01), izmantojot izslēgšanas sarakstu un prasību par atbilstību attiecīgajiem ES un valsts tiesību aktiem vides jomā.</w:t>
            </w:r>
          </w:p>
        </w:tc>
      </w:tr>
      <w:tr w:rsidR="00C972CB" w14:paraId="1FBEBA9C" w14:textId="77777777">
        <w:trPr>
          <w:trHeight w:val="309"/>
          <w:jc w:val="center"/>
        </w:trPr>
        <w:tc>
          <w:tcPr>
            <w:tcW w:w="1503" w:type="dxa"/>
            <w:shd w:val="clear" w:color="auto" w:fill="C6EFCE"/>
            <w:noWrap/>
            <w:vAlign w:val="center"/>
            <w:hideMark/>
          </w:tcPr>
          <w:p w14:paraId="2DF63C2D" w14:textId="77777777" w:rsidR="00C972CB" w:rsidRDefault="002457F6">
            <w:pPr>
              <w:pStyle w:val="P68B1DB1-Normal11"/>
              <w:jc w:val="center"/>
              <w:rPr>
                <w:noProof/>
              </w:rPr>
            </w:pPr>
            <w:r>
              <w:rPr>
                <w:noProof/>
              </w:rPr>
              <w:t>M4C2–4</w:t>
            </w:r>
          </w:p>
        </w:tc>
        <w:tc>
          <w:tcPr>
            <w:tcW w:w="1596" w:type="dxa"/>
            <w:shd w:val="clear" w:color="auto" w:fill="C6EFCE"/>
            <w:noWrap/>
            <w:vAlign w:val="center"/>
            <w:hideMark/>
          </w:tcPr>
          <w:p w14:paraId="5A6F4E02" w14:textId="77777777" w:rsidR="00C972CB" w:rsidRDefault="002457F6">
            <w:pPr>
              <w:pStyle w:val="P68B1DB1-Normal11"/>
              <w:jc w:val="center"/>
              <w:rPr>
                <w:noProof/>
              </w:rPr>
            </w:pPr>
            <w:r>
              <w:rPr>
                <w:noProof/>
              </w:rPr>
              <w:t xml:space="preserve">Reforma. Pētniecības un </w:t>
            </w:r>
            <w:r>
              <w:rPr>
                <w:noProof/>
              </w:rPr>
              <w:t>attīstības atbalsta pasākumu īstenošana, lai veicinātu vienkāršošanu un mobilitāti</w:t>
            </w:r>
          </w:p>
        </w:tc>
        <w:tc>
          <w:tcPr>
            <w:tcW w:w="1416" w:type="dxa"/>
            <w:shd w:val="clear" w:color="auto" w:fill="C6EFCE"/>
            <w:noWrap/>
            <w:vAlign w:val="center"/>
            <w:hideMark/>
          </w:tcPr>
          <w:p w14:paraId="7B107D63" w14:textId="77777777" w:rsidR="00C972CB" w:rsidRDefault="002457F6">
            <w:pPr>
              <w:pStyle w:val="P68B1DB1-Normal11"/>
              <w:jc w:val="center"/>
              <w:rPr>
                <w:noProof/>
              </w:rPr>
            </w:pPr>
            <w:r>
              <w:rPr>
                <w:noProof/>
              </w:rPr>
              <w:t>Starpposma mērķis</w:t>
            </w:r>
          </w:p>
        </w:tc>
        <w:tc>
          <w:tcPr>
            <w:tcW w:w="1362" w:type="dxa"/>
            <w:shd w:val="clear" w:color="auto" w:fill="C6EFCE"/>
            <w:noWrap/>
            <w:vAlign w:val="center"/>
            <w:hideMark/>
          </w:tcPr>
          <w:p w14:paraId="42A736ED" w14:textId="77777777" w:rsidR="00C972CB" w:rsidRDefault="002457F6">
            <w:pPr>
              <w:pStyle w:val="P68B1DB1-Normal11"/>
              <w:jc w:val="center"/>
              <w:rPr>
                <w:noProof/>
              </w:rPr>
            </w:pPr>
            <w:r>
              <w:rPr>
                <w:noProof/>
              </w:rPr>
              <w:t>Stājas spēkā ministrijas dekrēti par pētniecības un izstrādes vienkāršošanu un mobilitāti saistībā ar parasto finansēšanas fondu.</w:t>
            </w:r>
          </w:p>
        </w:tc>
        <w:tc>
          <w:tcPr>
            <w:tcW w:w="1607" w:type="dxa"/>
            <w:shd w:val="clear" w:color="auto" w:fill="C6EFCE"/>
            <w:noWrap/>
            <w:vAlign w:val="center"/>
            <w:hideMark/>
          </w:tcPr>
          <w:p w14:paraId="23F2F499" w14:textId="77777777" w:rsidR="00C972CB" w:rsidRDefault="002457F6">
            <w:pPr>
              <w:pStyle w:val="P68B1DB1-Normal11"/>
              <w:jc w:val="center"/>
              <w:rPr>
                <w:noProof/>
              </w:rPr>
            </w:pPr>
            <w:r>
              <w:rPr>
                <w:noProof/>
              </w:rPr>
              <w:t xml:space="preserve">Dekrēta noteikums par </w:t>
            </w:r>
            <w:r>
              <w:rPr>
                <w:noProof/>
              </w:rPr>
              <w:t>likuma stāšanos spēkā</w:t>
            </w:r>
          </w:p>
        </w:tc>
        <w:tc>
          <w:tcPr>
            <w:tcW w:w="1008" w:type="dxa"/>
            <w:shd w:val="clear" w:color="auto" w:fill="C6EFCE"/>
            <w:noWrap/>
            <w:vAlign w:val="center"/>
            <w:hideMark/>
          </w:tcPr>
          <w:p w14:paraId="3A9E4489" w14:textId="77777777" w:rsidR="00C972CB" w:rsidRDefault="002457F6">
            <w:pPr>
              <w:pStyle w:val="P68B1DB1-Normal11"/>
              <w:jc w:val="center"/>
              <w:rPr>
                <w:noProof/>
              </w:rPr>
            </w:pPr>
            <w:r>
              <w:rPr>
                <w:noProof/>
              </w:rPr>
              <w:t>NEPIEMĒRO</w:t>
            </w:r>
          </w:p>
        </w:tc>
        <w:tc>
          <w:tcPr>
            <w:tcW w:w="991" w:type="dxa"/>
            <w:shd w:val="clear" w:color="auto" w:fill="C6EFCE"/>
            <w:noWrap/>
            <w:vAlign w:val="center"/>
            <w:hideMark/>
          </w:tcPr>
          <w:p w14:paraId="64B80306" w14:textId="77777777" w:rsidR="00C972CB" w:rsidRDefault="002457F6">
            <w:pPr>
              <w:pStyle w:val="P68B1DB1-Normal11"/>
              <w:jc w:val="center"/>
              <w:rPr>
                <w:noProof/>
              </w:rPr>
            </w:pPr>
            <w:r>
              <w:rPr>
                <w:noProof/>
              </w:rPr>
              <w:t>NEPIEMĒRO</w:t>
            </w:r>
          </w:p>
        </w:tc>
        <w:tc>
          <w:tcPr>
            <w:tcW w:w="792" w:type="dxa"/>
            <w:shd w:val="clear" w:color="auto" w:fill="C6EFCE"/>
            <w:noWrap/>
            <w:vAlign w:val="center"/>
            <w:hideMark/>
          </w:tcPr>
          <w:p w14:paraId="0258F36C" w14:textId="77777777" w:rsidR="00C972CB" w:rsidRDefault="00C972CB">
            <w:pPr>
              <w:jc w:val="center"/>
              <w:rPr>
                <w:rFonts w:ascii="Arial Narrow" w:hAnsi="Arial Narrow"/>
                <w:noProof/>
                <w:color w:val="006100"/>
                <w:sz w:val="20"/>
              </w:rPr>
            </w:pPr>
          </w:p>
        </w:tc>
        <w:tc>
          <w:tcPr>
            <w:tcW w:w="979" w:type="dxa"/>
            <w:shd w:val="clear" w:color="auto" w:fill="C6EFCE"/>
            <w:noWrap/>
            <w:vAlign w:val="center"/>
            <w:hideMark/>
          </w:tcPr>
          <w:p w14:paraId="297F1B7A" w14:textId="77777777" w:rsidR="00C972CB" w:rsidRDefault="002457F6">
            <w:pPr>
              <w:pStyle w:val="P68B1DB1-Normal11"/>
              <w:jc w:val="center"/>
              <w:rPr>
                <w:noProof/>
              </w:rPr>
            </w:pPr>
            <w:r>
              <w:rPr>
                <w:noProof/>
              </w:rPr>
              <w:t>2. CET.</w:t>
            </w:r>
          </w:p>
        </w:tc>
        <w:tc>
          <w:tcPr>
            <w:tcW w:w="648" w:type="dxa"/>
            <w:shd w:val="clear" w:color="auto" w:fill="C6EFCE"/>
            <w:noWrap/>
            <w:vAlign w:val="center"/>
            <w:hideMark/>
          </w:tcPr>
          <w:p w14:paraId="0C4DD55E" w14:textId="77777777" w:rsidR="00C972CB" w:rsidRDefault="002457F6">
            <w:pPr>
              <w:pStyle w:val="P68B1DB1-Normal11"/>
              <w:jc w:val="center"/>
              <w:rPr>
                <w:noProof/>
              </w:rPr>
            </w:pPr>
            <w:r>
              <w:rPr>
                <w:noProof/>
              </w:rPr>
              <w:t>2022</w:t>
            </w:r>
          </w:p>
        </w:tc>
        <w:tc>
          <w:tcPr>
            <w:tcW w:w="2977" w:type="dxa"/>
            <w:shd w:val="clear" w:color="auto" w:fill="C6EFCE"/>
            <w:noWrap/>
            <w:vAlign w:val="center"/>
            <w:hideMark/>
          </w:tcPr>
          <w:p w14:paraId="20FF2A8D" w14:textId="77777777" w:rsidR="00C972CB" w:rsidRDefault="002457F6">
            <w:pPr>
              <w:pStyle w:val="P68B1DB1-Normal11"/>
              <w:rPr>
                <w:noProof/>
              </w:rPr>
            </w:pPr>
            <w:r>
              <w:rPr>
                <w:noProof/>
              </w:rPr>
              <w:t>Ministrijas dekrētos iekļauj šādus galvenos elementus:</w:t>
            </w:r>
          </w:p>
          <w:p w14:paraId="78102DEC" w14:textId="77777777" w:rsidR="00C972CB" w:rsidRDefault="002457F6">
            <w:pPr>
              <w:pStyle w:val="P68B1DB1-Normal11"/>
              <w:rPr>
                <w:noProof/>
              </w:rPr>
            </w:pPr>
            <w:r>
              <w:rPr>
                <w:noProof/>
              </w:rPr>
              <w:t>I) pāriet uz sistēmiskāku pieeju pētniecības un izstrādes darbībām, izmantojot jaunu vienkāršotu modeli, kura mērķis ir radīt būtisku ietekmi, iz</w:t>
            </w:r>
            <w:r>
              <w:rPr>
                <w:noProof/>
              </w:rPr>
              <w:t>vairoties no prioritāšu izkliedētības un sadrumstalotības; reformēt tiesību aktus, lai palielinātu augsta līmeņa personu (piemēram, pētnieku un vadītāju) mobilitāti starp universitātēm, pētniecības infrastruktūrām un uzņēmumiem; III) fondu pārvaldības vien</w:t>
            </w:r>
            <w:r>
              <w:rPr>
                <w:noProof/>
              </w:rPr>
              <w:t>kāršošana; reformēt pētnieku karjeras virzību, lai pievērstu lielāku uzmanību pētniecības darbībām.</w:t>
            </w:r>
          </w:p>
        </w:tc>
      </w:tr>
    </w:tbl>
    <w:p w14:paraId="7309C085" w14:textId="77777777" w:rsidR="00C972CB" w:rsidRDefault="00C972CB">
      <w:pPr>
        <w:spacing w:before="120" w:after="120"/>
        <w:ind w:left="709"/>
        <w:jc w:val="both"/>
        <w:rPr>
          <w:noProof/>
        </w:rPr>
        <w:sectPr w:rsidR="00C972CB" w:rsidSect="000D3774">
          <w:headerReference w:type="even" r:id="rId260"/>
          <w:headerReference w:type="default" r:id="rId261"/>
          <w:footerReference w:type="even" r:id="rId262"/>
          <w:footerReference w:type="default" r:id="rId263"/>
          <w:headerReference w:type="first" r:id="rId264"/>
          <w:footerReference w:type="first" r:id="rId265"/>
          <w:pgSz w:w="16839" w:h="11907" w:orient="landscape"/>
          <w:pgMar w:top="1134" w:right="1134" w:bottom="1134" w:left="1134" w:header="567" w:footer="567" w:gutter="0"/>
          <w:cols w:space="720"/>
          <w:docGrid w:linePitch="360"/>
        </w:sectPr>
      </w:pPr>
    </w:p>
    <w:p w14:paraId="1D3DA860"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K.3. </w:t>
      </w:r>
      <w:r>
        <w:rPr>
          <w:noProof/>
        </w:rPr>
        <w:tab/>
      </w:r>
      <w:r>
        <w:rPr>
          <w:b/>
          <w:i w:val="0"/>
          <w:noProof/>
          <w:u w:val="single"/>
        </w:rPr>
        <w:t xml:space="preserve">Aizdevumam pieteikto reformu un investīciju apraksts </w:t>
      </w:r>
    </w:p>
    <w:p w14:paraId="61713175" w14:textId="77777777" w:rsidR="00C972CB" w:rsidRDefault="002457F6">
      <w:pPr>
        <w:pStyle w:val="P68B1DB1-Normal24"/>
        <w:spacing w:before="120" w:after="120"/>
        <w:jc w:val="both"/>
        <w:rPr>
          <w:rFonts w:eastAsia="Calibri"/>
          <w:noProof/>
        </w:rPr>
      </w:pPr>
      <w:r>
        <w:rPr>
          <w:noProof/>
        </w:rPr>
        <w:t xml:space="preserve">Ieguldījums 1.1: Valsts nozīmes </w:t>
      </w:r>
      <w:r>
        <w:rPr>
          <w:noProof/>
        </w:rPr>
        <w:t>pētniecības projekti (PRIN)</w:t>
      </w:r>
    </w:p>
    <w:p w14:paraId="4E833363" w14:textId="05CECCE5" w:rsidR="00C972CB" w:rsidRDefault="002457F6">
      <w:pPr>
        <w:pStyle w:val="P68B1DB1-Normal16"/>
        <w:spacing w:before="120" w:after="120"/>
        <w:jc w:val="both"/>
        <w:rPr>
          <w:rFonts w:eastAsia="Calibri"/>
          <w:noProof/>
        </w:rPr>
      </w:pPr>
      <w:r>
        <w:rPr>
          <w:noProof/>
        </w:rPr>
        <w:t xml:space="preserve">Pasākums ietver valsts nozīmes pētniecības projektu (PRIN) finansēšanu. Projektu ilgums ir vismaz divi gadi, un to īstenošanai nepieciešama universitāšu un pētniecības iestāžu pētniecības vienību sadarbība. Finansētos projektus </w:t>
      </w:r>
      <w:r>
        <w:rPr>
          <w:noProof/>
        </w:rPr>
        <w:t xml:space="preserve">atlasa Universitātes un pētniecības ministrija, pamatojoties uz atbildīgo personu zinātniskā profila kvalitāti, kā arī pētniecības projekta oriģinalitāti, metodoloģisko piemērotību, ietekmi un iespējamību. Šāda veida darbība veicina uz pētniecību balstītu </w:t>
      </w:r>
      <w:r>
        <w:rPr>
          <w:noProof/>
        </w:rPr>
        <w:t>iniciatīvu attīstību progresīvo pētījumu jomā un ciešāku mijiedarbību starp universitātēm un pētniecības iestādēm.</w:t>
      </w:r>
    </w:p>
    <w:p w14:paraId="1A574DA9" w14:textId="4118D93D" w:rsidR="00C972CB" w:rsidRDefault="002457F6">
      <w:pPr>
        <w:spacing w:before="120" w:after="120"/>
        <w:jc w:val="both"/>
        <w:rPr>
          <w:rFonts w:eastAsia="Calibri"/>
          <w:noProof/>
          <w:color w:val="000000" w:themeColor="text1"/>
        </w:rPr>
      </w:pPr>
      <w:r>
        <w:rPr>
          <w:noProof/>
          <w:color w:val="000000" w:themeColor="text1"/>
        </w:rPr>
        <w:t>Paredzams, ka ar šo ieguldījumu līdz 2026. gadam tiks finansēti</w:t>
      </w:r>
      <w:r>
        <w:rPr>
          <w:rFonts w:ascii="Arial Narrow" w:hAnsi="Arial Narrow"/>
          <w:noProof/>
          <w:color w:val="006100"/>
          <w:sz w:val="20"/>
        </w:rPr>
        <w:t xml:space="preserve"> </w:t>
      </w:r>
      <w:r>
        <w:rPr>
          <w:noProof/>
          <w:color w:val="000000" w:themeColor="text1"/>
        </w:rPr>
        <w:t>5350 projekti.</w:t>
      </w:r>
    </w:p>
    <w:p w14:paraId="224B0711" w14:textId="77777777" w:rsidR="00C972CB" w:rsidRDefault="002457F6">
      <w:pPr>
        <w:spacing w:before="120" w:after="120"/>
        <w:jc w:val="both"/>
        <w:rPr>
          <w:rFonts w:eastAsia="Calibri"/>
          <w:noProof/>
          <w:color w:val="000000" w:themeColor="text1"/>
        </w:rPr>
      </w:pPr>
      <w:r>
        <w:rPr>
          <w:noProof/>
          <w:color w:val="000000" w:themeColor="text1"/>
        </w:rPr>
        <w:t>Lai nodrošinātu, ka pasākums atbilst Tehniskajām vadlīnijām “N</w:t>
      </w:r>
      <w:r>
        <w:rPr>
          <w:noProof/>
          <w:color w:val="000000" w:themeColor="text1"/>
        </w:rPr>
        <w:t>enodari būtisku kaitējumu” (2021/C58/01), atbilstības kritērijos, kas ietverti darba uzdevumā turpmākajiem uzaicinājumiem iesniegt projektus, izslēdz šādu darbību sarakstu: darbības, kas saistītas ar fosilajiem kurināmajiem, tostarp pakārtota izmantošana</w:t>
      </w:r>
      <w:r>
        <w:rPr>
          <w:rStyle w:val="FootnoteReference"/>
          <w:rFonts w:eastAsia="Calibri"/>
          <w:noProof/>
          <w:color w:val="000000" w:themeColor="text1"/>
        </w:rPr>
        <w:footnoteReference w:id="79"/>
      </w:r>
      <w:r>
        <w:rPr>
          <w:noProof/>
          <w:color w:val="000000" w:themeColor="text1"/>
        </w:rPr>
        <w:t>;</w:t>
      </w:r>
      <w:r>
        <w:rPr>
          <w:noProof/>
          <w:color w:val="000000" w:themeColor="text1"/>
        </w:rPr>
        <w:t xml:space="preserve"> darbības ES emisijas kvotu tirdzniecības sistēmas (ETS) ietvaros, lai sasniegtu prognozētās siltumnīcefekta gāzu emisijas, kas nav zemākas par attiecīgajām līmeņatzīmēm</w:t>
      </w:r>
      <w:r>
        <w:rPr>
          <w:rStyle w:val="FootnoteReference"/>
          <w:rFonts w:eastAsia="Calibri"/>
          <w:noProof/>
          <w:color w:val="000000" w:themeColor="text1"/>
        </w:rPr>
        <w:footnoteReference w:id="80"/>
      </w:r>
      <w:r>
        <w:rPr>
          <w:noProof/>
          <w:color w:val="000000" w:themeColor="text1"/>
        </w:rPr>
        <w:t>; III) darbības, kas saistītas ar atkritumu poligoniem, atkritumu sadedzināšanas iekār</w:t>
      </w:r>
      <w:r>
        <w:rPr>
          <w:noProof/>
          <w:color w:val="000000" w:themeColor="text1"/>
        </w:rPr>
        <w:t>tām</w:t>
      </w:r>
      <w:r>
        <w:rPr>
          <w:rStyle w:val="FootnoteReference"/>
          <w:rFonts w:eastAsia="Calibri"/>
          <w:noProof/>
          <w:color w:val="000000" w:themeColor="text1"/>
        </w:rPr>
        <w:footnoteReference w:id="81"/>
      </w:r>
      <w:r>
        <w:rPr>
          <w:noProof/>
        </w:rPr>
        <w:t xml:space="preserve"> </w:t>
      </w:r>
      <w:r>
        <w:rPr>
          <w:noProof/>
          <w:color w:val="000000" w:themeColor="text1"/>
        </w:rPr>
        <w:t>un mehāniski bioloģiskās apstrādes iekārtām</w:t>
      </w:r>
      <w:r>
        <w:rPr>
          <w:rStyle w:val="FootnoteReference"/>
          <w:rFonts w:eastAsia="Calibri"/>
          <w:noProof/>
          <w:color w:val="000000" w:themeColor="text1"/>
        </w:rPr>
        <w:footnoteReference w:id="82"/>
      </w:r>
      <w:r>
        <w:rPr>
          <w:noProof/>
          <w:color w:val="000000" w:themeColor="text1"/>
        </w:rPr>
        <w:t>; un iv) darbības, kurās atkritumu ilgtermiņa apglabāšana var radīt kaitējumu videi. Darba uzdevumā papildus nosaka, ka var izvēlēties tikai tās darbības, kas atbilst attiecīgajiem ES un valsts tiesību aktie</w:t>
      </w:r>
      <w:r>
        <w:rPr>
          <w:noProof/>
          <w:color w:val="000000" w:themeColor="text1"/>
        </w:rPr>
        <w:t>m vides jomā.</w:t>
      </w:r>
    </w:p>
    <w:p w14:paraId="335AD345" w14:textId="77777777" w:rsidR="00C972CB" w:rsidRDefault="002457F6">
      <w:pPr>
        <w:pStyle w:val="paragraph"/>
        <w:spacing w:before="120" w:beforeAutospacing="0" w:after="120" w:afterAutospacing="0"/>
        <w:jc w:val="both"/>
        <w:textAlignment w:val="baseline"/>
        <w:rPr>
          <w:rStyle w:val="eop"/>
          <w:rFonts w:eastAsiaTheme="majorEastAsia"/>
          <w:b/>
          <w:noProof/>
          <w:color w:val="000000" w:themeColor="text1"/>
          <w:shd w:val="clear" w:color="auto" w:fill="FFFFFF"/>
        </w:rPr>
      </w:pPr>
      <w:r>
        <w:rPr>
          <w:rStyle w:val="normaltextrun"/>
          <w:b/>
          <w:noProof/>
          <w:color w:val="000000" w:themeColor="text1"/>
          <w:shd w:val="clear" w:color="auto" w:fill="FFFFFF"/>
        </w:rPr>
        <w:t>Ieguldījums 1.3. Partnerības, kas attiecinātas uz universitātēm, pētniecības centriem, uzņēmumiem un fundamentālo pētījumu projektu finansēšanu</w:t>
      </w:r>
    </w:p>
    <w:p w14:paraId="3E67CB78" w14:textId="77777777" w:rsidR="00C972CB" w:rsidRDefault="002457F6">
      <w:pPr>
        <w:spacing w:before="120" w:after="120"/>
        <w:jc w:val="both"/>
        <w:rPr>
          <w:rFonts w:eastAsia="Calibri"/>
          <w:noProof/>
          <w:color w:val="000000" w:themeColor="text1"/>
        </w:rPr>
      </w:pPr>
      <w:r>
        <w:rPr>
          <w:noProof/>
          <w:color w:val="000000" w:themeColor="text1"/>
        </w:rPr>
        <w:t xml:space="preserve">Salīdzinājumā ar citām līdzīgām Eiropas valstīm Itālijas pētniecības un universitāšu sistēmas </w:t>
      </w:r>
      <w:r>
        <w:rPr>
          <w:noProof/>
          <w:color w:val="000000" w:themeColor="text1"/>
        </w:rPr>
        <w:t>zemie patenti un jaunu uzņēmumu ražošana šķiet īpaši svarīga</w:t>
      </w:r>
      <w:r>
        <w:rPr>
          <w:rStyle w:val="FootnoteReference"/>
          <w:rFonts w:eastAsia="Calibri"/>
          <w:noProof/>
          <w:color w:val="000000" w:themeColor="text1"/>
        </w:rPr>
        <w:footnoteReference w:id="83"/>
      </w:r>
      <w:r>
        <w:rPr>
          <w:noProof/>
        </w:rPr>
        <w:t>.</w:t>
      </w:r>
      <w:r>
        <w:rPr>
          <w:noProof/>
          <w:color w:val="000000" w:themeColor="text1"/>
        </w:rPr>
        <w:t> Tas ir saistīts ar dažām strukturālām problēmām, piemēram, mazo un vidējo uzņēmumu dominējošo lomu valsts ekonomikā, lielajām reģionālajām atšķirībām ienākumu un produktivitātes ziņā un univers</w:t>
      </w:r>
      <w:r>
        <w:rPr>
          <w:noProof/>
          <w:color w:val="000000" w:themeColor="text1"/>
        </w:rPr>
        <w:t xml:space="preserve">itāšu zemo spēju veidot sakarus ar uzņēmumiem. </w:t>
      </w:r>
    </w:p>
    <w:p w14:paraId="2EF5866C" w14:textId="2D10D5BF" w:rsidR="00C972CB" w:rsidRDefault="002457F6">
      <w:pPr>
        <w:pStyle w:val="P68B1DB1-Normal16"/>
        <w:spacing w:before="120" w:after="120"/>
        <w:jc w:val="both"/>
        <w:rPr>
          <w:rFonts w:eastAsia="Calibri"/>
          <w:noProof/>
        </w:rPr>
      </w:pPr>
      <w:r>
        <w:rPr>
          <w:noProof/>
        </w:rPr>
        <w:t xml:space="preserve">Ieguldījumu mērķis ir finansēt vismaz 14 galvenās fundamentālās pētniecības programmas, ko īsteno plaši publisko un privāto subjektu tīkli. Ieguldījums ir saskaņots ar vienu no PDR mērķiem veicināt pozitīvas </w:t>
      </w:r>
      <w:r>
        <w:rPr>
          <w:noProof/>
        </w:rPr>
        <w:t xml:space="preserve">pārmaiņas, piesaistot fundamentālos pētījumus. Katrai programmai veic īpašus ieinteresēto personu iesaistīšanas procesus, lai iesaistītu iedzīvotājus, kā arī veicinātu tehnoloģiju un zināšanu nodošanu teritorijām, uzņēmumiem un valsts pārvaldes iestādēm. </w:t>
      </w:r>
    </w:p>
    <w:p w14:paraId="1C32B02F" w14:textId="3E38B291" w:rsidR="00C972CB" w:rsidRDefault="002457F6">
      <w:pPr>
        <w:pStyle w:val="P68B1DB1-Normal16"/>
        <w:spacing w:before="120" w:after="120"/>
        <w:jc w:val="both"/>
        <w:rPr>
          <w:rFonts w:eastAsia="Calibri"/>
          <w:noProof/>
        </w:rPr>
      </w:pPr>
      <w:r>
        <w:rPr>
          <w:noProof/>
        </w:rPr>
        <w:t>Paredzams, ka investīcijas stiprinās valstu tehnoloģiju ķēdes un veicinās to dalību stratēģiskās Eiropas un globālajās vērtības ķēdēs. Iespējamie piemēri ir šādi: ilgtspējīga mobilitāte (ilgtspējīgi akumulatori, materiāli, loģistika u. c.), alternatīvā ene</w:t>
      </w:r>
      <w:r>
        <w:rPr>
          <w:noProof/>
        </w:rPr>
        <w:t>rģija, supravadītāji, klimata pārmaiņu uzraudzība un novēršana, aprites ekonomika modes nozarē, rūpnieciskā simbioze, ekodizains un dizains ilgtspējai, atkritumu apsaimniekošana, reciklēšana un reciklēšana, bioloģiskā daudzveidība, zaļie ražošanas procesi,</w:t>
      </w:r>
      <w:r>
        <w:rPr>
          <w:noProof/>
        </w:rPr>
        <w:t xml:space="preserve"> pašvadoši transportlīdzekļi, vakcīnas, bioreaktori, jaunas izejvielas, ūdens resursu apsaimniekošana un ūdens resursu saglabāšanas kultūras mantojums.  Paredzams, ka katra programma veicinās mazo un vidējo uzņēmumu apvienošanu ap lieliem privātā sektora d</w:t>
      </w:r>
      <w:r>
        <w:rPr>
          <w:noProof/>
        </w:rPr>
        <w:t>alībniekiem un publiskiem pētniecības centriem, kā arī veicinās kopīgus un savstarpēji papildinošus pētniecības pasākumus. Pētniecības un attīstības projekti ietver ieguldījumus gan cilvēkkapitālā, gan fundamentālo pētījumu attīstībā universitātēm, pētniec</w:t>
      </w:r>
      <w:r>
        <w:rPr>
          <w:noProof/>
        </w:rPr>
        <w:t>ības centriem un uzņēmumiem. </w:t>
      </w:r>
    </w:p>
    <w:p w14:paraId="5F9DB178" w14:textId="77777777" w:rsidR="00C972CB" w:rsidRDefault="002457F6">
      <w:pPr>
        <w:spacing w:before="120" w:after="120"/>
        <w:jc w:val="both"/>
        <w:rPr>
          <w:rFonts w:eastAsia="Calibri"/>
          <w:noProof/>
          <w:color w:val="000000" w:themeColor="text1"/>
        </w:rPr>
      </w:pPr>
      <w:r>
        <w:rPr>
          <w:noProof/>
          <w:color w:val="000000" w:themeColor="text1"/>
        </w:rPr>
        <w:t>Lai nodrošinātu, ka pasākums atbilst Tehniskajiem norādījumiem “nenodari būtisku kaitējumu” (2021/C58/01), atbilstības kritērijos, kas iekļauti turpmākajos uzaicinājumos iesniegt programmas, izslēdz šādu darbību sarakstu: darb</w:t>
      </w:r>
      <w:r>
        <w:rPr>
          <w:noProof/>
          <w:color w:val="000000" w:themeColor="text1"/>
        </w:rPr>
        <w:t>ības, kas saistītas ar fosilajiem kurināmajiem, tostarp pakārtota izmantošana</w:t>
      </w:r>
      <w:r>
        <w:rPr>
          <w:rStyle w:val="FootnoteReference"/>
          <w:rFonts w:eastAsia="Calibri"/>
          <w:noProof/>
          <w:color w:val="000000" w:themeColor="text1"/>
        </w:rPr>
        <w:footnoteReference w:id="84"/>
      </w:r>
      <w:r>
        <w:rPr>
          <w:noProof/>
          <w:color w:val="000000" w:themeColor="text1"/>
        </w:rPr>
        <w:t>; darbības ES emisijas kvotu tirdzniecības sistēmas (ETS) ietvaros, lai sasniegtu prognozētās siltumnīcefekta gāzu emisijas, kas nav zemākas par attiecīgajām līmeņatzīmēm</w:t>
      </w:r>
      <w:r>
        <w:rPr>
          <w:rStyle w:val="FootnoteReference"/>
          <w:rFonts w:eastAsia="Calibri"/>
          <w:noProof/>
          <w:color w:val="000000" w:themeColor="text1"/>
        </w:rPr>
        <w:footnoteReference w:id="85"/>
      </w:r>
      <w:r>
        <w:rPr>
          <w:noProof/>
          <w:color w:val="000000" w:themeColor="text1"/>
        </w:rPr>
        <w:t xml:space="preserve">; III) </w:t>
      </w:r>
      <w:r>
        <w:rPr>
          <w:noProof/>
          <w:color w:val="000000" w:themeColor="text1"/>
        </w:rPr>
        <w:t>darbības, kas saistītas ar atkritumu poligoniem, atkritumu sadedzināšanas iekārtām</w:t>
      </w:r>
      <w:r>
        <w:rPr>
          <w:rStyle w:val="FootnoteReference"/>
          <w:rFonts w:eastAsia="Calibri"/>
          <w:noProof/>
          <w:color w:val="000000" w:themeColor="text1"/>
        </w:rPr>
        <w:footnoteReference w:id="86"/>
      </w:r>
      <w:r>
        <w:rPr>
          <w:noProof/>
          <w:color w:val="000000" w:themeColor="text1"/>
        </w:rPr>
        <w:t xml:space="preserve"> un mehāniski bioloģiskās apstrādes iekārtām</w:t>
      </w:r>
      <w:r>
        <w:rPr>
          <w:rStyle w:val="FootnoteReference"/>
          <w:rFonts w:eastAsia="Calibri"/>
          <w:noProof/>
          <w:color w:val="000000" w:themeColor="text1"/>
        </w:rPr>
        <w:footnoteReference w:id="87"/>
      </w:r>
      <w:r>
        <w:rPr>
          <w:noProof/>
          <w:color w:val="000000" w:themeColor="text1"/>
        </w:rPr>
        <w:t>; un iv) darbības, kurās atkritumu ilgtermiņa apglabāšana var radīt kaitējumu videi. Darba uzdevumā papildus nosaka, ka var izvē</w:t>
      </w:r>
      <w:r>
        <w:rPr>
          <w:noProof/>
          <w:color w:val="000000" w:themeColor="text1"/>
        </w:rPr>
        <w:t>lēties tikai tās darbības, kas atbilst attiecīgajiem ES un valsts tiesību aktiem vides jomā. </w:t>
      </w:r>
    </w:p>
    <w:p w14:paraId="3FAE43DA" w14:textId="77777777" w:rsidR="00C972CB" w:rsidRDefault="002457F6">
      <w:pPr>
        <w:pStyle w:val="P68B1DB1-Normal24"/>
        <w:spacing w:before="120" w:after="120"/>
        <w:jc w:val="both"/>
        <w:rPr>
          <w:rFonts w:eastAsia="Calibri"/>
          <w:noProof/>
        </w:rPr>
      </w:pPr>
      <w:r>
        <w:rPr>
          <w:noProof/>
        </w:rPr>
        <w:t>Ieguldījums 1.4.: Stiprināt pētniecības struktūras un atbalstīt “valstu pētniecības un izstrādes līderu” izveidi attiecībā uz dažām svarīgām pamattehnoloģijām</w:t>
      </w:r>
    </w:p>
    <w:p w14:paraId="1B6DD452" w14:textId="667305E9" w:rsidR="00C972CB" w:rsidRDefault="002457F6">
      <w:pPr>
        <w:pStyle w:val="P68B1DB1-Normal16"/>
        <w:spacing w:before="120" w:after="120"/>
        <w:jc w:val="both"/>
        <w:rPr>
          <w:rFonts w:eastAsia="Calibri"/>
          <w:noProof/>
        </w:rPr>
      </w:pPr>
      <w:r>
        <w:rPr>
          <w:noProof/>
        </w:rPr>
        <w:t xml:space="preserve">Šā </w:t>
      </w:r>
      <w:r>
        <w:rPr>
          <w:noProof/>
        </w:rPr>
        <w:t>pasākuma mērķis ir finansēt vismaz piecu valsts pētniecības centru izveidi, kurus atlasa konkursa kārtībā un kuri, sadarbojoties universitātēm, pētniecības centriem un uzņēmumiem, spētu sasniegt pētniecības un inovācijas spēju kritisko slieksni. Atlasi vei</w:t>
      </w:r>
      <w:r>
        <w:rPr>
          <w:noProof/>
        </w:rPr>
        <w:t>c, pamatojoties uz konkursiem, kuros var piedalīties valstu konsorciji, kurus vada koordinators, ņemot vērā arī iepriekšējo kartēšanu.</w:t>
      </w:r>
    </w:p>
    <w:p w14:paraId="5F770443" w14:textId="57C02E9D" w:rsidR="00C972CB" w:rsidRDefault="002457F6">
      <w:pPr>
        <w:pStyle w:val="P68B1DB1-Normal16"/>
        <w:spacing w:before="120" w:after="120"/>
        <w:jc w:val="both"/>
        <w:rPr>
          <w:rFonts w:eastAsia="Calibri"/>
          <w:noProof/>
        </w:rPr>
      </w:pPr>
      <w:r>
        <w:rPr>
          <w:noProof/>
        </w:rPr>
        <w:t>Katra valsts centra galvenie elementi ir a) attiecīgu pētniecības iestāžu izveide un atjaunošana, b) privātā sektora dalī</w:t>
      </w:r>
      <w:r>
        <w:rPr>
          <w:noProof/>
        </w:rPr>
        <w:t>bnieku iesaistīšana pētniecības projektu īstenošanā un īstenošanā, c) atbalsts jaunuzņēmumiem un atdalītiem uzņēmumiem. Atlase būtu jāveic, izmantojot īpašus uzaicinājumus, no kuriem pirmo izsludina līdz 2022. gada sākumam. Izvēli starp priekšlikumiem dalī</w:t>
      </w:r>
      <w:r>
        <w:rPr>
          <w:noProof/>
        </w:rPr>
        <w:t>bai uzaicinājumos izdara tādā pašā veidā, kā to pieņēmusi Eiropas Inovācijas padome.</w:t>
      </w:r>
    </w:p>
    <w:p w14:paraId="73EB5A33" w14:textId="14F424DA" w:rsidR="00C972CB" w:rsidRDefault="002457F6">
      <w:pPr>
        <w:spacing w:before="120" w:after="120"/>
        <w:jc w:val="both"/>
        <w:rPr>
          <w:rFonts w:eastAsia="Calibri"/>
          <w:noProof/>
          <w:color w:val="000000" w:themeColor="text1"/>
        </w:rPr>
      </w:pPr>
      <w:r>
        <w:rPr>
          <w:noProof/>
          <w:color w:val="000000" w:themeColor="text1"/>
        </w:rPr>
        <w:t>Lai nodrošinātu, ka pasākums atbilst Tehniskajām vadlīnijām “Nenodari būtisku kaitējumu” (2021/C58/01), atbilstības kritērijos, kas ietverti darba uzdevumā turpmākajiem uz</w:t>
      </w:r>
      <w:r>
        <w:rPr>
          <w:noProof/>
          <w:color w:val="000000" w:themeColor="text1"/>
        </w:rPr>
        <w:t>aicinājumiem iesniegt projektus, izslēdz šādu darbību sarakstu: darbības, kas saistītas ar fosilajiem kurināmajiem, tostarp pakārtota izmantošana</w:t>
      </w:r>
      <w:r>
        <w:rPr>
          <w:rStyle w:val="FootnoteReference"/>
          <w:noProof/>
          <w:color w:val="000000" w:themeColor="text1"/>
        </w:rPr>
        <w:footnoteReference w:id="88"/>
      </w:r>
      <w:r>
        <w:rPr>
          <w:noProof/>
          <w:color w:val="000000" w:themeColor="text1"/>
        </w:rPr>
        <w:t xml:space="preserve">; darbības ES emisijas kvotu tirdzniecības sistēmas (ETS) ietvaros, lai sasniegtu prognozētās siltumnīcefekta </w:t>
      </w:r>
      <w:r>
        <w:rPr>
          <w:noProof/>
          <w:color w:val="000000" w:themeColor="text1"/>
        </w:rPr>
        <w:t>gāzu emisijas, kas nav zemākas par attiecīgajām līmeņatzīmēm</w:t>
      </w:r>
      <w:r>
        <w:rPr>
          <w:rStyle w:val="FootnoteReference"/>
          <w:noProof/>
          <w:color w:val="000000" w:themeColor="text1"/>
        </w:rPr>
        <w:footnoteReference w:id="89"/>
      </w:r>
      <w:r>
        <w:rPr>
          <w:noProof/>
          <w:color w:val="000000" w:themeColor="text1"/>
        </w:rPr>
        <w:t>; III) darbības, kas saistītas ar atkritumu poligoniem, atkritumu sadedzināšanas iekārtām</w:t>
      </w:r>
      <w:r>
        <w:rPr>
          <w:rStyle w:val="FootnoteReference"/>
          <w:noProof/>
          <w:color w:val="000000" w:themeColor="text1"/>
        </w:rPr>
        <w:footnoteReference w:id="90"/>
      </w:r>
      <w:r>
        <w:rPr>
          <w:noProof/>
          <w:color w:val="000000" w:themeColor="text1"/>
        </w:rPr>
        <w:t xml:space="preserve"> un mehāniski bioloģiskās apstrādes iekārtām</w:t>
      </w:r>
      <w:r>
        <w:rPr>
          <w:rStyle w:val="FootnoteReference"/>
          <w:noProof/>
          <w:color w:val="000000" w:themeColor="text1"/>
        </w:rPr>
        <w:footnoteReference w:id="91"/>
      </w:r>
      <w:r>
        <w:rPr>
          <w:noProof/>
          <w:color w:val="000000" w:themeColor="text1"/>
        </w:rPr>
        <w:t>; un iv) darbības, kurās atkritumu ilgtermiņa apglabāšana va</w:t>
      </w:r>
      <w:r>
        <w:rPr>
          <w:noProof/>
          <w:color w:val="000000" w:themeColor="text1"/>
        </w:rPr>
        <w:t>r radīt kaitējumu videi. Darba uzdevumā papildus nosaka, ka var izvēlēties tikai tās darbības, kas atbilst attiecīgajiem ES un valsts tiesību aktiem vides jomā.</w:t>
      </w:r>
    </w:p>
    <w:p w14:paraId="26F04AE5" w14:textId="77777777" w:rsidR="00C972CB" w:rsidRDefault="002457F6">
      <w:pPr>
        <w:pStyle w:val="P68B1DB1-Normal24"/>
        <w:spacing w:before="120" w:after="120"/>
        <w:jc w:val="both"/>
        <w:rPr>
          <w:rFonts w:eastAsia="Calibri"/>
          <w:noProof/>
        </w:rPr>
      </w:pPr>
      <w:r>
        <w:rPr>
          <w:noProof/>
        </w:rPr>
        <w:t xml:space="preserve">Ieguldījums 1,5: “Ilgtspēju sekmējošu inovācijas ekosistēmu” izveide un stiprināšana, veidojot </w:t>
      </w:r>
      <w:r>
        <w:rPr>
          <w:noProof/>
        </w:rPr>
        <w:t xml:space="preserve">“pētniecības un izstrādes teritoriālos līderus”. </w:t>
      </w:r>
    </w:p>
    <w:p w14:paraId="6B75EA1D" w14:textId="471C6E57" w:rsidR="00C972CB" w:rsidRDefault="002457F6">
      <w:pPr>
        <w:pStyle w:val="P68B1DB1-Normal16"/>
        <w:spacing w:before="120" w:after="120"/>
        <w:jc w:val="both"/>
        <w:rPr>
          <w:rFonts w:eastAsia="Calibri"/>
          <w:noProof/>
        </w:rPr>
      </w:pPr>
      <w:r>
        <w:rPr>
          <w:noProof/>
        </w:rPr>
        <w:t>Ar pasākumu, ko īsteno MUR, līdz 2026. gadam finansē vismaz 10 pētniecības un inovācijas teritoriālos paraugus (esošus vai jaunus), kurus atlasa, pamatojoties uz īpašām konkursa procedūrām, īpašu uzmanību p</w:t>
      </w:r>
      <w:r>
        <w:rPr>
          <w:noProof/>
        </w:rPr>
        <w:t>ievēršot spējai veicināt sociālās ilgtspējas projektus. Katram projektam jābūt ar šādiem elementiem:a) inovatīviem mācību pasākumiem, ko sinerģijā veic universitātes un uzņēmumi un kuru mērķis ir samazināt neatbilstību starp prasmēm, kas vajadzīgas uzņēmum</w:t>
      </w:r>
      <w:r>
        <w:rPr>
          <w:noProof/>
        </w:rPr>
        <w:t>iem, un prasmēm, ko nodrošina universitātes, kā arī rūpniecības doktorantūras;b) pētniecības darbības un/vai pētniecības infrastruktūras, ko kopīgi veic universitātes un uzņēmumi, jo īpaši MVU, kas darbojas attiecīgajā teritorijā; c) atbalsts jaunuzņēmumie</w:t>
      </w:r>
      <w:r>
        <w:rPr>
          <w:noProof/>
        </w:rPr>
        <w:t>m; d) vietējo kopienu iesaistīšana inovācijas un ilgtspējas jautājumos.</w:t>
      </w:r>
    </w:p>
    <w:p w14:paraId="25A339D9" w14:textId="77777777" w:rsidR="00C972CB" w:rsidRDefault="002457F6">
      <w:pPr>
        <w:pStyle w:val="P68B1DB1-Normal16"/>
        <w:spacing w:before="120" w:after="120"/>
        <w:jc w:val="both"/>
        <w:rPr>
          <w:rFonts w:eastAsia="Calibri"/>
          <w:noProof/>
        </w:rPr>
      </w:pPr>
      <w:r>
        <w:rPr>
          <w:noProof/>
        </w:rPr>
        <w:t xml:space="preserve">Finansējamos projektus atlasa, pamatojoties uz šādiem kritērijiem: zinātniskā un tehniskā kvalitāte un tās atbilstība teritoriālajai orientācijai; efektīva spēja stimulēt uzņēmumu, jo </w:t>
      </w:r>
      <w:r>
        <w:rPr>
          <w:noProof/>
        </w:rPr>
        <w:t>īpaši MVU, novatoriskās spējas; III) spēja veidot valsts un starptautiskas attiecības ar lielākajām pētniecības iestādēm un vadošajiem uzņēmumiem; efektīvas spējas iesaistīt vietējās kopienas.</w:t>
      </w:r>
    </w:p>
    <w:p w14:paraId="01EEEF1C" w14:textId="618EA53D" w:rsidR="00C972CB" w:rsidRDefault="002457F6">
      <w:pPr>
        <w:spacing w:before="120" w:after="120"/>
        <w:jc w:val="both"/>
        <w:rPr>
          <w:rFonts w:eastAsiaTheme="minorEastAsia"/>
          <w:noProof/>
        </w:rPr>
      </w:pPr>
      <w:r>
        <w:rPr>
          <w:noProof/>
        </w:rPr>
        <w:t xml:space="preserve">Lai nodrošinātu, ka pasākums atbilst Tehniskajām vadlīnijām </w:t>
      </w:r>
      <w:r>
        <w:rPr>
          <w:noProof/>
        </w:rPr>
        <w:t>“Nenodari būtisku kaitējumu” (2021/C58/01), atbilstības kritērijos, kas ietverti darba uzdevumā turpmākajiem uzaicinājumiem iesniegt projektus, izslēdz šādu darbību sarakstu: darbības, kas saistītas ar fosilajiem kurināmajiem, tostarp pakārtota izmantošana</w:t>
      </w:r>
      <w:r>
        <w:rPr>
          <w:rStyle w:val="FootnoteReference"/>
          <w:noProof/>
        </w:rPr>
        <w:footnoteReference w:id="92"/>
      </w:r>
      <w:r>
        <w:rPr>
          <w:noProof/>
        </w:rPr>
        <w:t>; darbības ES emisijas kvotu tirdzniecības sistēmas (ETS) ietvaros, lai sasniegtu prognozētās siltumnīcefekta gāzu emisijas, kas nav zemākas par attiecīgajām līmeņatzīmēm</w:t>
      </w:r>
      <w:r>
        <w:rPr>
          <w:rStyle w:val="FootnoteReference"/>
          <w:noProof/>
        </w:rPr>
        <w:footnoteReference w:id="93"/>
      </w:r>
      <w:r>
        <w:rPr>
          <w:noProof/>
        </w:rPr>
        <w:t>; III) darbības, kas saistītas ar atkritumu poligoniem, atkritumu sadedzināšanas iek</w:t>
      </w:r>
      <w:r>
        <w:rPr>
          <w:noProof/>
        </w:rPr>
        <w:t>ārtām</w:t>
      </w:r>
      <w:r>
        <w:rPr>
          <w:rStyle w:val="FootnoteReference"/>
          <w:noProof/>
        </w:rPr>
        <w:footnoteReference w:id="94"/>
      </w:r>
      <w:r>
        <w:rPr>
          <w:noProof/>
        </w:rPr>
        <w:t xml:space="preserve"> un mehāniski bioloģiskās apstrādes iekārtām</w:t>
      </w:r>
      <w:r>
        <w:rPr>
          <w:rStyle w:val="FootnoteReference"/>
          <w:noProof/>
        </w:rPr>
        <w:footnoteReference w:id="95"/>
      </w:r>
      <w:r>
        <w:rPr>
          <w:noProof/>
        </w:rPr>
        <w:t>; un iv) darbības, kurās atkritumu ilgtermiņa apglabāšana var radīt kaitējumu videi. Darba uzdevumā papildus nosaka, ka var izvēlēties tikai tās darbības, kas atbilst attiecīgajiem ES un valsts tiesību akt</w:t>
      </w:r>
      <w:r>
        <w:rPr>
          <w:noProof/>
        </w:rPr>
        <w:t>iem vides jomā.</w:t>
      </w:r>
    </w:p>
    <w:p w14:paraId="4657BE44" w14:textId="77777777" w:rsidR="00C972CB" w:rsidRDefault="002457F6">
      <w:pPr>
        <w:pStyle w:val="P68B1DB1-Normal2"/>
        <w:spacing w:before="120" w:after="120"/>
        <w:jc w:val="both"/>
        <w:rPr>
          <w:rFonts w:eastAsia="Calibri"/>
          <w:noProof/>
        </w:rPr>
      </w:pPr>
      <w:r>
        <w:rPr>
          <w:noProof/>
        </w:rPr>
        <w:t>Ieguldījums 2.1.: Svarīgs projekts visas Eiropas interesēs (IPCEI)</w:t>
      </w:r>
    </w:p>
    <w:p w14:paraId="2F2B2048" w14:textId="77777777" w:rsidR="00C972CB" w:rsidRDefault="002457F6">
      <w:pPr>
        <w:spacing w:before="120" w:after="120" w:line="288" w:lineRule="auto"/>
        <w:jc w:val="both"/>
        <w:rPr>
          <w:rFonts w:eastAsiaTheme="minorEastAsia"/>
          <w:noProof/>
        </w:rPr>
      </w:pPr>
      <w:r>
        <w:rPr>
          <w:noProof/>
        </w:rPr>
        <w:t>Pasākuma mērķis ir papildināt pašreizējo IPCEI fondu, kas minēts 2020. gada budžeta likuma 1. panta 232. punktā, ar papildu resursiem.</w:t>
      </w:r>
    </w:p>
    <w:p w14:paraId="24823204" w14:textId="77777777" w:rsidR="00C972CB" w:rsidRDefault="002457F6">
      <w:pPr>
        <w:spacing w:before="120" w:after="120"/>
        <w:jc w:val="both"/>
        <w:rPr>
          <w:rFonts w:eastAsia="Calibri"/>
          <w:noProof/>
        </w:rPr>
      </w:pPr>
      <w:r>
        <w:rPr>
          <w:noProof/>
        </w:rPr>
        <w:t>Lai nodrošinātu, ka pasākums atbilst T</w:t>
      </w:r>
      <w:r>
        <w:rPr>
          <w:noProof/>
        </w:rPr>
        <w:t>ehniskajām vadlīnijām “Nenodari būtisku kaitējumu” (2021/C58/01), atbilstības kritērijos, kas ietverti darba uzdevumā turpmākajiem uzaicinājumiem iesniegt projektus, izslēdz šādu darbību sarakstu: darbības, kas saistītas ar fosilajiem kurināmajiem, tostarp</w:t>
      </w:r>
      <w:r>
        <w:rPr>
          <w:noProof/>
        </w:rPr>
        <w:t xml:space="preserve"> pakārtota izmantošana</w:t>
      </w:r>
      <w:r>
        <w:rPr>
          <w:rStyle w:val="FootnoteReference"/>
          <w:noProof/>
        </w:rPr>
        <w:footnoteReference w:id="96"/>
      </w:r>
      <w:r>
        <w:rPr>
          <w:noProof/>
        </w:rPr>
        <w:t>; darbības ES emisijas kvotu tirdzniecības sistēmas (ETS) ietvaros, lai sasniegtu prognozētās siltumnīcefekta gāzu emisijas, kas nav zemākas par attiecīgajām līmeņatzīmēm</w:t>
      </w:r>
      <w:r>
        <w:rPr>
          <w:rStyle w:val="FootnoteReference"/>
          <w:noProof/>
        </w:rPr>
        <w:footnoteReference w:id="97"/>
      </w:r>
      <w:r>
        <w:rPr>
          <w:noProof/>
        </w:rPr>
        <w:t>; III) darbības, kas saistītas ar atkritumu poligoniem, atkrit</w:t>
      </w:r>
      <w:r>
        <w:rPr>
          <w:noProof/>
        </w:rPr>
        <w:t>umu sadedzināšanas iekārtām</w:t>
      </w:r>
      <w:r>
        <w:rPr>
          <w:rStyle w:val="FootnoteReference"/>
          <w:noProof/>
        </w:rPr>
        <w:footnoteReference w:id="98"/>
      </w:r>
      <w:r>
        <w:rPr>
          <w:noProof/>
        </w:rPr>
        <w:t xml:space="preserve"> un mehāniski bioloģiskās apstrādes iekārtām</w:t>
      </w:r>
      <w:r>
        <w:rPr>
          <w:rStyle w:val="FootnoteReference"/>
          <w:noProof/>
        </w:rPr>
        <w:footnoteReference w:id="99"/>
      </w:r>
      <w:r>
        <w:rPr>
          <w:noProof/>
        </w:rPr>
        <w:t>; un iv) darbības, kurās atkritumu ilgtermiņa apglabāšana var radīt kaitējumu videi. Darba uzdevumā papildus nosaka, ka var izvēlēties tikai tās darbības, kas atbilst attiecīgajiem ES</w:t>
      </w:r>
      <w:r>
        <w:rPr>
          <w:noProof/>
        </w:rPr>
        <w:t xml:space="preserve"> un valsts tiesību aktiem vides jomā.</w:t>
      </w:r>
    </w:p>
    <w:p w14:paraId="31C57E59" w14:textId="77777777" w:rsidR="00C972CB" w:rsidRDefault="002457F6">
      <w:pPr>
        <w:pStyle w:val="P68B1DB1-Normal2"/>
        <w:spacing w:before="120" w:after="120"/>
        <w:jc w:val="both"/>
        <w:rPr>
          <w:rFonts w:eastAsia="Calibri"/>
          <w:noProof/>
        </w:rPr>
      </w:pPr>
      <w:r>
        <w:rPr>
          <w:noProof/>
        </w:rPr>
        <w:t>Ieguldījums 2.3. Tehnoloģiju nodošanas centru stiprināšana un nozaru/teritoriāla paplašināšana pa rūpniecības segmentiem</w:t>
      </w:r>
    </w:p>
    <w:p w14:paraId="008CED55" w14:textId="77777777" w:rsidR="00C972CB" w:rsidRDefault="002457F6">
      <w:pPr>
        <w:spacing w:before="120" w:after="120"/>
        <w:jc w:val="both"/>
        <w:rPr>
          <w:rFonts w:eastAsia="Calibri"/>
          <w:noProof/>
        </w:rPr>
      </w:pPr>
      <w:r>
        <w:rPr>
          <w:noProof/>
        </w:rPr>
        <w:t>Itālijā MiMIT īstenotā pasākuma mērķis ir atbalstīt, tostarp izmantojot reorganizācijas un racion</w:t>
      </w:r>
      <w:r>
        <w:rPr>
          <w:noProof/>
        </w:rPr>
        <w:t>alizācijas procesu, piecdesmit centru tīklu (kompetences centri, Eiropas digitālās inovācijas centrs, izcilības zīmogs, testēšanas un eksperimentēšanas mehānisms, valstu digitālās inovācijas centri), kas atbild par projektu izstrādi, progresīvu tehnoloģisk</w:t>
      </w:r>
      <w:r>
        <w:rPr>
          <w:noProof/>
        </w:rPr>
        <w:t>o pakalpojumu sniegšanu uzņēmumiem un inovatīviem un kvalificētiem tehnoloģiju nodošanas pakalpojumiem. Ar šo pasākumu paredzēto centru vienkāršošanas un racionalizācijas procesa mērķis ir palielināt progresīvus tehnoloģiskos pakalpojumus uzņēmumiem, galve</w:t>
      </w:r>
      <w:r>
        <w:rPr>
          <w:noProof/>
        </w:rPr>
        <w:t xml:space="preserve">no uzmanību pievēršot progresīvām ražošanas tehnoloģijām un specializācijai. </w:t>
      </w:r>
    </w:p>
    <w:p w14:paraId="397996EB" w14:textId="77777777" w:rsidR="00C972CB" w:rsidRDefault="002457F6">
      <w:pPr>
        <w:spacing w:before="120" w:after="120"/>
        <w:jc w:val="both"/>
        <w:rPr>
          <w:rFonts w:eastAsia="Calibri"/>
          <w:noProof/>
        </w:rPr>
      </w:pPr>
      <w:r>
        <w:rPr>
          <w:noProof/>
        </w:rPr>
        <w:t>Centru sniegtie pakalpojumi ietver: digitālā novērtēšana, ii) pārbaude pirms ieguldījuma, iii) apmācība; piekļuve finansējumam; IV) finansiāls un darbības atbalsts inovācijas pro</w:t>
      </w:r>
      <w:r>
        <w:rPr>
          <w:noProof/>
        </w:rPr>
        <w:t>jektu izstrādei (tehnoloģijas gatavības līmenis (TRL) vairāk nekā 5); VI) tehnoloģiju starpniecība; un vii) izpratnes veicināšana vietējā līmenī.</w:t>
      </w:r>
    </w:p>
    <w:p w14:paraId="089F8254" w14:textId="77777777" w:rsidR="00C972CB" w:rsidRDefault="002457F6">
      <w:pPr>
        <w:spacing w:before="120" w:after="120"/>
        <w:jc w:val="both"/>
        <w:rPr>
          <w:rFonts w:eastAsia="Calibri"/>
          <w:noProof/>
        </w:rPr>
      </w:pPr>
      <w:r>
        <w:rPr>
          <w:noProof/>
        </w:rPr>
        <w:t>EDIH un TEF savu darbību veikšanai var saņemt finansējumu no citiem ES fondiem, tostarp no programmas “Digitāl</w:t>
      </w:r>
      <w:r>
        <w:rPr>
          <w:noProof/>
        </w:rPr>
        <w:t>ā Eiropa”</w:t>
      </w:r>
      <w:r>
        <w:rPr>
          <w:noProof/>
          <w:color w:val="D13438"/>
          <w:u w:val="single"/>
        </w:rPr>
        <w:t>.</w:t>
      </w:r>
      <w:r>
        <w:rPr>
          <w:noProof/>
        </w:rPr>
        <w:t xml:space="preserve">  </w:t>
      </w:r>
    </w:p>
    <w:p w14:paraId="6A577DFF" w14:textId="77777777" w:rsidR="00C972CB" w:rsidRDefault="002457F6">
      <w:pPr>
        <w:spacing w:before="120" w:after="120"/>
        <w:jc w:val="both"/>
        <w:rPr>
          <w:rFonts w:eastAsia="Calibri"/>
          <w:noProof/>
        </w:rPr>
      </w:pPr>
      <w:r>
        <w:rPr>
          <w:noProof/>
        </w:rPr>
        <w:t>Investīcijas sastāv no diviem intervences virzieniem:</w:t>
      </w:r>
    </w:p>
    <w:p w14:paraId="3989834B" w14:textId="77777777" w:rsidR="00C972CB" w:rsidRDefault="002457F6">
      <w:pPr>
        <w:spacing w:before="120" w:after="120"/>
        <w:jc w:val="both"/>
        <w:rPr>
          <w:rFonts w:eastAsia="Calibri"/>
          <w:noProof/>
        </w:rPr>
      </w:pPr>
      <w:r>
        <w:rPr>
          <w:noProof/>
        </w:rPr>
        <w:t xml:space="preserve">Pirmajā līnijā ANM finansē tikai 35 centrus bez atbalsta no citiem ES avotiem. </w:t>
      </w:r>
    </w:p>
    <w:p w14:paraId="6B7E9E0C" w14:textId="77777777" w:rsidR="00C972CB" w:rsidRDefault="002457F6">
      <w:pPr>
        <w:spacing w:before="120" w:after="120"/>
        <w:jc w:val="both"/>
        <w:rPr>
          <w:rFonts w:eastAsia="Calibri"/>
          <w:noProof/>
        </w:rPr>
      </w:pPr>
      <w:r>
        <w:rPr>
          <w:noProof/>
          <w:color w:val="000000" w:themeColor="text1"/>
        </w:rPr>
        <w:t xml:space="preserve">Otrajā līnijā ANM </w:t>
      </w:r>
      <w:r>
        <w:rPr>
          <w:noProof/>
        </w:rPr>
        <w:t xml:space="preserve">finansē daļu no 13 </w:t>
      </w:r>
      <w:r>
        <w:rPr>
          <w:noProof/>
          <w:color w:val="000000" w:themeColor="text1"/>
        </w:rPr>
        <w:t xml:space="preserve">Eiropas digitālās inovācijas centriem (EDIH) </w:t>
      </w:r>
      <w:r>
        <w:rPr>
          <w:noProof/>
        </w:rPr>
        <w:t xml:space="preserve">un divām </w:t>
      </w:r>
      <w:r>
        <w:rPr>
          <w:noProof/>
          <w:color w:val="000000" w:themeColor="text1"/>
        </w:rPr>
        <w:t xml:space="preserve">testēšanas un </w:t>
      </w:r>
      <w:r>
        <w:rPr>
          <w:noProof/>
          <w:color w:val="000000" w:themeColor="text1"/>
        </w:rPr>
        <w:t>eksperimentēšanas iekārtām (TEF)</w:t>
      </w:r>
      <w:r>
        <w:rPr>
          <w:noProof/>
        </w:rPr>
        <w:t xml:space="preserve">, savukārt otra izmaksu daļa nāk no programmas “Digitālā Eiropa”. Konkrētāk, </w:t>
      </w:r>
      <w:r>
        <w:rPr>
          <w:noProof/>
          <w:color w:val="000000" w:themeColor="text1"/>
        </w:rPr>
        <w:t>13 EDIH un divu TEF darbību, ko finansē no ANM un programmas “Digitālā Eiropa”, strukturē darba paketēs</w:t>
      </w:r>
      <w:r>
        <w:rPr>
          <w:rStyle w:val="FootnoteReference"/>
          <w:noProof/>
          <w:color w:val="000000" w:themeColor="text1"/>
        </w:rPr>
        <w:footnoteReference w:id="100"/>
      </w:r>
      <w:r>
        <w:rPr>
          <w:noProof/>
          <w:color w:val="000000" w:themeColor="text1"/>
        </w:rPr>
        <w:t>. ANM atbalsts neattiecas uz darba paketēm,</w:t>
      </w:r>
      <w:r>
        <w:rPr>
          <w:noProof/>
          <w:color w:val="000000" w:themeColor="text1"/>
        </w:rPr>
        <w:t xml:space="preserve"> par kurām EDIH un TEF saņem atbalstu saskaņā ar programmu “Digitālā Eiropa”.</w:t>
      </w:r>
    </w:p>
    <w:p w14:paraId="645EF58B" w14:textId="5ED23132" w:rsidR="00C972CB" w:rsidRDefault="002457F6">
      <w:pPr>
        <w:pStyle w:val="P68B1DB1-Normal16"/>
        <w:spacing w:before="120" w:after="120"/>
        <w:jc w:val="both"/>
        <w:rPr>
          <w:noProof/>
        </w:rPr>
      </w:pPr>
      <w:r>
        <w:rPr>
          <w:noProof/>
        </w:rPr>
        <w:t>Lai nodrošinātu, ka pasākums atbilst Tehniskajām vadlīnijām “Nenodari būtisku kaitējumu” (2021/C58/01), atbilstības kritērijos, kas ietverti darba uzdevumā turpmākajiem uzaicināj</w:t>
      </w:r>
      <w:r>
        <w:rPr>
          <w:noProof/>
        </w:rPr>
        <w:t>umiem iesniegt projektus, izslēdz šādu darbību sarakstu: darbības, kas saistītas ar fosilajiem kurināmajiem, tostarp pakārtota izmantošana</w:t>
      </w:r>
      <w:r>
        <w:rPr>
          <w:noProof/>
        </w:rPr>
        <w:footnoteReference w:id="101"/>
      </w:r>
      <w:r>
        <w:rPr>
          <w:noProof/>
        </w:rPr>
        <w:t>; darbības ES emisijas kvotu tirdzniecības sistēmas (ETS) ietvaros, lai sasniegtu prognozētās siltumnīcefekta gāzu em</w:t>
      </w:r>
      <w:r>
        <w:rPr>
          <w:noProof/>
        </w:rPr>
        <w:t>isijas, kas nav zemākas par attiecīgajām līmeņatzīmēm</w:t>
      </w:r>
      <w:r>
        <w:rPr>
          <w:noProof/>
        </w:rPr>
        <w:footnoteReference w:id="102"/>
      </w:r>
      <w:r>
        <w:rPr>
          <w:noProof/>
        </w:rPr>
        <w:t>; III) darbības, kas saistītas ar atkritumu poligoniem, atkritumu sadedzināšanas iekārtām</w:t>
      </w:r>
      <w:r>
        <w:rPr>
          <w:noProof/>
        </w:rPr>
        <w:footnoteReference w:id="103"/>
      </w:r>
      <w:r>
        <w:rPr>
          <w:noProof/>
        </w:rPr>
        <w:t xml:space="preserve"> un mehāniski bioloģiskās apstrādes iekārtām</w:t>
      </w:r>
      <w:r>
        <w:rPr>
          <w:noProof/>
        </w:rPr>
        <w:footnoteReference w:id="104"/>
      </w:r>
      <w:r>
        <w:rPr>
          <w:noProof/>
        </w:rPr>
        <w:t>; un iv) darbības, kurās atkritumu ilgtermiņa apglabāšana var radīt</w:t>
      </w:r>
      <w:r>
        <w:rPr>
          <w:noProof/>
        </w:rPr>
        <w:t xml:space="preserve"> kaitējumu videi. Darba uzdevumā papildus nosaka, ka var izvēlēties tikai tās darbības, kas atbilst attiecīgajiem ES un valsts tiesību aktiem vides jomā.</w:t>
      </w:r>
    </w:p>
    <w:p w14:paraId="29FEC6B7" w14:textId="77777777" w:rsidR="00C972CB" w:rsidRDefault="002457F6">
      <w:pPr>
        <w:pStyle w:val="P68B1DB1-Normal2"/>
        <w:spacing w:before="120" w:after="120" w:line="288" w:lineRule="auto"/>
        <w:jc w:val="both"/>
        <w:rPr>
          <w:rFonts w:eastAsia="Calibri"/>
          <w:noProof/>
        </w:rPr>
      </w:pPr>
      <w:r>
        <w:rPr>
          <w:noProof/>
        </w:rPr>
        <w:t>Ieguldījums 3.1.: Fonds integrētas pētniecības un inovācijas infrastruktūru sistēmas izveidei</w:t>
      </w:r>
    </w:p>
    <w:p w14:paraId="2E1A1F91" w14:textId="77777777" w:rsidR="00C972CB" w:rsidRDefault="002457F6">
      <w:pPr>
        <w:spacing w:before="120" w:after="120"/>
        <w:jc w:val="both"/>
        <w:rPr>
          <w:rFonts w:eastAsia="Calibri"/>
          <w:noProof/>
        </w:rPr>
      </w:pPr>
      <w:r>
        <w:rPr>
          <w:noProof/>
        </w:rPr>
        <w:t>Fonda mē</w:t>
      </w:r>
      <w:r>
        <w:rPr>
          <w:noProof/>
        </w:rPr>
        <w:t>rķis ir veicināt osmozi starp zinātnes atziņām, kas iegūtas kvalitatīvās pētniecības infrastruktūrās, un ekonomikas nozari, veicinot inovāciju. Šajā nolūkā pasākums, ko īsteno MUR — Universitāšu un pētniecības ministrija, atbalsta tādu pētniecības un inovā</w:t>
      </w:r>
      <w:r>
        <w:rPr>
          <w:noProof/>
        </w:rPr>
        <w:t>cijas infrastruktūru izveidi, kas savieno rūpniecību un akadēmiskās aprindas. Būvniecības un pētniecības infrastruktūras fonds atbalsta Eiropas nozīmes pētniecības infrastruktūru un īpašu inovācijas infrastruktūru izveidi vai stiprināšanu uz konkurences pa</w:t>
      </w:r>
      <w:r>
        <w:rPr>
          <w:noProof/>
        </w:rPr>
        <w:t>mata, veicinot publisko un privāto investīciju apvienošanu.</w:t>
      </w:r>
    </w:p>
    <w:p w14:paraId="3B39C349" w14:textId="77777777" w:rsidR="00C972CB" w:rsidRDefault="002457F6">
      <w:pPr>
        <w:spacing w:before="120" w:after="120"/>
        <w:jc w:val="both"/>
        <w:rPr>
          <w:rFonts w:eastAsia="Calibri"/>
          <w:noProof/>
        </w:rPr>
      </w:pPr>
      <w:r>
        <w:rPr>
          <w:noProof/>
        </w:rPr>
        <w:t>Jo īpaši ar pasākumu finansē vismaz 30 infrastruktūras projektus (esošus vai no jauna finansētus) ar pētniecības pārvaldītāju katrai infrastruktūrai.</w:t>
      </w:r>
    </w:p>
    <w:p w14:paraId="3205978B" w14:textId="77777777" w:rsidR="00C972CB" w:rsidRDefault="002457F6">
      <w:pPr>
        <w:spacing w:before="120" w:after="120"/>
        <w:jc w:val="both"/>
        <w:rPr>
          <w:noProof/>
          <w:color w:val="000000" w:themeColor="text1"/>
        </w:rPr>
      </w:pPr>
      <w:r>
        <w:rPr>
          <w:noProof/>
        </w:rPr>
        <w:t>Lai nodrošinātu, ka pasākums atbilst Tehniskaj</w:t>
      </w:r>
      <w:r>
        <w:rPr>
          <w:noProof/>
        </w:rPr>
        <w:t>ām vadlīnijām “Nenodari būtisku kaitējumu” (2021/C58/01), atbilstības kritērijos, kas ietverti darba uzdevumā turpmākajiem uzaicinājumiem iesniegt projektus, izslēdz šādu darbību sarakstu: darbības, kas saistītas ar fosilajiem kurināmajiem, tostarp pakārto</w:t>
      </w:r>
      <w:r>
        <w:rPr>
          <w:noProof/>
        </w:rPr>
        <w:t>ta izmantošana</w:t>
      </w:r>
      <w:r>
        <w:rPr>
          <w:rStyle w:val="FootnoteReference"/>
          <w:noProof/>
        </w:rPr>
        <w:footnoteReference w:id="105"/>
      </w:r>
      <w:r>
        <w:rPr>
          <w:noProof/>
        </w:rPr>
        <w:t>; darbības ES emisijas kvotu tirdzniecības sistēmas (ETS) ietvaros, lai sasniegtu prognozētās siltumnīcefekta gāzu emisijas, kas nav zemākas par attiecīgajām līmeņatzīmēm</w:t>
      </w:r>
      <w:r>
        <w:rPr>
          <w:rStyle w:val="FootnoteReference"/>
          <w:noProof/>
        </w:rPr>
        <w:footnoteReference w:id="106"/>
      </w:r>
      <w:r>
        <w:rPr>
          <w:noProof/>
        </w:rPr>
        <w:t>; III) darbības, kas saistītas ar atkritumu poligoniem, atkritumu sade</w:t>
      </w:r>
      <w:r>
        <w:rPr>
          <w:noProof/>
        </w:rPr>
        <w:t>dzināšanas iekārtām</w:t>
      </w:r>
      <w:r>
        <w:rPr>
          <w:rStyle w:val="FootnoteReference"/>
          <w:noProof/>
        </w:rPr>
        <w:footnoteReference w:id="107"/>
      </w:r>
      <w:r>
        <w:rPr>
          <w:noProof/>
        </w:rPr>
        <w:t xml:space="preserve"> un mehāniski bioloģiskās apstrādes iekārtām</w:t>
      </w:r>
      <w:r>
        <w:rPr>
          <w:rStyle w:val="FootnoteReference"/>
          <w:noProof/>
        </w:rPr>
        <w:footnoteReference w:id="108"/>
      </w:r>
      <w:r>
        <w:rPr>
          <w:noProof/>
        </w:rPr>
        <w:t>; un iv) darbības, kurās atkritumu ilgtermiņa apglabāšana var radīt kaitējumu videi. Darba uzdevumā papildus nosaka, ka var izvēlēties tikai tās darbības, kas atbilst attiecīgajiem ES un vals</w:t>
      </w:r>
      <w:r>
        <w:rPr>
          <w:noProof/>
        </w:rPr>
        <w:t>ts tiesību aktiem vides jomā.</w:t>
      </w:r>
    </w:p>
    <w:p w14:paraId="05FCFA6F" w14:textId="65552FCF" w:rsidR="00C972CB" w:rsidRDefault="002457F6">
      <w:pPr>
        <w:pStyle w:val="P68B1DB1-Normal14"/>
        <w:spacing w:after="120"/>
        <w:jc w:val="both"/>
        <w:rPr>
          <w:noProof/>
        </w:rPr>
      </w:pPr>
      <w:r>
        <w:rPr>
          <w:noProof/>
        </w:rPr>
        <w:t>Ieguldījums 3.2.: Jaunuzņēmumu finansēšana, Digitālās pārkārtošanās fonds</w:t>
      </w:r>
    </w:p>
    <w:p w14:paraId="552037D5" w14:textId="5ADF11FA" w:rsidR="00C972CB" w:rsidRDefault="002457F6">
      <w:pPr>
        <w:spacing w:after="120"/>
        <w:jc w:val="both"/>
        <w:rPr>
          <w:noProof/>
        </w:rPr>
      </w:pPr>
      <w:r>
        <w:rPr>
          <w:noProof/>
        </w:rPr>
        <w:t>Šis pasākums sastāv no publiskām investīcijām Mehānismā — Digitālās pārkārtošanās fondā, lai stimulētu privātās investīcijas, uzlabotu piekļuvi finansēj</w:t>
      </w:r>
      <w:r>
        <w:rPr>
          <w:noProof/>
        </w:rPr>
        <w:t xml:space="preserve">umam Itālijas digitālajā jaunuzņēmumu ekosistēmā un attīstītu riska kapitāla tirgu šajā nozarē. Mehānisms darbojas, tieši vai </w:t>
      </w:r>
      <w:r>
        <w:rPr>
          <w:noProof/>
          <w:color w:val="000000" w:themeColor="text1"/>
        </w:rPr>
        <w:t>netieši sniedzot pašu kapitāla vai</w:t>
      </w:r>
      <w:r>
        <w:rPr>
          <w:noProof/>
        </w:rPr>
        <w:t xml:space="preserve"> kvazikapitāla atbalstu. Jo īpaši tiešo ieguldījumu gadījumā DTF darbojas, sniedzot pašu kapitāl</w:t>
      </w:r>
      <w:r>
        <w:rPr>
          <w:noProof/>
        </w:rPr>
        <w:t>a vai kvazikapitāla (piemēram, konvertējamu parādzīmju) atbalstu jaunuzņēmumiem; netiešo ieguldījumu gadījumā SGR darbojas, finansējot trešo personu fondus (AIF — Alternatīvo ieguldījumu fonds), kas darbojas, nodrošinot pašu kapitāla vai kvazikapitāla, par</w:t>
      </w:r>
      <w:r>
        <w:rPr>
          <w:noProof/>
        </w:rPr>
        <w:t>āda vai kvaziparāda instrumentus. Pamatojoties uz ANM investīcijām, mehānisma mērķis sākotnēji ir nodrošināt finansējumu vismaz 400 000 000 EUR apmērā.</w:t>
      </w:r>
    </w:p>
    <w:p w14:paraId="500AD978" w14:textId="140A6A14" w:rsidR="00C972CB" w:rsidRDefault="002457F6">
      <w:pPr>
        <w:spacing w:after="120"/>
        <w:jc w:val="both"/>
        <w:rPr>
          <w:noProof/>
        </w:rPr>
      </w:pPr>
      <w:r>
        <w:rPr>
          <w:noProof/>
        </w:rPr>
        <w:t>Mehānismu pārvalda CDP riska kapitāla SGR kā īstenošanas partneris. DTF ilgums ir 15 gadi, lai tas atbil</w:t>
      </w:r>
      <w:r>
        <w:rPr>
          <w:noProof/>
        </w:rPr>
        <w:t>stu trešo personu fondu ilgumam, un tas iegulda šādās produktu jomās:</w:t>
      </w:r>
    </w:p>
    <w:p w14:paraId="4B45AA6F" w14:textId="3AC18D05" w:rsidR="00C972CB" w:rsidRDefault="002457F6">
      <w:pPr>
        <w:pStyle w:val="ListParagraph"/>
        <w:numPr>
          <w:ilvl w:val="0"/>
          <w:numId w:val="52"/>
        </w:numPr>
        <w:spacing w:before="0"/>
        <w:contextualSpacing w:val="0"/>
        <w:rPr>
          <w:noProof/>
        </w:rPr>
      </w:pPr>
      <w:r>
        <w:rPr>
          <w:noProof/>
        </w:rPr>
        <w:t>Pašu kapitāla vai kvazikapitāla atbalsts digitālajiem jaunuzņēmumiem (tiešs veids);</w:t>
      </w:r>
    </w:p>
    <w:p w14:paraId="4AA835FF" w14:textId="2E4BD38E" w:rsidR="00C972CB" w:rsidRDefault="002457F6">
      <w:pPr>
        <w:pStyle w:val="ListParagraph"/>
        <w:numPr>
          <w:ilvl w:val="0"/>
          <w:numId w:val="52"/>
        </w:numPr>
        <w:spacing w:before="0"/>
        <w:contextualSpacing w:val="0"/>
        <w:rPr>
          <w:noProof/>
        </w:rPr>
      </w:pPr>
      <w:r>
        <w:rPr>
          <w:noProof/>
        </w:rPr>
        <w:t>Pašu kapitāla vai kvazikapitāla atbalsts riska kapitāla/privātā kapitāla fondiem (netieši);</w:t>
      </w:r>
    </w:p>
    <w:p w14:paraId="322C5107" w14:textId="77777777" w:rsidR="00C972CB" w:rsidRDefault="002457F6">
      <w:pPr>
        <w:pStyle w:val="ListParagraph"/>
        <w:numPr>
          <w:ilvl w:val="0"/>
          <w:numId w:val="52"/>
        </w:numPr>
        <w:spacing w:before="0"/>
        <w:contextualSpacing w:val="0"/>
        <w:rPr>
          <w:noProof/>
        </w:rPr>
      </w:pPr>
      <w:r>
        <w:rPr>
          <w:noProof/>
        </w:rPr>
        <w:t xml:space="preserve">Atbalsts </w:t>
      </w:r>
      <w:r>
        <w:rPr>
          <w:noProof/>
        </w:rPr>
        <w:t>pašu kapitāla, kvazikapitāla finansējuma veidā inkubācijas/paātrināšanas programmām.</w:t>
      </w:r>
    </w:p>
    <w:p w14:paraId="692D47C4" w14:textId="77777777" w:rsidR="00C972CB" w:rsidRDefault="002457F6">
      <w:pPr>
        <w:spacing w:after="120"/>
        <w:jc w:val="both"/>
        <w:rPr>
          <w:noProof/>
        </w:rPr>
      </w:pPr>
      <w:r>
        <w:rPr>
          <w:noProof/>
        </w:rPr>
        <w:t>MIMIT un SGR groza faktisko īstenošanas nolīgumu (“</w:t>
      </w:r>
      <w:r>
        <w:rPr>
          <w:i/>
          <w:noProof/>
        </w:rPr>
        <w:t>Accordo Finanziario</w:t>
      </w:r>
      <w:r>
        <w:rPr>
          <w:noProof/>
        </w:rPr>
        <w:t>”) un DTF noteikumus, lai iekļautu šādus noteikumus:</w:t>
      </w:r>
    </w:p>
    <w:p w14:paraId="09271C53" w14:textId="77777777" w:rsidR="00C972CB" w:rsidRDefault="002457F6">
      <w:pPr>
        <w:pStyle w:val="LegalNumPar"/>
        <w:numPr>
          <w:ilvl w:val="0"/>
          <w:numId w:val="31"/>
        </w:numPr>
        <w:spacing w:after="120" w:line="240" w:lineRule="auto"/>
        <w:jc w:val="both"/>
        <w:rPr>
          <w:rFonts w:ascii="Times New Roman" w:eastAsia="Times New Roman" w:hAnsi="Times New Roman" w:cs="Times New Roman"/>
          <w:noProof/>
          <w:sz w:val="24"/>
        </w:rPr>
      </w:pPr>
      <w:r>
        <w:rPr>
          <w:rStyle w:val="FootnoteReference"/>
          <w:noProof/>
        </w:rPr>
        <w:t>Mehānisma lēmumu pieņemšanas procesa</w:t>
      </w:r>
      <w:r>
        <w:rPr>
          <w:rFonts w:ascii="Times New Roman" w:hAnsi="Times New Roman"/>
          <w:noProof/>
          <w:sz w:val="24"/>
        </w:rPr>
        <w:t>apraksts: Ga</w:t>
      </w:r>
      <w:r>
        <w:rPr>
          <w:rFonts w:ascii="Times New Roman" w:hAnsi="Times New Roman"/>
          <w:noProof/>
          <w:sz w:val="24"/>
        </w:rPr>
        <w:t>līgo lēmumu par Mehānisma ieguldījumiem pieņem direktoru padome vai cita līdzvērtīga pārvaldes struktūra, un to apstiprina ar no valdības neatkarīgu locekļu balsu vairākumu</w:t>
      </w:r>
      <w:r>
        <w:rPr>
          <w:rStyle w:val="FootnoteReference"/>
          <w:noProof/>
        </w:rPr>
        <w:footnoteReference w:id="109"/>
      </w:r>
      <w:r>
        <w:rPr>
          <w:rFonts w:ascii="Times New Roman" w:hAnsi="Times New Roman"/>
          <w:noProof/>
          <w:sz w:val="24"/>
        </w:rPr>
        <w:t>.</w:t>
      </w:r>
    </w:p>
    <w:p w14:paraId="3C7641C4" w14:textId="77777777" w:rsidR="00C972CB" w:rsidRDefault="002457F6">
      <w:pPr>
        <w:pStyle w:val="P68B1DB1-LegalNumPar27"/>
        <w:spacing w:after="120" w:line="240" w:lineRule="auto"/>
        <w:jc w:val="both"/>
        <w:rPr>
          <w:rFonts w:cs="Times New Roman"/>
          <w:noProof/>
        </w:rPr>
      </w:pPr>
      <w:r>
        <w:rPr>
          <w:noProof/>
        </w:rPr>
        <w:t>Saistītās ieguldījumu politikas galvenās prasības,</w:t>
      </w:r>
      <w:r>
        <w:rPr>
          <w:b/>
          <w:noProof/>
        </w:rPr>
        <w:t xml:space="preserve"> </w:t>
      </w:r>
      <w:r>
        <w:rPr>
          <w:noProof/>
        </w:rPr>
        <w:t>kas ietver:</w:t>
      </w:r>
    </w:p>
    <w:p w14:paraId="1FC5DD16" w14:textId="77777777" w:rsidR="00C972CB" w:rsidRDefault="002457F6">
      <w:pPr>
        <w:pStyle w:val="P68B1DB1-LegalNumPar228"/>
        <w:spacing w:after="120" w:line="240" w:lineRule="auto"/>
        <w:jc w:val="both"/>
        <w:rPr>
          <w:rFonts w:cs="Times New Roman"/>
          <w:noProof/>
        </w:rPr>
      </w:pPr>
      <w:r>
        <w:rPr>
          <w:noProof/>
        </w:rPr>
        <w:t>Finanšu produktu u</w:t>
      </w:r>
      <w:r>
        <w:rPr>
          <w:noProof/>
        </w:rPr>
        <w:t xml:space="preserve">n atbalsttiesīgo galasaņēmēju apraksts. </w:t>
      </w:r>
    </w:p>
    <w:p w14:paraId="04BF6984" w14:textId="77777777" w:rsidR="00C972CB" w:rsidRDefault="002457F6">
      <w:pPr>
        <w:pStyle w:val="P68B1DB1-LegalNumPar228"/>
        <w:spacing w:after="120" w:line="240" w:lineRule="auto"/>
        <w:jc w:val="both"/>
        <w:rPr>
          <w:rFonts w:cs="Times New Roman"/>
          <w:noProof/>
        </w:rPr>
      </w:pPr>
      <w:r>
        <w:rPr>
          <w:noProof/>
        </w:rPr>
        <w:t>Prasība, lai visi atbalstītie ieguldījumi būtu ekonomiski dzīvotspējīgi</w:t>
      </w:r>
      <w:r>
        <w:rPr>
          <w:b/>
          <w:noProof/>
        </w:rPr>
        <w:t>.</w:t>
      </w:r>
    </w:p>
    <w:p w14:paraId="3E3F9C3C" w14:textId="77777777" w:rsidR="00C972CB" w:rsidRDefault="002457F6">
      <w:pPr>
        <w:pStyle w:val="P68B1DB1-LegalNumPar228"/>
        <w:spacing w:after="120" w:line="240" w:lineRule="auto"/>
        <w:jc w:val="both"/>
        <w:rPr>
          <w:rFonts w:eastAsia="Times New Roman" w:cs="Times New Roman"/>
          <w:noProof/>
        </w:rPr>
      </w:pPr>
      <w:r>
        <w:rPr>
          <w:noProof/>
        </w:rPr>
        <w:t xml:space="preserve">Prasība ievērot principu “nenodari būtisku kaitējumu” (DNSH), kā noteikts NBK tehniskajās norādēs (2021/C58/01). Jo īpaši, ja tiek sniegts </w:t>
      </w:r>
      <w:r>
        <w:rPr>
          <w:noProof/>
        </w:rPr>
        <w:t>vispārējs atbalsts jaunuzņēmumiem, ieguldījumu politika neattiecas uz uzņēmumiem, kas lielā mērā koncentrējas</w:t>
      </w:r>
      <w:r>
        <w:rPr>
          <w:noProof/>
        </w:rPr>
        <w:footnoteReference w:id="110"/>
      </w:r>
      <w:r>
        <w:rPr>
          <w:noProof/>
        </w:rPr>
        <w:t xml:space="preserve"> uz šādām nozarēm: enerģijas ražošana, kuras pamatā ir fosilais kurināmais, un ar to saistītās darbības</w:t>
      </w:r>
      <w:r>
        <w:rPr>
          <w:noProof/>
        </w:rPr>
        <w:footnoteReference w:id="111"/>
      </w:r>
      <w:r>
        <w:rPr>
          <w:noProof/>
        </w:rPr>
        <w:t>; energoietilpīgas un/vai augstas CO2 emis</w:t>
      </w:r>
      <w:r>
        <w:rPr>
          <w:noProof/>
        </w:rPr>
        <w:t>ijas nozares</w:t>
      </w:r>
      <w:r>
        <w:rPr>
          <w:noProof/>
        </w:rPr>
        <w:footnoteReference w:id="112"/>
      </w:r>
      <w:r>
        <w:rPr>
          <w:noProof/>
        </w:rPr>
        <w:t>; piesārņojošu transportlīdzekļu ražošana, noma vai pārdošana</w:t>
      </w:r>
      <w:r>
        <w:rPr>
          <w:noProof/>
        </w:rPr>
        <w:footnoteReference w:id="113"/>
      </w:r>
      <w:r>
        <w:rPr>
          <w:noProof/>
        </w:rPr>
        <w:t>; IV) atkritumu savākšana, atkritumu apstrāde un apglabāšana</w:t>
      </w:r>
      <w:r>
        <w:rPr>
          <w:noProof/>
        </w:rPr>
        <w:footnoteReference w:id="114"/>
      </w:r>
      <w:r>
        <w:rPr>
          <w:noProof/>
        </w:rPr>
        <w:t>, v) kodoldegvielas pārstrāde, kodolenerģijas ražošana. Turklāt ieguldījumu politikai ir nepieciešama Mehānisma galīgo s</w:t>
      </w:r>
      <w:r>
        <w:rPr>
          <w:noProof/>
        </w:rPr>
        <w:t>aņēmēju</w:t>
      </w:r>
      <w:r>
        <w:rPr>
          <w:b/>
          <w:noProof/>
        </w:rPr>
        <w:t xml:space="preserve"> </w:t>
      </w:r>
      <w:r>
        <w:rPr>
          <w:noProof/>
        </w:rPr>
        <w:t>atbilstība attiecīgajiem ES un valsts tiesību aktiem vides jomā.</w:t>
      </w:r>
    </w:p>
    <w:p w14:paraId="295974E0" w14:textId="77777777" w:rsidR="00C972CB" w:rsidRDefault="002457F6">
      <w:pPr>
        <w:pStyle w:val="P68B1DB1-LegalNumPar228"/>
        <w:spacing w:after="120" w:line="240" w:lineRule="auto"/>
        <w:jc w:val="both"/>
        <w:rPr>
          <w:rFonts w:cs="Times New Roman"/>
          <w:noProof/>
        </w:rPr>
      </w:pPr>
      <w:r>
        <w:rPr>
          <w:noProof/>
        </w:rPr>
        <w:t>Prasība, ka Mehānisma galasaņēmēji nesaņem atbalstu no citiem Savienības instrumentiem, lai segtu tās pašas izmaksas.</w:t>
      </w:r>
    </w:p>
    <w:p w14:paraId="67E58F5D" w14:textId="77777777" w:rsidR="00C972CB" w:rsidRDefault="002457F6">
      <w:pPr>
        <w:pStyle w:val="P68B1DB1-LegalNumPar27"/>
        <w:spacing w:after="120" w:line="240" w:lineRule="auto"/>
        <w:jc w:val="both"/>
        <w:rPr>
          <w:rFonts w:cs="Times New Roman"/>
          <w:noProof/>
        </w:rPr>
      </w:pPr>
      <w:r>
        <w:rPr>
          <w:noProof/>
        </w:rPr>
        <w:t>Summa, uz kuru attiecas īstenošanas nolīgums, īstenošanas partner</w:t>
      </w:r>
      <w:r>
        <w:rPr>
          <w:noProof/>
        </w:rPr>
        <w:t>a maksu struktūra un prasība atkārtoti ieguldīt visas atmaksājamās summas saskaņā ar Mehānisma ieguldījumu politiku.</w:t>
      </w:r>
    </w:p>
    <w:p w14:paraId="6CB9C264" w14:textId="77777777" w:rsidR="00C972CB" w:rsidRDefault="002457F6">
      <w:pPr>
        <w:pStyle w:val="P68B1DB1-LegalNumPar27"/>
        <w:spacing w:after="120" w:line="240" w:lineRule="auto"/>
        <w:jc w:val="both"/>
        <w:rPr>
          <w:rFonts w:cs="Times New Roman"/>
          <w:noProof/>
        </w:rPr>
      </w:pPr>
      <w:r>
        <w:rPr>
          <w:noProof/>
        </w:rPr>
        <w:t>Uzraudzības, revīzijas un kontroles prasības, tostarp:</w:t>
      </w:r>
    </w:p>
    <w:p w14:paraId="2D636DD7" w14:textId="77777777" w:rsidR="00C972CB" w:rsidRDefault="002457F6">
      <w:pPr>
        <w:numPr>
          <w:ilvl w:val="0"/>
          <w:numId w:val="53"/>
        </w:numPr>
        <w:spacing w:after="120"/>
        <w:jc w:val="both"/>
        <w:rPr>
          <w:noProof/>
        </w:rPr>
      </w:pPr>
      <w:r>
        <w:rPr>
          <w:noProof/>
        </w:rPr>
        <w:t>Īstenošanas partnera uzraudzības sistēmas apraksts ziņošanai par mobilizētajām inves</w:t>
      </w:r>
      <w:r>
        <w:rPr>
          <w:noProof/>
        </w:rPr>
        <w:t>tīcijām.</w:t>
      </w:r>
    </w:p>
    <w:p w14:paraId="5A79A027" w14:textId="38D243B6" w:rsidR="00C972CB" w:rsidRDefault="002457F6">
      <w:pPr>
        <w:numPr>
          <w:ilvl w:val="0"/>
          <w:numId w:val="53"/>
        </w:numPr>
        <w:spacing w:after="120"/>
        <w:jc w:val="both"/>
        <w:rPr>
          <w:noProof/>
        </w:rPr>
      </w:pPr>
      <w:r>
        <w:rPr>
          <w:noProof/>
        </w:rPr>
        <w:t xml:space="preserve">Īstenošanas partnera procedūru aprakstu, kas nodrošina krāpšanas, korupcijas un interešu konfliktu novēršanu, atklāšanu un labošanu. </w:t>
      </w:r>
    </w:p>
    <w:p w14:paraId="0701EA36" w14:textId="77777777" w:rsidR="00C972CB" w:rsidRDefault="002457F6">
      <w:pPr>
        <w:numPr>
          <w:ilvl w:val="0"/>
          <w:numId w:val="53"/>
        </w:numPr>
        <w:spacing w:after="120"/>
        <w:jc w:val="both"/>
        <w:rPr>
          <w:noProof/>
        </w:rPr>
      </w:pPr>
      <w:r>
        <w:rPr>
          <w:noProof/>
        </w:rPr>
        <w:t>Pienākums pārbaudīt katras darbības attiecināmību saskaņā ar Īstenošanas nolīgumā noteiktajām prasībām pirms apņe</w:t>
      </w:r>
      <w:r>
        <w:rPr>
          <w:noProof/>
        </w:rPr>
        <w:t>mšanās finansēt kādu darbību.</w:t>
      </w:r>
    </w:p>
    <w:p w14:paraId="6F82DEA0" w14:textId="77777777" w:rsidR="00C972CB" w:rsidRDefault="002457F6">
      <w:pPr>
        <w:numPr>
          <w:ilvl w:val="0"/>
          <w:numId w:val="53"/>
        </w:numPr>
        <w:spacing w:after="120"/>
        <w:jc w:val="both"/>
        <w:rPr>
          <w:noProof/>
        </w:rPr>
      </w:pPr>
      <w:r>
        <w:rPr>
          <w:noProof/>
        </w:rPr>
        <w:t>Pienākums veikt uz risku balstītas ex post revīzijas saskaņā ar SGR revīzijas plānu. Šajās revīzijās pārbauda i) kontroles sistēmu efektivitāti, tostarp krāpšanas, korupcijas un interešu konflikta atklāšanu; II) atbilstība NBK</w:t>
      </w:r>
      <w:r>
        <w:rPr>
          <w:noProof/>
        </w:rPr>
        <w:t xml:space="preserve"> principam un valsts atbalsta noteikumiem un iii) tiek ievērota prasība, ka mehānisma galasaņēmēji nav saņēmuši atbalstu no citiem Savienības instrumentiem, lai segtu tās pašas izmaksas. Revīzijās pārbauda arī darījumu likumību un to, vai tiek ievēroti pie</w:t>
      </w:r>
      <w:r>
        <w:rPr>
          <w:noProof/>
        </w:rPr>
        <w:t xml:space="preserve">mērojamā īstenošanas nolīguma un finansēšanas nolīgumu nosacījumi. </w:t>
      </w:r>
    </w:p>
    <w:p w14:paraId="0AA38522" w14:textId="77777777" w:rsidR="00C972CB" w:rsidRDefault="002457F6">
      <w:pPr>
        <w:numPr>
          <w:ilvl w:val="0"/>
          <w:numId w:val="25"/>
        </w:numPr>
        <w:spacing w:after="120"/>
        <w:ind w:left="720" w:hanging="360"/>
        <w:jc w:val="both"/>
        <w:rPr>
          <w:noProof/>
        </w:rPr>
      </w:pPr>
      <w:r>
        <w:rPr>
          <w:b/>
          <w:noProof/>
        </w:rPr>
        <w:t xml:space="preserve">Prasības riska kapitāla vērtspapīru/parāda fondu atlasei: </w:t>
      </w:r>
      <w:r>
        <w:rPr>
          <w:noProof/>
        </w:rPr>
        <w:t>Digitālās pārkārtošanās fonds finanšu starpniekus izraugās atklātā, pārredzamā un nediskriminējošā veidā saskaņā ar pašreizējo pra</w:t>
      </w:r>
      <w:r>
        <w:rPr>
          <w:noProof/>
        </w:rPr>
        <w:t xml:space="preserve">ksi, cita starpā publicējot visas prasības un pieteikuma veidlapas gan SGR, gan MIMIT tīmekļa vietnē. Kontrole attiecībā uz finanšu starpnieku interešu konflikta neesamību notiek un tiek veikta </w:t>
      </w:r>
      <w:r>
        <w:rPr>
          <w:i/>
          <w:noProof/>
        </w:rPr>
        <w:t>ex ante</w:t>
      </w:r>
      <w:r>
        <w:rPr>
          <w:noProof/>
        </w:rPr>
        <w:t xml:space="preserve"> attiecībā uz visiem iesaistītajiem finanšu dalībniekie</w:t>
      </w:r>
      <w:r>
        <w:rPr>
          <w:noProof/>
        </w:rPr>
        <w:t>m. Interešu konflikta neesamība vienmēr attiecas uz Mehānisma “galīgo saņēmēju”.</w:t>
      </w:r>
    </w:p>
    <w:p w14:paraId="3E371722" w14:textId="77777777" w:rsidR="00C972CB" w:rsidRDefault="002457F6">
      <w:pPr>
        <w:numPr>
          <w:ilvl w:val="0"/>
          <w:numId w:val="25"/>
        </w:numPr>
        <w:spacing w:after="120"/>
        <w:ind w:left="720" w:hanging="360"/>
        <w:jc w:val="both"/>
        <w:rPr>
          <w:noProof/>
        </w:rPr>
      </w:pPr>
      <w:r>
        <w:rPr>
          <w:b/>
          <w:noProof/>
        </w:rPr>
        <w:t>Prasība parakstīt finansēšanas nolīgumus</w:t>
      </w:r>
      <w:r>
        <w:rPr>
          <w:noProof/>
        </w:rPr>
        <w:t>: Digitālās pārkārtošanās fonds paraksta finansēšanas nolīgumus ar finanšu starpniekiem saskaņā ar galvenajām prasībām, kas ietver visa</w:t>
      </w:r>
      <w:r>
        <w:rPr>
          <w:noProof/>
        </w:rPr>
        <w:t xml:space="preserve">s prasības, saskaņā ar kurām DTF darbojas, tostarp: </w:t>
      </w:r>
    </w:p>
    <w:p w14:paraId="627F4C84" w14:textId="77777777" w:rsidR="00C972CB" w:rsidRDefault="002457F6">
      <w:pPr>
        <w:numPr>
          <w:ilvl w:val="0"/>
          <w:numId w:val="51"/>
        </w:numPr>
        <w:spacing w:after="120"/>
        <w:jc w:val="both"/>
        <w:rPr>
          <w:noProof/>
        </w:rPr>
      </w:pPr>
      <w:r>
        <w:rPr>
          <w:noProof/>
        </w:rPr>
        <w:t xml:space="preserve">Finanšu starpnieka pienākums pieņemt lēmumus </w:t>
      </w:r>
      <w:r>
        <w:rPr>
          <w:i/>
          <w:noProof/>
        </w:rPr>
        <w:t>mutatis mutandis</w:t>
      </w:r>
      <w:r>
        <w:rPr>
          <w:noProof/>
        </w:rPr>
        <w:t xml:space="preserve"> saskaņā ar iepriekš minētajām lēmumu pieņemšanas un ieguldījumu politikas prasībām, tostarp saistībā ar principa “nenodarīt būtisku kaitējumu</w:t>
      </w:r>
      <w:r>
        <w:rPr>
          <w:noProof/>
        </w:rPr>
        <w:t>” ievērošanu.</w:t>
      </w:r>
    </w:p>
    <w:p w14:paraId="48A743A3" w14:textId="77777777" w:rsidR="00C972CB" w:rsidRDefault="002457F6">
      <w:pPr>
        <w:numPr>
          <w:ilvl w:val="0"/>
          <w:numId w:val="51"/>
        </w:numPr>
        <w:spacing w:after="120"/>
        <w:jc w:val="both"/>
        <w:rPr>
          <w:noProof/>
        </w:rPr>
      </w:pPr>
      <w:r>
        <w:rPr>
          <w:noProof/>
        </w:rPr>
        <w:t xml:space="preserve">Finanšu starpnieka ieviestās uzraudzības, revīzijas un kontroles sistēmas apraksts, uz kuru </w:t>
      </w:r>
      <w:r>
        <w:rPr>
          <w:i/>
          <w:noProof/>
        </w:rPr>
        <w:t>mutatis mutandis</w:t>
      </w:r>
      <w:r>
        <w:rPr>
          <w:noProof/>
        </w:rPr>
        <w:t xml:space="preserve"> attiecas visas iepriekš minētās uzraudzības, revīzijas un kontroles prasības. </w:t>
      </w:r>
    </w:p>
    <w:p w14:paraId="04AC33BC" w14:textId="77777777" w:rsidR="00C972CB" w:rsidRDefault="002457F6">
      <w:pPr>
        <w:spacing w:before="120" w:after="120"/>
        <w:jc w:val="both"/>
        <w:rPr>
          <w:noProof/>
        </w:rPr>
      </w:pPr>
      <w:r>
        <w:rPr>
          <w:noProof/>
        </w:rPr>
        <w:t xml:space="preserve">Pasākuma īstenošanu pabeidz līdz 2026. gada 31. </w:t>
      </w:r>
      <w:r>
        <w:rPr>
          <w:noProof/>
        </w:rPr>
        <w:t>augustam.</w:t>
      </w:r>
    </w:p>
    <w:p w14:paraId="5D497861" w14:textId="77777777" w:rsidR="00C972CB" w:rsidRDefault="002457F6">
      <w:pPr>
        <w:pStyle w:val="Heading3"/>
        <w:numPr>
          <w:ilvl w:val="0"/>
          <w:numId w:val="0"/>
        </w:numPr>
        <w:ind w:left="850" w:hanging="850"/>
        <w:rPr>
          <w:b/>
          <w:i w:val="0"/>
          <w:noProof/>
          <w:u w:val="single"/>
        </w:rPr>
      </w:pPr>
      <w:r>
        <w:rPr>
          <w:b/>
          <w:i w:val="0"/>
          <w:noProof/>
          <w:u w:val="single"/>
        </w:rPr>
        <w:t xml:space="preserve">K.4. </w:t>
      </w:r>
      <w:r>
        <w:rPr>
          <w:noProof/>
        </w:rPr>
        <w:tab/>
      </w:r>
      <w:r>
        <w:rPr>
          <w:b/>
          <w:i w:val="0"/>
          <w:noProof/>
          <w:u w:val="single"/>
        </w:rPr>
        <w:t xml:space="preserve">Atskaites punkti, mērķrādītāji, citi rādītāji un aizdevuma uzraudzības un īstenošanas grafiks </w:t>
      </w:r>
    </w:p>
    <w:p w14:paraId="669C0D35" w14:textId="77777777" w:rsidR="00C972CB" w:rsidRDefault="00C972CB">
      <w:pPr>
        <w:spacing w:before="120" w:after="120"/>
        <w:ind w:left="709"/>
        <w:contextualSpacing/>
        <w:jc w:val="both"/>
        <w:rPr>
          <w:noProof/>
        </w:rPr>
        <w:sectPr w:rsidR="00C972CB" w:rsidSect="000D3774">
          <w:headerReference w:type="even" r:id="rId266"/>
          <w:headerReference w:type="default" r:id="rId267"/>
          <w:footerReference w:type="even" r:id="rId268"/>
          <w:footerReference w:type="default" r:id="rId269"/>
          <w:headerReference w:type="first" r:id="rId270"/>
          <w:footerReference w:type="first" r:id="rId271"/>
          <w:pgSz w:w="11907" w:h="16839"/>
          <w:pgMar w:top="1134" w:right="1134" w:bottom="1134" w:left="1134" w:header="567" w:footer="567" w:gutter="0"/>
          <w:cols w:space="720"/>
          <w:docGrid w:linePitch="360"/>
        </w:sectPr>
      </w:pPr>
    </w:p>
    <w:tbl>
      <w:tblPr>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9"/>
        <w:gridCol w:w="1132"/>
        <w:gridCol w:w="1418"/>
        <w:gridCol w:w="1275"/>
        <w:gridCol w:w="1134"/>
        <w:gridCol w:w="993"/>
        <w:gridCol w:w="1275"/>
        <w:gridCol w:w="993"/>
        <w:gridCol w:w="708"/>
        <w:gridCol w:w="3686"/>
      </w:tblGrid>
      <w:tr w:rsidR="00C972CB" w14:paraId="57FF187D" w14:textId="77777777">
        <w:trPr>
          <w:trHeight w:val="939"/>
          <w:tblHeader/>
        </w:trPr>
        <w:tc>
          <w:tcPr>
            <w:tcW w:w="1135" w:type="dxa"/>
            <w:vMerge w:val="restart"/>
            <w:shd w:val="clear" w:color="auto" w:fill="BDD7EE"/>
            <w:vAlign w:val="center"/>
            <w:hideMark/>
          </w:tcPr>
          <w:p w14:paraId="0BB3A0A5" w14:textId="77777777" w:rsidR="00C972CB" w:rsidRDefault="002457F6">
            <w:pPr>
              <w:pStyle w:val="P68B1DB1-Normal9"/>
              <w:jc w:val="center"/>
              <w:rPr>
                <w:noProof/>
              </w:rPr>
            </w:pPr>
            <w:r>
              <w:rPr>
                <w:noProof/>
              </w:rPr>
              <w:t>Kārtas numurs</w:t>
            </w:r>
          </w:p>
        </w:tc>
        <w:tc>
          <w:tcPr>
            <w:tcW w:w="1419" w:type="dxa"/>
            <w:vMerge w:val="restart"/>
            <w:shd w:val="clear" w:color="auto" w:fill="BDD7EE"/>
            <w:vAlign w:val="center"/>
            <w:hideMark/>
          </w:tcPr>
          <w:p w14:paraId="05268D1F" w14:textId="77777777" w:rsidR="00C972CB" w:rsidRDefault="002457F6">
            <w:pPr>
              <w:pStyle w:val="P68B1DB1-Normal9"/>
              <w:jc w:val="center"/>
              <w:rPr>
                <w:noProof/>
              </w:rPr>
            </w:pPr>
            <w:r>
              <w:rPr>
                <w:noProof/>
              </w:rPr>
              <w:t>Pasākums (reforma vai investīcija)</w:t>
            </w:r>
          </w:p>
        </w:tc>
        <w:tc>
          <w:tcPr>
            <w:tcW w:w="1132" w:type="dxa"/>
            <w:vMerge w:val="restart"/>
            <w:shd w:val="clear" w:color="auto" w:fill="BDD7EE"/>
            <w:vAlign w:val="center"/>
            <w:hideMark/>
          </w:tcPr>
          <w:p w14:paraId="33009410" w14:textId="77777777" w:rsidR="00C972CB" w:rsidRDefault="002457F6">
            <w:pPr>
              <w:pStyle w:val="P68B1DB1-Normal9"/>
              <w:jc w:val="center"/>
              <w:rPr>
                <w:noProof/>
              </w:rPr>
            </w:pPr>
            <w:r>
              <w:rPr>
                <w:noProof/>
              </w:rPr>
              <w:t>Atskaites punkts/mērķrādītājs</w:t>
            </w:r>
          </w:p>
        </w:tc>
        <w:tc>
          <w:tcPr>
            <w:tcW w:w="1418" w:type="dxa"/>
            <w:vMerge w:val="restart"/>
            <w:shd w:val="clear" w:color="auto" w:fill="BDD7EE"/>
            <w:vAlign w:val="center"/>
            <w:hideMark/>
          </w:tcPr>
          <w:p w14:paraId="383CED53" w14:textId="77777777" w:rsidR="00C972CB" w:rsidRDefault="002457F6">
            <w:pPr>
              <w:pStyle w:val="P68B1DB1-Normal9"/>
              <w:jc w:val="center"/>
              <w:rPr>
                <w:noProof/>
              </w:rPr>
            </w:pPr>
            <w:r>
              <w:rPr>
                <w:noProof/>
              </w:rPr>
              <w:t>Uzvārds</w:t>
            </w:r>
          </w:p>
        </w:tc>
        <w:tc>
          <w:tcPr>
            <w:tcW w:w="1275" w:type="dxa"/>
            <w:vMerge w:val="restart"/>
            <w:shd w:val="clear" w:color="auto" w:fill="BDD7EE"/>
            <w:vAlign w:val="center"/>
            <w:hideMark/>
          </w:tcPr>
          <w:p w14:paraId="146955E2"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402" w:type="dxa"/>
            <w:gridSpan w:val="3"/>
            <w:shd w:val="clear" w:color="auto" w:fill="BDD7EE"/>
            <w:vAlign w:val="center"/>
            <w:hideMark/>
          </w:tcPr>
          <w:p w14:paraId="28107294"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701" w:type="dxa"/>
            <w:gridSpan w:val="2"/>
            <w:shd w:val="clear" w:color="auto" w:fill="BDD7EE"/>
            <w:vAlign w:val="center"/>
            <w:hideMark/>
          </w:tcPr>
          <w:p w14:paraId="1A086971" w14:textId="77777777" w:rsidR="00C972CB" w:rsidRDefault="002457F6">
            <w:pPr>
              <w:pStyle w:val="P68B1DB1-Normal9"/>
              <w:jc w:val="center"/>
              <w:rPr>
                <w:noProof/>
              </w:rPr>
            </w:pPr>
            <w:r>
              <w:rPr>
                <w:noProof/>
              </w:rPr>
              <w:t>Orientējošs pabeigšanas termiņš</w:t>
            </w:r>
          </w:p>
        </w:tc>
        <w:tc>
          <w:tcPr>
            <w:tcW w:w="3686" w:type="dxa"/>
            <w:vMerge w:val="restart"/>
            <w:shd w:val="clear" w:color="auto" w:fill="BDD7EE"/>
            <w:vAlign w:val="center"/>
            <w:hideMark/>
          </w:tcPr>
          <w:p w14:paraId="4FC1C714" w14:textId="77777777" w:rsidR="00C972CB" w:rsidRDefault="002457F6">
            <w:pPr>
              <w:pStyle w:val="P68B1DB1-Normal9"/>
              <w:jc w:val="center"/>
              <w:rPr>
                <w:noProof/>
              </w:rPr>
            </w:pPr>
            <w:r>
              <w:rPr>
                <w:noProof/>
              </w:rPr>
              <w:t>Apraksts par katru atskaites punktu un mērķrādītāju</w:t>
            </w:r>
          </w:p>
        </w:tc>
      </w:tr>
      <w:tr w:rsidR="00C972CB" w14:paraId="6D952724" w14:textId="77777777">
        <w:trPr>
          <w:trHeight w:val="741"/>
        </w:trPr>
        <w:tc>
          <w:tcPr>
            <w:tcW w:w="1135" w:type="dxa"/>
            <w:vMerge/>
            <w:vAlign w:val="center"/>
            <w:hideMark/>
          </w:tcPr>
          <w:p w14:paraId="705B6586" w14:textId="77777777" w:rsidR="00C972CB" w:rsidRDefault="00C972CB">
            <w:pPr>
              <w:jc w:val="center"/>
              <w:rPr>
                <w:rFonts w:ascii="Arial Narrow" w:hAnsi="Arial Narrow"/>
                <w:b/>
                <w:noProof/>
                <w:sz w:val="20"/>
              </w:rPr>
            </w:pPr>
          </w:p>
        </w:tc>
        <w:tc>
          <w:tcPr>
            <w:tcW w:w="1419" w:type="dxa"/>
            <w:vMerge/>
            <w:vAlign w:val="center"/>
            <w:hideMark/>
          </w:tcPr>
          <w:p w14:paraId="7D52B804" w14:textId="77777777" w:rsidR="00C972CB" w:rsidRDefault="00C972CB">
            <w:pPr>
              <w:jc w:val="center"/>
              <w:rPr>
                <w:rFonts w:ascii="Arial Narrow" w:hAnsi="Arial Narrow"/>
                <w:b/>
                <w:noProof/>
                <w:sz w:val="20"/>
              </w:rPr>
            </w:pPr>
          </w:p>
        </w:tc>
        <w:tc>
          <w:tcPr>
            <w:tcW w:w="1132" w:type="dxa"/>
            <w:vMerge/>
            <w:vAlign w:val="center"/>
            <w:hideMark/>
          </w:tcPr>
          <w:p w14:paraId="696A78D9" w14:textId="77777777" w:rsidR="00C972CB" w:rsidRDefault="00C972CB">
            <w:pPr>
              <w:jc w:val="center"/>
              <w:rPr>
                <w:rFonts w:ascii="Arial Narrow" w:hAnsi="Arial Narrow"/>
                <w:b/>
                <w:noProof/>
                <w:sz w:val="20"/>
              </w:rPr>
            </w:pPr>
          </w:p>
        </w:tc>
        <w:tc>
          <w:tcPr>
            <w:tcW w:w="1418" w:type="dxa"/>
            <w:vMerge/>
            <w:vAlign w:val="center"/>
            <w:hideMark/>
          </w:tcPr>
          <w:p w14:paraId="34AAFF5D" w14:textId="77777777" w:rsidR="00C972CB" w:rsidRDefault="00C972CB">
            <w:pPr>
              <w:jc w:val="center"/>
              <w:rPr>
                <w:rFonts w:ascii="Arial Narrow" w:hAnsi="Arial Narrow"/>
                <w:b/>
                <w:noProof/>
                <w:sz w:val="20"/>
              </w:rPr>
            </w:pPr>
          </w:p>
        </w:tc>
        <w:tc>
          <w:tcPr>
            <w:tcW w:w="1275" w:type="dxa"/>
            <w:vMerge/>
            <w:vAlign w:val="center"/>
            <w:hideMark/>
          </w:tcPr>
          <w:p w14:paraId="1F136728" w14:textId="77777777" w:rsidR="00C972CB" w:rsidRDefault="00C972CB">
            <w:pPr>
              <w:jc w:val="center"/>
              <w:rPr>
                <w:rFonts w:ascii="Arial Narrow" w:hAnsi="Arial Narrow"/>
                <w:b/>
                <w:noProof/>
                <w:sz w:val="20"/>
              </w:rPr>
            </w:pPr>
          </w:p>
        </w:tc>
        <w:tc>
          <w:tcPr>
            <w:tcW w:w="1134" w:type="dxa"/>
            <w:shd w:val="clear" w:color="auto" w:fill="BDD7EE"/>
            <w:vAlign w:val="center"/>
            <w:hideMark/>
          </w:tcPr>
          <w:p w14:paraId="4669313D" w14:textId="77777777" w:rsidR="00C972CB" w:rsidRDefault="002457F6">
            <w:pPr>
              <w:pStyle w:val="P68B1DB1-Normal9"/>
              <w:jc w:val="center"/>
              <w:rPr>
                <w:noProof/>
              </w:rPr>
            </w:pPr>
            <w:r>
              <w:rPr>
                <w:noProof/>
              </w:rPr>
              <w:t>Mēra vienība</w:t>
            </w:r>
          </w:p>
        </w:tc>
        <w:tc>
          <w:tcPr>
            <w:tcW w:w="993" w:type="dxa"/>
            <w:shd w:val="clear" w:color="auto" w:fill="BDD7EE"/>
            <w:vAlign w:val="center"/>
            <w:hideMark/>
          </w:tcPr>
          <w:p w14:paraId="4C92C47B" w14:textId="77777777" w:rsidR="00C972CB" w:rsidRDefault="002457F6">
            <w:pPr>
              <w:pStyle w:val="P68B1DB1-Normal9"/>
              <w:jc w:val="center"/>
              <w:rPr>
                <w:noProof/>
              </w:rPr>
            </w:pPr>
            <w:r>
              <w:rPr>
                <w:noProof/>
              </w:rPr>
              <w:t>Pamatscenārijs</w:t>
            </w:r>
          </w:p>
        </w:tc>
        <w:tc>
          <w:tcPr>
            <w:tcW w:w="1275" w:type="dxa"/>
            <w:shd w:val="clear" w:color="auto" w:fill="BDD7EE"/>
            <w:vAlign w:val="center"/>
            <w:hideMark/>
          </w:tcPr>
          <w:p w14:paraId="35887BED" w14:textId="77777777" w:rsidR="00C972CB" w:rsidRDefault="002457F6">
            <w:pPr>
              <w:pStyle w:val="P68B1DB1-Normal9"/>
              <w:jc w:val="center"/>
              <w:rPr>
                <w:noProof/>
              </w:rPr>
            </w:pPr>
            <w:r>
              <w:rPr>
                <w:noProof/>
              </w:rPr>
              <w:t>Mērķis</w:t>
            </w:r>
          </w:p>
        </w:tc>
        <w:tc>
          <w:tcPr>
            <w:tcW w:w="993" w:type="dxa"/>
            <w:shd w:val="clear" w:color="auto" w:fill="BDD7EE"/>
            <w:vAlign w:val="center"/>
            <w:hideMark/>
          </w:tcPr>
          <w:p w14:paraId="5006F363" w14:textId="77777777" w:rsidR="00C972CB" w:rsidRDefault="002457F6">
            <w:pPr>
              <w:pStyle w:val="P68B1DB1-Normal9"/>
              <w:jc w:val="center"/>
              <w:rPr>
                <w:noProof/>
              </w:rPr>
            </w:pPr>
            <w:r>
              <w:rPr>
                <w:noProof/>
              </w:rPr>
              <w:t>Ceturtdaļa</w:t>
            </w:r>
          </w:p>
        </w:tc>
        <w:tc>
          <w:tcPr>
            <w:tcW w:w="708" w:type="dxa"/>
            <w:shd w:val="clear" w:color="auto" w:fill="BDD7EE"/>
            <w:vAlign w:val="center"/>
            <w:hideMark/>
          </w:tcPr>
          <w:p w14:paraId="35B3F0F6" w14:textId="77777777" w:rsidR="00C972CB" w:rsidRDefault="002457F6">
            <w:pPr>
              <w:pStyle w:val="P68B1DB1-Normal9"/>
              <w:jc w:val="center"/>
              <w:rPr>
                <w:noProof/>
              </w:rPr>
            </w:pPr>
            <w:r>
              <w:rPr>
                <w:noProof/>
              </w:rPr>
              <w:t>Gadā</w:t>
            </w:r>
          </w:p>
        </w:tc>
        <w:tc>
          <w:tcPr>
            <w:tcW w:w="3686" w:type="dxa"/>
            <w:vMerge/>
            <w:vAlign w:val="center"/>
            <w:hideMark/>
          </w:tcPr>
          <w:p w14:paraId="532FD898" w14:textId="77777777" w:rsidR="00C972CB" w:rsidRDefault="00C972CB">
            <w:pPr>
              <w:rPr>
                <w:rFonts w:ascii="Arial Narrow" w:hAnsi="Arial Narrow"/>
                <w:b/>
                <w:noProof/>
                <w:sz w:val="20"/>
              </w:rPr>
            </w:pPr>
          </w:p>
        </w:tc>
      </w:tr>
      <w:tr w:rsidR="00C972CB" w14:paraId="22E9B375" w14:textId="77777777">
        <w:trPr>
          <w:trHeight w:val="1740"/>
        </w:trPr>
        <w:tc>
          <w:tcPr>
            <w:tcW w:w="1135" w:type="dxa"/>
            <w:shd w:val="clear" w:color="auto" w:fill="C6EFCE"/>
            <w:noWrap/>
            <w:vAlign w:val="center"/>
            <w:hideMark/>
          </w:tcPr>
          <w:p w14:paraId="0E0B8DD0" w14:textId="77777777" w:rsidR="00C972CB" w:rsidRDefault="002457F6">
            <w:pPr>
              <w:pStyle w:val="P68B1DB1-Normal11"/>
              <w:jc w:val="center"/>
              <w:rPr>
                <w:noProof/>
              </w:rPr>
            </w:pPr>
            <w:r>
              <w:rPr>
                <w:noProof/>
              </w:rPr>
              <w:t>M4C2–5</w:t>
            </w:r>
          </w:p>
          <w:p w14:paraId="6C4C103E" w14:textId="77777777" w:rsidR="00C972CB" w:rsidRDefault="00C972CB">
            <w:pPr>
              <w:jc w:val="center"/>
              <w:rPr>
                <w:rFonts w:ascii="Arial Narrow" w:hAnsi="Arial Narrow"/>
                <w:noProof/>
                <w:color w:val="006100"/>
                <w:sz w:val="20"/>
              </w:rPr>
            </w:pPr>
          </w:p>
        </w:tc>
        <w:tc>
          <w:tcPr>
            <w:tcW w:w="1419" w:type="dxa"/>
            <w:shd w:val="clear" w:color="auto" w:fill="C6EFCE"/>
            <w:noWrap/>
            <w:vAlign w:val="center"/>
          </w:tcPr>
          <w:p w14:paraId="602DCA3F" w14:textId="0FD59C16" w:rsidR="00C972CB" w:rsidRDefault="002457F6">
            <w:pPr>
              <w:pStyle w:val="P68B1DB1-Normal11"/>
              <w:jc w:val="center"/>
              <w:rPr>
                <w:noProof/>
              </w:rPr>
            </w:pPr>
            <w:r>
              <w:rPr>
                <w:noProof/>
              </w:rPr>
              <w:t xml:space="preserve">Ieguldījums </w:t>
            </w:r>
            <w:r>
              <w:rPr>
                <w:noProof/>
              </w:rPr>
              <w:t>1.1: Valsts nozīmes pētniecības projekti (PRIN)</w:t>
            </w:r>
          </w:p>
        </w:tc>
        <w:tc>
          <w:tcPr>
            <w:tcW w:w="1132" w:type="dxa"/>
            <w:shd w:val="clear" w:color="auto" w:fill="C6EFCE"/>
            <w:noWrap/>
            <w:vAlign w:val="center"/>
            <w:hideMark/>
          </w:tcPr>
          <w:p w14:paraId="57B4AE73" w14:textId="77777777" w:rsidR="00C972CB" w:rsidRDefault="002457F6">
            <w:pPr>
              <w:pStyle w:val="P68B1DB1-Normal11"/>
              <w:jc w:val="center"/>
              <w:rPr>
                <w:noProof/>
              </w:rPr>
            </w:pPr>
            <w:r>
              <w:rPr>
                <w:noProof/>
              </w:rPr>
              <w:t>Mērķa</w:t>
            </w:r>
          </w:p>
        </w:tc>
        <w:tc>
          <w:tcPr>
            <w:tcW w:w="1418" w:type="dxa"/>
            <w:shd w:val="clear" w:color="auto" w:fill="C6EFCE"/>
            <w:noWrap/>
            <w:vAlign w:val="center"/>
          </w:tcPr>
          <w:p w14:paraId="7F4F0065" w14:textId="71CB529A" w:rsidR="00C972CB" w:rsidRDefault="002457F6">
            <w:pPr>
              <w:pStyle w:val="P68B1DB1-Normal11"/>
              <w:jc w:val="center"/>
              <w:rPr>
                <w:noProof/>
              </w:rPr>
            </w:pPr>
            <w:r>
              <w:rPr>
                <w:noProof/>
              </w:rPr>
              <w:t>Piešķirto pētniecības projektu skaits</w:t>
            </w:r>
          </w:p>
        </w:tc>
        <w:tc>
          <w:tcPr>
            <w:tcW w:w="1275" w:type="dxa"/>
            <w:shd w:val="clear" w:color="auto" w:fill="C6EFCE"/>
            <w:noWrap/>
            <w:vAlign w:val="center"/>
            <w:hideMark/>
          </w:tcPr>
          <w:p w14:paraId="14CF1FE6"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6907821C" w14:textId="77777777" w:rsidR="00C972CB" w:rsidRDefault="002457F6">
            <w:pPr>
              <w:pStyle w:val="P68B1DB1-Normal11"/>
              <w:jc w:val="center"/>
              <w:rPr>
                <w:noProof/>
              </w:rPr>
            </w:pPr>
            <w:r>
              <w:rPr>
                <w:noProof/>
              </w:rPr>
              <w:t>Skaits</w:t>
            </w:r>
          </w:p>
        </w:tc>
        <w:tc>
          <w:tcPr>
            <w:tcW w:w="993" w:type="dxa"/>
            <w:shd w:val="clear" w:color="auto" w:fill="C6EFCE"/>
            <w:noWrap/>
            <w:vAlign w:val="center"/>
          </w:tcPr>
          <w:p w14:paraId="601757EB" w14:textId="77777777" w:rsidR="00C972CB" w:rsidRDefault="002457F6">
            <w:pPr>
              <w:pStyle w:val="P68B1DB1-Normal11"/>
              <w:jc w:val="center"/>
              <w:rPr>
                <w:noProof/>
              </w:rPr>
            </w:pPr>
            <w:r>
              <w:rPr>
                <w:noProof/>
              </w:rPr>
              <w:t>0</w:t>
            </w:r>
          </w:p>
        </w:tc>
        <w:tc>
          <w:tcPr>
            <w:tcW w:w="1275" w:type="dxa"/>
            <w:shd w:val="clear" w:color="auto" w:fill="C6EFCE"/>
            <w:noWrap/>
            <w:vAlign w:val="center"/>
          </w:tcPr>
          <w:p w14:paraId="7A94B3D9" w14:textId="1304993C" w:rsidR="00C972CB" w:rsidRDefault="002457F6">
            <w:pPr>
              <w:pStyle w:val="P68B1DB1-Normal11"/>
              <w:jc w:val="center"/>
              <w:rPr>
                <w:noProof/>
              </w:rPr>
            </w:pPr>
            <w:r>
              <w:rPr>
                <w:noProof/>
              </w:rPr>
              <w:t>3 150</w:t>
            </w:r>
          </w:p>
        </w:tc>
        <w:tc>
          <w:tcPr>
            <w:tcW w:w="993" w:type="dxa"/>
            <w:shd w:val="clear" w:color="auto" w:fill="C6EFCE"/>
            <w:noWrap/>
            <w:vAlign w:val="center"/>
            <w:hideMark/>
          </w:tcPr>
          <w:p w14:paraId="35C49819" w14:textId="77777777" w:rsidR="00C972CB" w:rsidRDefault="002457F6">
            <w:pPr>
              <w:pStyle w:val="P68B1DB1-Normal11"/>
              <w:jc w:val="center"/>
              <w:rPr>
                <w:noProof/>
              </w:rPr>
            </w:pPr>
            <w:r>
              <w:rPr>
                <w:noProof/>
              </w:rPr>
              <w:t>4. CET.</w:t>
            </w:r>
          </w:p>
        </w:tc>
        <w:tc>
          <w:tcPr>
            <w:tcW w:w="708" w:type="dxa"/>
            <w:shd w:val="clear" w:color="auto" w:fill="C6EFCE"/>
            <w:noWrap/>
            <w:vAlign w:val="center"/>
            <w:hideMark/>
          </w:tcPr>
          <w:p w14:paraId="520BD21E" w14:textId="77777777" w:rsidR="00C972CB" w:rsidRDefault="002457F6">
            <w:pPr>
              <w:pStyle w:val="P68B1DB1-Normal11"/>
              <w:jc w:val="center"/>
              <w:rPr>
                <w:noProof/>
              </w:rPr>
            </w:pPr>
            <w:r>
              <w:rPr>
                <w:noProof/>
              </w:rPr>
              <w:t>2023</w:t>
            </w:r>
          </w:p>
        </w:tc>
        <w:tc>
          <w:tcPr>
            <w:tcW w:w="3686" w:type="dxa"/>
            <w:shd w:val="clear" w:color="auto" w:fill="C6EFCE"/>
            <w:noWrap/>
            <w:vAlign w:val="center"/>
            <w:hideMark/>
          </w:tcPr>
          <w:p w14:paraId="2A88BD57" w14:textId="45060542" w:rsidR="00C972CB" w:rsidRDefault="002457F6">
            <w:pPr>
              <w:pStyle w:val="P68B1DB1-Normal11"/>
              <w:rPr>
                <w:noProof/>
              </w:rPr>
            </w:pPr>
            <w:r>
              <w:rPr>
                <w:noProof/>
              </w:rPr>
              <w:t xml:space="preserve">Vismaz 3150 Progetti di Ricerca di Interesse Nazionale pētniecības projektu piešķiršana. </w:t>
            </w:r>
          </w:p>
          <w:p w14:paraId="5AD4706C" w14:textId="77777777" w:rsidR="00C972CB" w:rsidRDefault="002457F6">
            <w:pPr>
              <w:pStyle w:val="P68B1DB1-Normal11"/>
              <w:rPr>
                <w:noProof/>
              </w:rPr>
            </w:pPr>
            <w:r>
              <w:rPr>
                <w:noProof/>
              </w:rPr>
              <w:t xml:space="preserve">Līgumslēgšanas tiesības projektiem, </w:t>
            </w:r>
            <w:r>
              <w:rPr>
                <w:noProof/>
              </w:rPr>
              <w:t xml:space="preserve">kas atlasīti konkursa uzaicinājumos iesniegt priekšlikumus, piešķir saskaņā ar Tehniskajiem norādījumiem “Nenodarīt būtisku kaitējumu” (2021/C58/01), izmantojot izslēgšanas sarakstu un prasību par atbilstību attiecīgajiem ES un valsts tiesību aktiem vides </w:t>
            </w:r>
            <w:r>
              <w:rPr>
                <w:noProof/>
              </w:rPr>
              <w:t>jomā.</w:t>
            </w:r>
          </w:p>
        </w:tc>
      </w:tr>
      <w:tr w:rsidR="00C972CB" w14:paraId="152DDC7B" w14:textId="77777777">
        <w:trPr>
          <w:trHeight w:val="313"/>
        </w:trPr>
        <w:tc>
          <w:tcPr>
            <w:tcW w:w="1135" w:type="dxa"/>
            <w:shd w:val="clear" w:color="auto" w:fill="C6EFCE"/>
            <w:noWrap/>
            <w:vAlign w:val="center"/>
            <w:hideMark/>
          </w:tcPr>
          <w:p w14:paraId="7A964945" w14:textId="77777777" w:rsidR="00C972CB" w:rsidRDefault="002457F6">
            <w:pPr>
              <w:pStyle w:val="P68B1DB1-Normal11"/>
              <w:jc w:val="center"/>
              <w:rPr>
                <w:noProof/>
              </w:rPr>
            </w:pPr>
            <w:r>
              <w:rPr>
                <w:noProof/>
              </w:rPr>
              <w:t>M4C2–6</w:t>
            </w:r>
          </w:p>
        </w:tc>
        <w:tc>
          <w:tcPr>
            <w:tcW w:w="1419" w:type="dxa"/>
            <w:shd w:val="clear" w:color="auto" w:fill="C6EFCE"/>
            <w:noWrap/>
            <w:vAlign w:val="center"/>
          </w:tcPr>
          <w:p w14:paraId="7285DDFD" w14:textId="77777777" w:rsidR="00C972CB" w:rsidRDefault="002457F6">
            <w:pPr>
              <w:pStyle w:val="P68B1DB1-Normal11"/>
              <w:jc w:val="center"/>
              <w:rPr>
                <w:noProof/>
              </w:rPr>
            </w:pPr>
            <w:r>
              <w:rPr>
                <w:noProof/>
              </w:rPr>
              <w:t>Ieguldījums 1.1: Valsts nozīmes pētniecības projekti (PRIN)</w:t>
            </w:r>
          </w:p>
        </w:tc>
        <w:tc>
          <w:tcPr>
            <w:tcW w:w="1132" w:type="dxa"/>
            <w:shd w:val="clear" w:color="auto" w:fill="C6EFCE"/>
            <w:noWrap/>
            <w:vAlign w:val="center"/>
            <w:hideMark/>
          </w:tcPr>
          <w:p w14:paraId="14A231EB" w14:textId="77777777" w:rsidR="00C972CB" w:rsidRDefault="002457F6">
            <w:pPr>
              <w:pStyle w:val="P68B1DB1-Normal11"/>
              <w:jc w:val="center"/>
              <w:rPr>
                <w:noProof/>
              </w:rPr>
            </w:pPr>
            <w:r>
              <w:rPr>
                <w:noProof/>
              </w:rPr>
              <w:t>Mērķa</w:t>
            </w:r>
          </w:p>
        </w:tc>
        <w:tc>
          <w:tcPr>
            <w:tcW w:w="1418" w:type="dxa"/>
            <w:shd w:val="clear" w:color="auto" w:fill="C6EFCE"/>
            <w:noWrap/>
            <w:vAlign w:val="center"/>
          </w:tcPr>
          <w:p w14:paraId="2D61B35A" w14:textId="77777777" w:rsidR="00C972CB" w:rsidRDefault="002457F6">
            <w:pPr>
              <w:pStyle w:val="P68B1DB1-Normal11"/>
              <w:jc w:val="center"/>
              <w:rPr>
                <w:noProof/>
              </w:rPr>
            </w:pPr>
            <w:r>
              <w:rPr>
                <w:noProof/>
              </w:rPr>
              <w:t>Piešķirto pētniecības projektu skaits</w:t>
            </w:r>
          </w:p>
        </w:tc>
        <w:tc>
          <w:tcPr>
            <w:tcW w:w="1275" w:type="dxa"/>
            <w:shd w:val="clear" w:color="auto" w:fill="C6EFCE"/>
            <w:noWrap/>
            <w:vAlign w:val="center"/>
            <w:hideMark/>
          </w:tcPr>
          <w:p w14:paraId="182A5944"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2BAF49D1" w14:textId="77777777" w:rsidR="00C972CB" w:rsidRDefault="002457F6">
            <w:pPr>
              <w:pStyle w:val="P68B1DB1-Normal11"/>
              <w:jc w:val="center"/>
              <w:rPr>
                <w:noProof/>
              </w:rPr>
            </w:pPr>
            <w:r>
              <w:rPr>
                <w:noProof/>
              </w:rPr>
              <w:t>Skaits</w:t>
            </w:r>
          </w:p>
        </w:tc>
        <w:tc>
          <w:tcPr>
            <w:tcW w:w="993" w:type="dxa"/>
            <w:shd w:val="clear" w:color="auto" w:fill="C6EFCE"/>
            <w:noWrap/>
            <w:vAlign w:val="center"/>
          </w:tcPr>
          <w:p w14:paraId="7EAF8EAB" w14:textId="0B1514AE" w:rsidR="00C972CB" w:rsidRDefault="002457F6">
            <w:pPr>
              <w:pStyle w:val="P68B1DB1-Normal11"/>
              <w:jc w:val="center"/>
              <w:rPr>
                <w:noProof/>
              </w:rPr>
            </w:pPr>
            <w:r>
              <w:rPr>
                <w:noProof/>
              </w:rPr>
              <w:t>3 150</w:t>
            </w:r>
          </w:p>
        </w:tc>
        <w:tc>
          <w:tcPr>
            <w:tcW w:w="1275" w:type="dxa"/>
            <w:shd w:val="clear" w:color="auto" w:fill="C6EFCE"/>
            <w:noWrap/>
            <w:vAlign w:val="center"/>
          </w:tcPr>
          <w:p w14:paraId="30013BB8" w14:textId="42C70F42" w:rsidR="00C972CB" w:rsidRDefault="002457F6">
            <w:pPr>
              <w:pStyle w:val="P68B1DB1-Normal11"/>
              <w:jc w:val="center"/>
              <w:rPr>
                <w:noProof/>
              </w:rPr>
            </w:pPr>
            <w:r>
              <w:rPr>
                <w:noProof/>
              </w:rPr>
              <w:t>5 350</w:t>
            </w:r>
          </w:p>
        </w:tc>
        <w:tc>
          <w:tcPr>
            <w:tcW w:w="993" w:type="dxa"/>
            <w:shd w:val="clear" w:color="auto" w:fill="C6EFCE"/>
            <w:noWrap/>
            <w:vAlign w:val="center"/>
            <w:hideMark/>
          </w:tcPr>
          <w:p w14:paraId="3A5CD697"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16A1230B" w14:textId="77777777" w:rsidR="00C972CB" w:rsidRDefault="002457F6">
            <w:pPr>
              <w:pStyle w:val="P68B1DB1-Normal11"/>
              <w:jc w:val="center"/>
              <w:rPr>
                <w:noProof/>
              </w:rPr>
            </w:pPr>
            <w:r>
              <w:rPr>
                <w:noProof/>
              </w:rPr>
              <w:t>2025</w:t>
            </w:r>
          </w:p>
        </w:tc>
        <w:tc>
          <w:tcPr>
            <w:tcW w:w="3686" w:type="dxa"/>
            <w:shd w:val="clear" w:color="auto" w:fill="C6EFCE"/>
            <w:noWrap/>
            <w:vAlign w:val="center"/>
            <w:hideMark/>
          </w:tcPr>
          <w:p w14:paraId="3ECA1BB6" w14:textId="449B0B80" w:rsidR="00C972CB" w:rsidRDefault="002457F6">
            <w:pPr>
              <w:pStyle w:val="P68B1DB1-Normal11"/>
              <w:rPr>
                <w:noProof/>
              </w:rPr>
            </w:pPr>
            <w:r>
              <w:rPr>
                <w:noProof/>
              </w:rPr>
              <w:t>Vismaz 5350 Progetti di Ricerca di Interesse Nazionale pētniecības projektu piešķiršana.</w:t>
            </w:r>
          </w:p>
          <w:p w14:paraId="6A95F03A" w14:textId="622883A1" w:rsidR="00C972CB" w:rsidRDefault="002457F6">
            <w:pPr>
              <w:pStyle w:val="P68B1DB1-Normal11"/>
              <w:rPr>
                <w:noProof/>
              </w:rPr>
            </w:pPr>
            <w:r>
              <w:rPr>
                <w:noProof/>
              </w:rPr>
              <w:t>Līgumslēgšanas tiesības projektiem, kas atlasīti konkursa uzaicinājumos iesniegt priekšlikumus, piešķir saskaņā ar Tehniskajiem norādījumiem “Nenodarīt būtisku kaitējumu” (2021/C58/01), izmantojot izslēgšanas sarakstu un prasību par atbilstību attiecīgajie</w:t>
            </w:r>
            <w:r>
              <w:rPr>
                <w:noProof/>
              </w:rPr>
              <w:t>m ES un valsts tiesību aktiem vides jomā.</w:t>
            </w:r>
          </w:p>
        </w:tc>
      </w:tr>
      <w:tr w:rsidR="00C972CB" w14:paraId="3CAE0D1E" w14:textId="77777777">
        <w:trPr>
          <w:trHeight w:val="313"/>
        </w:trPr>
        <w:tc>
          <w:tcPr>
            <w:tcW w:w="1135" w:type="dxa"/>
            <w:shd w:val="clear" w:color="auto" w:fill="C6EFCE"/>
            <w:noWrap/>
            <w:vAlign w:val="center"/>
            <w:hideMark/>
          </w:tcPr>
          <w:p w14:paraId="1B701462" w14:textId="77777777" w:rsidR="00C972CB" w:rsidRDefault="002457F6">
            <w:pPr>
              <w:pStyle w:val="P68B1DB1-Normal11"/>
              <w:jc w:val="center"/>
              <w:rPr>
                <w:noProof/>
              </w:rPr>
            </w:pPr>
            <w:r>
              <w:rPr>
                <w:noProof/>
              </w:rPr>
              <w:t>M4C2–7</w:t>
            </w:r>
          </w:p>
        </w:tc>
        <w:tc>
          <w:tcPr>
            <w:tcW w:w="1419" w:type="dxa"/>
            <w:shd w:val="clear" w:color="auto" w:fill="C6EFCE"/>
            <w:noWrap/>
            <w:vAlign w:val="center"/>
            <w:hideMark/>
          </w:tcPr>
          <w:p w14:paraId="35CAA1D5" w14:textId="77777777" w:rsidR="00C972CB" w:rsidRDefault="002457F6">
            <w:pPr>
              <w:pStyle w:val="P68B1DB1-Normal11"/>
              <w:jc w:val="center"/>
              <w:rPr>
                <w:noProof/>
              </w:rPr>
            </w:pPr>
            <w:r>
              <w:rPr>
                <w:noProof/>
              </w:rPr>
              <w:t>Ieguldījums 1.1: Valsts nozīmes pētniecības projekti (PRIN)</w:t>
            </w:r>
          </w:p>
        </w:tc>
        <w:tc>
          <w:tcPr>
            <w:tcW w:w="1132" w:type="dxa"/>
            <w:shd w:val="clear" w:color="auto" w:fill="C6EFCE"/>
            <w:noWrap/>
            <w:vAlign w:val="center"/>
            <w:hideMark/>
          </w:tcPr>
          <w:p w14:paraId="39AF44FE" w14:textId="77777777" w:rsidR="00C972CB" w:rsidRDefault="002457F6">
            <w:pPr>
              <w:pStyle w:val="P68B1DB1-Normal11"/>
              <w:jc w:val="center"/>
              <w:rPr>
                <w:noProof/>
              </w:rPr>
            </w:pPr>
            <w:r>
              <w:rPr>
                <w:noProof/>
              </w:rPr>
              <w:t>Mērķa</w:t>
            </w:r>
          </w:p>
        </w:tc>
        <w:tc>
          <w:tcPr>
            <w:tcW w:w="1418" w:type="dxa"/>
            <w:shd w:val="clear" w:color="auto" w:fill="C6EFCE"/>
            <w:noWrap/>
            <w:vAlign w:val="center"/>
            <w:hideMark/>
          </w:tcPr>
          <w:p w14:paraId="13F68B3C" w14:textId="77777777" w:rsidR="00C972CB" w:rsidRDefault="002457F6">
            <w:pPr>
              <w:pStyle w:val="P68B1DB1-Normal11"/>
              <w:jc w:val="center"/>
              <w:rPr>
                <w:noProof/>
              </w:rPr>
            </w:pPr>
            <w:r>
              <w:rPr>
                <w:noProof/>
              </w:rPr>
              <w:t>To pētnieku skaits, kuri pieņemti darbā uz noteiktu laiku</w:t>
            </w:r>
          </w:p>
        </w:tc>
        <w:tc>
          <w:tcPr>
            <w:tcW w:w="1275" w:type="dxa"/>
            <w:shd w:val="clear" w:color="auto" w:fill="C6EFCE"/>
            <w:noWrap/>
            <w:vAlign w:val="center"/>
            <w:hideMark/>
          </w:tcPr>
          <w:p w14:paraId="744830CB"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1084DE33" w14:textId="77777777" w:rsidR="00C972CB" w:rsidRDefault="002457F6">
            <w:pPr>
              <w:pStyle w:val="P68B1DB1-Normal11"/>
              <w:jc w:val="center"/>
              <w:rPr>
                <w:noProof/>
              </w:rPr>
            </w:pPr>
            <w:r>
              <w:rPr>
                <w:noProof/>
              </w:rPr>
              <w:t>Skaits</w:t>
            </w:r>
          </w:p>
        </w:tc>
        <w:tc>
          <w:tcPr>
            <w:tcW w:w="993" w:type="dxa"/>
            <w:shd w:val="clear" w:color="auto" w:fill="C6EFCE"/>
            <w:noWrap/>
            <w:vAlign w:val="center"/>
            <w:hideMark/>
          </w:tcPr>
          <w:p w14:paraId="544D0725" w14:textId="77777777" w:rsidR="00C972CB" w:rsidRDefault="002457F6">
            <w:pPr>
              <w:pStyle w:val="P68B1DB1-Normal11"/>
              <w:jc w:val="center"/>
              <w:rPr>
                <w:noProof/>
              </w:rPr>
            </w:pPr>
            <w:r>
              <w:rPr>
                <w:noProof/>
              </w:rPr>
              <w:t>0</w:t>
            </w:r>
          </w:p>
        </w:tc>
        <w:tc>
          <w:tcPr>
            <w:tcW w:w="1275" w:type="dxa"/>
            <w:shd w:val="clear" w:color="auto" w:fill="C6EFCE"/>
            <w:noWrap/>
            <w:vAlign w:val="center"/>
            <w:hideMark/>
          </w:tcPr>
          <w:p w14:paraId="2A17EE42" w14:textId="77777777" w:rsidR="00C972CB" w:rsidRDefault="002457F6">
            <w:pPr>
              <w:pStyle w:val="P68B1DB1-Normal11"/>
              <w:jc w:val="center"/>
              <w:rPr>
                <w:noProof/>
              </w:rPr>
            </w:pPr>
            <w:r>
              <w:rPr>
                <w:noProof/>
              </w:rPr>
              <w:t>900</w:t>
            </w:r>
          </w:p>
        </w:tc>
        <w:tc>
          <w:tcPr>
            <w:tcW w:w="993" w:type="dxa"/>
            <w:shd w:val="clear" w:color="auto" w:fill="C6EFCE"/>
            <w:noWrap/>
            <w:vAlign w:val="center"/>
            <w:hideMark/>
          </w:tcPr>
          <w:p w14:paraId="731C2F51"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1B50325C" w14:textId="77777777" w:rsidR="00C972CB" w:rsidRDefault="002457F6">
            <w:pPr>
              <w:pStyle w:val="P68B1DB1-Normal11"/>
              <w:jc w:val="center"/>
              <w:rPr>
                <w:noProof/>
              </w:rPr>
            </w:pPr>
            <w:r>
              <w:rPr>
                <w:noProof/>
              </w:rPr>
              <w:t>2025</w:t>
            </w:r>
          </w:p>
        </w:tc>
        <w:tc>
          <w:tcPr>
            <w:tcW w:w="3686" w:type="dxa"/>
            <w:shd w:val="clear" w:color="auto" w:fill="C6EFCE"/>
            <w:noWrap/>
            <w:vAlign w:val="center"/>
            <w:hideMark/>
          </w:tcPr>
          <w:p w14:paraId="6EA8B7AE" w14:textId="42C41527" w:rsidR="00C972CB" w:rsidRDefault="002457F6">
            <w:pPr>
              <w:pStyle w:val="P68B1DB1-Normal11"/>
              <w:spacing w:after="120"/>
              <w:rPr>
                <w:noProof/>
              </w:rPr>
            </w:pPr>
            <w:r>
              <w:rPr>
                <w:noProof/>
              </w:rPr>
              <w:t xml:space="preserve">Pieņem darbā vismaz 900 jaunus noteikta laika </w:t>
            </w:r>
            <w:r>
              <w:rPr>
                <w:noProof/>
              </w:rPr>
              <w:t>pētniekus.</w:t>
            </w:r>
          </w:p>
          <w:p w14:paraId="599B7A42" w14:textId="69A12BB8" w:rsidR="00C972CB" w:rsidRDefault="002457F6">
            <w:pPr>
              <w:pStyle w:val="P68B1DB1-Normal11"/>
              <w:spacing w:after="120"/>
              <w:rPr>
                <w:noProof/>
              </w:rPr>
            </w:pPr>
            <w:r>
              <w:rPr>
                <w:noProof/>
              </w:rPr>
              <w:t>Darbā pieņemtie pētnieki galveno uzmanību pievērš prioritātēm, kas saskan ar sešām kopām Eiropas Pētniecības un inovācijas pamatprogrammā 2021.–2027. gadam: I) veselība; humānisma kultūra, radošums, sociālās pārmaiņas, iekļaušanas sabiedrība; II</w:t>
            </w:r>
            <w:r>
              <w:rPr>
                <w:noProof/>
              </w:rPr>
              <w:t>I) sociālo sistēmu drošība; digitālā joma, rūpniecība, kosmiskā aviācija; klimats, enerģētika, ilgtspējīga mobilitāte; pārtikas produkti, bioekonomika, bioloģiskā daudzveidība, lauksaimniecība, vide.</w:t>
            </w:r>
          </w:p>
        </w:tc>
      </w:tr>
      <w:tr w:rsidR="00C972CB" w14:paraId="18DA81A2" w14:textId="77777777">
        <w:trPr>
          <w:trHeight w:val="1278"/>
        </w:trPr>
        <w:tc>
          <w:tcPr>
            <w:tcW w:w="1135" w:type="dxa"/>
            <w:shd w:val="clear" w:color="auto" w:fill="C6EFCE"/>
            <w:noWrap/>
            <w:vAlign w:val="center"/>
            <w:hideMark/>
          </w:tcPr>
          <w:p w14:paraId="7C3A1B40" w14:textId="77777777" w:rsidR="00C972CB" w:rsidRDefault="002457F6">
            <w:pPr>
              <w:pStyle w:val="P68B1DB1-Normal11"/>
              <w:jc w:val="center"/>
              <w:rPr>
                <w:noProof/>
              </w:rPr>
            </w:pPr>
            <w:r>
              <w:rPr>
                <w:noProof/>
              </w:rPr>
              <w:t>M4C2–8</w:t>
            </w:r>
          </w:p>
        </w:tc>
        <w:tc>
          <w:tcPr>
            <w:tcW w:w="1419" w:type="dxa"/>
            <w:shd w:val="clear" w:color="auto" w:fill="C6EFCE"/>
            <w:noWrap/>
            <w:vAlign w:val="center"/>
            <w:hideMark/>
          </w:tcPr>
          <w:p w14:paraId="5C3460E8" w14:textId="77777777" w:rsidR="00C972CB" w:rsidRDefault="002457F6">
            <w:pPr>
              <w:pStyle w:val="P68B1DB1-Normal11"/>
              <w:jc w:val="center"/>
              <w:rPr>
                <w:noProof/>
              </w:rPr>
            </w:pPr>
            <w:r>
              <w:rPr>
                <w:noProof/>
              </w:rPr>
              <w:t xml:space="preserve">Ieguldījums 1.3. Partnerības, kas attiecinātas </w:t>
            </w:r>
            <w:r>
              <w:rPr>
                <w:noProof/>
              </w:rPr>
              <w:t>uz universitātēm, pētniecības centriem, uzņēmumiem un fundamentālo pētījumu projektu finansēšanu</w:t>
            </w:r>
          </w:p>
        </w:tc>
        <w:tc>
          <w:tcPr>
            <w:tcW w:w="1132" w:type="dxa"/>
            <w:shd w:val="clear" w:color="auto" w:fill="C6EFCE"/>
            <w:noWrap/>
            <w:vAlign w:val="center"/>
            <w:hideMark/>
          </w:tcPr>
          <w:p w14:paraId="60768B75" w14:textId="77777777" w:rsidR="00C972CB" w:rsidRDefault="002457F6">
            <w:pPr>
              <w:pStyle w:val="P68B1DB1-Normal11"/>
              <w:jc w:val="center"/>
              <w:rPr>
                <w:noProof/>
              </w:rPr>
            </w:pPr>
            <w:r>
              <w:rPr>
                <w:noProof/>
              </w:rPr>
              <w:t>Mērķa</w:t>
            </w:r>
          </w:p>
        </w:tc>
        <w:tc>
          <w:tcPr>
            <w:tcW w:w="1418" w:type="dxa"/>
            <w:shd w:val="clear" w:color="auto" w:fill="C6EFCE"/>
            <w:noWrap/>
            <w:vAlign w:val="center"/>
            <w:hideMark/>
          </w:tcPr>
          <w:p w14:paraId="3ED0E5EA" w14:textId="77777777" w:rsidR="00C972CB" w:rsidRDefault="002457F6">
            <w:pPr>
              <w:pStyle w:val="P68B1DB1-Normal11"/>
              <w:jc w:val="center"/>
              <w:rPr>
                <w:noProof/>
              </w:rPr>
            </w:pPr>
            <w:r>
              <w:rPr>
                <w:noProof/>
              </w:rPr>
              <w:t>To pētnieku skaits, kuri pieņemti darbā uz noteiktu laiku katrā no paredzētajām pamatpētniecības partnerībām, kas parakstītas starp pētniecības institūti</w:t>
            </w:r>
            <w:r>
              <w:rPr>
                <w:noProof/>
              </w:rPr>
              <w:t>em un privātiem uzņēmumiem</w:t>
            </w:r>
          </w:p>
        </w:tc>
        <w:tc>
          <w:tcPr>
            <w:tcW w:w="1275" w:type="dxa"/>
            <w:shd w:val="clear" w:color="auto" w:fill="C6EFCE"/>
            <w:noWrap/>
            <w:vAlign w:val="center"/>
            <w:hideMark/>
          </w:tcPr>
          <w:p w14:paraId="6F1116C0"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7DA2AE4B" w14:textId="77777777" w:rsidR="00C972CB" w:rsidRDefault="002457F6">
            <w:pPr>
              <w:pStyle w:val="P68B1DB1-Normal11"/>
              <w:jc w:val="center"/>
              <w:rPr>
                <w:noProof/>
              </w:rPr>
            </w:pPr>
            <w:r>
              <w:rPr>
                <w:noProof/>
              </w:rPr>
              <w:t>Skaits</w:t>
            </w:r>
          </w:p>
        </w:tc>
        <w:tc>
          <w:tcPr>
            <w:tcW w:w="993" w:type="dxa"/>
            <w:shd w:val="clear" w:color="auto" w:fill="C6EFCE"/>
            <w:noWrap/>
            <w:vAlign w:val="center"/>
            <w:hideMark/>
          </w:tcPr>
          <w:p w14:paraId="65057ED6" w14:textId="77777777" w:rsidR="00C972CB" w:rsidRDefault="002457F6">
            <w:pPr>
              <w:pStyle w:val="P68B1DB1-Normal11"/>
              <w:jc w:val="center"/>
              <w:rPr>
                <w:noProof/>
              </w:rPr>
            </w:pPr>
            <w:r>
              <w:rPr>
                <w:noProof/>
              </w:rPr>
              <w:t>0</w:t>
            </w:r>
          </w:p>
        </w:tc>
        <w:tc>
          <w:tcPr>
            <w:tcW w:w="1275" w:type="dxa"/>
            <w:shd w:val="clear" w:color="auto" w:fill="C6EFCE"/>
            <w:noWrap/>
            <w:vAlign w:val="center"/>
            <w:hideMark/>
          </w:tcPr>
          <w:p w14:paraId="1EDFC0DE" w14:textId="67171C64" w:rsidR="00C972CB" w:rsidRDefault="002457F6">
            <w:pPr>
              <w:pStyle w:val="P68B1DB1-Normal11"/>
              <w:jc w:val="center"/>
              <w:rPr>
                <w:noProof/>
              </w:rPr>
            </w:pPr>
            <w:r>
              <w:rPr>
                <w:noProof/>
              </w:rPr>
              <w:t>1 400</w:t>
            </w:r>
          </w:p>
        </w:tc>
        <w:tc>
          <w:tcPr>
            <w:tcW w:w="993" w:type="dxa"/>
            <w:shd w:val="clear" w:color="auto" w:fill="C6EFCE"/>
            <w:noWrap/>
            <w:vAlign w:val="center"/>
            <w:hideMark/>
          </w:tcPr>
          <w:p w14:paraId="08F6D86C"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00D95D90" w14:textId="77777777" w:rsidR="00C972CB" w:rsidRDefault="002457F6">
            <w:pPr>
              <w:pStyle w:val="P68B1DB1-Normal11"/>
              <w:jc w:val="center"/>
              <w:rPr>
                <w:noProof/>
              </w:rPr>
            </w:pPr>
            <w:r>
              <w:rPr>
                <w:noProof/>
              </w:rPr>
              <w:t>2025</w:t>
            </w:r>
          </w:p>
        </w:tc>
        <w:tc>
          <w:tcPr>
            <w:tcW w:w="3686" w:type="dxa"/>
            <w:shd w:val="clear" w:color="auto" w:fill="C6EFCE"/>
            <w:noWrap/>
            <w:vAlign w:val="center"/>
            <w:hideMark/>
          </w:tcPr>
          <w:p w14:paraId="2DE704E0" w14:textId="0BCC6F19" w:rsidR="00C972CB" w:rsidRDefault="002457F6">
            <w:pPr>
              <w:pStyle w:val="P68B1DB1-Normal11"/>
              <w:spacing w:after="120"/>
              <w:rPr>
                <w:noProof/>
              </w:rPr>
            </w:pPr>
            <w:r>
              <w:rPr>
                <w:noProof/>
              </w:rPr>
              <w:t xml:space="preserve">Katrā no paredzētajām pamatpētījumu partnerībām, kas noslēgtas starp pētniecības institūtiem un privātiem uzņēmumiem, pieņem darbā vismaz 100 jaunus pētniekus uz noteiktu laiku (1.3.). </w:t>
            </w:r>
          </w:p>
          <w:p w14:paraId="12B2DB9F" w14:textId="734CA379" w:rsidR="00C972CB" w:rsidRDefault="002457F6">
            <w:pPr>
              <w:pStyle w:val="P68B1DB1-Normal11"/>
              <w:spacing w:after="120"/>
              <w:rPr>
                <w:noProof/>
              </w:rPr>
            </w:pPr>
            <w:r>
              <w:rPr>
                <w:noProof/>
              </w:rPr>
              <w:t xml:space="preserve">Pētniecības institūti un privāti uzņēmumi paraksta vismaz 14 pamatpētījumu partnerības. </w:t>
            </w:r>
          </w:p>
          <w:p w14:paraId="72A0245C" w14:textId="77777777" w:rsidR="00C972CB" w:rsidRDefault="002457F6">
            <w:pPr>
              <w:pStyle w:val="P68B1DB1-Normal11"/>
              <w:spacing w:after="120"/>
              <w:rPr>
                <w:noProof/>
              </w:rPr>
            </w:pPr>
            <w:r>
              <w:rPr>
                <w:noProof/>
              </w:rPr>
              <w:t>Apmierinoša mērķa sasniegšana ir atkarīga no tā, cik daudz līgumu uz noteiktu laiku ir piešķirtas pētniecēm: vismaz 40 % no pildījuma masas.</w:t>
            </w:r>
          </w:p>
          <w:p w14:paraId="049FCB75" w14:textId="77777777" w:rsidR="00C972CB" w:rsidRDefault="002457F6">
            <w:pPr>
              <w:pStyle w:val="P68B1DB1-Normal11"/>
              <w:spacing w:after="120"/>
              <w:rPr>
                <w:noProof/>
              </w:rPr>
            </w:pPr>
            <w:r>
              <w:rPr>
                <w:noProof/>
              </w:rPr>
              <w:t>Projektus atlasa, pamatojo</w:t>
            </w:r>
            <w:r>
              <w:rPr>
                <w:noProof/>
              </w:rPr>
              <w:t>ties uz konkurences kritērijiem, tostarp i) PDR (Piano Nazionale di Ricerca) mērķu un prioritāšu ievērošanu; ieinteresēto personu iesaistīšana, lai apvienotu tehnoloģiju gatavības līmeni (TRL) ar sabiedrības gatavības līmeni (SRL);</w:t>
            </w:r>
          </w:p>
          <w:p w14:paraId="014D0446" w14:textId="77777777" w:rsidR="00C972CB" w:rsidRDefault="002457F6">
            <w:pPr>
              <w:pStyle w:val="P68B1DB1-Normal11"/>
              <w:spacing w:after="120"/>
              <w:rPr>
                <w:noProof/>
              </w:rPr>
            </w:pPr>
            <w:r>
              <w:rPr>
                <w:noProof/>
              </w:rPr>
              <w:t>Turklāt jānosaka īpaši a</w:t>
            </w:r>
            <w:r>
              <w:rPr>
                <w:noProof/>
              </w:rPr>
              <w:t xml:space="preserve">tlases kritēriji, lai nodrošinātu i) iesaistīto teritoriju līdzsvaru (veicinot dalībnieku iesaisti no dažādiem reģioniem un dažādām valsts zonām, tostarp dienvidiem un salām), ii) iesaistītu gan lielos, gan mazos un vidējos uzņēmumus (MVU), īpašu uzmanību </w:t>
            </w:r>
            <w:r>
              <w:rPr>
                <w:noProof/>
              </w:rPr>
              <w:t>pievēršot jaunākiem (mazāk nekā piecus gadus pēc to izveides) un inovatīviem uzņēmumiem.</w:t>
            </w:r>
          </w:p>
          <w:p w14:paraId="02A9B0D3" w14:textId="77777777" w:rsidR="00C972CB" w:rsidRDefault="002457F6">
            <w:pPr>
              <w:pStyle w:val="P68B1DB1-paragraph25"/>
              <w:spacing w:before="0" w:beforeAutospacing="0" w:after="120" w:afterAutospacing="0"/>
              <w:textAlignment w:val="baseline"/>
              <w:rPr>
                <w:noProof/>
              </w:rPr>
            </w:pPr>
            <w:r>
              <w:rPr>
                <w:noProof/>
              </w:rPr>
              <w:t>Uzaicinājumā iesniegt programmas, kā arī atlases procedūra ietver:</w:t>
            </w:r>
          </w:p>
          <w:p w14:paraId="42F13564" w14:textId="77777777" w:rsidR="00C972CB" w:rsidRDefault="002457F6">
            <w:pPr>
              <w:pStyle w:val="P68B1DB1-paragraph25"/>
              <w:spacing w:before="0" w:beforeAutospacing="0" w:after="120" w:afterAutospacing="0"/>
              <w:textAlignment w:val="baseline"/>
              <w:rPr>
                <w:noProof/>
              </w:rPr>
            </w:pPr>
            <w:r>
              <w:rPr>
                <w:noProof/>
              </w:rPr>
              <w:t>atbilstības kritēriji, kas nodrošina, ka atlasītie projekti atbilst Tehniskajiem norādījumiem “nenod</w:t>
            </w:r>
            <w:r>
              <w:rPr>
                <w:noProof/>
              </w:rPr>
              <w:t>ari būtisku kaitējumu” (2021/C58/01), izmantojot izslēgšanas sarakstu un prasību par atbilstību attiecīgajiem ES un valsts tiesību aktiem vides jomā.</w:t>
            </w:r>
          </w:p>
          <w:p w14:paraId="3A9A1F25" w14:textId="77777777" w:rsidR="00C972CB" w:rsidRDefault="002457F6">
            <w:pPr>
              <w:pStyle w:val="P68B1DB1-paragraph25"/>
              <w:spacing w:before="0" w:beforeAutospacing="0" w:after="120" w:afterAutospacing="0"/>
              <w:textAlignment w:val="baseline"/>
              <w:rPr>
                <w:noProof/>
              </w:rPr>
            </w:pPr>
            <w:r>
              <w:rPr>
                <w:noProof/>
              </w:rPr>
              <w:t>b) apņemšanās, ka investīciju ieguldījums klimata jomā saskaņā ar Regulas (ES) 2021/241 VI pielikumā izklā</w:t>
            </w:r>
            <w:r>
              <w:rPr>
                <w:noProof/>
              </w:rPr>
              <w:t>stīto metodiku veido vismaz 42 % no ANM atbalstīto investīciju kopējām izmaksām.</w:t>
            </w:r>
          </w:p>
          <w:p w14:paraId="45A9A98E" w14:textId="77777777" w:rsidR="00C972CB" w:rsidRDefault="002457F6">
            <w:pPr>
              <w:pStyle w:val="P68B1DB1-paragraph25"/>
              <w:spacing w:before="0" w:beforeAutospacing="0" w:after="120" w:afterAutospacing="0"/>
              <w:textAlignment w:val="baseline"/>
              <w:rPr>
                <w:noProof/>
              </w:rPr>
            </w:pPr>
            <w:r>
              <w:rPr>
                <w:noProof/>
              </w:rPr>
              <w:t>C) apņemšanās ziņot par pasākuma īstenošanu visā shēmas darbības laikā un shēmas darbības beigās.</w:t>
            </w:r>
          </w:p>
        </w:tc>
      </w:tr>
      <w:tr w:rsidR="00C972CB" w14:paraId="6B8F5891" w14:textId="77777777">
        <w:trPr>
          <w:trHeight w:val="313"/>
        </w:trPr>
        <w:tc>
          <w:tcPr>
            <w:tcW w:w="1135" w:type="dxa"/>
            <w:shd w:val="clear" w:color="auto" w:fill="C6EFCE"/>
            <w:noWrap/>
            <w:vAlign w:val="center"/>
            <w:hideMark/>
          </w:tcPr>
          <w:p w14:paraId="11ABDD8D" w14:textId="77777777" w:rsidR="00C972CB" w:rsidRDefault="002457F6">
            <w:pPr>
              <w:pStyle w:val="P68B1DB1-Normal11"/>
              <w:jc w:val="center"/>
              <w:rPr>
                <w:noProof/>
              </w:rPr>
            </w:pPr>
            <w:r>
              <w:rPr>
                <w:noProof/>
              </w:rPr>
              <w:t>M4C2–9</w:t>
            </w:r>
          </w:p>
        </w:tc>
        <w:tc>
          <w:tcPr>
            <w:tcW w:w="1419" w:type="dxa"/>
            <w:shd w:val="clear" w:color="auto" w:fill="C6EFCE"/>
            <w:noWrap/>
            <w:vAlign w:val="center"/>
            <w:hideMark/>
          </w:tcPr>
          <w:p w14:paraId="095F1875" w14:textId="77777777" w:rsidR="00C972CB" w:rsidRDefault="002457F6">
            <w:pPr>
              <w:pStyle w:val="P68B1DB1-Normal11"/>
              <w:jc w:val="center"/>
              <w:rPr>
                <w:noProof/>
              </w:rPr>
            </w:pPr>
            <w:r>
              <w:rPr>
                <w:noProof/>
              </w:rPr>
              <w:t xml:space="preserve">Ieguldījums 1.4.: Stiprināt pētniecības struktūras un atbalstīt </w:t>
            </w:r>
            <w:r>
              <w:rPr>
                <w:noProof/>
              </w:rPr>
              <w:t>“valstu pētniecības un izstrādes līderu” izveidi attiecībā uz dažām svarīgām pamattehnoloģijām</w:t>
            </w:r>
          </w:p>
        </w:tc>
        <w:tc>
          <w:tcPr>
            <w:tcW w:w="1132" w:type="dxa"/>
            <w:shd w:val="clear" w:color="auto" w:fill="C6EFCE"/>
            <w:noWrap/>
            <w:vAlign w:val="center"/>
            <w:hideMark/>
          </w:tcPr>
          <w:p w14:paraId="2039F6C1" w14:textId="77777777" w:rsidR="00C972CB" w:rsidRDefault="002457F6">
            <w:pPr>
              <w:pStyle w:val="P68B1DB1-Normal11"/>
              <w:jc w:val="center"/>
              <w:rPr>
                <w:noProof/>
              </w:rPr>
            </w:pPr>
            <w:r>
              <w:rPr>
                <w:noProof/>
              </w:rPr>
              <w:t>Mērķa</w:t>
            </w:r>
          </w:p>
        </w:tc>
        <w:tc>
          <w:tcPr>
            <w:tcW w:w="1418" w:type="dxa"/>
            <w:shd w:val="clear" w:color="auto" w:fill="C6EFCE"/>
            <w:noWrap/>
            <w:vAlign w:val="center"/>
            <w:hideMark/>
          </w:tcPr>
          <w:p w14:paraId="6ABC1111" w14:textId="77777777" w:rsidR="00C972CB" w:rsidRDefault="00C972CB">
            <w:pPr>
              <w:jc w:val="center"/>
              <w:rPr>
                <w:rFonts w:ascii="Arial Narrow" w:hAnsi="Arial Narrow"/>
                <w:noProof/>
                <w:color w:val="006100"/>
                <w:sz w:val="20"/>
              </w:rPr>
            </w:pPr>
          </w:p>
          <w:p w14:paraId="13D3AF02" w14:textId="4764485A" w:rsidR="00C972CB" w:rsidRDefault="002457F6">
            <w:pPr>
              <w:pStyle w:val="P68B1DB1-Normal11"/>
              <w:jc w:val="center"/>
              <w:rPr>
                <w:noProof/>
              </w:rPr>
            </w:pPr>
            <w:r>
              <w:rPr>
                <w:noProof/>
              </w:rPr>
              <w:t>Valstu centri darbojas, un tos īsteno nacionālie centri svarīgu pamattehnoloģiju jomā.</w:t>
            </w:r>
          </w:p>
        </w:tc>
        <w:tc>
          <w:tcPr>
            <w:tcW w:w="1275" w:type="dxa"/>
            <w:shd w:val="clear" w:color="auto" w:fill="C6EFCE"/>
            <w:noWrap/>
            <w:vAlign w:val="center"/>
            <w:hideMark/>
          </w:tcPr>
          <w:p w14:paraId="3AED9C45"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4890D3EA" w14:textId="77777777" w:rsidR="00C972CB" w:rsidRDefault="002457F6">
            <w:pPr>
              <w:pStyle w:val="P68B1DB1-Normal11"/>
              <w:jc w:val="center"/>
              <w:rPr>
                <w:noProof/>
              </w:rPr>
            </w:pPr>
            <w:r>
              <w:rPr>
                <w:noProof/>
              </w:rPr>
              <w:t>Skaits</w:t>
            </w:r>
          </w:p>
        </w:tc>
        <w:tc>
          <w:tcPr>
            <w:tcW w:w="993" w:type="dxa"/>
            <w:shd w:val="clear" w:color="auto" w:fill="C6EFCE"/>
            <w:noWrap/>
            <w:vAlign w:val="center"/>
            <w:hideMark/>
          </w:tcPr>
          <w:p w14:paraId="771E9178" w14:textId="77777777" w:rsidR="00C972CB" w:rsidRDefault="002457F6">
            <w:pPr>
              <w:pStyle w:val="P68B1DB1-Normal11"/>
              <w:jc w:val="center"/>
              <w:rPr>
                <w:noProof/>
              </w:rPr>
            </w:pPr>
            <w:r>
              <w:rPr>
                <w:noProof/>
              </w:rPr>
              <w:t>0</w:t>
            </w:r>
          </w:p>
        </w:tc>
        <w:tc>
          <w:tcPr>
            <w:tcW w:w="1275" w:type="dxa"/>
            <w:shd w:val="clear" w:color="auto" w:fill="C6EFCE"/>
            <w:noWrap/>
            <w:vAlign w:val="center"/>
            <w:hideMark/>
          </w:tcPr>
          <w:p w14:paraId="6ABFA426" w14:textId="77777777" w:rsidR="00C972CB" w:rsidRDefault="002457F6">
            <w:pPr>
              <w:pStyle w:val="P68B1DB1-Normal11"/>
              <w:jc w:val="center"/>
              <w:rPr>
                <w:noProof/>
              </w:rPr>
            </w:pPr>
            <w:r>
              <w:rPr>
                <w:noProof/>
              </w:rPr>
              <w:t>5</w:t>
            </w:r>
          </w:p>
        </w:tc>
        <w:tc>
          <w:tcPr>
            <w:tcW w:w="993" w:type="dxa"/>
            <w:shd w:val="clear" w:color="auto" w:fill="C6EFCE"/>
            <w:noWrap/>
            <w:vAlign w:val="center"/>
            <w:hideMark/>
          </w:tcPr>
          <w:p w14:paraId="550933E0"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5D17EBB2" w14:textId="77777777" w:rsidR="00C972CB" w:rsidRDefault="002457F6">
            <w:pPr>
              <w:pStyle w:val="P68B1DB1-Normal11"/>
              <w:jc w:val="center"/>
              <w:rPr>
                <w:noProof/>
              </w:rPr>
            </w:pPr>
            <w:r>
              <w:rPr>
                <w:noProof/>
              </w:rPr>
              <w:t>2026</w:t>
            </w:r>
          </w:p>
        </w:tc>
        <w:tc>
          <w:tcPr>
            <w:tcW w:w="3686" w:type="dxa"/>
            <w:shd w:val="clear" w:color="auto" w:fill="C6EFCE"/>
            <w:noWrap/>
            <w:vAlign w:val="center"/>
            <w:hideMark/>
          </w:tcPr>
          <w:p w14:paraId="79B9E4E7" w14:textId="1F281DBC" w:rsidR="00C972CB" w:rsidRDefault="002457F6">
            <w:pPr>
              <w:pStyle w:val="P68B1DB1-Normal11"/>
              <w:ind w:left="30" w:hanging="30"/>
              <w:jc w:val="both"/>
              <w:rPr>
                <w:noProof/>
              </w:rPr>
            </w:pPr>
            <w:r>
              <w:rPr>
                <w:noProof/>
              </w:rPr>
              <w:t xml:space="preserve">Nacionālie centri, kuriem tika piešķirti līgumi un kuri tika novērtēti ar M4C2–19 starpposma mērķi, darbojas un ir pabeiguši savas darbības, kā noteikts attiecīgajā uzaicinājumā iesniegt projektus. </w:t>
            </w:r>
          </w:p>
        </w:tc>
      </w:tr>
      <w:tr w:rsidR="00C972CB" w14:paraId="68A387A9" w14:textId="77777777">
        <w:trPr>
          <w:trHeight w:val="313"/>
        </w:trPr>
        <w:tc>
          <w:tcPr>
            <w:tcW w:w="1135" w:type="dxa"/>
            <w:shd w:val="clear" w:color="auto" w:fill="C6EFCE"/>
            <w:noWrap/>
            <w:vAlign w:val="center"/>
            <w:hideMark/>
          </w:tcPr>
          <w:p w14:paraId="7545AD2E" w14:textId="77777777" w:rsidR="00C972CB" w:rsidRDefault="002457F6">
            <w:pPr>
              <w:pStyle w:val="P68B1DB1-Normal11"/>
              <w:jc w:val="center"/>
              <w:rPr>
                <w:noProof/>
              </w:rPr>
            </w:pPr>
            <w:r>
              <w:rPr>
                <w:noProof/>
              </w:rPr>
              <w:t>M4C2–10</w:t>
            </w:r>
          </w:p>
        </w:tc>
        <w:tc>
          <w:tcPr>
            <w:tcW w:w="1419" w:type="dxa"/>
            <w:shd w:val="clear" w:color="auto" w:fill="C6EFCE"/>
            <w:noWrap/>
            <w:vAlign w:val="center"/>
            <w:hideMark/>
          </w:tcPr>
          <w:p w14:paraId="0D11BD51" w14:textId="77777777" w:rsidR="00C972CB" w:rsidRDefault="002457F6">
            <w:pPr>
              <w:pStyle w:val="P68B1DB1-Normal11"/>
              <w:jc w:val="center"/>
              <w:rPr>
                <w:noProof/>
              </w:rPr>
            </w:pPr>
            <w:r>
              <w:rPr>
                <w:noProof/>
              </w:rPr>
              <w:t>Ieguldījums 2.1.: IPCEI</w:t>
            </w:r>
          </w:p>
        </w:tc>
        <w:tc>
          <w:tcPr>
            <w:tcW w:w="1132" w:type="dxa"/>
            <w:shd w:val="clear" w:color="auto" w:fill="C6EFCE"/>
            <w:noWrap/>
            <w:vAlign w:val="center"/>
            <w:hideMark/>
          </w:tcPr>
          <w:p w14:paraId="7C988CC9" w14:textId="77777777" w:rsidR="00C972CB" w:rsidRDefault="002457F6">
            <w:pPr>
              <w:pStyle w:val="P68B1DB1-Normal11"/>
              <w:jc w:val="center"/>
              <w:rPr>
                <w:noProof/>
              </w:rPr>
            </w:pPr>
            <w:r>
              <w:rPr>
                <w:noProof/>
              </w:rPr>
              <w:t>Starpposma mērķis</w:t>
            </w:r>
          </w:p>
        </w:tc>
        <w:tc>
          <w:tcPr>
            <w:tcW w:w="1418" w:type="dxa"/>
            <w:shd w:val="clear" w:color="auto" w:fill="C6EFCE"/>
            <w:noWrap/>
            <w:vAlign w:val="center"/>
            <w:hideMark/>
          </w:tcPr>
          <w:p w14:paraId="035DFC5A" w14:textId="77777777" w:rsidR="00C972CB" w:rsidRDefault="002457F6">
            <w:pPr>
              <w:pStyle w:val="P68B1DB1-Normal11"/>
              <w:jc w:val="center"/>
              <w:rPr>
                <w:noProof/>
              </w:rPr>
            </w:pPr>
            <w:r>
              <w:rPr>
                <w:noProof/>
              </w:rPr>
              <w:t>Uzaicinājums izteikt ieinteresētību par valstu projektu, tostarp IPCEI mikroelektronikas projektu, identificēšanu</w:t>
            </w:r>
          </w:p>
        </w:tc>
        <w:tc>
          <w:tcPr>
            <w:tcW w:w="1275" w:type="dxa"/>
            <w:shd w:val="clear" w:color="auto" w:fill="C6EFCE"/>
            <w:noWrap/>
            <w:vAlign w:val="center"/>
            <w:hideMark/>
          </w:tcPr>
          <w:p w14:paraId="47A6A997" w14:textId="77777777" w:rsidR="00C972CB" w:rsidRDefault="002457F6">
            <w:pPr>
              <w:pStyle w:val="P68B1DB1-Normal11"/>
              <w:jc w:val="center"/>
              <w:rPr>
                <w:noProof/>
              </w:rPr>
            </w:pPr>
            <w:r>
              <w:rPr>
                <w:noProof/>
              </w:rPr>
              <w:t>Uzaicinājums izteikt ieinteresētību ir publicēts</w:t>
            </w:r>
          </w:p>
        </w:tc>
        <w:tc>
          <w:tcPr>
            <w:tcW w:w="1134" w:type="dxa"/>
            <w:shd w:val="clear" w:color="auto" w:fill="C6EFCE"/>
            <w:noWrap/>
            <w:vAlign w:val="center"/>
            <w:hideMark/>
          </w:tcPr>
          <w:p w14:paraId="5FC4D5BA"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1D48328A" w14:textId="77777777" w:rsidR="00C972CB" w:rsidRDefault="002457F6">
            <w:pPr>
              <w:pStyle w:val="P68B1DB1-Normal11"/>
              <w:jc w:val="center"/>
              <w:rPr>
                <w:noProof/>
              </w:rPr>
            </w:pPr>
            <w:r>
              <w:rPr>
                <w:noProof/>
              </w:rPr>
              <w:t>NEPIEMĒRO</w:t>
            </w:r>
          </w:p>
        </w:tc>
        <w:tc>
          <w:tcPr>
            <w:tcW w:w="1275" w:type="dxa"/>
            <w:shd w:val="clear" w:color="auto" w:fill="C6EFCE"/>
            <w:noWrap/>
            <w:vAlign w:val="center"/>
            <w:hideMark/>
          </w:tcPr>
          <w:p w14:paraId="75C7962C"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04D8FF1D"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13BFA905" w14:textId="77777777" w:rsidR="00C972CB" w:rsidRDefault="002457F6">
            <w:pPr>
              <w:pStyle w:val="P68B1DB1-Normal11"/>
              <w:jc w:val="center"/>
              <w:rPr>
                <w:noProof/>
              </w:rPr>
            </w:pPr>
            <w:r>
              <w:rPr>
                <w:noProof/>
              </w:rPr>
              <w:t>2021</w:t>
            </w:r>
          </w:p>
        </w:tc>
        <w:tc>
          <w:tcPr>
            <w:tcW w:w="3686" w:type="dxa"/>
            <w:shd w:val="clear" w:color="auto" w:fill="C6EFCE"/>
            <w:noWrap/>
            <w:vAlign w:val="center"/>
            <w:hideMark/>
          </w:tcPr>
          <w:p w14:paraId="3AC3E21C" w14:textId="77777777" w:rsidR="00C972CB" w:rsidRDefault="002457F6">
            <w:pPr>
              <w:pStyle w:val="P68B1DB1-Normal11"/>
              <w:rPr>
                <w:noProof/>
              </w:rPr>
            </w:pPr>
            <w:r>
              <w:rPr>
                <w:noProof/>
              </w:rPr>
              <w:t xml:space="preserve">Atbalstāmos IPCEI projektus ir paredzēts </w:t>
            </w:r>
            <w:r>
              <w:rPr>
                <w:noProof/>
              </w:rPr>
              <w:t>atjaunināt atkarībā no pašlaik notiekošā valstu IPCEI procedūru faktiskā progresa posma un valsts atbalsta paziņošanas procedūras progresa posma.</w:t>
            </w:r>
          </w:p>
          <w:p w14:paraId="07C615FB" w14:textId="77777777" w:rsidR="00C972CB" w:rsidRDefault="002457F6">
            <w:pPr>
              <w:pStyle w:val="P68B1DB1-Normal11"/>
              <w:rPr>
                <w:noProof/>
              </w:rPr>
            </w:pPr>
            <w:r>
              <w:rPr>
                <w:noProof/>
              </w:rPr>
              <w:t>Izvēlētajā IPCEI ņem vērā konkrētas inovatīvas rūpniecības nozares saskaņā ar jau noteiktajām Eiropas vērtības</w:t>
            </w:r>
            <w:r>
              <w:rPr>
                <w:noProof/>
              </w:rPr>
              <w:t xml:space="preserve"> ķēdēm.</w:t>
            </w:r>
          </w:p>
          <w:p w14:paraId="5545EE70" w14:textId="2F071436" w:rsidR="00C972CB" w:rsidRDefault="002457F6">
            <w:pPr>
              <w:pStyle w:val="P68B1DB1-Normal11"/>
              <w:rPr>
                <w:noProof/>
              </w:rPr>
            </w:pPr>
            <w:r>
              <w:rPr>
                <w:noProof/>
              </w:rPr>
              <w:t>Šī intervence ietver gan jau apstiprinātus IPCEI, gan turpmākos, piemēram, mākoņdatošanu, veselību, rindu materiālus un kiberdrošību.</w:t>
            </w:r>
          </w:p>
          <w:p w14:paraId="76D917A0" w14:textId="77777777" w:rsidR="00C972CB" w:rsidRDefault="002457F6">
            <w:pPr>
              <w:pStyle w:val="P68B1DB1-Normal11"/>
              <w:spacing w:before="120" w:after="120"/>
              <w:rPr>
                <w:noProof/>
              </w:rPr>
            </w:pPr>
            <w:r>
              <w:rPr>
                <w:noProof/>
              </w:rPr>
              <w:t>Uzaicinājuma noteikumi ietver:</w:t>
            </w:r>
          </w:p>
          <w:p w14:paraId="016C4645" w14:textId="34B1D365" w:rsidR="00C972CB" w:rsidRDefault="002457F6">
            <w:pPr>
              <w:pStyle w:val="P68B1DB1-Normal11"/>
              <w:spacing w:before="120" w:after="120"/>
              <w:rPr>
                <w:noProof/>
              </w:rPr>
            </w:pPr>
            <w:r>
              <w:rPr>
                <w:noProof/>
              </w:rPr>
              <w:t>atbilstības kritēriji, kas nodrošina, ka atlasītie projekti atbilst Tehniskajiem no</w:t>
            </w:r>
            <w:r>
              <w:rPr>
                <w:noProof/>
              </w:rPr>
              <w:t>rādījumiem “nenodari būtisku kaitējumu” (2021/C58/01), izmantojot izslēgšanas sarakstu un prasību par atbilstību attiecīgajiem ES un valsts tiesību aktiem vides jomā.</w:t>
            </w:r>
          </w:p>
          <w:p w14:paraId="31D08355" w14:textId="77777777" w:rsidR="00C972CB" w:rsidRDefault="002457F6">
            <w:pPr>
              <w:pStyle w:val="P68B1DB1-paragraph25"/>
              <w:spacing w:before="0" w:beforeAutospacing="0" w:after="0" w:afterAutospacing="0"/>
              <w:textAlignment w:val="baseline"/>
              <w:rPr>
                <w:noProof/>
              </w:rPr>
            </w:pPr>
            <w:r>
              <w:rPr>
                <w:noProof/>
              </w:rPr>
              <w:t>b) apņemšanās, ka investīciju ieguldījums klimata jomā saskaņā ar Regulas (ES) 2021/241 V</w:t>
            </w:r>
            <w:r>
              <w:rPr>
                <w:noProof/>
              </w:rPr>
              <w:t>I pielikumā izklāstīto metodiku veido vismaz 40 % no ANM atbalstīto investīciju kopējām izmaksām.</w:t>
            </w:r>
          </w:p>
          <w:p w14:paraId="274B2B8C" w14:textId="77777777" w:rsidR="00C972CB" w:rsidRDefault="002457F6">
            <w:pPr>
              <w:pStyle w:val="P68B1DB1-Normal11"/>
              <w:rPr>
                <w:noProof/>
              </w:rPr>
            </w:pPr>
            <w:r>
              <w:rPr>
                <w:noProof/>
              </w:rPr>
              <w:t>C)apņemšanās, ka investīciju digitālais ieguldījums saskaņā ar Regulas (ES) 2021/241 VII pielikumā izklāstīto metodiku veido vismaz 60 % no ANM atbalstīto inv</w:t>
            </w:r>
            <w:r>
              <w:rPr>
                <w:noProof/>
              </w:rPr>
              <w:t>estīciju kopējām izmaksām.</w:t>
            </w:r>
          </w:p>
          <w:p w14:paraId="09D26CC5" w14:textId="77777777" w:rsidR="00C972CB" w:rsidRDefault="002457F6">
            <w:pPr>
              <w:pStyle w:val="P68B1DB1-Normal11"/>
              <w:spacing w:before="120" w:after="120"/>
              <w:rPr>
                <w:noProof/>
              </w:rPr>
            </w:pPr>
            <w:r>
              <w:rPr>
                <w:noProof/>
              </w:rPr>
              <w:t>d) apņemšanās ziņot par pasākuma īstenošanu shēmas darbības laikā un shēmas darbības beigās.</w:t>
            </w:r>
          </w:p>
        </w:tc>
      </w:tr>
      <w:tr w:rsidR="00C972CB" w14:paraId="5855ABEB" w14:textId="77777777">
        <w:trPr>
          <w:trHeight w:val="313"/>
        </w:trPr>
        <w:tc>
          <w:tcPr>
            <w:tcW w:w="1135" w:type="dxa"/>
            <w:shd w:val="clear" w:color="auto" w:fill="C6EFCE"/>
            <w:noWrap/>
            <w:vAlign w:val="center"/>
            <w:hideMark/>
          </w:tcPr>
          <w:p w14:paraId="64984887" w14:textId="77777777" w:rsidR="00C972CB" w:rsidRDefault="002457F6">
            <w:pPr>
              <w:pStyle w:val="P68B1DB1-Normal11"/>
              <w:jc w:val="center"/>
              <w:rPr>
                <w:noProof/>
              </w:rPr>
            </w:pPr>
            <w:r>
              <w:rPr>
                <w:noProof/>
              </w:rPr>
              <w:t>M4C2–11</w:t>
            </w:r>
          </w:p>
        </w:tc>
        <w:tc>
          <w:tcPr>
            <w:tcW w:w="1419" w:type="dxa"/>
            <w:shd w:val="clear" w:color="auto" w:fill="C6EFCE"/>
            <w:noWrap/>
            <w:vAlign w:val="center"/>
            <w:hideMark/>
          </w:tcPr>
          <w:p w14:paraId="04756724" w14:textId="754D541A" w:rsidR="00C972CB" w:rsidRDefault="002457F6">
            <w:pPr>
              <w:pStyle w:val="P68B1DB1-Normal11"/>
              <w:jc w:val="center"/>
              <w:rPr>
                <w:noProof/>
              </w:rPr>
            </w:pPr>
            <w:r>
              <w:rPr>
                <w:noProof/>
              </w:rPr>
              <w:t>Ieguldījums 2.1.: IPCEI</w:t>
            </w:r>
          </w:p>
        </w:tc>
        <w:tc>
          <w:tcPr>
            <w:tcW w:w="1132" w:type="dxa"/>
            <w:shd w:val="clear" w:color="auto" w:fill="C6EFCE"/>
            <w:noWrap/>
            <w:vAlign w:val="center"/>
            <w:hideMark/>
          </w:tcPr>
          <w:p w14:paraId="28077E8B" w14:textId="599AE9B9" w:rsidR="00C972CB" w:rsidRDefault="002457F6">
            <w:pPr>
              <w:pStyle w:val="P68B1DB1-Normal11"/>
              <w:jc w:val="center"/>
              <w:rPr>
                <w:noProof/>
              </w:rPr>
            </w:pPr>
            <w:r>
              <w:rPr>
                <w:noProof/>
              </w:rPr>
              <w:t>Starpposma mērķis</w:t>
            </w:r>
          </w:p>
        </w:tc>
        <w:tc>
          <w:tcPr>
            <w:tcW w:w="1418" w:type="dxa"/>
            <w:shd w:val="clear" w:color="auto" w:fill="C6EFCE"/>
            <w:noWrap/>
            <w:vAlign w:val="center"/>
            <w:hideMark/>
          </w:tcPr>
          <w:p w14:paraId="428E5863" w14:textId="77777777" w:rsidR="00C972CB" w:rsidRDefault="002457F6">
            <w:pPr>
              <w:pStyle w:val="P68B1DB1-Normal11"/>
              <w:jc w:val="center"/>
              <w:rPr>
                <w:noProof/>
              </w:rPr>
            </w:pPr>
            <w:r>
              <w:rPr>
                <w:noProof/>
              </w:rPr>
              <w:t>Stājas spēkā valsts tiesību akts, ar ko piešķir nepieciešamo finansējumu, lai sniegtu</w:t>
            </w:r>
            <w:r>
              <w:rPr>
                <w:noProof/>
              </w:rPr>
              <w:t xml:space="preserve"> atbalstu projektu dalībniekiem.</w:t>
            </w:r>
          </w:p>
        </w:tc>
        <w:tc>
          <w:tcPr>
            <w:tcW w:w="1275" w:type="dxa"/>
            <w:shd w:val="clear" w:color="auto" w:fill="C6EFCE"/>
            <w:noWrap/>
            <w:vAlign w:val="center"/>
            <w:hideMark/>
          </w:tcPr>
          <w:p w14:paraId="69E1A926" w14:textId="77777777" w:rsidR="00C972CB" w:rsidRDefault="002457F6">
            <w:pPr>
              <w:pStyle w:val="P68B1DB1-Normal11"/>
              <w:jc w:val="center"/>
              <w:rPr>
                <w:noProof/>
              </w:rPr>
            </w:pPr>
            <w:r>
              <w:rPr>
                <w:noProof/>
              </w:rPr>
              <w:t>Valsts tiesību akta noteikums, kas norāda uz tiesību akta stāšanos spēkā</w:t>
            </w:r>
          </w:p>
        </w:tc>
        <w:tc>
          <w:tcPr>
            <w:tcW w:w="1134" w:type="dxa"/>
            <w:shd w:val="clear" w:color="auto" w:fill="C6EFCE"/>
            <w:noWrap/>
            <w:vAlign w:val="center"/>
            <w:hideMark/>
          </w:tcPr>
          <w:p w14:paraId="1123192F"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0A89D5A7" w14:textId="77777777" w:rsidR="00C972CB" w:rsidRDefault="002457F6">
            <w:pPr>
              <w:pStyle w:val="P68B1DB1-Normal11"/>
              <w:jc w:val="center"/>
              <w:rPr>
                <w:noProof/>
              </w:rPr>
            </w:pPr>
            <w:r>
              <w:rPr>
                <w:noProof/>
              </w:rPr>
              <w:t>NEPIEMĒRO</w:t>
            </w:r>
          </w:p>
        </w:tc>
        <w:tc>
          <w:tcPr>
            <w:tcW w:w="1275" w:type="dxa"/>
            <w:shd w:val="clear" w:color="auto" w:fill="C6EFCE"/>
            <w:noWrap/>
            <w:vAlign w:val="center"/>
            <w:hideMark/>
          </w:tcPr>
          <w:p w14:paraId="64D61645"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04215486"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0DB44B09" w14:textId="77777777" w:rsidR="00C972CB" w:rsidRDefault="002457F6">
            <w:pPr>
              <w:pStyle w:val="P68B1DB1-Normal11"/>
              <w:jc w:val="center"/>
              <w:rPr>
                <w:noProof/>
              </w:rPr>
            </w:pPr>
            <w:r>
              <w:rPr>
                <w:noProof/>
              </w:rPr>
              <w:t>2022</w:t>
            </w:r>
          </w:p>
        </w:tc>
        <w:tc>
          <w:tcPr>
            <w:tcW w:w="3686" w:type="dxa"/>
            <w:shd w:val="clear" w:color="auto" w:fill="C6EFCE"/>
            <w:noWrap/>
            <w:vAlign w:val="center"/>
            <w:hideMark/>
          </w:tcPr>
          <w:p w14:paraId="58AF4E24" w14:textId="77777777" w:rsidR="00C972CB" w:rsidRDefault="002457F6">
            <w:pPr>
              <w:pStyle w:val="P68B1DB1-Normal11"/>
              <w:rPr>
                <w:noProof/>
              </w:rPr>
            </w:pPr>
            <w:r>
              <w:rPr>
                <w:noProof/>
              </w:rPr>
              <w:t xml:space="preserve">Valsts tiesību aktā norāda projektu iesniegšanas procedūras un termiņus, kā arī potenciālo atbalsta </w:t>
            </w:r>
            <w:r>
              <w:rPr>
                <w:noProof/>
              </w:rPr>
              <w:t>saņēmēju piekļuves prasības.</w:t>
            </w:r>
          </w:p>
        </w:tc>
      </w:tr>
      <w:tr w:rsidR="00C972CB" w14:paraId="2F4580A0" w14:textId="77777777">
        <w:trPr>
          <w:trHeight w:val="313"/>
        </w:trPr>
        <w:tc>
          <w:tcPr>
            <w:tcW w:w="1135" w:type="dxa"/>
            <w:shd w:val="clear" w:color="auto" w:fill="C6EFCE"/>
            <w:noWrap/>
            <w:vAlign w:val="center"/>
            <w:hideMark/>
          </w:tcPr>
          <w:p w14:paraId="69B14556" w14:textId="77777777" w:rsidR="00C972CB" w:rsidRDefault="002457F6">
            <w:pPr>
              <w:pStyle w:val="P68B1DB1-Normal11"/>
              <w:jc w:val="center"/>
              <w:rPr>
                <w:noProof/>
              </w:rPr>
            </w:pPr>
            <w:r>
              <w:rPr>
                <w:noProof/>
              </w:rPr>
              <w:t>M4C2–12</w:t>
            </w:r>
          </w:p>
        </w:tc>
        <w:tc>
          <w:tcPr>
            <w:tcW w:w="1419" w:type="dxa"/>
            <w:shd w:val="clear" w:color="auto" w:fill="C6EFCE"/>
            <w:noWrap/>
            <w:vAlign w:val="center"/>
            <w:hideMark/>
          </w:tcPr>
          <w:p w14:paraId="50BDF4D2" w14:textId="77777777" w:rsidR="00C972CB" w:rsidRDefault="002457F6">
            <w:pPr>
              <w:pStyle w:val="P68B1DB1-Normal11"/>
              <w:jc w:val="center"/>
              <w:rPr>
                <w:noProof/>
              </w:rPr>
            </w:pPr>
            <w:r>
              <w:rPr>
                <w:noProof/>
              </w:rPr>
              <w:t>Ieguldījums 2.1.: IPCEI</w:t>
            </w:r>
          </w:p>
        </w:tc>
        <w:tc>
          <w:tcPr>
            <w:tcW w:w="1132" w:type="dxa"/>
            <w:shd w:val="clear" w:color="auto" w:fill="C6EFCE"/>
            <w:noWrap/>
            <w:vAlign w:val="center"/>
            <w:hideMark/>
          </w:tcPr>
          <w:p w14:paraId="2265EA71" w14:textId="77777777" w:rsidR="00C972CB" w:rsidRDefault="002457F6">
            <w:pPr>
              <w:pStyle w:val="P68B1DB1-Normal11"/>
              <w:jc w:val="center"/>
              <w:rPr>
                <w:noProof/>
              </w:rPr>
            </w:pPr>
            <w:r>
              <w:rPr>
                <w:noProof/>
              </w:rPr>
              <w:t>Starpposma mērķis</w:t>
            </w:r>
          </w:p>
        </w:tc>
        <w:tc>
          <w:tcPr>
            <w:tcW w:w="1418" w:type="dxa"/>
            <w:shd w:val="clear" w:color="auto" w:fill="C6EFCE"/>
            <w:noWrap/>
            <w:vAlign w:val="center"/>
            <w:hideMark/>
          </w:tcPr>
          <w:p w14:paraId="3ADFB5D6" w14:textId="77777777" w:rsidR="00C972CB" w:rsidRDefault="002457F6">
            <w:pPr>
              <w:pStyle w:val="P68B1DB1-Normal11"/>
              <w:jc w:val="center"/>
              <w:rPr>
                <w:noProof/>
              </w:rPr>
            </w:pPr>
            <w:r>
              <w:rPr>
                <w:noProof/>
              </w:rPr>
              <w:t>IPCEI projektu dalībnieku saraksts ir pabeigts līdz 2023. gada 30. jūnijam.</w:t>
            </w:r>
          </w:p>
        </w:tc>
        <w:tc>
          <w:tcPr>
            <w:tcW w:w="1275" w:type="dxa"/>
            <w:shd w:val="clear" w:color="auto" w:fill="C6EFCE"/>
            <w:noWrap/>
            <w:vAlign w:val="center"/>
            <w:hideMark/>
          </w:tcPr>
          <w:p w14:paraId="334FA2D7" w14:textId="77777777" w:rsidR="00C972CB" w:rsidRDefault="002457F6">
            <w:pPr>
              <w:pStyle w:val="P68B1DB1-Normal11"/>
              <w:jc w:val="center"/>
              <w:rPr>
                <w:noProof/>
              </w:rPr>
            </w:pPr>
            <w:r>
              <w:rPr>
                <w:noProof/>
              </w:rPr>
              <w:t>Dalībnieku saraksta publicēšana</w:t>
            </w:r>
          </w:p>
        </w:tc>
        <w:tc>
          <w:tcPr>
            <w:tcW w:w="1134" w:type="dxa"/>
            <w:shd w:val="clear" w:color="auto" w:fill="C6EFCE"/>
            <w:noWrap/>
            <w:vAlign w:val="center"/>
            <w:hideMark/>
          </w:tcPr>
          <w:p w14:paraId="1126F29E"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1E364914" w14:textId="77777777" w:rsidR="00C972CB" w:rsidRDefault="002457F6">
            <w:pPr>
              <w:pStyle w:val="P68B1DB1-Normal11"/>
              <w:jc w:val="center"/>
              <w:rPr>
                <w:noProof/>
              </w:rPr>
            </w:pPr>
            <w:r>
              <w:rPr>
                <w:noProof/>
              </w:rPr>
              <w:t>NEPIEMĒRO</w:t>
            </w:r>
          </w:p>
        </w:tc>
        <w:tc>
          <w:tcPr>
            <w:tcW w:w="1275" w:type="dxa"/>
            <w:shd w:val="clear" w:color="auto" w:fill="C6EFCE"/>
            <w:noWrap/>
            <w:vAlign w:val="center"/>
            <w:hideMark/>
          </w:tcPr>
          <w:p w14:paraId="239E4827"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0A42C960"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3F342D1C" w14:textId="77777777" w:rsidR="00C972CB" w:rsidRDefault="002457F6">
            <w:pPr>
              <w:pStyle w:val="P68B1DB1-Normal11"/>
              <w:jc w:val="center"/>
              <w:rPr>
                <w:noProof/>
              </w:rPr>
            </w:pPr>
            <w:r>
              <w:rPr>
                <w:noProof/>
              </w:rPr>
              <w:t>2023</w:t>
            </w:r>
          </w:p>
        </w:tc>
        <w:tc>
          <w:tcPr>
            <w:tcW w:w="3686" w:type="dxa"/>
            <w:shd w:val="clear" w:color="auto" w:fill="C6EFCE"/>
            <w:noWrap/>
            <w:vAlign w:val="center"/>
            <w:hideMark/>
          </w:tcPr>
          <w:p w14:paraId="4FB35EB7" w14:textId="7DF160A4" w:rsidR="00C972CB" w:rsidRDefault="002457F6">
            <w:pPr>
              <w:pStyle w:val="P68B1DB1-Normal11"/>
              <w:rPr>
                <w:noProof/>
              </w:rPr>
            </w:pPr>
            <w:r>
              <w:rPr>
                <w:noProof/>
              </w:rPr>
              <w:t xml:space="preserve">Sarakstā iekļauj atzītos </w:t>
            </w:r>
            <w:r>
              <w:rPr>
                <w:noProof/>
              </w:rPr>
              <w:t xml:space="preserve">subjektus, kas piedalās IPCEI projektos, pēc iesniegto projektu pārbaudēm un novērtējumiem, kas jāveic saskaņā ar Tehniskajiem norādījumiem “Nenodarīt būtisku kaitējumu” (2021/C58/01), izmantojot izslēgšanas sarakstu un prasību par atbilstību attiecīgajām </w:t>
            </w:r>
            <w:r>
              <w:rPr>
                <w:noProof/>
              </w:rPr>
              <w:t>ES un valsts vides prasībām.</w:t>
            </w:r>
          </w:p>
        </w:tc>
      </w:tr>
      <w:tr w:rsidR="00C972CB" w14:paraId="3BB2934E" w14:textId="77777777">
        <w:trPr>
          <w:trHeight w:val="313"/>
        </w:trPr>
        <w:tc>
          <w:tcPr>
            <w:tcW w:w="1135" w:type="dxa"/>
            <w:shd w:val="clear" w:color="auto" w:fill="C6EFCE"/>
            <w:noWrap/>
            <w:vAlign w:val="center"/>
            <w:hideMark/>
          </w:tcPr>
          <w:p w14:paraId="1864546B" w14:textId="77777777" w:rsidR="00C972CB" w:rsidRDefault="002457F6">
            <w:pPr>
              <w:pStyle w:val="P68B1DB1-Normal11"/>
              <w:jc w:val="center"/>
              <w:rPr>
                <w:noProof/>
              </w:rPr>
            </w:pPr>
            <w:r>
              <w:rPr>
                <w:noProof/>
              </w:rPr>
              <w:t>M4C2–13</w:t>
            </w:r>
          </w:p>
        </w:tc>
        <w:tc>
          <w:tcPr>
            <w:tcW w:w="1419" w:type="dxa"/>
            <w:shd w:val="clear" w:color="auto" w:fill="C6EFCE"/>
            <w:noWrap/>
            <w:vAlign w:val="center"/>
            <w:hideMark/>
          </w:tcPr>
          <w:p w14:paraId="5C073BA0" w14:textId="77777777" w:rsidR="00C972CB" w:rsidRDefault="002457F6">
            <w:pPr>
              <w:pStyle w:val="P68B1DB1-Normal11"/>
              <w:jc w:val="center"/>
              <w:rPr>
                <w:noProof/>
              </w:rPr>
            </w:pPr>
            <w:r>
              <w:rPr>
                <w:noProof/>
              </w:rPr>
              <w:t>Ieguldījums 2.3. Tehnoloģiju nodošanas centru stiprināšana un nozaru/teritoriāla paplašināšana pa rūpniecības segmentiem</w:t>
            </w:r>
          </w:p>
        </w:tc>
        <w:tc>
          <w:tcPr>
            <w:tcW w:w="1132" w:type="dxa"/>
            <w:shd w:val="clear" w:color="auto" w:fill="C6EFCE"/>
            <w:noWrap/>
            <w:vAlign w:val="center"/>
            <w:hideMark/>
          </w:tcPr>
          <w:p w14:paraId="1C875027" w14:textId="77777777" w:rsidR="00C972CB" w:rsidRDefault="002457F6">
            <w:pPr>
              <w:pStyle w:val="P68B1DB1-Normal11"/>
              <w:jc w:val="center"/>
              <w:rPr>
                <w:noProof/>
              </w:rPr>
            </w:pPr>
            <w:r>
              <w:rPr>
                <w:noProof/>
              </w:rPr>
              <w:t>Mērķa</w:t>
            </w:r>
          </w:p>
        </w:tc>
        <w:tc>
          <w:tcPr>
            <w:tcW w:w="1418" w:type="dxa"/>
            <w:shd w:val="clear" w:color="auto" w:fill="C6EFCE"/>
            <w:noWrap/>
            <w:vAlign w:val="center"/>
            <w:hideMark/>
          </w:tcPr>
          <w:p w14:paraId="0E1AB8A5" w14:textId="77777777" w:rsidR="00C972CB" w:rsidRDefault="002457F6">
            <w:pPr>
              <w:pStyle w:val="P68B1DB1-Normal11"/>
              <w:jc w:val="center"/>
              <w:rPr>
                <w:noProof/>
              </w:rPr>
            </w:pPr>
            <w:r>
              <w:rPr>
                <w:noProof/>
              </w:rPr>
              <w:t>Izveidojamo jauno centru skaits</w:t>
            </w:r>
          </w:p>
        </w:tc>
        <w:tc>
          <w:tcPr>
            <w:tcW w:w="1275" w:type="dxa"/>
            <w:shd w:val="clear" w:color="auto" w:fill="C6EFCE"/>
            <w:noWrap/>
            <w:vAlign w:val="center"/>
            <w:hideMark/>
          </w:tcPr>
          <w:p w14:paraId="322A4891"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1B2EA61D" w14:textId="77777777" w:rsidR="00C972CB" w:rsidRDefault="002457F6">
            <w:pPr>
              <w:pStyle w:val="P68B1DB1-Normal11"/>
              <w:jc w:val="center"/>
              <w:rPr>
                <w:noProof/>
              </w:rPr>
            </w:pPr>
            <w:r>
              <w:rPr>
                <w:noProof/>
              </w:rPr>
              <w:t>Skaits</w:t>
            </w:r>
          </w:p>
        </w:tc>
        <w:tc>
          <w:tcPr>
            <w:tcW w:w="993" w:type="dxa"/>
            <w:shd w:val="clear" w:color="auto" w:fill="C6EFCE"/>
            <w:noWrap/>
            <w:vAlign w:val="center"/>
            <w:hideMark/>
          </w:tcPr>
          <w:p w14:paraId="67A76C4B" w14:textId="77777777" w:rsidR="00C972CB" w:rsidRDefault="002457F6">
            <w:pPr>
              <w:pStyle w:val="P68B1DB1-Normal11"/>
              <w:jc w:val="center"/>
              <w:rPr>
                <w:noProof/>
              </w:rPr>
            </w:pPr>
            <w:r>
              <w:rPr>
                <w:noProof/>
              </w:rPr>
              <w:t>8</w:t>
            </w:r>
          </w:p>
        </w:tc>
        <w:tc>
          <w:tcPr>
            <w:tcW w:w="1275" w:type="dxa"/>
            <w:shd w:val="clear" w:color="auto" w:fill="C6EFCE"/>
            <w:noWrap/>
            <w:vAlign w:val="center"/>
            <w:hideMark/>
          </w:tcPr>
          <w:p w14:paraId="1CF25735" w14:textId="77777777" w:rsidR="00C972CB" w:rsidRDefault="002457F6">
            <w:pPr>
              <w:pStyle w:val="P68B1DB1-Normal11"/>
              <w:jc w:val="center"/>
              <w:rPr>
                <w:noProof/>
              </w:rPr>
            </w:pPr>
            <w:r>
              <w:rPr>
                <w:noProof/>
              </w:rPr>
              <w:t>35</w:t>
            </w:r>
          </w:p>
        </w:tc>
        <w:tc>
          <w:tcPr>
            <w:tcW w:w="993" w:type="dxa"/>
            <w:shd w:val="clear" w:color="auto" w:fill="C6EFCE"/>
            <w:noWrap/>
            <w:vAlign w:val="center"/>
            <w:hideMark/>
          </w:tcPr>
          <w:p w14:paraId="18085D8E" w14:textId="77777777" w:rsidR="00C972CB" w:rsidRDefault="002457F6">
            <w:pPr>
              <w:pStyle w:val="P68B1DB1-Normal11"/>
              <w:jc w:val="center"/>
              <w:rPr>
                <w:noProof/>
              </w:rPr>
            </w:pPr>
            <w:r>
              <w:rPr>
                <w:noProof/>
              </w:rPr>
              <w:t>4. CET.</w:t>
            </w:r>
          </w:p>
        </w:tc>
        <w:tc>
          <w:tcPr>
            <w:tcW w:w="708" w:type="dxa"/>
            <w:shd w:val="clear" w:color="auto" w:fill="C6EFCE"/>
            <w:noWrap/>
            <w:vAlign w:val="center"/>
            <w:hideMark/>
          </w:tcPr>
          <w:p w14:paraId="13F9C723" w14:textId="77777777" w:rsidR="00C972CB" w:rsidRDefault="002457F6">
            <w:pPr>
              <w:pStyle w:val="P68B1DB1-Normal11"/>
              <w:jc w:val="center"/>
              <w:rPr>
                <w:noProof/>
              </w:rPr>
            </w:pPr>
            <w:r>
              <w:rPr>
                <w:noProof/>
              </w:rPr>
              <w:t>2025</w:t>
            </w:r>
          </w:p>
        </w:tc>
        <w:tc>
          <w:tcPr>
            <w:tcW w:w="3686" w:type="dxa"/>
            <w:shd w:val="clear" w:color="auto" w:fill="C6EFCE"/>
            <w:noWrap/>
            <w:vAlign w:val="center"/>
            <w:hideMark/>
          </w:tcPr>
          <w:p w14:paraId="7059462E" w14:textId="25078FD4" w:rsidR="00C972CB" w:rsidRDefault="002457F6">
            <w:pPr>
              <w:pStyle w:val="P68B1DB1-Normal11"/>
              <w:rPr>
                <w:noProof/>
              </w:rPr>
            </w:pPr>
            <w:r>
              <w:rPr>
                <w:noProof/>
              </w:rPr>
              <w:t xml:space="preserve">Sākt ekspluatēt 27 jaunus mezglus saskaņā ar pasākuma pirmo intervences līniju.  </w:t>
            </w:r>
          </w:p>
          <w:p w14:paraId="2BE642F5" w14:textId="5E6991BD" w:rsidR="00C972CB" w:rsidRDefault="002457F6">
            <w:pPr>
              <w:pStyle w:val="P68B1DB1-Normal11"/>
              <w:rPr>
                <w:noProof/>
              </w:rPr>
            </w:pPr>
            <w:r>
              <w:rPr>
                <w:noProof/>
              </w:rPr>
              <w:t>Mērķis ir vērsts uz trīs veidu centriem:</w:t>
            </w:r>
          </w:p>
          <w:p w14:paraId="3BA36860" w14:textId="77777777" w:rsidR="00C972CB" w:rsidRDefault="002457F6">
            <w:pPr>
              <w:pStyle w:val="P68B1DB1-ListParagraph13"/>
              <w:numPr>
                <w:ilvl w:val="0"/>
                <w:numId w:val="50"/>
              </w:numPr>
              <w:jc w:val="left"/>
              <w:rPr>
                <w:noProof/>
              </w:rPr>
            </w:pPr>
            <w:r>
              <w:rPr>
                <w:noProof/>
              </w:rPr>
              <w:t>Kompetences centri</w:t>
            </w:r>
          </w:p>
          <w:p w14:paraId="06E80DA2" w14:textId="77777777" w:rsidR="00C972CB" w:rsidRDefault="002457F6">
            <w:pPr>
              <w:pStyle w:val="P68B1DB1-ListParagraph13"/>
              <w:numPr>
                <w:ilvl w:val="0"/>
                <w:numId w:val="50"/>
              </w:numPr>
              <w:jc w:val="left"/>
              <w:rPr>
                <w:noProof/>
              </w:rPr>
            </w:pPr>
            <w:r>
              <w:rPr>
                <w:noProof/>
              </w:rPr>
              <w:t>Izcilības zīmogs</w:t>
            </w:r>
          </w:p>
          <w:p w14:paraId="0F5FC2C4" w14:textId="77777777" w:rsidR="00C972CB" w:rsidRDefault="002457F6">
            <w:pPr>
              <w:pStyle w:val="P68B1DB1-ListParagraph13"/>
              <w:numPr>
                <w:ilvl w:val="0"/>
                <w:numId w:val="50"/>
              </w:numPr>
              <w:jc w:val="left"/>
              <w:rPr>
                <w:noProof/>
              </w:rPr>
            </w:pPr>
            <w:r>
              <w:rPr>
                <w:noProof/>
              </w:rPr>
              <w:t>Vietējo inovācijas centru tīkls.</w:t>
            </w:r>
          </w:p>
          <w:p w14:paraId="67BF948B" w14:textId="77777777" w:rsidR="00C972CB" w:rsidRDefault="00C972CB">
            <w:pPr>
              <w:jc w:val="both"/>
              <w:rPr>
                <w:rFonts w:ascii="Arial Narrow" w:hAnsi="Arial Narrow"/>
                <w:noProof/>
                <w:color w:val="006100"/>
                <w:sz w:val="20"/>
              </w:rPr>
            </w:pPr>
          </w:p>
        </w:tc>
      </w:tr>
      <w:tr w:rsidR="00C972CB" w14:paraId="3ACB71A9" w14:textId="77777777">
        <w:trPr>
          <w:trHeight w:val="313"/>
        </w:trPr>
        <w:tc>
          <w:tcPr>
            <w:tcW w:w="1135" w:type="dxa"/>
            <w:shd w:val="clear" w:color="auto" w:fill="C6EFCE"/>
            <w:noWrap/>
            <w:vAlign w:val="center"/>
            <w:hideMark/>
          </w:tcPr>
          <w:p w14:paraId="4CC9E603" w14:textId="77777777" w:rsidR="00C972CB" w:rsidRDefault="002457F6">
            <w:pPr>
              <w:pStyle w:val="P68B1DB1-Normal11"/>
              <w:jc w:val="center"/>
              <w:rPr>
                <w:noProof/>
              </w:rPr>
            </w:pPr>
            <w:r>
              <w:rPr>
                <w:noProof/>
              </w:rPr>
              <w:t>M4C2–14</w:t>
            </w:r>
          </w:p>
        </w:tc>
        <w:tc>
          <w:tcPr>
            <w:tcW w:w="1419" w:type="dxa"/>
            <w:shd w:val="clear" w:color="auto" w:fill="C6EFCE"/>
            <w:noWrap/>
            <w:vAlign w:val="center"/>
            <w:hideMark/>
          </w:tcPr>
          <w:p w14:paraId="7889D049" w14:textId="77777777" w:rsidR="00C972CB" w:rsidRDefault="002457F6">
            <w:pPr>
              <w:pStyle w:val="P68B1DB1-Normal11"/>
              <w:jc w:val="center"/>
              <w:rPr>
                <w:noProof/>
              </w:rPr>
            </w:pPr>
            <w:r>
              <w:rPr>
                <w:noProof/>
              </w:rPr>
              <w:t xml:space="preserve">Ieguldījums 2.3. Tehnoloģiju nodošanas centru </w:t>
            </w:r>
            <w:r>
              <w:rPr>
                <w:noProof/>
              </w:rPr>
              <w:t>stiprināšana un nozaru/teritoriāla paplašināšana pa rūpniecības segmentiem</w:t>
            </w:r>
          </w:p>
        </w:tc>
        <w:tc>
          <w:tcPr>
            <w:tcW w:w="1132" w:type="dxa"/>
            <w:shd w:val="clear" w:color="auto" w:fill="C6EFCE"/>
            <w:noWrap/>
            <w:vAlign w:val="center"/>
            <w:hideMark/>
          </w:tcPr>
          <w:p w14:paraId="5A08807F" w14:textId="77777777" w:rsidR="00C972CB" w:rsidRDefault="002457F6">
            <w:pPr>
              <w:pStyle w:val="P68B1DB1-Normal11"/>
              <w:jc w:val="center"/>
              <w:rPr>
                <w:noProof/>
              </w:rPr>
            </w:pPr>
            <w:r>
              <w:rPr>
                <w:noProof/>
              </w:rPr>
              <w:t>Mērķa</w:t>
            </w:r>
          </w:p>
        </w:tc>
        <w:tc>
          <w:tcPr>
            <w:tcW w:w="1418" w:type="dxa"/>
            <w:shd w:val="clear" w:color="auto" w:fill="C6EFCE"/>
            <w:noWrap/>
            <w:vAlign w:val="center"/>
            <w:hideMark/>
          </w:tcPr>
          <w:p w14:paraId="29BDF575" w14:textId="5BE0A382" w:rsidR="00C972CB" w:rsidRDefault="002457F6">
            <w:pPr>
              <w:pStyle w:val="P68B1DB1-Normal11"/>
              <w:jc w:val="center"/>
              <w:rPr>
                <w:noProof/>
              </w:rPr>
            </w:pPr>
            <w:r>
              <w:rPr>
                <w:noProof/>
              </w:rPr>
              <w:t>Finansiālās vērtības izmaksa EUR 307000000 apmērā</w:t>
            </w:r>
          </w:p>
        </w:tc>
        <w:tc>
          <w:tcPr>
            <w:tcW w:w="1275" w:type="dxa"/>
            <w:shd w:val="clear" w:color="auto" w:fill="C6EFCE"/>
            <w:noWrap/>
            <w:vAlign w:val="center"/>
            <w:hideMark/>
          </w:tcPr>
          <w:p w14:paraId="777E569A"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44CD4EA0" w14:textId="77777777" w:rsidR="00C972CB" w:rsidRDefault="002457F6">
            <w:pPr>
              <w:pStyle w:val="P68B1DB1-Normal11"/>
              <w:jc w:val="center"/>
              <w:rPr>
                <w:noProof/>
              </w:rPr>
            </w:pPr>
            <w:r>
              <w:rPr>
                <w:noProof/>
              </w:rPr>
              <w:t>EUR</w:t>
            </w:r>
          </w:p>
        </w:tc>
        <w:tc>
          <w:tcPr>
            <w:tcW w:w="993" w:type="dxa"/>
            <w:shd w:val="clear" w:color="auto" w:fill="C6EFCE"/>
            <w:noWrap/>
            <w:vAlign w:val="center"/>
            <w:hideMark/>
          </w:tcPr>
          <w:p w14:paraId="134E338F" w14:textId="77777777" w:rsidR="00C972CB" w:rsidRDefault="002457F6">
            <w:pPr>
              <w:pStyle w:val="P68B1DB1-Normal11"/>
              <w:jc w:val="center"/>
              <w:rPr>
                <w:noProof/>
              </w:rPr>
            </w:pPr>
            <w:r>
              <w:rPr>
                <w:noProof/>
              </w:rPr>
              <w:t>0</w:t>
            </w:r>
          </w:p>
        </w:tc>
        <w:tc>
          <w:tcPr>
            <w:tcW w:w="1275" w:type="dxa"/>
            <w:shd w:val="clear" w:color="auto" w:fill="C6EFCE"/>
            <w:noWrap/>
            <w:vAlign w:val="center"/>
            <w:hideMark/>
          </w:tcPr>
          <w:p w14:paraId="3A1CA9D9" w14:textId="7E8E47AF" w:rsidR="00C972CB" w:rsidRDefault="002457F6">
            <w:pPr>
              <w:pStyle w:val="P68B1DB1-Normal11"/>
              <w:jc w:val="center"/>
              <w:rPr>
                <w:noProof/>
              </w:rPr>
            </w:pPr>
            <w:r>
              <w:rPr>
                <w:noProof/>
              </w:rPr>
              <w:t>307 000 000</w:t>
            </w:r>
          </w:p>
        </w:tc>
        <w:tc>
          <w:tcPr>
            <w:tcW w:w="993" w:type="dxa"/>
            <w:shd w:val="clear" w:color="auto" w:fill="C6EFCE"/>
            <w:noWrap/>
            <w:vAlign w:val="center"/>
            <w:hideMark/>
          </w:tcPr>
          <w:p w14:paraId="78ACCCCF"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183A1F62" w14:textId="77777777" w:rsidR="00C972CB" w:rsidRDefault="002457F6">
            <w:pPr>
              <w:pStyle w:val="P68B1DB1-Normal11"/>
              <w:jc w:val="center"/>
              <w:rPr>
                <w:noProof/>
              </w:rPr>
            </w:pPr>
            <w:r>
              <w:rPr>
                <w:noProof/>
              </w:rPr>
              <w:t>2026</w:t>
            </w:r>
          </w:p>
        </w:tc>
        <w:tc>
          <w:tcPr>
            <w:tcW w:w="3686" w:type="dxa"/>
            <w:shd w:val="clear" w:color="auto" w:fill="C6EFCE"/>
            <w:noWrap/>
            <w:vAlign w:val="center"/>
            <w:hideMark/>
          </w:tcPr>
          <w:p w14:paraId="08D2A196" w14:textId="040DAA9E" w:rsidR="00C972CB" w:rsidRDefault="002457F6">
            <w:pPr>
              <w:pStyle w:val="P68B1DB1-Normal19"/>
              <w:jc w:val="both"/>
              <w:rPr>
                <w:rFonts w:eastAsia="Calibri"/>
                <w:noProof/>
              </w:rPr>
            </w:pPr>
            <w:r>
              <w:rPr>
                <w:noProof/>
              </w:rPr>
              <w:t xml:space="preserve">EUR 307000000 izmaksā saskaņā ar pasākuma pirmo intervences pozīciju tehnoloģiju nodošanas centriem, lai stiprinātu valsts tīklu un sniegtu pakalpojumus uzņēmumiem.  </w:t>
            </w:r>
          </w:p>
          <w:p w14:paraId="138DA6B3" w14:textId="77777777" w:rsidR="00C972CB" w:rsidRDefault="002457F6">
            <w:pPr>
              <w:pStyle w:val="P68B1DB1-Normal11"/>
              <w:spacing w:before="120" w:after="120"/>
              <w:rPr>
                <w:noProof/>
              </w:rPr>
            </w:pPr>
            <w:r>
              <w:rPr>
                <w:noProof/>
              </w:rPr>
              <w:t>Sniedzamie pakalpojumi ietver:</w:t>
            </w:r>
          </w:p>
          <w:p w14:paraId="3C40E523" w14:textId="77777777" w:rsidR="00C972CB" w:rsidRDefault="002457F6">
            <w:pPr>
              <w:pStyle w:val="P68B1DB1-ListParagraph13"/>
              <w:numPr>
                <w:ilvl w:val="0"/>
                <w:numId w:val="49"/>
              </w:numPr>
              <w:jc w:val="left"/>
              <w:rPr>
                <w:noProof/>
              </w:rPr>
            </w:pPr>
            <w:r>
              <w:rPr>
                <w:noProof/>
              </w:rPr>
              <w:t>digitālā novērtēšana, ii) pārbaude pirms ieguldījuma, iii)</w:t>
            </w:r>
            <w:r>
              <w:rPr>
                <w:noProof/>
              </w:rPr>
              <w:t xml:space="preserve"> apmācība; </w:t>
            </w:r>
          </w:p>
          <w:p w14:paraId="20A34DD4" w14:textId="77777777" w:rsidR="00C972CB" w:rsidRDefault="002457F6">
            <w:pPr>
              <w:pStyle w:val="P68B1DB1-ListParagraph13"/>
              <w:numPr>
                <w:ilvl w:val="0"/>
                <w:numId w:val="49"/>
              </w:numPr>
              <w:jc w:val="left"/>
              <w:rPr>
                <w:noProof/>
              </w:rPr>
            </w:pPr>
            <w:r>
              <w:rPr>
                <w:noProof/>
              </w:rPr>
              <w:t>piekļuve finansējumam;</w:t>
            </w:r>
          </w:p>
          <w:p w14:paraId="33ED76E3" w14:textId="77777777" w:rsidR="00C972CB" w:rsidRDefault="002457F6">
            <w:pPr>
              <w:pStyle w:val="P68B1DB1-ListParagraph13"/>
              <w:numPr>
                <w:ilvl w:val="0"/>
                <w:numId w:val="49"/>
              </w:numPr>
              <w:jc w:val="left"/>
              <w:rPr>
                <w:noProof/>
              </w:rPr>
            </w:pPr>
            <w:r>
              <w:rPr>
                <w:noProof/>
              </w:rPr>
              <w:t xml:space="preserve">IV) finansiāls un darbības atbalsts inovācijas projektu izstrādei (TGL vairāk nekā 5); </w:t>
            </w:r>
          </w:p>
          <w:p w14:paraId="37F6B722" w14:textId="77777777" w:rsidR="00C972CB" w:rsidRDefault="002457F6">
            <w:pPr>
              <w:pStyle w:val="P68B1DB1-ListParagraph13"/>
              <w:numPr>
                <w:ilvl w:val="0"/>
                <w:numId w:val="49"/>
              </w:numPr>
              <w:jc w:val="left"/>
              <w:rPr>
                <w:noProof/>
              </w:rPr>
            </w:pPr>
            <w:r>
              <w:rPr>
                <w:noProof/>
              </w:rPr>
              <w:t xml:space="preserve">VI) Tehniskā starpniecība </w:t>
            </w:r>
          </w:p>
          <w:p w14:paraId="0EDC76EF" w14:textId="77777777" w:rsidR="00C972CB" w:rsidRDefault="002457F6">
            <w:pPr>
              <w:pStyle w:val="P68B1DB1-ListParagraph13"/>
              <w:numPr>
                <w:ilvl w:val="0"/>
                <w:numId w:val="49"/>
              </w:numPr>
              <w:jc w:val="left"/>
              <w:rPr>
                <w:noProof/>
              </w:rPr>
            </w:pPr>
            <w:r>
              <w:rPr>
                <w:noProof/>
              </w:rPr>
              <w:t>VII) izpratnes veicināšana vietējā līmenī.</w:t>
            </w:r>
          </w:p>
        </w:tc>
      </w:tr>
      <w:tr w:rsidR="00C972CB" w14:paraId="0B13C822" w14:textId="77777777">
        <w:trPr>
          <w:trHeight w:val="313"/>
        </w:trPr>
        <w:tc>
          <w:tcPr>
            <w:tcW w:w="1135" w:type="dxa"/>
            <w:shd w:val="clear" w:color="auto" w:fill="C6EFCE"/>
            <w:noWrap/>
            <w:vAlign w:val="center"/>
            <w:hideMark/>
          </w:tcPr>
          <w:p w14:paraId="29D43B22" w14:textId="77777777" w:rsidR="00C972CB" w:rsidRDefault="002457F6">
            <w:pPr>
              <w:pStyle w:val="P68B1DB1-Normal11"/>
              <w:jc w:val="center"/>
              <w:rPr>
                <w:noProof/>
              </w:rPr>
            </w:pPr>
            <w:r>
              <w:rPr>
                <w:noProof/>
              </w:rPr>
              <w:t>M4C2–15</w:t>
            </w:r>
          </w:p>
        </w:tc>
        <w:tc>
          <w:tcPr>
            <w:tcW w:w="1419" w:type="dxa"/>
            <w:shd w:val="clear" w:color="auto" w:fill="C6EFCE"/>
            <w:noWrap/>
            <w:vAlign w:val="center"/>
            <w:hideMark/>
          </w:tcPr>
          <w:p w14:paraId="4DED5FEB" w14:textId="77777777" w:rsidR="00C972CB" w:rsidRDefault="002457F6">
            <w:pPr>
              <w:pStyle w:val="P68B1DB1-Normal11"/>
              <w:jc w:val="center"/>
              <w:rPr>
                <w:noProof/>
              </w:rPr>
            </w:pPr>
            <w:r>
              <w:rPr>
                <w:noProof/>
              </w:rPr>
              <w:t xml:space="preserve">Ieguldījums 2.3. Tehnoloģiju nodošanas centru </w:t>
            </w:r>
            <w:r>
              <w:rPr>
                <w:noProof/>
              </w:rPr>
              <w:t>stiprināšana un nozaru/teritoriāla paplašināšana pa rūpniecības segmentiem</w:t>
            </w:r>
          </w:p>
        </w:tc>
        <w:tc>
          <w:tcPr>
            <w:tcW w:w="1132" w:type="dxa"/>
            <w:shd w:val="clear" w:color="auto" w:fill="C6EFCE"/>
            <w:noWrap/>
            <w:vAlign w:val="center"/>
            <w:hideMark/>
          </w:tcPr>
          <w:p w14:paraId="268588AC" w14:textId="77777777" w:rsidR="00C972CB" w:rsidRDefault="002457F6">
            <w:pPr>
              <w:pStyle w:val="P68B1DB1-Normal11"/>
              <w:jc w:val="center"/>
              <w:rPr>
                <w:noProof/>
              </w:rPr>
            </w:pPr>
            <w:r>
              <w:rPr>
                <w:noProof/>
              </w:rPr>
              <w:t>Mērķa</w:t>
            </w:r>
          </w:p>
        </w:tc>
        <w:tc>
          <w:tcPr>
            <w:tcW w:w="1418" w:type="dxa"/>
            <w:shd w:val="clear" w:color="auto" w:fill="C6EFCE"/>
            <w:noWrap/>
            <w:vAlign w:val="center"/>
            <w:hideMark/>
          </w:tcPr>
          <w:p w14:paraId="6BD90134" w14:textId="77777777" w:rsidR="00C972CB" w:rsidRDefault="002457F6">
            <w:pPr>
              <w:pStyle w:val="P68B1DB1-Normal11"/>
              <w:rPr>
                <w:noProof/>
              </w:rPr>
            </w:pPr>
            <w:r>
              <w:rPr>
                <w:noProof/>
              </w:rPr>
              <w:t>Atbalstīto MVU skaits</w:t>
            </w:r>
          </w:p>
        </w:tc>
        <w:tc>
          <w:tcPr>
            <w:tcW w:w="1275" w:type="dxa"/>
            <w:shd w:val="clear" w:color="auto" w:fill="C6EFCE"/>
            <w:noWrap/>
            <w:vAlign w:val="center"/>
            <w:hideMark/>
          </w:tcPr>
          <w:p w14:paraId="7F10161B"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272D1181" w14:textId="77777777" w:rsidR="00C972CB" w:rsidRDefault="002457F6">
            <w:pPr>
              <w:pStyle w:val="P68B1DB1-Normal11"/>
              <w:jc w:val="center"/>
              <w:rPr>
                <w:noProof/>
              </w:rPr>
            </w:pPr>
            <w:r>
              <w:rPr>
                <w:noProof/>
              </w:rPr>
              <w:t>Skaits</w:t>
            </w:r>
          </w:p>
        </w:tc>
        <w:tc>
          <w:tcPr>
            <w:tcW w:w="993" w:type="dxa"/>
            <w:shd w:val="clear" w:color="auto" w:fill="C6EFCE"/>
            <w:noWrap/>
            <w:vAlign w:val="center"/>
            <w:hideMark/>
          </w:tcPr>
          <w:p w14:paraId="7356DD2A" w14:textId="77777777" w:rsidR="00C972CB" w:rsidRDefault="002457F6">
            <w:pPr>
              <w:pStyle w:val="P68B1DB1-Normal11"/>
              <w:jc w:val="center"/>
              <w:rPr>
                <w:noProof/>
              </w:rPr>
            </w:pPr>
            <w:r>
              <w:rPr>
                <w:noProof/>
              </w:rPr>
              <w:t>0</w:t>
            </w:r>
          </w:p>
        </w:tc>
        <w:tc>
          <w:tcPr>
            <w:tcW w:w="1275" w:type="dxa"/>
            <w:shd w:val="clear" w:color="auto" w:fill="C6EFCE"/>
            <w:noWrap/>
            <w:vAlign w:val="center"/>
            <w:hideMark/>
          </w:tcPr>
          <w:p w14:paraId="666F83D3" w14:textId="2E256C18" w:rsidR="00C972CB" w:rsidRDefault="002457F6">
            <w:pPr>
              <w:pStyle w:val="P68B1DB1-Normal11"/>
              <w:jc w:val="center"/>
              <w:rPr>
                <w:noProof/>
              </w:rPr>
            </w:pPr>
            <w:r>
              <w:rPr>
                <w:noProof/>
              </w:rPr>
              <w:t>5 000</w:t>
            </w:r>
          </w:p>
        </w:tc>
        <w:tc>
          <w:tcPr>
            <w:tcW w:w="993" w:type="dxa"/>
            <w:shd w:val="clear" w:color="auto" w:fill="C6EFCE"/>
            <w:noWrap/>
            <w:vAlign w:val="center"/>
            <w:hideMark/>
          </w:tcPr>
          <w:p w14:paraId="5F212153"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150847AB" w14:textId="77777777" w:rsidR="00C972CB" w:rsidRDefault="002457F6">
            <w:pPr>
              <w:pStyle w:val="P68B1DB1-Normal11"/>
              <w:jc w:val="center"/>
              <w:rPr>
                <w:noProof/>
              </w:rPr>
            </w:pPr>
            <w:r>
              <w:rPr>
                <w:noProof/>
              </w:rPr>
              <w:t>2026</w:t>
            </w:r>
          </w:p>
        </w:tc>
        <w:tc>
          <w:tcPr>
            <w:tcW w:w="3686" w:type="dxa"/>
            <w:shd w:val="clear" w:color="auto" w:fill="C6EFCE"/>
            <w:noWrap/>
            <w:vAlign w:val="center"/>
            <w:hideMark/>
          </w:tcPr>
          <w:p w14:paraId="79B22EC7" w14:textId="6CB09169" w:rsidR="00C972CB" w:rsidRDefault="002457F6">
            <w:pPr>
              <w:pStyle w:val="P68B1DB1-Normal11"/>
              <w:rPr>
                <w:noProof/>
              </w:rPr>
            </w:pPr>
            <w:r>
              <w:rPr>
                <w:noProof/>
              </w:rPr>
              <w:t xml:space="preserve">Vismaz 5000 MVU, ko atbalsta valsts finansētie centri (kompetenču centri; Izcilības zīmogs; Valsts digitālās </w:t>
            </w:r>
            <w:r>
              <w:rPr>
                <w:noProof/>
              </w:rPr>
              <w:t>inovācijas centri) pasākuma pirmajā intervences līnijā, sniedzot pakalpojumus, kas ietver:</w:t>
            </w:r>
          </w:p>
          <w:p w14:paraId="141F46C3" w14:textId="77777777" w:rsidR="00C972CB" w:rsidRDefault="002457F6">
            <w:pPr>
              <w:pStyle w:val="P68B1DB1-ListParagraph13"/>
              <w:numPr>
                <w:ilvl w:val="0"/>
                <w:numId w:val="55"/>
              </w:numPr>
              <w:spacing w:before="0" w:after="200" w:line="276" w:lineRule="auto"/>
              <w:jc w:val="left"/>
              <w:rPr>
                <w:noProof/>
              </w:rPr>
            </w:pPr>
            <w:r>
              <w:rPr>
                <w:noProof/>
              </w:rPr>
              <w:t xml:space="preserve">Digitālais novērtējums </w:t>
            </w:r>
          </w:p>
          <w:p w14:paraId="27ABB714" w14:textId="77777777" w:rsidR="00C972CB" w:rsidRDefault="002457F6">
            <w:pPr>
              <w:pStyle w:val="P68B1DB1-ListParagraph13"/>
              <w:numPr>
                <w:ilvl w:val="0"/>
                <w:numId w:val="55"/>
              </w:numPr>
              <w:spacing w:before="0" w:after="200" w:line="276" w:lineRule="auto"/>
              <w:jc w:val="left"/>
              <w:rPr>
                <w:noProof/>
              </w:rPr>
            </w:pPr>
            <w:r>
              <w:rPr>
                <w:noProof/>
              </w:rPr>
              <w:t xml:space="preserve">Pārbaude pirms ieguldījuma veikšanas, </w:t>
            </w:r>
          </w:p>
          <w:p w14:paraId="6767003F" w14:textId="77777777" w:rsidR="00C972CB" w:rsidRDefault="002457F6">
            <w:pPr>
              <w:pStyle w:val="P68B1DB1-ListParagraph13"/>
              <w:numPr>
                <w:ilvl w:val="0"/>
                <w:numId w:val="55"/>
              </w:numPr>
              <w:spacing w:before="0" w:after="200" w:line="276" w:lineRule="auto"/>
              <w:jc w:val="left"/>
              <w:rPr>
                <w:noProof/>
              </w:rPr>
            </w:pPr>
            <w:r>
              <w:rPr>
                <w:noProof/>
              </w:rPr>
              <w:t xml:space="preserve">apmācība; </w:t>
            </w:r>
          </w:p>
          <w:p w14:paraId="6F9DF040" w14:textId="77777777" w:rsidR="00C972CB" w:rsidRDefault="002457F6">
            <w:pPr>
              <w:pStyle w:val="P68B1DB1-ListParagraph13"/>
              <w:numPr>
                <w:ilvl w:val="0"/>
                <w:numId w:val="55"/>
              </w:numPr>
              <w:spacing w:before="0" w:after="200" w:line="276" w:lineRule="auto"/>
              <w:jc w:val="left"/>
              <w:rPr>
                <w:noProof/>
              </w:rPr>
            </w:pPr>
            <w:r>
              <w:rPr>
                <w:noProof/>
              </w:rPr>
              <w:t xml:space="preserve">piekļuvi finansējumam; </w:t>
            </w:r>
          </w:p>
          <w:p w14:paraId="7D9AC419" w14:textId="77777777" w:rsidR="00C972CB" w:rsidRDefault="002457F6">
            <w:pPr>
              <w:pStyle w:val="P68B1DB1-ListParagraph13"/>
              <w:numPr>
                <w:ilvl w:val="0"/>
                <w:numId w:val="55"/>
              </w:numPr>
              <w:spacing w:before="0" w:after="200" w:line="276" w:lineRule="auto"/>
              <w:jc w:val="left"/>
              <w:rPr>
                <w:noProof/>
              </w:rPr>
            </w:pPr>
            <w:r>
              <w:rPr>
                <w:noProof/>
              </w:rPr>
              <w:t xml:space="preserve">finansiāls un darbības atbalsts inovācijas projektu izstrādei (TGL </w:t>
            </w:r>
            <w:r>
              <w:rPr>
                <w:noProof/>
              </w:rPr>
              <w:t xml:space="preserve">vairāk nekā 5); </w:t>
            </w:r>
          </w:p>
          <w:p w14:paraId="66511825" w14:textId="77777777" w:rsidR="00C972CB" w:rsidRDefault="002457F6">
            <w:pPr>
              <w:pStyle w:val="P68B1DB1-ListParagraph13"/>
              <w:numPr>
                <w:ilvl w:val="0"/>
                <w:numId w:val="55"/>
              </w:numPr>
              <w:spacing w:before="0" w:after="200" w:line="276" w:lineRule="auto"/>
              <w:jc w:val="left"/>
              <w:rPr>
                <w:noProof/>
              </w:rPr>
            </w:pPr>
            <w:r>
              <w:rPr>
                <w:noProof/>
              </w:rPr>
              <w:t xml:space="preserve">tehnoloģiski starpniecības pakalpojumi </w:t>
            </w:r>
          </w:p>
          <w:p w14:paraId="3FD5E089" w14:textId="5CCF58E6" w:rsidR="00C972CB" w:rsidRDefault="002457F6">
            <w:pPr>
              <w:pStyle w:val="P68B1DB1-ListParagraph13"/>
              <w:numPr>
                <w:ilvl w:val="0"/>
                <w:numId w:val="55"/>
              </w:numPr>
              <w:spacing w:before="0" w:after="200" w:line="276" w:lineRule="auto"/>
              <w:jc w:val="left"/>
              <w:rPr>
                <w:noProof/>
              </w:rPr>
            </w:pPr>
            <w:r>
              <w:rPr>
                <w:noProof/>
              </w:rPr>
              <w:t>izpratnes veicināšana vietējā līmenī.</w:t>
            </w:r>
          </w:p>
        </w:tc>
      </w:tr>
      <w:tr w:rsidR="00C972CB" w14:paraId="3E0671CE" w14:textId="77777777">
        <w:trPr>
          <w:trHeight w:val="313"/>
        </w:trPr>
        <w:tc>
          <w:tcPr>
            <w:tcW w:w="1135" w:type="dxa"/>
            <w:shd w:val="clear" w:color="auto" w:fill="C6EFCE"/>
            <w:noWrap/>
            <w:vAlign w:val="center"/>
          </w:tcPr>
          <w:p w14:paraId="10F16418" w14:textId="77777777" w:rsidR="00C972CB" w:rsidRDefault="002457F6">
            <w:pPr>
              <w:pStyle w:val="P68B1DB1-Normal11"/>
              <w:jc w:val="center"/>
              <w:rPr>
                <w:noProof/>
              </w:rPr>
            </w:pPr>
            <w:r>
              <w:rPr>
                <w:noProof/>
              </w:rPr>
              <w:t>M4C2–15 bis</w:t>
            </w:r>
          </w:p>
        </w:tc>
        <w:tc>
          <w:tcPr>
            <w:tcW w:w="1419" w:type="dxa"/>
            <w:shd w:val="clear" w:color="auto" w:fill="C6EFCE"/>
            <w:noWrap/>
            <w:vAlign w:val="center"/>
          </w:tcPr>
          <w:p w14:paraId="1799B8D9" w14:textId="77777777" w:rsidR="00C972CB" w:rsidRDefault="002457F6">
            <w:pPr>
              <w:pStyle w:val="P68B1DB1-Normal11"/>
              <w:jc w:val="center"/>
              <w:rPr>
                <w:noProof/>
              </w:rPr>
            </w:pPr>
            <w:r>
              <w:rPr>
                <w:noProof/>
              </w:rPr>
              <w:t>Ieguldījums 2.3. Tehnoloģiju nodošanas centru stiprināšana un nozaru/teritoriāla paplašināšana pa rūpniecības segmentiem</w:t>
            </w:r>
          </w:p>
        </w:tc>
        <w:tc>
          <w:tcPr>
            <w:tcW w:w="1132" w:type="dxa"/>
            <w:shd w:val="clear" w:color="auto" w:fill="C6EFCE"/>
            <w:noWrap/>
            <w:vAlign w:val="center"/>
          </w:tcPr>
          <w:p w14:paraId="7F552549" w14:textId="77777777" w:rsidR="00C972CB" w:rsidRDefault="002457F6">
            <w:pPr>
              <w:pStyle w:val="P68B1DB1-Normal11"/>
              <w:jc w:val="center"/>
              <w:rPr>
                <w:noProof/>
              </w:rPr>
            </w:pPr>
            <w:r>
              <w:rPr>
                <w:noProof/>
              </w:rPr>
              <w:t>Starpposma mērķis</w:t>
            </w:r>
          </w:p>
        </w:tc>
        <w:tc>
          <w:tcPr>
            <w:tcW w:w="1418" w:type="dxa"/>
            <w:shd w:val="clear" w:color="auto" w:fill="C6EFCE"/>
            <w:noWrap/>
            <w:vAlign w:val="center"/>
          </w:tcPr>
          <w:p w14:paraId="0084542A" w14:textId="77777777" w:rsidR="00C972CB" w:rsidRDefault="002457F6">
            <w:pPr>
              <w:pStyle w:val="P68B1DB1-Normal11"/>
              <w:jc w:val="center"/>
              <w:rPr>
                <w:noProof/>
              </w:rPr>
            </w:pPr>
            <w:r>
              <w:rPr>
                <w:noProof/>
              </w:rPr>
              <w:t xml:space="preserve">EDIH un </w:t>
            </w:r>
            <w:r>
              <w:rPr>
                <w:noProof/>
              </w:rPr>
              <w:t>TEF darba pakešu pabeigšana</w:t>
            </w:r>
          </w:p>
        </w:tc>
        <w:tc>
          <w:tcPr>
            <w:tcW w:w="1275" w:type="dxa"/>
            <w:shd w:val="clear" w:color="auto" w:fill="C6EFCE"/>
            <w:noWrap/>
            <w:vAlign w:val="center"/>
          </w:tcPr>
          <w:p w14:paraId="6F9D7F6F" w14:textId="77777777" w:rsidR="00C972CB" w:rsidRDefault="002457F6">
            <w:pPr>
              <w:pStyle w:val="P68B1DB1-Normal11"/>
              <w:jc w:val="center"/>
              <w:rPr>
                <w:noProof/>
              </w:rPr>
            </w:pPr>
            <w:r>
              <w:rPr>
                <w:noProof/>
              </w:rPr>
              <w:t>Eiropas digitālās inovācijas centra (EDIH) un testēšanas un eksperimentēšanas iekārtu (TEF) darba paketes ir pabeigtas</w:t>
            </w:r>
          </w:p>
        </w:tc>
        <w:tc>
          <w:tcPr>
            <w:tcW w:w="1134" w:type="dxa"/>
            <w:shd w:val="clear" w:color="auto" w:fill="C6EFCE"/>
            <w:noWrap/>
            <w:vAlign w:val="center"/>
          </w:tcPr>
          <w:p w14:paraId="082EBDAA" w14:textId="77777777" w:rsidR="00C972CB" w:rsidRDefault="002457F6">
            <w:pPr>
              <w:pStyle w:val="P68B1DB1-Normal11"/>
              <w:jc w:val="center"/>
              <w:rPr>
                <w:noProof/>
              </w:rPr>
            </w:pPr>
            <w:r>
              <w:rPr>
                <w:noProof/>
              </w:rPr>
              <w:t>NEPIEMĒRO</w:t>
            </w:r>
          </w:p>
        </w:tc>
        <w:tc>
          <w:tcPr>
            <w:tcW w:w="993" w:type="dxa"/>
            <w:shd w:val="clear" w:color="auto" w:fill="C6EFCE"/>
            <w:noWrap/>
            <w:vAlign w:val="center"/>
          </w:tcPr>
          <w:p w14:paraId="042ED6D6" w14:textId="77777777" w:rsidR="00C972CB" w:rsidRDefault="002457F6">
            <w:pPr>
              <w:pStyle w:val="P68B1DB1-Normal11"/>
              <w:jc w:val="center"/>
              <w:rPr>
                <w:noProof/>
              </w:rPr>
            </w:pPr>
            <w:r>
              <w:rPr>
                <w:noProof/>
              </w:rPr>
              <w:t>NEPIEMĒRO</w:t>
            </w:r>
          </w:p>
        </w:tc>
        <w:tc>
          <w:tcPr>
            <w:tcW w:w="1275" w:type="dxa"/>
            <w:shd w:val="clear" w:color="auto" w:fill="C6EFCE"/>
            <w:noWrap/>
            <w:vAlign w:val="center"/>
          </w:tcPr>
          <w:p w14:paraId="13F48C70" w14:textId="77777777" w:rsidR="00C972CB" w:rsidRDefault="002457F6">
            <w:pPr>
              <w:pStyle w:val="P68B1DB1-Normal11"/>
              <w:jc w:val="center"/>
              <w:rPr>
                <w:noProof/>
              </w:rPr>
            </w:pPr>
            <w:r>
              <w:rPr>
                <w:noProof/>
              </w:rPr>
              <w:t>NEPIEMĒRO</w:t>
            </w:r>
          </w:p>
        </w:tc>
        <w:tc>
          <w:tcPr>
            <w:tcW w:w="993" w:type="dxa"/>
            <w:shd w:val="clear" w:color="auto" w:fill="C6EFCE"/>
            <w:noWrap/>
            <w:vAlign w:val="center"/>
          </w:tcPr>
          <w:p w14:paraId="27BC5D1C" w14:textId="77777777" w:rsidR="00C972CB" w:rsidRDefault="002457F6">
            <w:pPr>
              <w:pStyle w:val="P68B1DB1-Normal11"/>
              <w:jc w:val="center"/>
              <w:rPr>
                <w:noProof/>
              </w:rPr>
            </w:pPr>
            <w:r>
              <w:rPr>
                <w:noProof/>
              </w:rPr>
              <w:t>2. CET.</w:t>
            </w:r>
          </w:p>
        </w:tc>
        <w:tc>
          <w:tcPr>
            <w:tcW w:w="708" w:type="dxa"/>
            <w:shd w:val="clear" w:color="auto" w:fill="C6EFCE"/>
            <w:noWrap/>
            <w:vAlign w:val="center"/>
          </w:tcPr>
          <w:p w14:paraId="004CCC66" w14:textId="77777777" w:rsidR="00C972CB" w:rsidRDefault="002457F6">
            <w:pPr>
              <w:pStyle w:val="P68B1DB1-Normal11"/>
              <w:jc w:val="center"/>
              <w:rPr>
                <w:noProof/>
              </w:rPr>
            </w:pPr>
            <w:r>
              <w:rPr>
                <w:noProof/>
              </w:rPr>
              <w:t>2026</w:t>
            </w:r>
          </w:p>
        </w:tc>
        <w:tc>
          <w:tcPr>
            <w:tcW w:w="3686" w:type="dxa"/>
            <w:shd w:val="clear" w:color="auto" w:fill="C6EFCE"/>
            <w:noWrap/>
            <w:vAlign w:val="center"/>
          </w:tcPr>
          <w:p w14:paraId="1D4A14A3" w14:textId="77777777" w:rsidR="00C972CB" w:rsidRDefault="002457F6">
            <w:pPr>
              <w:pStyle w:val="P68B1DB1-Normal11"/>
              <w:spacing w:after="120"/>
              <w:jc w:val="both"/>
              <w:rPr>
                <w:noProof/>
              </w:rPr>
            </w:pPr>
            <w:r>
              <w:rPr>
                <w:noProof/>
              </w:rPr>
              <w:t xml:space="preserve">Pabeigt visas 13 Eiropas digitālās inovācijas centru un divu </w:t>
            </w:r>
            <w:r>
              <w:rPr>
                <w:noProof/>
              </w:rPr>
              <w:t>testēšanas un eksperimentēšanas iekārtu darba paketes saskaņā ar pasākuma otro intervences virzienu, izņemot tās darba paketes, ko finansē no programmas “Digitālā Eiropa”.</w:t>
            </w:r>
          </w:p>
        </w:tc>
      </w:tr>
      <w:tr w:rsidR="00C972CB" w14:paraId="499FA925" w14:textId="77777777">
        <w:trPr>
          <w:trHeight w:val="313"/>
        </w:trPr>
        <w:tc>
          <w:tcPr>
            <w:tcW w:w="1135" w:type="dxa"/>
            <w:shd w:val="clear" w:color="auto" w:fill="C6EFCE"/>
            <w:noWrap/>
            <w:vAlign w:val="center"/>
            <w:hideMark/>
          </w:tcPr>
          <w:p w14:paraId="1848C3BB" w14:textId="77777777" w:rsidR="00C972CB" w:rsidRDefault="002457F6">
            <w:pPr>
              <w:pStyle w:val="P68B1DB1-Normal11"/>
              <w:jc w:val="center"/>
              <w:rPr>
                <w:noProof/>
              </w:rPr>
            </w:pPr>
            <w:r>
              <w:rPr>
                <w:noProof/>
              </w:rPr>
              <w:t>M4C2–16</w:t>
            </w:r>
          </w:p>
        </w:tc>
        <w:tc>
          <w:tcPr>
            <w:tcW w:w="1419" w:type="dxa"/>
            <w:shd w:val="clear" w:color="auto" w:fill="C6EFCE"/>
            <w:noWrap/>
            <w:vAlign w:val="center"/>
            <w:hideMark/>
          </w:tcPr>
          <w:p w14:paraId="3A8992E2" w14:textId="77777777" w:rsidR="00C972CB" w:rsidRDefault="002457F6">
            <w:pPr>
              <w:pStyle w:val="P68B1DB1-Normal11"/>
              <w:jc w:val="center"/>
              <w:rPr>
                <w:noProof/>
              </w:rPr>
            </w:pPr>
            <w:r>
              <w:rPr>
                <w:noProof/>
              </w:rPr>
              <w:t>Ieguldījums 3.1.: Fonds integrētas pētniecības un inovācijas infrastruktūru</w:t>
            </w:r>
            <w:r>
              <w:rPr>
                <w:noProof/>
              </w:rPr>
              <w:t xml:space="preserve"> sistēmas izveidei</w:t>
            </w:r>
          </w:p>
        </w:tc>
        <w:tc>
          <w:tcPr>
            <w:tcW w:w="1132" w:type="dxa"/>
            <w:shd w:val="clear" w:color="auto" w:fill="C6EFCE"/>
            <w:noWrap/>
            <w:vAlign w:val="center"/>
            <w:hideMark/>
          </w:tcPr>
          <w:p w14:paraId="4AD4B98C" w14:textId="77777777" w:rsidR="00C972CB" w:rsidRDefault="002457F6">
            <w:pPr>
              <w:pStyle w:val="P68B1DB1-Normal11"/>
              <w:jc w:val="center"/>
              <w:rPr>
                <w:noProof/>
              </w:rPr>
            </w:pPr>
            <w:r>
              <w:rPr>
                <w:noProof/>
              </w:rPr>
              <w:t>Mērķa</w:t>
            </w:r>
          </w:p>
        </w:tc>
        <w:tc>
          <w:tcPr>
            <w:tcW w:w="1418" w:type="dxa"/>
            <w:shd w:val="clear" w:color="auto" w:fill="C6EFCE"/>
            <w:noWrap/>
            <w:vAlign w:val="center"/>
            <w:hideMark/>
          </w:tcPr>
          <w:p w14:paraId="5DDF1AB5" w14:textId="77777777" w:rsidR="00C972CB" w:rsidRDefault="002457F6">
            <w:pPr>
              <w:pStyle w:val="P68B1DB1-Normal11"/>
              <w:jc w:val="center"/>
              <w:rPr>
                <w:noProof/>
              </w:rPr>
            </w:pPr>
            <w:r>
              <w:rPr>
                <w:noProof/>
              </w:rPr>
              <w:t>Finansēto infrastruktūru skaits</w:t>
            </w:r>
          </w:p>
        </w:tc>
        <w:tc>
          <w:tcPr>
            <w:tcW w:w="1275" w:type="dxa"/>
            <w:shd w:val="clear" w:color="auto" w:fill="C6EFCE"/>
            <w:noWrap/>
            <w:vAlign w:val="center"/>
            <w:hideMark/>
          </w:tcPr>
          <w:p w14:paraId="53106C57"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38193699" w14:textId="77777777" w:rsidR="00C972CB" w:rsidRDefault="002457F6">
            <w:pPr>
              <w:pStyle w:val="P68B1DB1-Normal11"/>
              <w:jc w:val="center"/>
              <w:rPr>
                <w:noProof/>
              </w:rPr>
            </w:pPr>
            <w:r>
              <w:rPr>
                <w:noProof/>
              </w:rPr>
              <w:t>Skaits</w:t>
            </w:r>
          </w:p>
        </w:tc>
        <w:tc>
          <w:tcPr>
            <w:tcW w:w="993" w:type="dxa"/>
            <w:shd w:val="clear" w:color="auto" w:fill="C6EFCE"/>
            <w:noWrap/>
            <w:vAlign w:val="center"/>
            <w:hideMark/>
          </w:tcPr>
          <w:p w14:paraId="3A506220" w14:textId="77777777" w:rsidR="00C972CB" w:rsidRDefault="002457F6">
            <w:pPr>
              <w:pStyle w:val="P68B1DB1-Normal11"/>
              <w:jc w:val="center"/>
              <w:rPr>
                <w:noProof/>
              </w:rPr>
            </w:pPr>
            <w:r>
              <w:rPr>
                <w:noProof/>
              </w:rPr>
              <w:t>0</w:t>
            </w:r>
          </w:p>
        </w:tc>
        <w:tc>
          <w:tcPr>
            <w:tcW w:w="1275" w:type="dxa"/>
            <w:shd w:val="clear" w:color="auto" w:fill="C6EFCE"/>
            <w:noWrap/>
            <w:vAlign w:val="center"/>
            <w:hideMark/>
          </w:tcPr>
          <w:p w14:paraId="38D13799" w14:textId="77777777" w:rsidR="00C972CB" w:rsidRDefault="002457F6">
            <w:pPr>
              <w:pStyle w:val="P68B1DB1-Normal11"/>
              <w:jc w:val="center"/>
              <w:rPr>
                <w:noProof/>
              </w:rPr>
            </w:pPr>
            <w:r>
              <w:rPr>
                <w:noProof/>
              </w:rPr>
              <w:t>30</w:t>
            </w:r>
          </w:p>
        </w:tc>
        <w:tc>
          <w:tcPr>
            <w:tcW w:w="993" w:type="dxa"/>
            <w:shd w:val="clear" w:color="auto" w:fill="C6EFCE"/>
            <w:noWrap/>
            <w:vAlign w:val="center"/>
            <w:hideMark/>
          </w:tcPr>
          <w:p w14:paraId="4D4EB77B"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5FE1CDC9" w14:textId="77777777" w:rsidR="00C972CB" w:rsidRDefault="002457F6">
            <w:pPr>
              <w:pStyle w:val="P68B1DB1-Normal11"/>
              <w:jc w:val="center"/>
              <w:rPr>
                <w:noProof/>
              </w:rPr>
            </w:pPr>
            <w:r>
              <w:rPr>
                <w:noProof/>
              </w:rPr>
              <w:t>2023</w:t>
            </w:r>
          </w:p>
        </w:tc>
        <w:tc>
          <w:tcPr>
            <w:tcW w:w="3686" w:type="dxa"/>
            <w:shd w:val="clear" w:color="auto" w:fill="C6EFCE"/>
            <w:noWrap/>
            <w:vAlign w:val="center"/>
            <w:hideMark/>
          </w:tcPr>
          <w:p w14:paraId="74A08BA2" w14:textId="77777777" w:rsidR="00C972CB" w:rsidRDefault="002457F6">
            <w:pPr>
              <w:pStyle w:val="P68B1DB1-Normal10"/>
              <w:spacing w:after="120"/>
              <w:jc w:val="both"/>
              <w:rPr>
                <w:noProof/>
                <w:color w:val="006100"/>
                <w:sz w:val="20"/>
              </w:rPr>
            </w:pPr>
            <w:r>
              <w:rPr>
                <w:noProof/>
                <w:color w:val="006100"/>
                <w:sz w:val="20"/>
              </w:rPr>
              <w:t>Vismaz 30 infrastruktūras, kas finansētas integrētajai pētniecības un inovācijas infrastruktūras sistēmai.</w:t>
            </w:r>
            <w:r>
              <w:rPr>
                <w:noProof/>
              </w:rPr>
              <w:t xml:space="preserve"> </w:t>
            </w:r>
            <w:r>
              <w:rPr>
                <w:noProof/>
              </w:rPr>
              <w:br/>
            </w:r>
            <w:r>
              <w:rPr>
                <w:noProof/>
                <w:color w:val="006100"/>
                <w:sz w:val="20"/>
              </w:rPr>
              <w:t xml:space="preserve">Inovācijas infrastruktūra ietver daudzfunkcionālas </w:t>
            </w:r>
            <w:r>
              <w:rPr>
                <w:noProof/>
                <w:color w:val="006100"/>
                <w:sz w:val="20"/>
              </w:rPr>
              <w:t>infrastruktūras, kas spēj aptvert vismaz trīs tematiskās jomas, piemēram: kvantu, ii) progresīvi materiāli, iii) fotonika, iv) zinātnes par dzīvību, v) mākslīgais intelekts, vi) enerģētikas pārkārtošana.</w:t>
            </w:r>
          </w:p>
          <w:p w14:paraId="4E19AA1B" w14:textId="782F6F10" w:rsidR="00C972CB" w:rsidRDefault="002457F6">
            <w:pPr>
              <w:pStyle w:val="P68B1DB1-Normal11"/>
              <w:spacing w:after="120"/>
              <w:jc w:val="both"/>
              <w:rPr>
                <w:noProof/>
              </w:rPr>
            </w:pPr>
            <w:r>
              <w:rPr>
                <w:noProof/>
              </w:rPr>
              <w:t>Mērķrādītāja apmierinoša sasniegšana ir atkarīga arī</w:t>
            </w:r>
            <w:r>
              <w:rPr>
                <w:noProof/>
              </w:rPr>
              <w:t xml:space="preserve"> no tā, vai integrētā pētniecības un inovācijas infrastruktūras sistēmā tiks pieņemti darbā vismaz 30 pētniecības vadītāji.</w:t>
            </w:r>
          </w:p>
        </w:tc>
      </w:tr>
      <w:tr w:rsidR="00C972CB" w14:paraId="3830432C" w14:textId="77777777">
        <w:trPr>
          <w:trHeight w:val="313"/>
        </w:trPr>
        <w:tc>
          <w:tcPr>
            <w:tcW w:w="1135" w:type="dxa"/>
            <w:shd w:val="clear" w:color="auto" w:fill="C6EFCE"/>
            <w:noWrap/>
            <w:vAlign w:val="center"/>
            <w:hideMark/>
          </w:tcPr>
          <w:p w14:paraId="0D28DA65" w14:textId="77777777" w:rsidR="00C972CB" w:rsidRDefault="002457F6">
            <w:pPr>
              <w:pStyle w:val="P68B1DB1-Normal11"/>
              <w:jc w:val="center"/>
              <w:rPr>
                <w:noProof/>
              </w:rPr>
            </w:pPr>
            <w:r>
              <w:rPr>
                <w:noProof/>
              </w:rPr>
              <w:t xml:space="preserve">M4C2–16 bis </w:t>
            </w:r>
          </w:p>
        </w:tc>
        <w:tc>
          <w:tcPr>
            <w:tcW w:w="1419" w:type="dxa"/>
            <w:shd w:val="clear" w:color="auto" w:fill="C6EFCE"/>
            <w:noWrap/>
            <w:vAlign w:val="center"/>
            <w:hideMark/>
          </w:tcPr>
          <w:p w14:paraId="734F0205" w14:textId="77777777" w:rsidR="00C972CB" w:rsidRDefault="002457F6">
            <w:pPr>
              <w:pStyle w:val="P68B1DB1-Normal11"/>
              <w:jc w:val="center"/>
              <w:rPr>
                <w:noProof/>
              </w:rPr>
            </w:pPr>
            <w:r>
              <w:rPr>
                <w:noProof/>
              </w:rPr>
              <w:t>Ieguldījums 3.1.: Fonds integrētas pētniecības un inovācijas infrastruktūru sistēmas izveidei</w:t>
            </w:r>
          </w:p>
        </w:tc>
        <w:tc>
          <w:tcPr>
            <w:tcW w:w="1132" w:type="dxa"/>
            <w:shd w:val="clear" w:color="auto" w:fill="C6EFCE"/>
            <w:noWrap/>
            <w:vAlign w:val="center"/>
            <w:hideMark/>
          </w:tcPr>
          <w:p w14:paraId="390D75E6" w14:textId="77777777" w:rsidR="00C972CB" w:rsidRDefault="002457F6">
            <w:pPr>
              <w:pStyle w:val="P68B1DB1-Normal11"/>
              <w:jc w:val="center"/>
              <w:rPr>
                <w:noProof/>
              </w:rPr>
            </w:pPr>
            <w:r>
              <w:rPr>
                <w:noProof/>
              </w:rPr>
              <w:t>Mērķa</w:t>
            </w:r>
          </w:p>
        </w:tc>
        <w:tc>
          <w:tcPr>
            <w:tcW w:w="1418" w:type="dxa"/>
            <w:shd w:val="clear" w:color="auto" w:fill="C6EFCE"/>
            <w:noWrap/>
            <w:vAlign w:val="center"/>
            <w:hideMark/>
          </w:tcPr>
          <w:p w14:paraId="5470CA9A" w14:textId="77777777" w:rsidR="00C972CB" w:rsidRDefault="002457F6">
            <w:pPr>
              <w:pStyle w:val="P68B1DB1-Normal11"/>
              <w:jc w:val="center"/>
              <w:rPr>
                <w:noProof/>
              </w:rPr>
            </w:pPr>
            <w:r>
              <w:rPr>
                <w:noProof/>
              </w:rPr>
              <w:t xml:space="preserve">Izveidoto vai darbību pabeigušo pētniecības un inovācijas infrastruktūru skaits </w:t>
            </w:r>
          </w:p>
        </w:tc>
        <w:tc>
          <w:tcPr>
            <w:tcW w:w="1275" w:type="dxa"/>
            <w:shd w:val="clear" w:color="auto" w:fill="C6EFCE"/>
            <w:noWrap/>
            <w:vAlign w:val="center"/>
            <w:hideMark/>
          </w:tcPr>
          <w:p w14:paraId="06194BD1"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137E4A8C" w14:textId="77777777" w:rsidR="00C972CB" w:rsidRDefault="002457F6">
            <w:pPr>
              <w:pStyle w:val="P68B1DB1-Normal11"/>
              <w:jc w:val="center"/>
              <w:rPr>
                <w:noProof/>
              </w:rPr>
            </w:pPr>
            <w:r>
              <w:rPr>
                <w:noProof/>
              </w:rPr>
              <w:t>Skaits</w:t>
            </w:r>
          </w:p>
        </w:tc>
        <w:tc>
          <w:tcPr>
            <w:tcW w:w="993" w:type="dxa"/>
            <w:shd w:val="clear" w:color="auto" w:fill="C6EFCE"/>
            <w:noWrap/>
            <w:vAlign w:val="center"/>
            <w:hideMark/>
          </w:tcPr>
          <w:p w14:paraId="6EFEAA7C" w14:textId="77777777" w:rsidR="00C972CB" w:rsidRDefault="002457F6">
            <w:pPr>
              <w:pStyle w:val="P68B1DB1-Normal11"/>
              <w:jc w:val="center"/>
              <w:rPr>
                <w:noProof/>
              </w:rPr>
            </w:pPr>
            <w:r>
              <w:rPr>
                <w:noProof/>
              </w:rPr>
              <w:t>0</w:t>
            </w:r>
          </w:p>
        </w:tc>
        <w:tc>
          <w:tcPr>
            <w:tcW w:w="1275" w:type="dxa"/>
            <w:shd w:val="clear" w:color="auto" w:fill="C6EFCE"/>
            <w:noWrap/>
            <w:vAlign w:val="center"/>
            <w:hideMark/>
          </w:tcPr>
          <w:p w14:paraId="3ADF37C8" w14:textId="77777777" w:rsidR="00C972CB" w:rsidRDefault="002457F6">
            <w:pPr>
              <w:pStyle w:val="P68B1DB1-Normal11"/>
              <w:jc w:val="center"/>
              <w:rPr>
                <w:noProof/>
              </w:rPr>
            </w:pPr>
            <w:r>
              <w:rPr>
                <w:noProof/>
              </w:rPr>
              <w:t>30</w:t>
            </w:r>
          </w:p>
        </w:tc>
        <w:tc>
          <w:tcPr>
            <w:tcW w:w="993" w:type="dxa"/>
            <w:shd w:val="clear" w:color="auto" w:fill="C6EFCE"/>
            <w:noWrap/>
            <w:vAlign w:val="center"/>
            <w:hideMark/>
          </w:tcPr>
          <w:p w14:paraId="206BBA51"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5FD773EA" w14:textId="77777777" w:rsidR="00C972CB" w:rsidRDefault="002457F6">
            <w:pPr>
              <w:pStyle w:val="P68B1DB1-Normal11"/>
              <w:jc w:val="center"/>
              <w:rPr>
                <w:noProof/>
              </w:rPr>
            </w:pPr>
            <w:r>
              <w:rPr>
                <w:noProof/>
              </w:rPr>
              <w:t>2026</w:t>
            </w:r>
          </w:p>
        </w:tc>
        <w:tc>
          <w:tcPr>
            <w:tcW w:w="3686" w:type="dxa"/>
            <w:shd w:val="clear" w:color="auto" w:fill="C6EFCE"/>
            <w:noWrap/>
            <w:vAlign w:val="center"/>
            <w:hideMark/>
          </w:tcPr>
          <w:p w14:paraId="6786C494" w14:textId="77777777" w:rsidR="00C972CB" w:rsidRDefault="002457F6">
            <w:pPr>
              <w:pStyle w:val="P68B1DB1-Normal11"/>
              <w:jc w:val="both"/>
              <w:rPr>
                <w:noProof/>
              </w:rPr>
            </w:pPr>
            <w:r>
              <w:rPr>
                <w:noProof/>
              </w:rPr>
              <w:t xml:space="preserve">Vismaz 30 pētniecības un inovācijas infrastruktūras, kas izveidotas vai pabeigušas savas darbības saskaņā ar attiecīgo uzaicinājumu iesniegt projektus. </w:t>
            </w:r>
          </w:p>
        </w:tc>
      </w:tr>
      <w:tr w:rsidR="00C972CB" w14:paraId="20E04A10" w14:textId="77777777">
        <w:trPr>
          <w:trHeight w:val="313"/>
        </w:trPr>
        <w:tc>
          <w:tcPr>
            <w:tcW w:w="1135" w:type="dxa"/>
            <w:shd w:val="clear" w:color="auto" w:fill="C6EFCE"/>
            <w:noWrap/>
            <w:vAlign w:val="center"/>
            <w:hideMark/>
          </w:tcPr>
          <w:p w14:paraId="2E8DCDEB" w14:textId="77777777" w:rsidR="00C972CB" w:rsidRDefault="002457F6">
            <w:pPr>
              <w:pStyle w:val="P68B1DB1-Normal11"/>
              <w:jc w:val="center"/>
              <w:rPr>
                <w:noProof/>
              </w:rPr>
            </w:pPr>
            <w:r>
              <w:rPr>
                <w:noProof/>
              </w:rPr>
              <w:t>M4C2–17</w:t>
            </w:r>
          </w:p>
        </w:tc>
        <w:tc>
          <w:tcPr>
            <w:tcW w:w="1419" w:type="dxa"/>
            <w:shd w:val="clear" w:color="auto" w:fill="C6EFCE"/>
            <w:noWrap/>
            <w:vAlign w:val="center"/>
            <w:hideMark/>
          </w:tcPr>
          <w:p w14:paraId="11218F89" w14:textId="77777777" w:rsidR="00C972CB" w:rsidRDefault="002457F6">
            <w:pPr>
              <w:pStyle w:val="P68B1DB1-Normal11"/>
              <w:jc w:val="center"/>
              <w:rPr>
                <w:noProof/>
              </w:rPr>
            </w:pPr>
            <w:r>
              <w:rPr>
                <w:noProof/>
              </w:rPr>
              <w:t>Ieguldījums 3.1.: Fonds integrētas pētniecības un inovācijas infrastruktūru sistēmas izveidei;</w:t>
            </w:r>
            <w:r>
              <w:rPr>
                <w:noProof/>
              </w:rPr>
              <w:t xml:space="preserve"> Ieguldījumi</w:t>
            </w:r>
          </w:p>
        </w:tc>
        <w:tc>
          <w:tcPr>
            <w:tcW w:w="1132" w:type="dxa"/>
            <w:shd w:val="clear" w:color="auto" w:fill="C6EFCE"/>
            <w:noWrap/>
            <w:vAlign w:val="center"/>
            <w:hideMark/>
          </w:tcPr>
          <w:p w14:paraId="4F8C221B" w14:textId="77777777" w:rsidR="00C972CB" w:rsidRDefault="002457F6">
            <w:pPr>
              <w:pStyle w:val="P68B1DB1-Normal11"/>
              <w:jc w:val="center"/>
              <w:rPr>
                <w:noProof/>
              </w:rPr>
            </w:pPr>
            <w:r>
              <w:rPr>
                <w:noProof/>
              </w:rPr>
              <w:t>Starpposma mērķis</w:t>
            </w:r>
          </w:p>
        </w:tc>
        <w:tc>
          <w:tcPr>
            <w:tcW w:w="1418" w:type="dxa"/>
            <w:shd w:val="clear" w:color="auto" w:fill="C6EFCE"/>
            <w:noWrap/>
            <w:vAlign w:val="center"/>
            <w:hideMark/>
          </w:tcPr>
          <w:p w14:paraId="4E054D82" w14:textId="77777777" w:rsidR="00C972CB" w:rsidRDefault="002457F6">
            <w:pPr>
              <w:pStyle w:val="P68B1DB1-Normal11"/>
              <w:jc w:val="center"/>
              <w:rPr>
                <w:noProof/>
              </w:rPr>
            </w:pPr>
            <w:r>
              <w:rPr>
                <w:noProof/>
              </w:rPr>
              <w:t>Līgumu slēgšanas tiesību piešķiršana projektiem, kas attiecas uz: integrēta pētniecības un inovācijas infrastruktūru sistēma</w:t>
            </w:r>
          </w:p>
        </w:tc>
        <w:tc>
          <w:tcPr>
            <w:tcW w:w="1275" w:type="dxa"/>
            <w:shd w:val="clear" w:color="auto" w:fill="C6EFCE"/>
            <w:noWrap/>
            <w:vAlign w:val="center"/>
            <w:hideMark/>
          </w:tcPr>
          <w:p w14:paraId="3C7B5D0D" w14:textId="77777777" w:rsidR="00C972CB" w:rsidRDefault="002457F6">
            <w:pPr>
              <w:pStyle w:val="P68B1DB1-Normal11"/>
              <w:jc w:val="center"/>
              <w:rPr>
                <w:noProof/>
              </w:rPr>
            </w:pPr>
            <w:r>
              <w:rPr>
                <w:noProof/>
              </w:rPr>
              <w:t>Paziņojums par līgumu slēgšanas tiesību piešķiršanu</w:t>
            </w:r>
          </w:p>
        </w:tc>
        <w:tc>
          <w:tcPr>
            <w:tcW w:w="1134" w:type="dxa"/>
            <w:shd w:val="clear" w:color="auto" w:fill="C6EFCE"/>
            <w:noWrap/>
            <w:vAlign w:val="center"/>
            <w:hideMark/>
          </w:tcPr>
          <w:p w14:paraId="63AD99FB"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15F91F5B" w14:textId="77777777" w:rsidR="00C972CB" w:rsidRDefault="002457F6">
            <w:pPr>
              <w:pStyle w:val="P68B1DB1-Normal11"/>
              <w:jc w:val="center"/>
              <w:rPr>
                <w:noProof/>
              </w:rPr>
            </w:pPr>
            <w:r>
              <w:rPr>
                <w:noProof/>
              </w:rPr>
              <w:t>NEPIEMĒRO</w:t>
            </w:r>
          </w:p>
        </w:tc>
        <w:tc>
          <w:tcPr>
            <w:tcW w:w="1275" w:type="dxa"/>
            <w:shd w:val="clear" w:color="auto" w:fill="C6EFCE"/>
            <w:noWrap/>
            <w:vAlign w:val="center"/>
            <w:hideMark/>
          </w:tcPr>
          <w:p w14:paraId="1134B27D"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2DB02361"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5949FC08" w14:textId="77777777" w:rsidR="00C972CB" w:rsidRDefault="002457F6">
            <w:pPr>
              <w:pStyle w:val="P68B1DB1-Normal11"/>
              <w:jc w:val="center"/>
              <w:rPr>
                <w:noProof/>
              </w:rPr>
            </w:pPr>
            <w:r>
              <w:rPr>
                <w:noProof/>
              </w:rPr>
              <w:t>2022</w:t>
            </w:r>
          </w:p>
        </w:tc>
        <w:tc>
          <w:tcPr>
            <w:tcW w:w="3686" w:type="dxa"/>
            <w:shd w:val="clear" w:color="auto" w:fill="C6EFCE"/>
            <w:noWrap/>
            <w:vAlign w:val="center"/>
            <w:hideMark/>
          </w:tcPr>
          <w:p w14:paraId="065696CD" w14:textId="77777777" w:rsidR="00C972CB" w:rsidRDefault="002457F6">
            <w:pPr>
              <w:pStyle w:val="P68B1DB1-Normal11"/>
              <w:spacing w:after="120"/>
              <w:jc w:val="both"/>
              <w:rPr>
                <w:noProof/>
              </w:rPr>
            </w:pPr>
            <w:r>
              <w:rPr>
                <w:noProof/>
              </w:rPr>
              <w:t>Paziņojums par līgumu slēgšanas tiesību piešķiršanu projektiem, kas atlasīti konkursa uzaicinājumos iesniegt priekšlikumus, saskaņā ar Tehniskajiem norādījumiem “Nenodarīt būtisku kaitējumu” (2021/C58/01), izmantojot izslēgšanas sarakstu un prasību par atb</w:t>
            </w:r>
            <w:r>
              <w:rPr>
                <w:noProof/>
              </w:rPr>
              <w:t>ilstību attiecīgajiem ES un valsts tiesību aktiem vides jomā.</w:t>
            </w:r>
          </w:p>
          <w:p w14:paraId="203569E7" w14:textId="77777777" w:rsidR="00C972CB" w:rsidRDefault="002457F6">
            <w:pPr>
              <w:pStyle w:val="P68B1DB1-Normal11"/>
              <w:spacing w:after="120"/>
              <w:jc w:val="both"/>
              <w:rPr>
                <w:noProof/>
              </w:rPr>
            </w:pPr>
            <w:r>
              <w:rPr>
                <w:noProof/>
              </w:rPr>
              <w:t xml:space="preserve">Priekšlikumus atlasa, pamatojoties uz šādiem kritērijiem: </w:t>
            </w:r>
          </w:p>
          <w:p w14:paraId="42E3EC6C" w14:textId="199264E5" w:rsidR="00C972CB" w:rsidRDefault="002457F6">
            <w:pPr>
              <w:pStyle w:val="P68B1DB1-Normal11"/>
              <w:spacing w:after="120"/>
              <w:jc w:val="both"/>
              <w:rPr>
                <w:noProof/>
              </w:rPr>
            </w:pPr>
            <w:r>
              <w:rPr>
                <w:noProof/>
              </w:rPr>
              <w:t>vadošā loma zinātnē/tehnoloģijā/inovācijā, to inovācijas potenciāls (gan atvērto inovāciju/atvērto datu, gan patentētas attīstības ziņā</w:t>
            </w:r>
            <w:r>
              <w:rPr>
                <w:noProof/>
              </w:rPr>
              <w:t xml:space="preserve">), atbilstība tematiskajām jomām vai jaunām revolucionārām norisēm, to praktiskās un inovācijas plāni, nozares atbalsts kā partneri atvērtai inovācijai un/vai lietotājiem, uzņēmējdarbības attīstības pasākumu spēks, intelektuālā īpašuma ģenerēšana, skaidri </w:t>
            </w:r>
            <w:r>
              <w:rPr>
                <w:noProof/>
              </w:rPr>
              <w:t>noteikumi atvērta un aizsargāta ražošanas un licencēšanas plāna nošķiršanai, spēja attīstīt un uzņemt rūpniecības doktorantūras, saiknes ar uzņēmumu vai cita veida fondi, lai veicinātu jaunu jaunuzņēmumu attīstību.</w:t>
            </w:r>
          </w:p>
          <w:p w14:paraId="3CF1BCAF" w14:textId="77777777" w:rsidR="00C972CB" w:rsidRDefault="002457F6">
            <w:pPr>
              <w:pStyle w:val="P68B1DB1-Normal11"/>
              <w:spacing w:after="120"/>
              <w:jc w:val="both"/>
              <w:rPr>
                <w:noProof/>
              </w:rPr>
            </w:pPr>
            <w:r>
              <w:rPr>
                <w:noProof/>
              </w:rPr>
              <w:t>Atlases procedūrai ir vajadzīgs NBK novēr</w:t>
            </w:r>
            <w:r>
              <w:rPr>
                <w:noProof/>
              </w:rPr>
              <w:t>tējums un attiecīgā gadījumā stratēģiskais vides novērtējums (SVN), ja paredzams, ka projektam būs konsekventa ietekme uz teritoriju.</w:t>
            </w:r>
          </w:p>
        </w:tc>
      </w:tr>
      <w:tr w:rsidR="00C972CB" w14:paraId="7D86B9D5" w14:textId="77777777">
        <w:trPr>
          <w:trHeight w:val="313"/>
        </w:trPr>
        <w:tc>
          <w:tcPr>
            <w:tcW w:w="1135" w:type="dxa"/>
            <w:shd w:val="clear" w:color="auto" w:fill="C6EFCE"/>
            <w:noWrap/>
            <w:vAlign w:val="center"/>
          </w:tcPr>
          <w:p w14:paraId="5785FC09" w14:textId="77777777" w:rsidR="00C972CB" w:rsidRDefault="002457F6">
            <w:pPr>
              <w:pStyle w:val="P68B1DB1-Normal11"/>
              <w:spacing w:after="120"/>
              <w:jc w:val="center"/>
              <w:rPr>
                <w:noProof/>
              </w:rPr>
            </w:pPr>
            <w:r>
              <w:rPr>
                <w:noProof/>
              </w:rPr>
              <w:t>M4C2–18</w:t>
            </w:r>
          </w:p>
        </w:tc>
        <w:tc>
          <w:tcPr>
            <w:tcW w:w="1419" w:type="dxa"/>
            <w:shd w:val="clear" w:color="auto" w:fill="C6EFCE"/>
            <w:noWrap/>
            <w:vAlign w:val="center"/>
          </w:tcPr>
          <w:p w14:paraId="4A22D643" w14:textId="77777777" w:rsidR="00C972CB" w:rsidRDefault="002457F6">
            <w:pPr>
              <w:pStyle w:val="P68B1DB1-Normal11"/>
              <w:spacing w:after="120"/>
              <w:jc w:val="center"/>
              <w:rPr>
                <w:noProof/>
              </w:rPr>
            </w:pPr>
            <w:r>
              <w:rPr>
                <w:noProof/>
              </w:rPr>
              <w:t xml:space="preserve">Invesments1.5: “Ilgtspēju sekmējošu inovācijas ekosistēmu” izveide un stiprināšana, veidojot “pētniecības un </w:t>
            </w:r>
            <w:r>
              <w:rPr>
                <w:noProof/>
              </w:rPr>
              <w:t>izstrādes teritoriālos līderus”</w:t>
            </w:r>
          </w:p>
        </w:tc>
        <w:tc>
          <w:tcPr>
            <w:tcW w:w="1132" w:type="dxa"/>
            <w:shd w:val="clear" w:color="auto" w:fill="C6EFCE"/>
            <w:noWrap/>
            <w:vAlign w:val="center"/>
          </w:tcPr>
          <w:p w14:paraId="35829EE2" w14:textId="77777777"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6F161612" w14:textId="77777777" w:rsidR="00C972CB" w:rsidRDefault="002457F6">
            <w:pPr>
              <w:pStyle w:val="P68B1DB1-Normal11"/>
              <w:spacing w:after="120"/>
              <w:jc w:val="center"/>
              <w:rPr>
                <w:noProof/>
              </w:rPr>
            </w:pPr>
            <w:r>
              <w:rPr>
                <w:noProof/>
              </w:rPr>
              <w:t>Līgumu slēgšanas tiesību piešķiršana projektiem, kas saistīti ar inovācijas ekosistēmām;</w:t>
            </w:r>
          </w:p>
        </w:tc>
        <w:tc>
          <w:tcPr>
            <w:tcW w:w="1275" w:type="dxa"/>
            <w:shd w:val="clear" w:color="auto" w:fill="C6EFCE"/>
            <w:noWrap/>
            <w:vAlign w:val="center"/>
          </w:tcPr>
          <w:p w14:paraId="3D59A5CD" w14:textId="77777777" w:rsidR="00C972CB" w:rsidRDefault="002457F6">
            <w:pPr>
              <w:pStyle w:val="P68B1DB1-Normal11"/>
              <w:spacing w:after="120"/>
              <w:jc w:val="center"/>
              <w:rPr>
                <w:noProof/>
              </w:rPr>
            </w:pPr>
            <w:r>
              <w:rPr>
                <w:noProof/>
              </w:rPr>
              <w:t>Paziņojums par līgumu slēgšanas tiesību piešķiršanu</w:t>
            </w:r>
          </w:p>
        </w:tc>
        <w:tc>
          <w:tcPr>
            <w:tcW w:w="1134" w:type="dxa"/>
            <w:shd w:val="clear" w:color="auto" w:fill="C6EFCE"/>
            <w:noWrap/>
            <w:vAlign w:val="center"/>
          </w:tcPr>
          <w:p w14:paraId="333A8DA7" w14:textId="77777777" w:rsidR="00C972CB" w:rsidRDefault="002457F6">
            <w:pPr>
              <w:pStyle w:val="P68B1DB1-Normal11"/>
              <w:spacing w:after="120"/>
              <w:jc w:val="center"/>
              <w:rPr>
                <w:noProof/>
              </w:rPr>
            </w:pPr>
            <w:r>
              <w:rPr>
                <w:noProof/>
              </w:rPr>
              <w:t>NEPIEMĒRO</w:t>
            </w:r>
          </w:p>
        </w:tc>
        <w:tc>
          <w:tcPr>
            <w:tcW w:w="993" w:type="dxa"/>
            <w:shd w:val="clear" w:color="auto" w:fill="C6EFCE"/>
            <w:noWrap/>
            <w:vAlign w:val="center"/>
          </w:tcPr>
          <w:p w14:paraId="685913E3" w14:textId="77777777" w:rsidR="00C972CB" w:rsidRDefault="002457F6">
            <w:pPr>
              <w:pStyle w:val="P68B1DB1-Normal11"/>
              <w:spacing w:after="120"/>
              <w:jc w:val="center"/>
              <w:rPr>
                <w:noProof/>
              </w:rPr>
            </w:pPr>
            <w:r>
              <w:rPr>
                <w:noProof/>
              </w:rPr>
              <w:t>NEPIEMĒRO</w:t>
            </w:r>
          </w:p>
        </w:tc>
        <w:tc>
          <w:tcPr>
            <w:tcW w:w="1275" w:type="dxa"/>
            <w:shd w:val="clear" w:color="auto" w:fill="C6EFCE"/>
            <w:noWrap/>
            <w:vAlign w:val="center"/>
          </w:tcPr>
          <w:p w14:paraId="3C5CCB99" w14:textId="77777777" w:rsidR="00C972CB" w:rsidRDefault="002457F6">
            <w:pPr>
              <w:pStyle w:val="P68B1DB1-Normal11"/>
              <w:spacing w:after="120"/>
              <w:jc w:val="center"/>
              <w:rPr>
                <w:noProof/>
              </w:rPr>
            </w:pPr>
            <w:r>
              <w:rPr>
                <w:noProof/>
              </w:rPr>
              <w:t>NEPIEMĒRO</w:t>
            </w:r>
          </w:p>
        </w:tc>
        <w:tc>
          <w:tcPr>
            <w:tcW w:w="993" w:type="dxa"/>
            <w:shd w:val="clear" w:color="auto" w:fill="C6EFCE"/>
            <w:noWrap/>
            <w:vAlign w:val="center"/>
          </w:tcPr>
          <w:p w14:paraId="4EFB8825" w14:textId="77777777" w:rsidR="00C972CB" w:rsidRDefault="002457F6">
            <w:pPr>
              <w:pStyle w:val="P68B1DB1-Normal11"/>
              <w:spacing w:after="120"/>
              <w:jc w:val="center"/>
              <w:rPr>
                <w:noProof/>
              </w:rPr>
            </w:pPr>
            <w:r>
              <w:rPr>
                <w:noProof/>
              </w:rPr>
              <w:t>2. CET.</w:t>
            </w:r>
          </w:p>
        </w:tc>
        <w:tc>
          <w:tcPr>
            <w:tcW w:w="708" w:type="dxa"/>
            <w:shd w:val="clear" w:color="auto" w:fill="C6EFCE"/>
            <w:noWrap/>
            <w:vAlign w:val="center"/>
          </w:tcPr>
          <w:p w14:paraId="22A2CBEF" w14:textId="77777777" w:rsidR="00C972CB" w:rsidRDefault="002457F6">
            <w:pPr>
              <w:pStyle w:val="P68B1DB1-Normal11"/>
              <w:spacing w:after="120"/>
              <w:jc w:val="center"/>
              <w:rPr>
                <w:noProof/>
              </w:rPr>
            </w:pPr>
            <w:r>
              <w:rPr>
                <w:noProof/>
              </w:rPr>
              <w:t>2022</w:t>
            </w:r>
          </w:p>
        </w:tc>
        <w:tc>
          <w:tcPr>
            <w:tcW w:w="3686" w:type="dxa"/>
            <w:shd w:val="clear" w:color="auto" w:fill="C6EFCE"/>
            <w:noWrap/>
            <w:vAlign w:val="center"/>
          </w:tcPr>
          <w:p w14:paraId="5A765728" w14:textId="3C2C8C0C" w:rsidR="00C972CB" w:rsidRDefault="002457F6">
            <w:pPr>
              <w:pStyle w:val="P68B1DB1-Normal11"/>
              <w:spacing w:after="120"/>
              <w:jc w:val="both"/>
              <w:rPr>
                <w:noProof/>
              </w:rPr>
            </w:pPr>
            <w:r>
              <w:rPr>
                <w:noProof/>
              </w:rPr>
              <w:t xml:space="preserve">Paziņojums par līgumu </w:t>
            </w:r>
            <w:r>
              <w:rPr>
                <w:noProof/>
              </w:rPr>
              <w:t xml:space="preserve">slēgšanas tiesību piešķiršanu projektiem, kas atlasīti konkursa uzaicinājumos iesniegt priekšlikumus, saskaņā ar Tehniskajiem norādījumiem “Nenodarīt būtisku kaitējumu” (2021/C58/01), izmantojot izslēgšanas sarakstu un prasību par atbilstību attiecīgajiem </w:t>
            </w:r>
            <w:r>
              <w:rPr>
                <w:noProof/>
              </w:rPr>
              <w:t>ES un valsts tiesību aktiem vides jomā.</w:t>
            </w:r>
          </w:p>
          <w:p w14:paraId="08FA7060" w14:textId="77777777" w:rsidR="00C972CB" w:rsidRDefault="002457F6">
            <w:pPr>
              <w:pStyle w:val="P68B1DB1-Normal11"/>
              <w:spacing w:after="120"/>
              <w:jc w:val="both"/>
              <w:rPr>
                <w:noProof/>
              </w:rPr>
            </w:pPr>
            <w:r>
              <w:rPr>
                <w:noProof/>
              </w:rPr>
              <w:t>Atlases procedūrai ir vajadzīgs NBK novērtējums un attiecīgā gadījumā stratēģiskais vides novērtējums (SVN), ja paredzams, ka projektam būs konsekventa ietekme uz teritoriju.</w:t>
            </w:r>
          </w:p>
          <w:p w14:paraId="0AB5DA5C" w14:textId="77777777" w:rsidR="00C972CB" w:rsidRDefault="002457F6">
            <w:pPr>
              <w:pStyle w:val="P68B1DB1-Normal11"/>
              <w:spacing w:after="120"/>
              <w:jc w:val="both"/>
              <w:rPr>
                <w:noProof/>
              </w:rPr>
            </w:pPr>
            <w:r>
              <w:rPr>
                <w:noProof/>
              </w:rPr>
              <w:t>Nacionālos centrus (NC) izveido pēc konku</w:t>
            </w:r>
            <w:r>
              <w:rPr>
                <w:noProof/>
              </w:rPr>
              <w:t>rsa uzaicinājuma, apvienojot esošās pasaules vadošās laboratorijas, kas jau darbojas universitātēs, un publiskos un privātos pētniecības centrus, kā arī izveidojot jaunu pielāgotu infrastruktūru.</w:t>
            </w:r>
          </w:p>
        </w:tc>
      </w:tr>
      <w:tr w:rsidR="00C972CB" w14:paraId="4EC166B2" w14:textId="77777777">
        <w:trPr>
          <w:trHeight w:val="313"/>
        </w:trPr>
        <w:tc>
          <w:tcPr>
            <w:tcW w:w="1135" w:type="dxa"/>
            <w:shd w:val="clear" w:color="auto" w:fill="C6EFCE"/>
            <w:noWrap/>
            <w:vAlign w:val="center"/>
          </w:tcPr>
          <w:p w14:paraId="34942C59" w14:textId="77777777" w:rsidR="00C972CB" w:rsidRDefault="002457F6">
            <w:pPr>
              <w:pStyle w:val="P68B1DB1-Normal11"/>
              <w:jc w:val="center"/>
              <w:rPr>
                <w:noProof/>
              </w:rPr>
            </w:pPr>
            <w:r>
              <w:rPr>
                <w:noProof/>
              </w:rPr>
              <w:t>M4C2–18 bis</w:t>
            </w:r>
          </w:p>
        </w:tc>
        <w:tc>
          <w:tcPr>
            <w:tcW w:w="1419" w:type="dxa"/>
            <w:shd w:val="clear" w:color="auto" w:fill="C6EFCE"/>
            <w:noWrap/>
            <w:vAlign w:val="center"/>
          </w:tcPr>
          <w:p w14:paraId="3376117F" w14:textId="77777777" w:rsidR="00C972CB" w:rsidRDefault="002457F6">
            <w:pPr>
              <w:pStyle w:val="P68B1DB1-Normal11"/>
              <w:jc w:val="center"/>
              <w:rPr>
                <w:noProof/>
              </w:rPr>
            </w:pPr>
            <w:r>
              <w:rPr>
                <w:noProof/>
              </w:rPr>
              <w:t xml:space="preserve">Invesments1.5: “Ilgtspēju sekmējošu inovācijas </w:t>
            </w:r>
            <w:r>
              <w:rPr>
                <w:noProof/>
              </w:rPr>
              <w:t>ekosistēmu” izveide un stiprināšana, veidojot “pētniecības un izstrādes teritoriālos līderus”</w:t>
            </w:r>
          </w:p>
        </w:tc>
        <w:tc>
          <w:tcPr>
            <w:tcW w:w="1132" w:type="dxa"/>
            <w:shd w:val="clear" w:color="auto" w:fill="C6EFCE"/>
            <w:noWrap/>
            <w:vAlign w:val="center"/>
          </w:tcPr>
          <w:p w14:paraId="538A13B2" w14:textId="77777777" w:rsidR="00C972CB" w:rsidRDefault="002457F6">
            <w:pPr>
              <w:pStyle w:val="P68B1DB1-Normal11"/>
              <w:jc w:val="center"/>
              <w:rPr>
                <w:noProof/>
              </w:rPr>
            </w:pPr>
            <w:r>
              <w:rPr>
                <w:noProof/>
              </w:rPr>
              <w:t>Mērķa</w:t>
            </w:r>
          </w:p>
        </w:tc>
        <w:tc>
          <w:tcPr>
            <w:tcW w:w="1418" w:type="dxa"/>
            <w:shd w:val="clear" w:color="auto" w:fill="C6EFCE"/>
            <w:noWrap/>
            <w:vAlign w:val="center"/>
          </w:tcPr>
          <w:p w14:paraId="73227658" w14:textId="77777777" w:rsidR="00C972CB" w:rsidRDefault="002457F6">
            <w:pPr>
              <w:pStyle w:val="P68B1DB1-Normal11"/>
              <w:jc w:val="center"/>
              <w:rPr>
                <w:noProof/>
              </w:rPr>
            </w:pPr>
            <w:r>
              <w:rPr>
                <w:noProof/>
              </w:rPr>
              <w:t>Inovācijas ekosistēmu īstenotās darbības</w:t>
            </w:r>
          </w:p>
        </w:tc>
        <w:tc>
          <w:tcPr>
            <w:tcW w:w="1275" w:type="dxa"/>
            <w:shd w:val="clear" w:color="auto" w:fill="C6EFCE"/>
            <w:noWrap/>
            <w:vAlign w:val="center"/>
          </w:tcPr>
          <w:p w14:paraId="0C22F047"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33689342" w14:textId="77777777" w:rsidR="00C972CB" w:rsidRDefault="002457F6">
            <w:pPr>
              <w:pStyle w:val="P68B1DB1-Normal11"/>
              <w:jc w:val="center"/>
              <w:rPr>
                <w:noProof/>
              </w:rPr>
            </w:pPr>
            <w:r>
              <w:rPr>
                <w:noProof/>
              </w:rPr>
              <w:t>Skaits</w:t>
            </w:r>
          </w:p>
        </w:tc>
        <w:tc>
          <w:tcPr>
            <w:tcW w:w="993" w:type="dxa"/>
            <w:shd w:val="clear" w:color="auto" w:fill="C6EFCE"/>
            <w:noWrap/>
            <w:vAlign w:val="center"/>
          </w:tcPr>
          <w:p w14:paraId="4DE61F0C" w14:textId="77777777" w:rsidR="00C972CB" w:rsidRDefault="002457F6">
            <w:pPr>
              <w:pStyle w:val="P68B1DB1-Normal11"/>
              <w:jc w:val="center"/>
              <w:rPr>
                <w:noProof/>
              </w:rPr>
            </w:pPr>
            <w:r>
              <w:rPr>
                <w:noProof/>
              </w:rPr>
              <w:t>0</w:t>
            </w:r>
          </w:p>
        </w:tc>
        <w:tc>
          <w:tcPr>
            <w:tcW w:w="1275" w:type="dxa"/>
            <w:shd w:val="clear" w:color="auto" w:fill="C6EFCE"/>
            <w:noWrap/>
            <w:vAlign w:val="center"/>
          </w:tcPr>
          <w:p w14:paraId="1041E18F" w14:textId="77777777" w:rsidR="00C972CB" w:rsidRDefault="002457F6">
            <w:pPr>
              <w:pStyle w:val="P68B1DB1-Normal11"/>
              <w:jc w:val="center"/>
              <w:rPr>
                <w:noProof/>
              </w:rPr>
            </w:pPr>
            <w:r>
              <w:rPr>
                <w:noProof/>
              </w:rPr>
              <w:t>10</w:t>
            </w:r>
          </w:p>
        </w:tc>
        <w:tc>
          <w:tcPr>
            <w:tcW w:w="993" w:type="dxa"/>
            <w:shd w:val="clear" w:color="auto" w:fill="C6EFCE"/>
            <w:noWrap/>
            <w:vAlign w:val="center"/>
          </w:tcPr>
          <w:p w14:paraId="4A76E864" w14:textId="77777777" w:rsidR="00C972CB" w:rsidRDefault="002457F6">
            <w:pPr>
              <w:pStyle w:val="P68B1DB1-Normal11"/>
              <w:jc w:val="center"/>
              <w:rPr>
                <w:noProof/>
              </w:rPr>
            </w:pPr>
            <w:r>
              <w:rPr>
                <w:noProof/>
              </w:rPr>
              <w:t>2. CET.</w:t>
            </w:r>
          </w:p>
        </w:tc>
        <w:tc>
          <w:tcPr>
            <w:tcW w:w="708" w:type="dxa"/>
            <w:shd w:val="clear" w:color="auto" w:fill="C6EFCE"/>
            <w:noWrap/>
            <w:vAlign w:val="center"/>
          </w:tcPr>
          <w:p w14:paraId="4EBE1C12" w14:textId="77777777" w:rsidR="00C972CB" w:rsidRDefault="002457F6">
            <w:pPr>
              <w:pStyle w:val="P68B1DB1-Normal11"/>
              <w:jc w:val="center"/>
              <w:rPr>
                <w:noProof/>
              </w:rPr>
            </w:pPr>
            <w:r>
              <w:rPr>
                <w:noProof/>
              </w:rPr>
              <w:t>2026</w:t>
            </w:r>
          </w:p>
        </w:tc>
        <w:tc>
          <w:tcPr>
            <w:tcW w:w="3686" w:type="dxa"/>
            <w:shd w:val="clear" w:color="auto" w:fill="C6EFCE"/>
            <w:noWrap/>
            <w:vAlign w:val="center"/>
          </w:tcPr>
          <w:p w14:paraId="6E47ACE9" w14:textId="2165485E" w:rsidR="00C972CB" w:rsidRDefault="002457F6">
            <w:pPr>
              <w:pStyle w:val="P68B1DB1-Normal11"/>
              <w:jc w:val="both"/>
              <w:rPr>
                <w:noProof/>
              </w:rPr>
            </w:pPr>
            <w:r>
              <w:rPr>
                <w:noProof/>
              </w:rPr>
              <w:t xml:space="preserve">Vismaz 10 inovācijas ekosistēmas ir pabeigušas savas darbības, kā noteikts </w:t>
            </w:r>
            <w:r>
              <w:rPr>
                <w:noProof/>
              </w:rPr>
              <w:t>attiecīgajā uzaicinājumā iesniegt projektus.</w:t>
            </w:r>
          </w:p>
        </w:tc>
      </w:tr>
      <w:tr w:rsidR="00C972CB" w14:paraId="7BE47777" w14:textId="77777777">
        <w:trPr>
          <w:trHeight w:val="313"/>
        </w:trPr>
        <w:tc>
          <w:tcPr>
            <w:tcW w:w="1135" w:type="dxa"/>
            <w:shd w:val="clear" w:color="auto" w:fill="C6EFCE"/>
            <w:noWrap/>
            <w:vAlign w:val="center"/>
          </w:tcPr>
          <w:p w14:paraId="6C8DA4D6" w14:textId="77777777" w:rsidR="00C972CB" w:rsidRDefault="002457F6">
            <w:pPr>
              <w:pStyle w:val="P68B1DB1-Normal11"/>
              <w:jc w:val="center"/>
              <w:rPr>
                <w:noProof/>
              </w:rPr>
            </w:pPr>
            <w:r>
              <w:rPr>
                <w:noProof/>
              </w:rPr>
              <w:t>M4C2–19</w:t>
            </w:r>
          </w:p>
        </w:tc>
        <w:tc>
          <w:tcPr>
            <w:tcW w:w="1419" w:type="dxa"/>
            <w:shd w:val="clear" w:color="auto" w:fill="C6EFCE"/>
            <w:noWrap/>
            <w:vAlign w:val="center"/>
          </w:tcPr>
          <w:p w14:paraId="10F98E58" w14:textId="77777777" w:rsidR="00C972CB" w:rsidRDefault="002457F6">
            <w:pPr>
              <w:pStyle w:val="P68B1DB1-Normal11"/>
              <w:jc w:val="center"/>
              <w:rPr>
                <w:noProof/>
              </w:rPr>
            </w:pPr>
            <w:r>
              <w:rPr>
                <w:noProof/>
              </w:rPr>
              <w:t>Ieguldījums 1.4.: Stiprināt pētniecības struktūras un atbalstīt “valstu pētniecības un izstrādes līderu” izveidi attiecībā uz dažām svarīgām pamattehnoloģijām</w:t>
            </w:r>
          </w:p>
        </w:tc>
        <w:tc>
          <w:tcPr>
            <w:tcW w:w="1132" w:type="dxa"/>
            <w:shd w:val="clear" w:color="auto" w:fill="C6EFCE"/>
            <w:noWrap/>
            <w:vAlign w:val="center"/>
          </w:tcPr>
          <w:p w14:paraId="50D68F53" w14:textId="77777777" w:rsidR="00C972CB" w:rsidRDefault="002457F6">
            <w:pPr>
              <w:pStyle w:val="P68B1DB1-Normal11"/>
              <w:jc w:val="center"/>
              <w:rPr>
                <w:noProof/>
              </w:rPr>
            </w:pPr>
            <w:r>
              <w:rPr>
                <w:noProof/>
              </w:rPr>
              <w:t>Starpposma mērķis</w:t>
            </w:r>
          </w:p>
        </w:tc>
        <w:tc>
          <w:tcPr>
            <w:tcW w:w="1418" w:type="dxa"/>
            <w:shd w:val="clear" w:color="auto" w:fill="C6EFCE"/>
            <w:noWrap/>
            <w:vAlign w:val="center"/>
          </w:tcPr>
          <w:p w14:paraId="52453652" w14:textId="77777777" w:rsidR="00C972CB" w:rsidRDefault="002457F6">
            <w:pPr>
              <w:pStyle w:val="P68B1DB1-Normal11"/>
              <w:jc w:val="center"/>
              <w:rPr>
                <w:noProof/>
              </w:rPr>
            </w:pPr>
            <w:r>
              <w:rPr>
                <w:noProof/>
              </w:rPr>
              <w:t xml:space="preserve">Līgumu slēgšanas tiesību </w:t>
            </w:r>
            <w:r>
              <w:rPr>
                <w:noProof/>
              </w:rPr>
              <w:t>piešķiršana projektiem, kas saistīti ar valstu vadošajiem pētniecības un izstrādes līderiem svarīgu pamattehnoloģiju jomā</w:t>
            </w:r>
          </w:p>
        </w:tc>
        <w:tc>
          <w:tcPr>
            <w:tcW w:w="1275" w:type="dxa"/>
            <w:shd w:val="clear" w:color="auto" w:fill="C6EFCE"/>
            <w:noWrap/>
            <w:vAlign w:val="center"/>
          </w:tcPr>
          <w:p w14:paraId="4441D975" w14:textId="77777777" w:rsidR="00C972CB" w:rsidRDefault="002457F6">
            <w:pPr>
              <w:pStyle w:val="P68B1DB1-Normal11"/>
              <w:jc w:val="center"/>
              <w:rPr>
                <w:noProof/>
              </w:rPr>
            </w:pPr>
            <w:r>
              <w:rPr>
                <w:noProof/>
              </w:rPr>
              <w:t>Paziņojums par līgumu slēgšanas tiesību piešķiršanu</w:t>
            </w:r>
          </w:p>
        </w:tc>
        <w:tc>
          <w:tcPr>
            <w:tcW w:w="1134" w:type="dxa"/>
            <w:shd w:val="clear" w:color="auto" w:fill="C6EFCE"/>
            <w:noWrap/>
            <w:vAlign w:val="center"/>
          </w:tcPr>
          <w:p w14:paraId="2D402609" w14:textId="77777777" w:rsidR="00C972CB" w:rsidRDefault="002457F6">
            <w:pPr>
              <w:pStyle w:val="P68B1DB1-Normal11"/>
              <w:jc w:val="center"/>
              <w:rPr>
                <w:noProof/>
              </w:rPr>
            </w:pPr>
            <w:r>
              <w:rPr>
                <w:noProof/>
              </w:rPr>
              <w:t>NEPIEMĒRO</w:t>
            </w:r>
          </w:p>
        </w:tc>
        <w:tc>
          <w:tcPr>
            <w:tcW w:w="993" w:type="dxa"/>
            <w:shd w:val="clear" w:color="auto" w:fill="C6EFCE"/>
            <w:noWrap/>
            <w:vAlign w:val="center"/>
          </w:tcPr>
          <w:p w14:paraId="10FFFA85" w14:textId="77777777" w:rsidR="00C972CB" w:rsidRDefault="002457F6">
            <w:pPr>
              <w:pStyle w:val="P68B1DB1-Normal11"/>
              <w:jc w:val="center"/>
              <w:rPr>
                <w:noProof/>
              </w:rPr>
            </w:pPr>
            <w:r>
              <w:rPr>
                <w:noProof/>
              </w:rPr>
              <w:t>NEPIEMĒRO</w:t>
            </w:r>
          </w:p>
        </w:tc>
        <w:tc>
          <w:tcPr>
            <w:tcW w:w="1275" w:type="dxa"/>
            <w:shd w:val="clear" w:color="auto" w:fill="C6EFCE"/>
            <w:noWrap/>
            <w:vAlign w:val="center"/>
          </w:tcPr>
          <w:p w14:paraId="473A6C39" w14:textId="77777777" w:rsidR="00C972CB" w:rsidRDefault="002457F6">
            <w:pPr>
              <w:pStyle w:val="P68B1DB1-Normal11"/>
              <w:jc w:val="center"/>
              <w:rPr>
                <w:noProof/>
              </w:rPr>
            </w:pPr>
            <w:r>
              <w:rPr>
                <w:noProof/>
              </w:rPr>
              <w:t>N</w:t>
            </w:r>
          </w:p>
        </w:tc>
        <w:tc>
          <w:tcPr>
            <w:tcW w:w="993" w:type="dxa"/>
            <w:shd w:val="clear" w:color="auto" w:fill="C6EFCE"/>
            <w:noWrap/>
            <w:vAlign w:val="center"/>
          </w:tcPr>
          <w:p w14:paraId="2756B17B" w14:textId="77777777" w:rsidR="00C972CB" w:rsidRDefault="002457F6">
            <w:pPr>
              <w:pStyle w:val="P68B1DB1-Normal11"/>
              <w:jc w:val="center"/>
              <w:rPr>
                <w:noProof/>
              </w:rPr>
            </w:pPr>
            <w:r>
              <w:rPr>
                <w:noProof/>
              </w:rPr>
              <w:t>2. CET.</w:t>
            </w:r>
          </w:p>
        </w:tc>
        <w:tc>
          <w:tcPr>
            <w:tcW w:w="708" w:type="dxa"/>
            <w:shd w:val="clear" w:color="auto" w:fill="C6EFCE"/>
            <w:noWrap/>
            <w:vAlign w:val="center"/>
          </w:tcPr>
          <w:p w14:paraId="43E38F4E" w14:textId="77777777" w:rsidR="00C972CB" w:rsidRDefault="002457F6">
            <w:pPr>
              <w:pStyle w:val="P68B1DB1-Normal11"/>
              <w:jc w:val="center"/>
              <w:rPr>
                <w:noProof/>
              </w:rPr>
            </w:pPr>
            <w:r>
              <w:rPr>
                <w:noProof/>
              </w:rPr>
              <w:t>2022</w:t>
            </w:r>
          </w:p>
        </w:tc>
        <w:tc>
          <w:tcPr>
            <w:tcW w:w="3686" w:type="dxa"/>
            <w:shd w:val="clear" w:color="auto" w:fill="C6EFCE"/>
            <w:noWrap/>
            <w:vAlign w:val="center"/>
          </w:tcPr>
          <w:p w14:paraId="0BFD7217" w14:textId="77777777" w:rsidR="00C972CB" w:rsidRDefault="002457F6">
            <w:pPr>
              <w:pStyle w:val="P68B1DB1-Normal11"/>
              <w:spacing w:after="120"/>
              <w:jc w:val="both"/>
              <w:rPr>
                <w:noProof/>
              </w:rPr>
            </w:pPr>
            <w:r>
              <w:rPr>
                <w:noProof/>
              </w:rPr>
              <w:t xml:space="preserve">Paziņojums par līgumu slēgšanas tiesību </w:t>
            </w:r>
            <w:r>
              <w:rPr>
                <w:noProof/>
              </w:rPr>
              <w:t>piešķiršanu projektiem, kas atlasīti konkursa uzaicinājumos iesniegt priekšlikumus, saskaņā ar Tehniskajiem norādījumiem “Nenodarīt būtisku kaitējumu” (2021/C58/01), izmantojot izslēgšanas sarakstu un prasību par atbilstību attiecīgajiem ES un valsts tiesī</w:t>
            </w:r>
            <w:r>
              <w:rPr>
                <w:noProof/>
              </w:rPr>
              <w:t>bu aktiem vides jomā.</w:t>
            </w:r>
          </w:p>
          <w:p w14:paraId="150E8C2A" w14:textId="77777777" w:rsidR="00C972CB" w:rsidRDefault="002457F6">
            <w:pPr>
              <w:pStyle w:val="P68B1DB1-Normal11"/>
              <w:spacing w:after="120"/>
              <w:jc w:val="both"/>
              <w:rPr>
                <w:noProof/>
              </w:rPr>
            </w:pPr>
            <w:r>
              <w:rPr>
                <w:noProof/>
              </w:rPr>
              <w:t>Projektus 30 % resursu atlasa kā intervences pasākumus “Pētniecības un inovācijas procesi, tehnoloģiju nodošana un sadarbība starp uzņēmumiem, kas koncentrējas uz ekonomiku ar zemu oglekļa dioksīda emisiju līmeni, noturību un pielāgoš</w:t>
            </w:r>
            <w:r>
              <w:rPr>
                <w:noProof/>
              </w:rPr>
              <w:t>anos klimata pārmaiņām” (IF022) un 15 % resursu kā intervences “Pētniecības un inovācijas procesi, tehnoloģiju nodošana un sadarbība starp uzņēmumiem, kas koncentrējas uz aprites ekonomiku” (IF023).</w:t>
            </w:r>
          </w:p>
          <w:p w14:paraId="6A23D663" w14:textId="77777777" w:rsidR="00C972CB" w:rsidRDefault="002457F6">
            <w:pPr>
              <w:pStyle w:val="P68B1DB1-Normal11"/>
              <w:spacing w:after="120"/>
              <w:jc w:val="both"/>
              <w:rPr>
                <w:noProof/>
              </w:rPr>
            </w:pPr>
            <w:r>
              <w:rPr>
                <w:noProof/>
              </w:rPr>
              <w:t>Projektus novērtē, ņemot vērā to īstenojamību, ilgtspēju,</w:t>
            </w:r>
            <w:r>
              <w:rPr>
                <w:noProof/>
              </w:rPr>
              <w:t xml:space="preserve"> kopdibināšanu no citiem avotiem (piemēram, reģionālajiem fondiem), ražošanas nozares iesaisti, partneru kvalitāti un ietekmi uz sociālo un vides ilgtspēju. Uzaicinājums projektus finansēt kā inovācijas ekosistēmas. Atlases procedūrai ir vajadzīgs NBK novē</w:t>
            </w:r>
            <w:r>
              <w:rPr>
                <w:noProof/>
              </w:rPr>
              <w:t>rtējums un attiecīgā gadījumā stratēģiskais vides novērtējums (SVN), ja paredzams, ka projektam būs konsekventa ietekme uz teritoriju.</w:t>
            </w:r>
          </w:p>
        </w:tc>
      </w:tr>
      <w:tr w:rsidR="00C972CB" w14:paraId="222EE43A" w14:textId="77777777">
        <w:trPr>
          <w:trHeight w:val="313"/>
        </w:trPr>
        <w:tc>
          <w:tcPr>
            <w:tcW w:w="1135" w:type="dxa"/>
            <w:shd w:val="clear" w:color="auto" w:fill="C6EFCE"/>
            <w:noWrap/>
            <w:vAlign w:val="center"/>
            <w:hideMark/>
          </w:tcPr>
          <w:p w14:paraId="06C818D4" w14:textId="77777777" w:rsidR="00C972CB" w:rsidRDefault="002457F6">
            <w:pPr>
              <w:pStyle w:val="P68B1DB1-Normal11"/>
              <w:jc w:val="center"/>
              <w:rPr>
                <w:noProof/>
              </w:rPr>
            </w:pPr>
            <w:r>
              <w:rPr>
                <w:noProof/>
              </w:rPr>
              <w:t>M4C2–20</w:t>
            </w:r>
          </w:p>
        </w:tc>
        <w:tc>
          <w:tcPr>
            <w:tcW w:w="1419" w:type="dxa"/>
            <w:shd w:val="clear" w:color="auto" w:fill="C6EFCE"/>
            <w:noWrap/>
            <w:vAlign w:val="center"/>
            <w:hideMark/>
          </w:tcPr>
          <w:p w14:paraId="456D3596" w14:textId="77777777" w:rsidR="00C972CB" w:rsidRDefault="002457F6">
            <w:pPr>
              <w:pStyle w:val="P68B1DB1-Normal11"/>
              <w:jc w:val="center"/>
              <w:rPr>
                <w:noProof/>
              </w:rPr>
            </w:pPr>
            <w:r>
              <w:rPr>
                <w:noProof/>
              </w:rPr>
              <w:t>Ieguldījums 3.2.: Dibināšanas finansēšana</w:t>
            </w:r>
          </w:p>
        </w:tc>
        <w:tc>
          <w:tcPr>
            <w:tcW w:w="1132" w:type="dxa"/>
            <w:shd w:val="clear" w:color="auto" w:fill="C6EFCE"/>
            <w:noWrap/>
            <w:vAlign w:val="center"/>
            <w:hideMark/>
          </w:tcPr>
          <w:p w14:paraId="09AD9AA8" w14:textId="77777777" w:rsidR="00C972CB" w:rsidRDefault="002457F6">
            <w:pPr>
              <w:pStyle w:val="P68B1DB1-Normal11"/>
              <w:jc w:val="center"/>
              <w:rPr>
                <w:noProof/>
              </w:rPr>
            </w:pPr>
            <w:r>
              <w:rPr>
                <w:noProof/>
              </w:rPr>
              <w:t>Starpposma mērķis</w:t>
            </w:r>
          </w:p>
        </w:tc>
        <w:tc>
          <w:tcPr>
            <w:tcW w:w="1418" w:type="dxa"/>
            <w:shd w:val="clear" w:color="auto" w:fill="C6EFCE"/>
            <w:noWrap/>
            <w:vAlign w:val="center"/>
            <w:hideMark/>
          </w:tcPr>
          <w:p w14:paraId="6412C65E" w14:textId="77777777" w:rsidR="00C972CB" w:rsidRDefault="002457F6">
            <w:pPr>
              <w:pStyle w:val="P68B1DB1-Normal11"/>
              <w:jc w:val="center"/>
              <w:rPr>
                <w:noProof/>
              </w:rPr>
            </w:pPr>
            <w:r>
              <w:rPr>
                <w:noProof/>
              </w:rPr>
              <w:t xml:space="preserve">Parakstīts nolīgums starp IT valdību un īstenošanas </w:t>
            </w:r>
            <w:r>
              <w:rPr>
                <w:noProof/>
              </w:rPr>
              <w:t>partneri Cassa Depositi e Prestiti (CDP), ar ko izveido finanšu instrumentu</w:t>
            </w:r>
          </w:p>
        </w:tc>
        <w:tc>
          <w:tcPr>
            <w:tcW w:w="1275" w:type="dxa"/>
            <w:shd w:val="clear" w:color="auto" w:fill="C6EFCE"/>
            <w:noWrap/>
            <w:vAlign w:val="center"/>
            <w:hideMark/>
          </w:tcPr>
          <w:p w14:paraId="3F50EBD9" w14:textId="77777777" w:rsidR="00C972CB" w:rsidRDefault="002457F6">
            <w:pPr>
              <w:pStyle w:val="P68B1DB1-Normal11"/>
              <w:jc w:val="center"/>
              <w:rPr>
                <w:noProof/>
              </w:rPr>
            </w:pPr>
            <w:r>
              <w:rPr>
                <w:noProof/>
              </w:rPr>
              <w:t>Nolīgumu paraksta Itālijas valdība un Cassa Depositi e Prestiti</w:t>
            </w:r>
          </w:p>
        </w:tc>
        <w:tc>
          <w:tcPr>
            <w:tcW w:w="1134" w:type="dxa"/>
            <w:shd w:val="clear" w:color="auto" w:fill="C6EFCE"/>
            <w:noWrap/>
            <w:vAlign w:val="center"/>
            <w:hideMark/>
          </w:tcPr>
          <w:p w14:paraId="1E74CCA9"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01DC274C" w14:textId="77777777" w:rsidR="00C972CB" w:rsidRDefault="002457F6">
            <w:pPr>
              <w:pStyle w:val="P68B1DB1-Normal11"/>
              <w:jc w:val="center"/>
              <w:rPr>
                <w:noProof/>
              </w:rPr>
            </w:pPr>
            <w:r>
              <w:rPr>
                <w:noProof/>
              </w:rPr>
              <w:t>NEPIEMĒRO</w:t>
            </w:r>
          </w:p>
        </w:tc>
        <w:tc>
          <w:tcPr>
            <w:tcW w:w="1275" w:type="dxa"/>
            <w:shd w:val="clear" w:color="auto" w:fill="C6EFCE"/>
            <w:noWrap/>
            <w:vAlign w:val="center"/>
            <w:hideMark/>
          </w:tcPr>
          <w:p w14:paraId="75DC2F0D" w14:textId="77777777" w:rsidR="00C972CB" w:rsidRDefault="002457F6">
            <w:pPr>
              <w:pStyle w:val="P68B1DB1-Normal11"/>
              <w:jc w:val="center"/>
              <w:rPr>
                <w:noProof/>
              </w:rPr>
            </w:pPr>
            <w:r>
              <w:rPr>
                <w:noProof/>
              </w:rPr>
              <w:t>NEPIEMĒRO</w:t>
            </w:r>
          </w:p>
        </w:tc>
        <w:tc>
          <w:tcPr>
            <w:tcW w:w="993" w:type="dxa"/>
            <w:shd w:val="clear" w:color="auto" w:fill="C6EFCE"/>
            <w:noWrap/>
            <w:vAlign w:val="center"/>
            <w:hideMark/>
          </w:tcPr>
          <w:p w14:paraId="1B05F885"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4F1BB4FF" w14:textId="77777777" w:rsidR="00C972CB" w:rsidRDefault="002457F6">
            <w:pPr>
              <w:pStyle w:val="P68B1DB1-Normal11"/>
              <w:jc w:val="center"/>
              <w:rPr>
                <w:noProof/>
              </w:rPr>
            </w:pPr>
            <w:r>
              <w:rPr>
                <w:noProof/>
              </w:rPr>
              <w:t>2022</w:t>
            </w:r>
          </w:p>
        </w:tc>
        <w:tc>
          <w:tcPr>
            <w:tcW w:w="3686" w:type="dxa"/>
            <w:shd w:val="clear" w:color="auto" w:fill="C6EFCE"/>
            <w:noWrap/>
            <w:vAlign w:val="center"/>
            <w:hideMark/>
          </w:tcPr>
          <w:p w14:paraId="74FB7AB1" w14:textId="77777777" w:rsidR="00C972CB" w:rsidRDefault="002457F6">
            <w:pPr>
              <w:pStyle w:val="P68B1DB1-Normal11"/>
              <w:jc w:val="both"/>
              <w:rPr>
                <w:noProof/>
              </w:rPr>
            </w:pPr>
            <w:r>
              <w:rPr>
                <w:noProof/>
              </w:rPr>
              <w:t xml:space="preserve">Finanšu instrumenta ieguldījumu politikā/stratēģijā iekļaujami šādi </w:t>
            </w:r>
            <w:r>
              <w:rPr>
                <w:noProof/>
              </w:rPr>
              <w:t>elementi:</w:t>
            </w:r>
          </w:p>
          <w:p w14:paraId="6E9ED341" w14:textId="77777777" w:rsidR="00C972CB" w:rsidRDefault="002457F6">
            <w:pPr>
              <w:pStyle w:val="P68B1DB1-Normal10"/>
              <w:ind w:left="176" w:hanging="176"/>
              <w:jc w:val="both"/>
              <w:rPr>
                <w:noProof/>
                <w:color w:val="006100"/>
                <w:sz w:val="20"/>
              </w:rPr>
            </w:pPr>
            <w:r>
              <w:rPr>
                <w:noProof/>
                <w:color w:val="006100"/>
                <w:sz w:val="20"/>
              </w:rPr>
              <w:t>-</w:t>
            </w:r>
            <w:r>
              <w:rPr>
                <w:noProof/>
              </w:rPr>
              <w:tab/>
            </w:r>
            <w:r>
              <w:rPr>
                <w:noProof/>
                <w:color w:val="006100"/>
                <w:sz w:val="20"/>
              </w:rPr>
              <w:t>Ieguldījumu mērķi (fonda lielums, darbību skaits, atbalsta summas, kas laika gaitā tiks diferencētas pa saņēmējiem, piemēram, MVU un vidējas kapitalizācijas uzņēmumiem/lieliem uzņēmumiem)</w:t>
            </w:r>
          </w:p>
          <w:p w14:paraId="5E1B67A9" w14:textId="77777777" w:rsidR="00C972CB" w:rsidRDefault="002457F6">
            <w:pPr>
              <w:pStyle w:val="P68B1DB1-Normal10"/>
              <w:ind w:left="176" w:hanging="176"/>
              <w:jc w:val="both"/>
              <w:rPr>
                <w:noProof/>
                <w:color w:val="006100"/>
                <w:sz w:val="20"/>
              </w:rPr>
            </w:pPr>
            <w:r>
              <w:rPr>
                <w:noProof/>
                <w:color w:val="006100"/>
                <w:sz w:val="20"/>
              </w:rPr>
              <w:t>-</w:t>
            </w:r>
            <w:r>
              <w:rPr>
                <w:noProof/>
              </w:rPr>
              <w:tab/>
            </w:r>
            <w:r>
              <w:rPr>
                <w:noProof/>
                <w:color w:val="006100"/>
                <w:sz w:val="20"/>
              </w:rPr>
              <w:t>Darbības joma un atbalsttiesīgie saņēmēji</w:t>
            </w:r>
          </w:p>
          <w:p w14:paraId="5C64B2C2" w14:textId="77777777" w:rsidR="00C972CB" w:rsidRDefault="002457F6">
            <w:pPr>
              <w:pStyle w:val="P68B1DB1-Normal10"/>
              <w:ind w:left="176" w:hanging="176"/>
              <w:jc w:val="both"/>
              <w:rPr>
                <w:noProof/>
                <w:color w:val="006100"/>
                <w:sz w:val="20"/>
              </w:rPr>
            </w:pPr>
            <w:r>
              <w:rPr>
                <w:noProof/>
                <w:color w:val="006100"/>
                <w:sz w:val="20"/>
              </w:rPr>
              <w:t>-</w:t>
            </w:r>
            <w:r>
              <w:rPr>
                <w:noProof/>
              </w:rPr>
              <w:tab/>
            </w:r>
            <w:r>
              <w:rPr>
                <w:noProof/>
                <w:color w:val="006100"/>
                <w:sz w:val="20"/>
              </w:rPr>
              <w:t>Atbilstīgi</w:t>
            </w:r>
            <w:r>
              <w:rPr>
                <w:noProof/>
                <w:color w:val="006100"/>
                <w:sz w:val="20"/>
              </w:rPr>
              <w:t>e finanšu starpnieki un atlases process</w:t>
            </w:r>
          </w:p>
          <w:p w14:paraId="1E2A99B1" w14:textId="77777777" w:rsidR="00C972CB" w:rsidRDefault="002457F6">
            <w:pPr>
              <w:pStyle w:val="P68B1DB1-Normal10"/>
              <w:ind w:left="176" w:hanging="176"/>
              <w:jc w:val="both"/>
              <w:rPr>
                <w:noProof/>
                <w:color w:val="006100"/>
                <w:sz w:val="20"/>
              </w:rPr>
            </w:pPr>
            <w:r>
              <w:rPr>
                <w:noProof/>
                <w:color w:val="006100"/>
                <w:sz w:val="20"/>
              </w:rPr>
              <w:t>-</w:t>
            </w:r>
            <w:r>
              <w:rPr>
                <w:noProof/>
              </w:rPr>
              <w:tab/>
            </w:r>
            <w:r>
              <w:rPr>
                <w:noProof/>
                <w:color w:val="006100"/>
                <w:sz w:val="20"/>
              </w:rPr>
              <w:t>Sniegtā atbalsta veids (piemēram, garantijas, aizdevumi, pašu kapitāls un kvazikapitāls)</w:t>
            </w:r>
          </w:p>
          <w:p w14:paraId="6356CD47" w14:textId="77777777" w:rsidR="00C972CB" w:rsidRDefault="002457F6">
            <w:pPr>
              <w:pStyle w:val="P68B1DB1-Normal10"/>
              <w:ind w:left="176" w:hanging="176"/>
              <w:jc w:val="both"/>
              <w:rPr>
                <w:noProof/>
                <w:color w:val="006100"/>
                <w:sz w:val="20"/>
              </w:rPr>
            </w:pPr>
            <w:r>
              <w:rPr>
                <w:noProof/>
                <w:color w:val="006100"/>
                <w:sz w:val="20"/>
              </w:rPr>
              <w:t>-</w:t>
            </w:r>
            <w:r>
              <w:rPr>
                <w:noProof/>
              </w:rPr>
              <w:tab/>
            </w:r>
            <w:r>
              <w:rPr>
                <w:noProof/>
                <w:color w:val="006100"/>
                <w:sz w:val="20"/>
              </w:rPr>
              <w:t>Mērķtiecīgs risks/ienākumi katram ieguldītāja veidam</w:t>
            </w:r>
          </w:p>
          <w:p w14:paraId="140DFC8E" w14:textId="77777777" w:rsidR="00C972CB" w:rsidRDefault="002457F6">
            <w:pPr>
              <w:pStyle w:val="P68B1DB1-Normal10"/>
              <w:ind w:left="176" w:hanging="176"/>
              <w:jc w:val="both"/>
              <w:rPr>
                <w:noProof/>
                <w:color w:val="006100"/>
                <w:sz w:val="20"/>
              </w:rPr>
            </w:pPr>
            <w:r>
              <w:rPr>
                <w:noProof/>
                <w:color w:val="006100"/>
                <w:sz w:val="20"/>
              </w:rPr>
              <w:t>-</w:t>
            </w:r>
            <w:r>
              <w:rPr>
                <w:noProof/>
              </w:rPr>
              <w:tab/>
            </w:r>
            <w:r>
              <w:rPr>
                <w:noProof/>
                <w:color w:val="006100"/>
                <w:sz w:val="20"/>
              </w:rPr>
              <w:t>Riska politika un nelikumīgi iegūtu līdzekļu legalizācijas novēršana</w:t>
            </w:r>
            <w:r>
              <w:rPr>
                <w:noProof/>
                <w:color w:val="006100"/>
                <w:sz w:val="20"/>
              </w:rPr>
              <w:t>s politika</w:t>
            </w:r>
          </w:p>
          <w:p w14:paraId="779E8C4E" w14:textId="77777777" w:rsidR="00C972CB" w:rsidRDefault="002457F6">
            <w:pPr>
              <w:pStyle w:val="P68B1DB1-Normal10"/>
              <w:ind w:left="176" w:hanging="176"/>
              <w:jc w:val="both"/>
              <w:rPr>
                <w:noProof/>
                <w:color w:val="006100"/>
                <w:sz w:val="20"/>
              </w:rPr>
            </w:pPr>
            <w:r>
              <w:rPr>
                <w:noProof/>
                <w:color w:val="006100"/>
                <w:sz w:val="20"/>
              </w:rPr>
              <w:t>-</w:t>
            </w:r>
            <w:r>
              <w:rPr>
                <w:noProof/>
              </w:rPr>
              <w:tab/>
            </w:r>
            <w:r>
              <w:rPr>
                <w:noProof/>
                <w:color w:val="006100"/>
                <w:sz w:val="20"/>
              </w:rPr>
              <w:t>Pārvaldība (partneri, fondu pārvaldnieki, valde, Investīciju komiteja, loma un pienākumi)</w:t>
            </w:r>
          </w:p>
          <w:p w14:paraId="1879796F" w14:textId="77777777" w:rsidR="00C972CB" w:rsidRDefault="002457F6">
            <w:pPr>
              <w:pStyle w:val="P68B1DB1-Normal10"/>
              <w:ind w:left="176" w:hanging="176"/>
              <w:jc w:val="both"/>
              <w:rPr>
                <w:noProof/>
                <w:color w:val="006100"/>
                <w:sz w:val="20"/>
              </w:rPr>
            </w:pPr>
            <w:r>
              <w:rPr>
                <w:noProof/>
                <w:color w:val="006100"/>
                <w:sz w:val="20"/>
              </w:rPr>
              <w:t>-</w:t>
            </w:r>
            <w:r>
              <w:rPr>
                <w:noProof/>
              </w:rPr>
              <w:tab/>
            </w:r>
            <w:r>
              <w:rPr>
                <w:noProof/>
                <w:color w:val="006100"/>
                <w:sz w:val="20"/>
              </w:rPr>
              <w:t>Diversifikācija un robežkoncentrācijas</w:t>
            </w:r>
          </w:p>
          <w:p w14:paraId="07345CC9" w14:textId="77777777" w:rsidR="00C972CB" w:rsidRDefault="002457F6">
            <w:pPr>
              <w:pStyle w:val="P68B1DB1-Normal10"/>
              <w:ind w:left="176" w:hanging="176"/>
              <w:jc w:val="both"/>
              <w:rPr>
                <w:noProof/>
                <w:color w:val="006100"/>
                <w:sz w:val="20"/>
              </w:rPr>
            </w:pPr>
            <w:r>
              <w:rPr>
                <w:noProof/>
                <w:color w:val="006100"/>
                <w:sz w:val="20"/>
              </w:rPr>
              <w:t>-</w:t>
            </w:r>
            <w:r>
              <w:rPr>
                <w:noProof/>
              </w:rPr>
              <w:tab/>
            </w:r>
            <w:r>
              <w:rPr>
                <w:noProof/>
                <w:color w:val="006100"/>
                <w:sz w:val="20"/>
              </w:rPr>
              <w:t>Kapitāla politika, tostarp pašu kapitāla ieguldījumu pārtraukšanas stratēģija</w:t>
            </w:r>
          </w:p>
          <w:p w14:paraId="7ED84D1A" w14:textId="77777777" w:rsidR="00C972CB" w:rsidRDefault="002457F6">
            <w:pPr>
              <w:pStyle w:val="P68B1DB1-Normal10"/>
              <w:ind w:left="176" w:hanging="142"/>
              <w:jc w:val="both"/>
              <w:rPr>
                <w:noProof/>
                <w:color w:val="006100"/>
                <w:sz w:val="20"/>
              </w:rPr>
            </w:pPr>
            <w:r>
              <w:rPr>
                <w:noProof/>
                <w:color w:val="006100"/>
                <w:sz w:val="20"/>
              </w:rPr>
              <w:t>-</w:t>
            </w:r>
            <w:r>
              <w:rPr>
                <w:noProof/>
              </w:rPr>
              <w:tab/>
            </w:r>
            <w:r>
              <w:rPr>
                <w:noProof/>
                <w:color w:val="006100"/>
                <w:sz w:val="20"/>
              </w:rPr>
              <w:t xml:space="preserve">NBK un ilgtspējas pārbaudes </w:t>
            </w:r>
            <w:r>
              <w:rPr>
                <w:noProof/>
                <w:color w:val="006100"/>
                <w:sz w:val="20"/>
              </w:rPr>
              <w:t>politika un izslēgšanas saraksts</w:t>
            </w:r>
          </w:p>
          <w:p w14:paraId="4B12E697" w14:textId="77777777" w:rsidR="00C972CB" w:rsidRDefault="002457F6">
            <w:pPr>
              <w:pStyle w:val="P68B1DB1-Normal10"/>
              <w:ind w:left="176" w:hanging="142"/>
              <w:jc w:val="both"/>
              <w:rPr>
                <w:noProof/>
                <w:color w:val="006100"/>
                <w:sz w:val="20"/>
              </w:rPr>
            </w:pPr>
            <w:r>
              <w:rPr>
                <w:noProof/>
                <w:color w:val="006100"/>
                <w:sz w:val="20"/>
              </w:rPr>
              <w:t>-</w:t>
            </w:r>
            <w:r>
              <w:rPr>
                <w:noProof/>
              </w:rPr>
              <w:tab/>
            </w:r>
            <w:r>
              <w:rPr>
                <w:noProof/>
                <w:color w:val="006100"/>
                <w:sz w:val="20"/>
              </w:rPr>
              <w:t>Aizdevumu politika attiecībā uz parāda ieguldījumiem, tostarp pieprasītās garantijas un nodrošinājums</w:t>
            </w:r>
          </w:p>
          <w:p w14:paraId="2F250A58" w14:textId="77777777" w:rsidR="00C972CB" w:rsidRDefault="002457F6">
            <w:pPr>
              <w:pStyle w:val="P68B1DB1-Normal10"/>
              <w:ind w:left="176" w:hanging="142"/>
              <w:jc w:val="both"/>
              <w:rPr>
                <w:noProof/>
                <w:color w:val="006100"/>
                <w:sz w:val="20"/>
              </w:rPr>
            </w:pPr>
            <w:r>
              <w:rPr>
                <w:noProof/>
                <w:color w:val="006100"/>
                <w:sz w:val="20"/>
              </w:rPr>
              <w:t>-</w:t>
            </w:r>
            <w:r>
              <w:rPr>
                <w:noProof/>
              </w:rPr>
              <w:tab/>
            </w:r>
            <w:r>
              <w:rPr>
                <w:noProof/>
                <w:color w:val="006100"/>
                <w:sz w:val="20"/>
              </w:rPr>
              <w:t>Līdzekļu piesaistes un īstenošanas grafiks</w:t>
            </w:r>
          </w:p>
          <w:p w14:paraId="3B0AA37E" w14:textId="77777777" w:rsidR="00C972CB" w:rsidRDefault="00C972CB">
            <w:pPr>
              <w:ind w:left="176" w:hanging="142"/>
              <w:jc w:val="both"/>
              <w:rPr>
                <w:rFonts w:ascii="Arial Narrow" w:hAnsi="Arial Narrow"/>
                <w:noProof/>
                <w:color w:val="006100"/>
                <w:sz w:val="20"/>
              </w:rPr>
            </w:pPr>
          </w:p>
        </w:tc>
      </w:tr>
      <w:tr w:rsidR="00C972CB" w14:paraId="795731B4" w14:textId="77777777">
        <w:trPr>
          <w:trHeight w:val="313"/>
        </w:trPr>
        <w:tc>
          <w:tcPr>
            <w:tcW w:w="1135" w:type="dxa"/>
            <w:shd w:val="clear" w:color="auto" w:fill="C6EFCE"/>
            <w:noWrap/>
            <w:hideMark/>
          </w:tcPr>
          <w:p w14:paraId="7BF65B89" w14:textId="77777777" w:rsidR="00C972CB" w:rsidRDefault="002457F6">
            <w:pPr>
              <w:pStyle w:val="P68B1DB1-Normal11"/>
              <w:jc w:val="center"/>
              <w:rPr>
                <w:noProof/>
              </w:rPr>
            </w:pPr>
            <w:r>
              <w:rPr>
                <w:noProof/>
              </w:rPr>
              <w:t>M4C2–21bis</w:t>
            </w:r>
          </w:p>
        </w:tc>
        <w:tc>
          <w:tcPr>
            <w:tcW w:w="1419" w:type="dxa"/>
            <w:shd w:val="clear" w:color="auto" w:fill="C6EFCE"/>
            <w:noWrap/>
            <w:hideMark/>
          </w:tcPr>
          <w:p w14:paraId="35228823" w14:textId="77777777" w:rsidR="00C972CB" w:rsidRDefault="002457F6">
            <w:pPr>
              <w:pStyle w:val="P68B1DB1-Normal11"/>
              <w:jc w:val="center"/>
              <w:rPr>
                <w:noProof/>
              </w:rPr>
            </w:pPr>
            <w:r>
              <w:rPr>
                <w:noProof/>
              </w:rPr>
              <w:t xml:space="preserve">Ieguldījums 5.4 — Jaunuzņēmumu finansēšana </w:t>
            </w:r>
          </w:p>
        </w:tc>
        <w:tc>
          <w:tcPr>
            <w:tcW w:w="1132" w:type="dxa"/>
            <w:shd w:val="clear" w:color="auto" w:fill="C6EFCE"/>
            <w:noWrap/>
            <w:hideMark/>
          </w:tcPr>
          <w:p w14:paraId="08CD79D0" w14:textId="4C1E852C" w:rsidR="00C972CB" w:rsidRDefault="002457F6">
            <w:pPr>
              <w:pStyle w:val="P68B1DB1-Normal11"/>
              <w:jc w:val="center"/>
              <w:rPr>
                <w:noProof/>
              </w:rPr>
            </w:pPr>
            <w:r>
              <w:rPr>
                <w:noProof/>
              </w:rPr>
              <w:t>Starpposma mērķis</w:t>
            </w:r>
          </w:p>
        </w:tc>
        <w:tc>
          <w:tcPr>
            <w:tcW w:w="1418" w:type="dxa"/>
            <w:shd w:val="clear" w:color="auto" w:fill="C6EFCE"/>
            <w:noWrap/>
            <w:hideMark/>
          </w:tcPr>
          <w:p w14:paraId="4DC6E4E6" w14:textId="77777777" w:rsidR="00C972CB" w:rsidRDefault="002457F6">
            <w:pPr>
              <w:pStyle w:val="P68B1DB1-Normal11"/>
              <w:jc w:val="center"/>
              <w:rPr>
                <w:noProof/>
              </w:rPr>
            </w:pPr>
            <w:r>
              <w:rPr>
                <w:noProof/>
              </w:rPr>
              <w:t>Ministrija ir pabeigusi līdzekļu nodošanu CDP riska kapitālam SGR</w:t>
            </w:r>
          </w:p>
        </w:tc>
        <w:tc>
          <w:tcPr>
            <w:tcW w:w="1275" w:type="dxa"/>
            <w:shd w:val="clear" w:color="auto" w:fill="C6EFCE"/>
            <w:noWrap/>
            <w:hideMark/>
          </w:tcPr>
          <w:p w14:paraId="62481834" w14:textId="77777777" w:rsidR="00C972CB" w:rsidRDefault="002457F6">
            <w:pPr>
              <w:pStyle w:val="P68B1DB1-Normal11"/>
              <w:jc w:val="center"/>
              <w:rPr>
                <w:noProof/>
              </w:rPr>
            </w:pPr>
            <w:r>
              <w:rPr>
                <w:noProof/>
              </w:rPr>
              <w:t>Nodošanas sertifikāts</w:t>
            </w:r>
          </w:p>
        </w:tc>
        <w:tc>
          <w:tcPr>
            <w:tcW w:w="1134" w:type="dxa"/>
            <w:shd w:val="clear" w:color="auto" w:fill="C6EFCE"/>
            <w:noWrap/>
            <w:hideMark/>
          </w:tcPr>
          <w:p w14:paraId="02D57C21" w14:textId="77777777" w:rsidR="00C972CB" w:rsidRDefault="00C972CB">
            <w:pPr>
              <w:jc w:val="center"/>
              <w:rPr>
                <w:rFonts w:ascii="Arial Narrow" w:hAnsi="Arial Narrow"/>
                <w:noProof/>
                <w:color w:val="006100"/>
                <w:sz w:val="20"/>
              </w:rPr>
            </w:pPr>
          </w:p>
        </w:tc>
        <w:tc>
          <w:tcPr>
            <w:tcW w:w="993" w:type="dxa"/>
            <w:shd w:val="clear" w:color="auto" w:fill="C6EFCE"/>
            <w:noWrap/>
            <w:hideMark/>
          </w:tcPr>
          <w:p w14:paraId="5307AD6B" w14:textId="77777777" w:rsidR="00C972CB" w:rsidRDefault="00C972CB">
            <w:pPr>
              <w:jc w:val="center"/>
              <w:rPr>
                <w:rFonts w:ascii="Arial Narrow" w:hAnsi="Arial Narrow"/>
                <w:noProof/>
                <w:color w:val="006100"/>
                <w:sz w:val="20"/>
              </w:rPr>
            </w:pPr>
          </w:p>
        </w:tc>
        <w:tc>
          <w:tcPr>
            <w:tcW w:w="1275" w:type="dxa"/>
            <w:shd w:val="clear" w:color="auto" w:fill="C6EFCE"/>
            <w:noWrap/>
            <w:hideMark/>
          </w:tcPr>
          <w:p w14:paraId="6894BAE3" w14:textId="77777777" w:rsidR="00C972CB" w:rsidRDefault="00C972CB">
            <w:pPr>
              <w:jc w:val="center"/>
              <w:rPr>
                <w:rFonts w:ascii="Arial Narrow" w:hAnsi="Arial Narrow"/>
                <w:noProof/>
                <w:color w:val="006100"/>
                <w:sz w:val="20"/>
              </w:rPr>
            </w:pPr>
          </w:p>
        </w:tc>
        <w:tc>
          <w:tcPr>
            <w:tcW w:w="993" w:type="dxa"/>
            <w:shd w:val="clear" w:color="auto" w:fill="C6EFCE"/>
            <w:noWrap/>
            <w:hideMark/>
          </w:tcPr>
          <w:p w14:paraId="2CD27F37" w14:textId="77777777" w:rsidR="00C972CB" w:rsidRDefault="002457F6">
            <w:pPr>
              <w:pStyle w:val="P68B1DB1-Normal11"/>
              <w:jc w:val="center"/>
              <w:rPr>
                <w:noProof/>
              </w:rPr>
            </w:pPr>
            <w:r>
              <w:rPr>
                <w:noProof/>
              </w:rPr>
              <w:t>4. CET.</w:t>
            </w:r>
          </w:p>
        </w:tc>
        <w:tc>
          <w:tcPr>
            <w:tcW w:w="708" w:type="dxa"/>
            <w:shd w:val="clear" w:color="auto" w:fill="C6EFCE"/>
            <w:noWrap/>
            <w:hideMark/>
          </w:tcPr>
          <w:p w14:paraId="22673846" w14:textId="77777777" w:rsidR="00C972CB" w:rsidRDefault="002457F6">
            <w:pPr>
              <w:pStyle w:val="P68B1DB1-Normal11"/>
              <w:jc w:val="center"/>
              <w:rPr>
                <w:noProof/>
              </w:rPr>
            </w:pPr>
            <w:r>
              <w:rPr>
                <w:noProof/>
              </w:rPr>
              <w:t>2024</w:t>
            </w:r>
          </w:p>
        </w:tc>
        <w:tc>
          <w:tcPr>
            <w:tcW w:w="3686" w:type="dxa"/>
            <w:shd w:val="clear" w:color="auto" w:fill="C6EFCE"/>
            <w:noWrap/>
            <w:hideMark/>
          </w:tcPr>
          <w:p w14:paraId="6CE6A05B" w14:textId="16F6BBCC" w:rsidR="00C972CB" w:rsidRDefault="002457F6">
            <w:pPr>
              <w:pStyle w:val="P68B1DB1-Normal11"/>
              <w:rPr>
                <w:noProof/>
              </w:rPr>
            </w:pPr>
            <w:r>
              <w:rPr>
                <w:noProof/>
              </w:rPr>
              <w:t>Itālija pārskaita EUR 400000000 CDP riska kapitālam mehānisma vajadzībām.</w:t>
            </w:r>
          </w:p>
          <w:p w14:paraId="66A2B579" w14:textId="77777777" w:rsidR="00C972CB" w:rsidRDefault="002457F6">
            <w:pPr>
              <w:pStyle w:val="P68B1DB1-Normal11"/>
              <w:rPr>
                <w:noProof/>
              </w:rPr>
            </w:pPr>
            <w:r>
              <w:rPr>
                <w:noProof/>
              </w:rPr>
              <w:t xml:space="preserve"> </w:t>
            </w:r>
          </w:p>
          <w:p w14:paraId="238D287E" w14:textId="1D4294C0" w:rsidR="00C972CB" w:rsidRDefault="002457F6">
            <w:pPr>
              <w:pStyle w:val="P68B1DB1-Normal11"/>
              <w:rPr>
                <w:noProof/>
              </w:rPr>
            </w:pPr>
            <w:r>
              <w:rPr>
                <w:noProof/>
              </w:rPr>
              <w:t>Lai sasniegtu mērķi, ir jāgroza arī īstenošanas nolīgums starp Itāliju un C</w:t>
            </w:r>
            <w:r>
              <w:rPr>
                <w:noProof/>
              </w:rPr>
              <w:t>DP riska kapitāla SGR un mehānisma nolikumu saskaņā ar Padomes īstenošanas lēmumā izklāstītajiem nosacījumiem.</w:t>
            </w:r>
          </w:p>
        </w:tc>
      </w:tr>
      <w:tr w:rsidR="00C972CB" w14:paraId="12C84E78" w14:textId="77777777">
        <w:trPr>
          <w:trHeight w:val="313"/>
        </w:trPr>
        <w:tc>
          <w:tcPr>
            <w:tcW w:w="1135" w:type="dxa"/>
            <w:shd w:val="clear" w:color="auto" w:fill="C6EFCE"/>
            <w:noWrap/>
          </w:tcPr>
          <w:p w14:paraId="211AAE9E" w14:textId="77777777" w:rsidR="00C972CB" w:rsidRDefault="002457F6">
            <w:pPr>
              <w:pStyle w:val="P68B1DB1-Normal11"/>
              <w:jc w:val="center"/>
              <w:rPr>
                <w:noProof/>
              </w:rPr>
            </w:pPr>
            <w:r>
              <w:rPr>
                <w:noProof/>
              </w:rPr>
              <w:t>M4C2–21</w:t>
            </w:r>
          </w:p>
        </w:tc>
        <w:tc>
          <w:tcPr>
            <w:tcW w:w="1419" w:type="dxa"/>
            <w:shd w:val="clear" w:color="auto" w:fill="C6EFCE"/>
            <w:noWrap/>
          </w:tcPr>
          <w:p w14:paraId="05040594" w14:textId="1590BA76" w:rsidR="00C972CB" w:rsidRDefault="002457F6">
            <w:pPr>
              <w:pStyle w:val="P68B1DB1-Normal11"/>
              <w:jc w:val="center"/>
              <w:rPr>
                <w:noProof/>
              </w:rPr>
            </w:pPr>
            <w:r>
              <w:rPr>
                <w:noProof/>
              </w:rPr>
              <w:t>Ieguldījums 5.4 — Jaunuzņēmumu finansēšana.</w:t>
            </w:r>
          </w:p>
        </w:tc>
        <w:tc>
          <w:tcPr>
            <w:tcW w:w="1132" w:type="dxa"/>
            <w:shd w:val="clear" w:color="auto" w:fill="C6EFCE"/>
            <w:noWrap/>
          </w:tcPr>
          <w:p w14:paraId="0656B2EB" w14:textId="322F0AF6" w:rsidR="00C972CB" w:rsidRDefault="002457F6">
            <w:pPr>
              <w:pStyle w:val="P68B1DB1-Normal11"/>
              <w:jc w:val="center"/>
              <w:rPr>
                <w:noProof/>
              </w:rPr>
            </w:pPr>
            <w:r>
              <w:rPr>
                <w:noProof/>
              </w:rPr>
              <w:t>Mērķa</w:t>
            </w:r>
          </w:p>
        </w:tc>
        <w:tc>
          <w:tcPr>
            <w:tcW w:w="1418" w:type="dxa"/>
            <w:shd w:val="clear" w:color="auto" w:fill="C6EFCE"/>
            <w:noWrap/>
          </w:tcPr>
          <w:p w14:paraId="6439FE91" w14:textId="0409179E" w:rsidR="00C972CB" w:rsidRDefault="002457F6">
            <w:pPr>
              <w:pStyle w:val="P68B1DB1-Normal11"/>
              <w:jc w:val="center"/>
              <w:rPr>
                <w:noProof/>
              </w:rPr>
            </w:pPr>
            <w:r>
              <w:rPr>
                <w:noProof/>
              </w:rPr>
              <w:t>Juridiski nolīgumi, kas parakstīti ar jaunuzņēmumiem vai riska kapitāla fondiem</w:t>
            </w:r>
          </w:p>
        </w:tc>
        <w:tc>
          <w:tcPr>
            <w:tcW w:w="1275" w:type="dxa"/>
            <w:shd w:val="clear" w:color="auto" w:fill="C6EFCE"/>
            <w:noWrap/>
          </w:tcPr>
          <w:p w14:paraId="1FE7F8A3" w14:textId="77777777" w:rsidR="00C972CB" w:rsidRDefault="002457F6">
            <w:pPr>
              <w:pStyle w:val="P68B1DB1-Normal11"/>
              <w:jc w:val="center"/>
              <w:rPr>
                <w:noProof/>
              </w:rPr>
            </w:pPr>
            <w:r>
              <w:rPr>
                <w:noProof/>
              </w:rPr>
              <w:t>Juridiskas finansēšanas nolīgumu stāšanās spēkā</w:t>
            </w:r>
          </w:p>
        </w:tc>
        <w:tc>
          <w:tcPr>
            <w:tcW w:w="1134" w:type="dxa"/>
            <w:shd w:val="clear" w:color="auto" w:fill="C6EFCE"/>
            <w:noWrap/>
          </w:tcPr>
          <w:p w14:paraId="213A57A3" w14:textId="77777777" w:rsidR="00C972CB" w:rsidRDefault="002457F6">
            <w:pPr>
              <w:pStyle w:val="P68B1DB1-Normal11"/>
              <w:jc w:val="center"/>
              <w:rPr>
                <w:noProof/>
              </w:rPr>
            </w:pPr>
            <w:r>
              <w:rPr>
                <w:noProof/>
              </w:rPr>
              <w:t>EUR</w:t>
            </w:r>
          </w:p>
        </w:tc>
        <w:tc>
          <w:tcPr>
            <w:tcW w:w="993" w:type="dxa"/>
            <w:shd w:val="clear" w:color="auto" w:fill="C6EFCE"/>
            <w:noWrap/>
          </w:tcPr>
          <w:p w14:paraId="5640DA8F" w14:textId="77777777" w:rsidR="00C972CB" w:rsidRDefault="002457F6">
            <w:pPr>
              <w:pStyle w:val="P68B1DB1-Normal11"/>
              <w:jc w:val="center"/>
              <w:rPr>
                <w:noProof/>
              </w:rPr>
            </w:pPr>
            <w:r>
              <w:rPr>
                <w:noProof/>
              </w:rPr>
              <w:t>0</w:t>
            </w:r>
          </w:p>
        </w:tc>
        <w:tc>
          <w:tcPr>
            <w:tcW w:w="1275" w:type="dxa"/>
            <w:shd w:val="clear" w:color="auto" w:fill="C6EFCE"/>
            <w:noWrap/>
          </w:tcPr>
          <w:p w14:paraId="110D91B2" w14:textId="77777777" w:rsidR="00C972CB" w:rsidRDefault="002457F6">
            <w:pPr>
              <w:pStyle w:val="P68B1DB1-Normal11"/>
              <w:jc w:val="center"/>
              <w:rPr>
                <w:noProof/>
              </w:rPr>
            </w:pPr>
            <w:r>
              <w:rPr>
                <w:noProof/>
              </w:rPr>
              <w:t>100 %</w:t>
            </w:r>
          </w:p>
        </w:tc>
        <w:tc>
          <w:tcPr>
            <w:tcW w:w="993" w:type="dxa"/>
            <w:shd w:val="clear" w:color="auto" w:fill="C6EFCE"/>
            <w:noWrap/>
          </w:tcPr>
          <w:p w14:paraId="509B02CD" w14:textId="77777777" w:rsidR="00C972CB" w:rsidRDefault="002457F6">
            <w:pPr>
              <w:pStyle w:val="P68B1DB1-Normal11"/>
              <w:jc w:val="center"/>
              <w:rPr>
                <w:noProof/>
              </w:rPr>
            </w:pPr>
            <w:r>
              <w:rPr>
                <w:noProof/>
              </w:rPr>
              <w:t>2. CET.</w:t>
            </w:r>
          </w:p>
        </w:tc>
        <w:tc>
          <w:tcPr>
            <w:tcW w:w="708" w:type="dxa"/>
            <w:shd w:val="clear" w:color="auto" w:fill="C6EFCE"/>
            <w:noWrap/>
          </w:tcPr>
          <w:p w14:paraId="65C74198" w14:textId="77777777" w:rsidR="00C972CB" w:rsidRDefault="002457F6">
            <w:pPr>
              <w:pStyle w:val="P68B1DB1-Normal11"/>
              <w:jc w:val="center"/>
              <w:rPr>
                <w:noProof/>
              </w:rPr>
            </w:pPr>
            <w:r>
              <w:rPr>
                <w:noProof/>
              </w:rPr>
              <w:t>2026</w:t>
            </w:r>
          </w:p>
        </w:tc>
        <w:tc>
          <w:tcPr>
            <w:tcW w:w="3686" w:type="dxa"/>
            <w:shd w:val="clear" w:color="auto" w:fill="C6EFCE"/>
            <w:noWrap/>
          </w:tcPr>
          <w:p w14:paraId="282C5D3B" w14:textId="77777777" w:rsidR="00C972CB" w:rsidRDefault="002457F6">
            <w:pPr>
              <w:pStyle w:val="P68B1DB1-Normal11"/>
              <w:rPr>
                <w:noProof/>
              </w:rPr>
            </w:pPr>
            <w:r>
              <w:rPr>
                <w:noProof/>
              </w:rPr>
              <w:t>Cassa Depositi e Prestiti Venture Capital ir noslēdzis likumīgas finansēšanas līgumus ar jaunuzņēmumiem, inkubācijas/paātrināšanas programmām vai riska kapitāla fondiem par summu, kas</w:t>
            </w:r>
            <w:r>
              <w:rPr>
                <w:noProof/>
              </w:rPr>
              <w:t xml:space="preserve"> nepieciešama, lai Mehānismā izmantotu 100 % ANM ieguldījumu (400 ml EUR) (tostarp vidējo maksimālo robežu 13 % apmērā no DTF pārvaldības maksām un izmaksām fonda dzīves ciklā, kā arī ex ante nosacījumus turpmākajām ieguldījumu kārtām, izņemot pārnestās ie</w:t>
            </w:r>
            <w:r>
              <w:rPr>
                <w:noProof/>
              </w:rPr>
              <w:t>interesētās maksas, ar darbības rezultātiem saistītās maksas un visas izmaksas un pārvaldības maksas, kas saistītas ar trešo personu fondiem).</w:t>
            </w:r>
          </w:p>
          <w:p w14:paraId="54FF6C2B" w14:textId="0AE4FB7D" w:rsidR="00C972CB" w:rsidRDefault="002457F6">
            <w:pPr>
              <w:pStyle w:val="P68B1DB1-Normal32"/>
              <w:rPr>
                <w:noProof/>
                <w:sz w:val="20"/>
              </w:rPr>
            </w:pPr>
            <w:r>
              <w:rPr>
                <w:noProof/>
              </w:rPr>
              <w:t xml:space="preserve"> </w:t>
            </w:r>
            <w:r>
              <w:rPr>
                <w:noProof/>
              </w:rPr>
              <w:br/>
            </w:r>
            <w:r>
              <w:rPr>
                <w:noProof/>
                <w:sz w:val="20"/>
              </w:rPr>
              <w:t>Investīcijas sadala šādos divos intervences virzienos:</w:t>
            </w:r>
          </w:p>
          <w:p w14:paraId="65E57E3E" w14:textId="77777777" w:rsidR="00C972CB" w:rsidRDefault="00C972CB">
            <w:pPr>
              <w:jc w:val="center"/>
              <w:rPr>
                <w:rFonts w:ascii="Arial Narrow" w:hAnsi="Arial Narrow"/>
                <w:noProof/>
                <w:color w:val="006100"/>
                <w:sz w:val="20"/>
              </w:rPr>
            </w:pPr>
          </w:p>
          <w:p w14:paraId="3028FB73" w14:textId="77777777" w:rsidR="00C972CB" w:rsidRDefault="002457F6">
            <w:pPr>
              <w:pStyle w:val="P68B1DB1-Normal11"/>
              <w:rPr>
                <w:noProof/>
              </w:rPr>
            </w:pPr>
            <w:r>
              <w:rPr>
                <w:noProof/>
              </w:rPr>
              <w:t>Tiešie ieguldījumi.</w:t>
            </w:r>
          </w:p>
          <w:p w14:paraId="2F4325F9" w14:textId="77777777" w:rsidR="00C972CB" w:rsidRDefault="002457F6">
            <w:pPr>
              <w:pStyle w:val="P68B1DB1-Normal11"/>
              <w:rPr>
                <w:noProof/>
              </w:rPr>
            </w:pPr>
            <w:r>
              <w:rPr>
                <w:noProof/>
              </w:rPr>
              <w:t>Netiešie ieguldījumi.</w:t>
            </w:r>
          </w:p>
          <w:p w14:paraId="3E1487F7" w14:textId="24A8F36A" w:rsidR="00C972CB" w:rsidRDefault="00C972CB">
            <w:pPr>
              <w:rPr>
                <w:rFonts w:ascii="Arial Narrow" w:hAnsi="Arial Narrow"/>
                <w:noProof/>
                <w:color w:val="006100"/>
                <w:sz w:val="20"/>
              </w:rPr>
            </w:pPr>
          </w:p>
          <w:p w14:paraId="0166DFC2" w14:textId="233BF477" w:rsidR="00C972CB" w:rsidRDefault="002457F6">
            <w:pPr>
              <w:pStyle w:val="P68B1DB1-Normal11"/>
              <w:rPr>
                <w:noProof/>
              </w:rPr>
            </w:pPr>
            <w:r>
              <w:rPr>
                <w:noProof/>
              </w:rPr>
              <w:t>Attiecībā uz</w:t>
            </w:r>
            <w:r>
              <w:rPr>
                <w:noProof/>
              </w:rPr>
              <w:t xml:space="preserve"> netiešajiem ieguldījumiem riska kapitāla fondos Cassa Depositi e Prestiti riska kapitāla fonds ir noslēdzis likumīgas finansēšanas līgumus ar riska kapitāla fondiem par summu, kas nepieciešama, lai aptuveni 60 % no ANM ieguldījumiem Mehānismā varētu izman</w:t>
            </w:r>
            <w:r>
              <w:rPr>
                <w:noProof/>
              </w:rPr>
              <w:t>tot (izņemot pārvaldības maksas un DTF izmaksas fonda dzīves ciklā).</w:t>
            </w:r>
          </w:p>
          <w:p w14:paraId="62A2CFC5" w14:textId="77777777" w:rsidR="00C972CB" w:rsidRDefault="002457F6">
            <w:pPr>
              <w:pStyle w:val="P68B1DB1-Normal11"/>
              <w:rPr>
                <w:noProof/>
              </w:rPr>
            </w:pPr>
            <w:r>
              <w:rPr>
                <w:noProof/>
              </w:rPr>
              <w:t>Attiecībā uz netiešajām investīcijām jaunuzņēmumos juridiskā finansējuma nolīgumos ar riska kapitāla fondiem iekļauj saistošu apņemšanos panākt piesaistītā kapitāla kumulatīvo sviras efek</w:t>
            </w:r>
            <w:r>
              <w:rPr>
                <w:noProof/>
              </w:rPr>
              <w:t>tu gan fondu līmenī, gan vismaz 1x1 jaunu uzņēmumu līmenī visā fonda darbības laikā.</w:t>
            </w:r>
          </w:p>
          <w:p w14:paraId="1B099E8C" w14:textId="093D32EB" w:rsidR="00C972CB" w:rsidRDefault="00C972CB">
            <w:pPr>
              <w:rPr>
                <w:rFonts w:ascii="Arial Narrow" w:hAnsi="Arial Narrow"/>
                <w:noProof/>
                <w:color w:val="006100"/>
                <w:sz w:val="20"/>
              </w:rPr>
            </w:pPr>
          </w:p>
          <w:p w14:paraId="5B1427F7" w14:textId="77777777" w:rsidR="00C972CB" w:rsidRDefault="002457F6">
            <w:pPr>
              <w:pStyle w:val="P68B1DB1-Normal11"/>
              <w:rPr>
                <w:noProof/>
              </w:rPr>
            </w:pPr>
            <w:r>
              <w:rPr>
                <w:noProof/>
              </w:rPr>
              <w:t xml:space="preserve">Attiecībā uz tiešajiem ieguldījumiem CDP riska kapitāls ir noslēdzis likumīgas finansēšanas nolīgumus ar jaunuzņēmumiem/inkubācijas/paātrināšanas programmām par summu, </w:t>
            </w:r>
            <w:r>
              <w:rPr>
                <w:noProof/>
              </w:rPr>
              <w:t>kas nepieciešama, lai aptuveni 40 % no ANM ieguldījuma (400 miljoni EUR) indikatīvi izmantotu mehānismā (tostarp pārvaldības maksas un DTF izmaksas visā fonda dzīves ciklā).</w:t>
            </w:r>
          </w:p>
          <w:p w14:paraId="2F4E1708" w14:textId="4B4DF2A0" w:rsidR="00C972CB" w:rsidRDefault="002457F6">
            <w:pPr>
              <w:pStyle w:val="P68B1DB1-Normal11"/>
              <w:rPr>
                <w:noProof/>
              </w:rPr>
            </w:pPr>
            <w:r>
              <w:rPr>
                <w:noProof/>
              </w:rPr>
              <w:t>Turklāt attiecībā uz tiešajiem ieguldījumiem juridiskā finansējuma nolīgumā ar jau</w:t>
            </w:r>
            <w:r>
              <w:rPr>
                <w:noProof/>
              </w:rPr>
              <w:t>nuzņēmumiem var iekļaut ex ante nosacījumus turpmākajām ieguldījumu kārtām. (t. i., nosacījumi B vai C sērijas finansējuma atraisīšanai).</w:t>
            </w:r>
          </w:p>
          <w:p w14:paraId="7870E667" w14:textId="77777777" w:rsidR="00C972CB" w:rsidRDefault="00C972CB">
            <w:pPr>
              <w:rPr>
                <w:rFonts w:ascii="Arial Narrow" w:hAnsi="Arial Narrow"/>
                <w:noProof/>
                <w:color w:val="006100"/>
                <w:sz w:val="20"/>
              </w:rPr>
            </w:pPr>
          </w:p>
          <w:p w14:paraId="1E43ED97" w14:textId="77777777" w:rsidR="00C972CB" w:rsidRDefault="002457F6">
            <w:pPr>
              <w:pStyle w:val="P68B1DB1-Normal11"/>
              <w:rPr>
                <w:noProof/>
              </w:rPr>
            </w:pPr>
            <w:r>
              <w:rPr>
                <w:noProof/>
              </w:rPr>
              <w:t>Šā pasākuma saistības, kas noslēgtas pirms īstenošanas nolīguma ieguldījumu politikas grozījumu stāšanās spēkā un sas</w:t>
            </w:r>
            <w:r>
              <w:rPr>
                <w:noProof/>
              </w:rPr>
              <w:t xml:space="preserve">kaņā ar nolīgumu saskaņā ar starpposma mērķi [M4C2–20] iepriekšējo ieguldījumu politiku, arī ieskaita mērķrādītāja sasniegšanā. </w:t>
            </w:r>
          </w:p>
          <w:p w14:paraId="2EFE6A30" w14:textId="77777777" w:rsidR="00C972CB" w:rsidRDefault="00C972CB">
            <w:pPr>
              <w:rPr>
                <w:rFonts w:ascii="Arial Narrow" w:hAnsi="Arial Narrow"/>
                <w:noProof/>
                <w:color w:val="006100"/>
                <w:sz w:val="20"/>
              </w:rPr>
            </w:pPr>
          </w:p>
          <w:p w14:paraId="15199DD2" w14:textId="260A58CB" w:rsidR="00C972CB" w:rsidRDefault="002457F6">
            <w:pPr>
              <w:pStyle w:val="P68B1DB1-Normal11"/>
              <w:rPr>
                <w:noProof/>
              </w:rPr>
            </w:pPr>
            <w:r>
              <w:rPr>
                <w:noProof/>
              </w:rPr>
              <w:t>No dienas, kad stājas spēkā Padomes īstenošanas lēmums, jaunās saistības sāk ievērot jauno ieguldījumu politiku saskaņā ar jau</w:t>
            </w:r>
            <w:r>
              <w:rPr>
                <w:noProof/>
              </w:rPr>
              <w:t>no Padomes īstenošanas lēmumu.</w:t>
            </w:r>
          </w:p>
        </w:tc>
      </w:tr>
      <w:tr w:rsidR="00C972CB" w14:paraId="5A068EDA" w14:textId="77777777">
        <w:trPr>
          <w:trHeight w:val="313"/>
        </w:trPr>
        <w:tc>
          <w:tcPr>
            <w:tcW w:w="1135" w:type="dxa"/>
            <w:shd w:val="clear" w:color="auto" w:fill="C6EFCE"/>
            <w:noWrap/>
            <w:vAlign w:val="center"/>
            <w:hideMark/>
          </w:tcPr>
          <w:p w14:paraId="29770885" w14:textId="77777777" w:rsidR="00C972CB" w:rsidRDefault="002457F6">
            <w:pPr>
              <w:pStyle w:val="P68B1DB1-Normal11"/>
              <w:jc w:val="center"/>
              <w:rPr>
                <w:noProof/>
              </w:rPr>
            </w:pPr>
            <w:r>
              <w:rPr>
                <w:noProof/>
              </w:rPr>
              <w:t>M4C2–22</w:t>
            </w:r>
          </w:p>
        </w:tc>
        <w:tc>
          <w:tcPr>
            <w:tcW w:w="1419" w:type="dxa"/>
            <w:shd w:val="clear" w:color="auto" w:fill="C6EFCE"/>
            <w:noWrap/>
            <w:vAlign w:val="center"/>
            <w:hideMark/>
          </w:tcPr>
          <w:p w14:paraId="568E8F43" w14:textId="77777777" w:rsidR="00C972CB" w:rsidRDefault="002457F6">
            <w:pPr>
              <w:pStyle w:val="P68B1DB1-Normal11"/>
              <w:jc w:val="center"/>
              <w:rPr>
                <w:noProof/>
              </w:rPr>
            </w:pPr>
            <w:r>
              <w:rPr>
                <w:noProof/>
              </w:rPr>
              <w:t>Ieguldījums 2.1.: IPCEI</w:t>
            </w:r>
          </w:p>
        </w:tc>
        <w:tc>
          <w:tcPr>
            <w:tcW w:w="1132" w:type="dxa"/>
            <w:shd w:val="clear" w:color="auto" w:fill="C6EFCE"/>
            <w:noWrap/>
            <w:vAlign w:val="center"/>
            <w:hideMark/>
          </w:tcPr>
          <w:p w14:paraId="361AD8FA" w14:textId="77777777" w:rsidR="00C972CB" w:rsidRDefault="002457F6">
            <w:pPr>
              <w:pStyle w:val="P68B1DB1-Normal11"/>
              <w:jc w:val="center"/>
              <w:rPr>
                <w:noProof/>
              </w:rPr>
            </w:pPr>
            <w:r>
              <w:rPr>
                <w:noProof/>
              </w:rPr>
              <w:t>Mērķa</w:t>
            </w:r>
          </w:p>
        </w:tc>
        <w:tc>
          <w:tcPr>
            <w:tcW w:w="1418" w:type="dxa"/>
            <w:shd w:val="clear" w:color="auto" w:fill="C6EFCE"/>
            <w:noWrap/>
            <w:vAlign w:val="center"/>
            <w:hideMark/>
          </w:tcPr>
          <w:p w14:paraId="3F02CE48" w14:textId="77777777" w:rsidR="00C972CB" w:rsidRDefault="002457F6">
            <w:pPr>
              <w:pStyle w:val="P68B1DB1-Normal11"/>
              <w:jc w:val="center"/>
              <w:rPr>
                <w:noProof/>
              </w:rPr>
            </w:pPr>
            <w:r>
              <w:rPr>
                <w:noProof/>
              </w:rPr>
              <w:t>Atbalstu saņēmušo projektu skaits</w:t>
            </w:r>
          </w:p>
        </w:tc>
        <w:tc>
          <w:tcPr>
            <w:tcW w:w="1275" w:type="dxa"/>
            <w:shd w:val="clear" w:color="auto" w:fill="C6EFCE"/>
            <w:noWrap/>
            <w:vAlign w:val="center"/>
            <w:hideMark/>
          </w:tcPr>
          <w:p w14:paraId="69B0635D"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2EE0E45E" w14:textId="77777777" w:rsidR="00C972CB" w:rsidRDefault="002457F6">
            <w:pPr>
              <w:pStyle w:val="P68B1DB1-Normal11"/>
              <w:jc w:val="center"/>
              <w:rPr>
                <w:noProof/>
              </w:rPr>
            </w:pPr>
            <w:r>
              <w:rPr>
                <w:noProof/>
              </w:rPr>
              <w:t>Skaits</w:t>
            </w:r>
          </w:p>
        </w:tc>
        <w:tc>
          <w:tcPr>
            <w:tcW w:w="993" w:type="dxa"/>
            <w:shd w:val="clear" w:color="auto" w:fill="C6EFCE"/>
            <w:noWrap/>
            <w:vAlign w:val="center"/>
            <w:hideMark/>
          </w:tcPr>
          <w:p w14:paraId="04A5AE1D" w14:textId="77777777" w:rsidR="00C972CB" w:rsidRDefault="002457F6">
            <w:pPr>
              <w:pStyle w:val="P68B1DB1-Normal11"/>
              <w:jc w:val="center"/>
              <w:rPr>
                <w:noProof/>
              </w:rPr>
            </w:pPr>
            <w:r>
              <w:rPr>
                <w:noProof/>
              </w:rPr>
              <w:t>1</w:t>
            </w:r>
          </w:p>
        </w:tc>
        <w:tc>
          <w:tcPr>
            <w:tcW w:w="1275" w:type="dxa"/>
            <w:shd w:val="clear" w:color="auto" w:fill="C6EFCE"/>
            <w:noWrap/>
            <w:vAlign w:val="center"/>
            <w:hideMark/>
          </w:tcPr>
          <w:p w14:paraId="63153858" w14:textId="77777777" w:rsidR="00C972CB" w:rsidRDefault="002457F6">
            <w:pPr>
              <w:pStyle w:val="P68B1DB1-Normal11"/>
              <w:jc w:val="center"/>
              <w:rPr>
                <w:noProof/>
              </w:rPr>
            </w:pPr>
            <w:r>
              <w:rPr>
                <w:noProof/>
              </w:rPr>
              <w:t>20</w:t>
            </w:r>
          </w:p>
        </w:tc>
        <w:tc>
          <w:tcPr>
            <w:tcW w:w="993" w:type="dxa"/>
            <w:shd w:val="clear" w:color="auto" w:fill="C6EFCE"/>
            <w:noWrap/>
            <w:vAlign w:val="center"/>
            <w:hideMark/>
          </w:tcPr>
          <w:p w14:paraId="401F6F72" w14:textId="77777777" w:rsidR="00C972CB" w:rsidRDefault="002457F6">
            <w:pPr>
              <w:pStyle w:val="P68B1DB1-Normal11"/>
              <w:jc w:val="center"/>
              <w:rPr>
                <w:noProof/>
              </w:rPr>
            </w:pPr>
            <w:r>
              <w:rPr>
                <w:noProof/>
              </w:rPr>
              <w:t>2. CET.</w:t>
            </w:r>
          </w:p>
        </w:tc>
        <w:tc>
          <w:tcPr>
            <w:tcW w:w="708" w:type="dxa"/>
            <w:shd w:val="clear" w:color="auto" w:fill="C6EFCE"/>
            <w:noWrap/>
            <w:vAlign w:val="center"/>
            <w:hideMark/>
          </w:tcPr>
          <w:p w14:paraId="11033C56" w14:textId="77777777" w:rsidR="00C972CB" w:rsidRDefault="002457F6">
            <w:pPr>
              <w:pStyle w:val="P68B1DB1-Normal11"/>
              <w:jc w:val="center"/>
              <w:rPr>
                <w:noProof/>
              </w:rPr>
            </w:pPr>
            <w:r>
              <w:rPr>
                <w:noProof/>
              </w:rPr>
              <w:t>2025</w:t>
            </w:r>
          </w:p>
        </w:tc>
        <w:tc>
          <w:tcPr>
            <w:tcW w:w="3686" w:type="dxa"/>
            <w:shd w:val="clear" w:color="auto" w:fill="C6EFCE"/>
            <w:noWrap/>
            <w:vAlign w:val="center"/>
            <w:hideMark/>
          </w:tcPr>
          <w:p w14:paraId="442E7380" w14:textId="77777777" w:rsidR="00C972CB" w:rsidRDefault="002457F6">
            <w:pPr>
              <w:pStyle w:val="P68B1DB1-Normal11"/>
              <w:rPr>
                <w:noProof/>
              </w:rPr>
            </w:pPr>
            <w:r>
              <w:rPr>
                <w:noProof/>
              </w:rPr>
              <w:t>Vismaz 20 projekti, kas saņem atbalstu, izmantojot IPCEI modeli;</w:t>
            </w:r>
          </w:p>
          <w:p w14:paraId="4511E18C" w14:textId="77777777" w:rsidR="00C972CB" w:rsidRDefault="002457F6">
            <w:pPr>
              <w:pStyle w:val="P68B1DB1-Normal11"/>
              <w:rPr>
                <w:noProof/>
              </w:rPr>
            </w:pPr>
            <w:r>
              <w:rPr>
                <w:noProof/>
              </w:rPr>
              <w:t xml:space="preserve">Mērķvērtību aplēses pamatā ir Itālijā aktivizēto </w:t>
            </w:r>
            <w:r>
              <w:rPr>
                <w:noProof/>
              </w:rPr>
              <w:t>IPCEI projektu darbības metodes (Mikroelektronika 1, baterijas 1, baterijas, 2. baterijas).</w:t>
            </w:r>
          </w:p>
        </w:tc>
      </w:tr>
    </w:tbl>
    <w:p w14:paraId="0810DDCD" w14:textId="77777777" w:rsidR="00C972CB" w:rsidRDefault="00C972CB">
      <w:pPr>
        <w:rPr>
          <w:noProof/>
        </w:rPr>
        <w:sectPr w:rsidR="00C972CB" w:rsidSect="005D6828">
          <w:headerReference w:type="even" r:id="rId272"/>
          <w:headerReference w:type="default" r:id="rId273"/>
          <w:footerReference w:type="even" r:id="rId274"/>
          <w:footerReference w:type="default" r:id="rId275"/>
          <w:headerReference w:type="first" r:id="rId276"/>
          <w:footerReference w:type="first" r:id="rId277"/>
          <w:pgSz w:w="16839" w:h="11907" w:orient="landscape"/>
          <w:pgMar w:top="1440" w:right="1440" w:bottom="1440" w:left="1440" w:header="567" w:footer="567" w:gutter="0"/>
          <w:cols w:space="720"/>
          <w:docGrid w:linePitch="360"/>
        </w:sectPr>
      </w:pPr>
    </w:p>
    <w:p w14:paraId="395F6BE8" w14:textId="4805E0E7" w:rsidR="00C972CB" w:rsidRDefault="002457F6">
      <w:pPr>
        <w:pStyle w:val="Heading2"/>
        <w:numPr>
          <w:ilvl w:val="1"/>
          <w:numId w:val="0"/>
        </w:numPr>
        <w:ind w:left="850" w:hanging="850"/>
        <w:rPr>
          <w:noProof/>
          <w:u w:val="single"/>
        </w:rPr>
      </w:pPr>
      <w:r>
        <w:rPr>
          <w:noProof/>
        </w:rPr>
        <w:t xml:space="preserve">L. 5. MISIJAS 1. KOMPONENTS: </w:t>
      </w:r>
      <w:r>
        <w:rPr>
          <w:noProof/>
          <w:u w:val="single"/>
        </w:rPr>
        <w:t>Nodarbinātības politika</w:t>
      </w:r>
    </w:p>
    <w:p w14:paraId="5F96819D" w14:textId="77777777" w:rsidR="00C972CB" w:rsidRDefault="002457F6">
      <w:pPr>
        <w:spacing w:before="120" w:after="120"/>
        <w:jc w:val="both"/>
        <w:rPr>
          <w:rFonts w:eastAsia="Calibri"/>
          <w:noProof/>
        </w:rPr>
      </w:pPr>
      <w:r>
        <w:rPr>
          <w:noProof/>
        </w:rPr>
        <w:t xml:space="preserve">Pasākumi saskaņā ar šo </w:t>
      </w:r>
      <w:r>
        <w:rPr>
          <w:noProof/>
          <w:color w:val="000000" w:themeColor="text1"/>
        </w:rPr>
        <w:t xml:space="preserve">Itālijas atveseļošanas un noturības plāna </w:t>
      </w:r>
      <w:r>
        <w:rPr>
          <w:noProof/>
        </w:rPr>
        <w:t>komponentu ievieš visaptverošu un integrētu aktīvas darba tirgus politikas (ADTP) un profesionālās apmācības reformu. Paredzams, ka ADTP stiprināšana un valsts nodarbinātības dienestu (VND) spēju veidošanas uzlaboš</w:t>
      </w:r>
      <w:r>
        <w:rPr>
          <w:noProof/>
        </w:rPr>
        <w:t xml:space="preserve">ana, tostarp to integrācija ar izglītības un apmācības sniedzējiem un privātajiem operatoriem, palielinās pakalpojumu efektivitāti. Turklāt šā komponenta pasākumu mērķis ir mazināt sociālo neaizsargātību pret satricinājumiem, jo īpaši novēršot nedeklarētu </w:t>
      </w:r>
      <w:r>
        <w:rPr>
          <w:noProof/>
        </w:rPr>
        <w:t>darbu visos tā veidos un nozarēs, nosakot efektīvākas sankcijas, kā arī spēcīgākus stimulus likumīgam darbam. Turklāt šis komponents veicina dzimumu līdztiesību (vienādu darba samaksu), izmantojot dzimumu līdztiesības sertifikācijas sistēmu. Tā arī iegulda</w:t>
      </w:r>
      <w:r>
        <w:rPr>
          <w:noProof/>
        </w:rPr>
        <w:t xml:space="preserve"> jauniešos, palielinot mācību programmu kvantitāti un kvalitāti, piemēram, piedaloties Universālā civildienesta programmā.</w:t>
      </w:r>
    </w:p>
    <w:p w14:paraId="4943D292" w14:textId="69D53C9B" w:rsidR="00C972CB" w:rsidRDefault="002457F6">
      <w:pPr>
        <w:spacing w:before="120" w:after="120"/>
        <w:jc w:val="both"/>
        <w:rPr>
          <w:noProof/>
        </w:rPr>
      </w:pPr>
      <w:r>
        <w:rPr>
          <w:noProof/>
        </w:rPr>
        <w:t xml:space="preserve">Paredzams, ka šo pasākumu īstenošana palīdzēs risināt problēmas, uz kurām attiecas 2020. gada valstij adresētais ieteikums Nr. 2 par </w:t>
      </w:r>
      <w:r>
        <w:rPr>
          <w:noProof/>
        </w:rPr>
        <w:t>darba tirgu, mudinot Itāliju “samazināt krīzes ietekmi uz nodarbinātību, tostarp ar [...] aktīvu atbalstu nodarbinātībai”, 2020. gada valstij adresētajā ieteikumā Nr. 2 “atbalstīt prasmes, tostarp digitālās”, 2019. gada valstij adresētajā ieteikumā Nr. 2 “</w:t>
      </w:r>
      <w:r>
        <w:rPr>
          <w:noProof/>
        </w:rPr>
        <w:t>Pastiprināt centienus novērst nedeklarētu darbu, nodrošināt, ka aktīva darba tirgus un sociālā politika (...) sasniedz jo īpaši jauniešus un neaizsargātas grupas. Atbalstīt sieviešu līdzdalību darba tirgū” un 2019. gada valstij adresēto ieteikumu Nr. 2 “ve</w:t>
      </w:r>
      <w:r>
        <w:rPr>
          <w:noProof/>
        </w:rPr>
        <w:t>icināt prasmju pilnveidi, tostarp stiprinot digitālās prasmes”.</w:t>
      </w:r>
    </w:p>
    <w:p w14:paraId="49F1FE36"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L.1. </w:t>
      </w:r>
      <w:r>
        <w:rPr>
          <w:noProof/>
        </w:rPr>
        <w:tab/>
      </w:r>
      <w:r>
        <w:rPr>
          <w:b/>
          <w:i w:val="0"/>
          <w:noProof/>
          <w:u w:val="single"/>
        </w:rPr>
        <w:t>Neatmaksājamam finansiālajam atbalstam pieteikto reformu un investīciju apraksts</w:t>
      </w:r>
    </w:p>
    <w:p w14:paraId="44D8AE44" w14:textId="77777777" w:rsidR="00C972CB" w:rsidRDefault="002457F6">
      <w:pPr>
        <w:pStyle w:val="P68B1DB1-Normal2"/>
        <w:spacing w:before="120" w:after="120"/>
        <w:jc w:val="both"/>
        <w:rPr>
          <w:noProof/>
          <w:color w:val="006100"/>
        </w:rPr>
      </w:pPr>
      <w:r>
        <w:rPr>
          <w:noProof/>
        </w:rPr>
        <w:t xml:space="preserve">Reforma — aktīva darba tirgus politika (ADTP) un profesionālā apmācība </w:t>
      </w:r>
    </w:p>
    <w:p w14:paraId="3595F18D" w14:textId="29087E73" w:rsidR="00C972CB" w:rsidRDefault="002457F6">
      <w:pPr>
        <w:spacing w:before="120" w:after="120"/>
        <w:jc w:val="both"/>
        <w:rPr>
          <w:noProof/>
          <w:color w:val="000000" w:themeColor="text1"/>
        </w:rPr>
      </w:pPr>
      <w:r>
        <w:rPr>
          <w:noProof/>
        </w:rPr>
        <w:t>Šīs reformas mērķis ir veicināt e</w:t>
      </w:r>
      <w:r>
        <w:rPr>
          <w:noProof/>
        </w:rPr>
        <w:t xml:space="preserve">fektīvāku aktīva darba tirgus sistēmu, nodrošinot īpašus nodarbinātības pakalpojumus un personalizētus darba tirgus aktivizācijas plānus. </w:t>
      </w:r>
      <w:r>
        <w:rPr>
          <w:b/>
          <w:noProof/>
          <w:color w:val="000000" w:themeColor="text1"/>
        </w:rPr>
        <w:t>Valsts programmas darba ņēmēju garantētai nodarbināmībai</w:t>
      </w:r>
      <w:r>
        <w:rPr>
          <w:noProof/>
          <w:color w:val="000000" w:themeColor="text1"/>
        </w:rPr>
        <w:t>(GOL</w:t>
      </w:r>
      <w:r>
        <w:rPr>
          <w:b/>
          <w:noProof/>
          <w:color w:val="000000" w:themeColor="text1"/>
        </w:rPr>
        <w:t>) izveide ļaus bezdarbniekiem sniegt īpaši pielāgotus paka</w:t>
      </w:r>
      <w:r>
        <w:rPr>
          <w:b/>
          <w:noProof/>
          <w:color w:val="000000" w:themeColor="text1"/>
        </w:rPr>
        <w:t>lpojumus, tādējādi stiprinot viņu aktivizēšanas ceļus. GOL programmai pievieno Jaunu prasmju valsts plānu un valsts būtisko profesionālās izglītības pasākumu līmeņu noteikšanu. Itālijā tiek stiprinātaPIA sistēma, veicinot izglītības, apmācības un nodarbinā</w:t>
      </w:r>
      <w:r>
        <w:rPr>
          <w:b/>
          <w:noProof/>
          <w:color w:val="000000" w:themeColor="text1"/>
        </w:rPr>
        <w:t xml:space="preserve">tības dienestu teritoriālo tīklu, kā arī izstrādājot iekļaujošu mūžizglītības sistēmu un inovatīvus prasmju pilnveides un pārkvalifikācijas ceļus. </w:t>
      </w:r>
    </w:p>
    <w:p w14:paraId="546072A2" w14:textId="77777777" w:rsidR="00C972CB" w:rsidRDefault="002457F6">
      <w:pPr>
        <w:pStyle w:val="P68B1DB1-Normal2"/>
        <w:spacing w:before="120" w:after="120"/>
        <w:jc w:val="both"/>
        <w:rPr>
          <w:noProof/>
        </w:rPr>
      </w:pPr>
      <w:r>
        <w:rPr>
          <w:noProof/>
          <w:color w:val="000000" w:themeColor="text1"/>
        </w:rPr>
        <w:t xml:space="preserve">Ieguldījums 1 — </w:t>
      </w:r>
      <w:r>
        <w:rPr>
          <w:noProof/>
        </w:rPr>
        <w:t>Valstu nodarbinātības dienestu (VND) stiprināšana</w:t>
      </w:r>
    </w:p>
    <w:p w14:paraId="131A8479" w14:textId="77777777" w:rsidR="00C972CB" w:rsidRDefault="002457F6">
      <w:pPr>
        <w:pStyle w:val="P68B1DB1-Normal16"/>
        <w:spacing w:before="120" w:after="120"/>
        <w:jc w:val="both"/>
        <w:rPr>
          <w:noProof/>
        </w:rPr>
      </w:pPr>
      <w:r>
        <w:rPr>
          <w:noProof/>
        </w:rPr>
        <w:t xml:space="preserve">Šā ieguldījuma mērķis ir nodrošināt </w:t>
      </w:r>
      <w:r>
        <w:rPr>
          <w:noProof/>
        </w:rPr>
        <w:t xml:space="preserve">efektīvu nodarbinātības un apmācības pakalpojumu sniegšanu. Šis pasākums ietver ieguldījumus infrastruktūrā, reģionālo darba tirgus novērošanas centru izveidi, reģionālo un valsts informācijas sistēmu sadarbspējas attīstību, apmācības pasākumu izstrādi un </w:t>
      </w:r>
      <w:r>
        <w:rPr>
          <w:noProof/>
        </w:rPr>
        <w:t>īstenošanu, lai atjauninātu darba konsultantu prasmes. Pasākums paredzēja arī piedāvāto pakalpojumu satura un saziņas kanālu izstrādi un ieviešanu.</w:t>
      </w:r>
    </w:p>
    <w:p w14:paraId="1C4AC9ED" w14:textId="77777777" w:rsidR="00C972CB" w:rsidRDefault="002457F6">
      <w:pPr>
        <w:pStyle w:val="P68B1DB1-Normal24"/>
        <w:spacing w:before="120" w:after="120"/>
        <w:jc w:val="both"/>
        <w:rPr>
          <w:noProof/>
        </w:rPr>
      </w:pPr>
      <w:r>
        <w:rPr>
          <w:noProof/>
        </w:rPr>
        <w:t>Reforma — Valsts plāns cīņai pret nedeklarētu darbu</w:t>
      </w:r>
    </w:p>
    <w:p w14:paraId="074CAC52" w14:textId="7274A19B" w:rsidR="00C972CB" w:rsidRDefault="002457F6">
      <w:pPr>
        <w:pStyle w:val="P68B1DB1-Normal16"/>
        <w:spacing w:before="120" w:after="120"/>
        <w:jc w:val="both"/>
        <w:rPr>
          <w:noProof/>
        </w:rPr>
      </w:pPr>
      <w:r>
        <w:rPr>
          <w:noProof/>
        </w:rPr>
        <w:t>Šā pasākuma mērķis ir uzlabot darba kvalitāti un darba ņ</w:t>
      </w:r>
      <w:r>
        <w:rPr>
          <w:noProof/>
        </w:rPr>
        <w:t xml:space="preserve">ēmēju apstākļus. Šis pasākums ietver darbības, kuru mērķis ir </w:t>
      </w:r>
      <w:r>
        <w:rPr>
          <w:b/>
          <w:noProof/>
        </w:rPr>
        <w:t>novērst un apkarot nedeklarētu darbu</w:t>
      </w:r>
      <w:r>
        <w:rPr>
          <w:noProof/>
        </w:rPr>
        <w:t>, darbaspēka ekspluatāciju (Caporalato) un citus neatbilstīga darba veidus. Reforma ietver: Ieviest tiešus un netiešus pasākumus, lai nedeklarētu darbu pārvei</w:t>
      </w:r>
      <w:r>
        <w:rPr>
          <w:noProof/>
        </w:rPr>
        <w:t>dotu par deklarētu darbu, nodrošinot, ka ieguvumi no darbības deklarētajā ekonomikā pārsniedz izmaksas, ko rada darbs nedeklarētā ekonomikā; Valsts darba inspekcijas spēju stiprināšana; III) uzlabot detalizētu datu par nedeklarētu darbu sagatavošanu, vākša</w:t>
      </w:r>
      <w:r>
        <w:rPr>
          <w:noProof/>
        </w:rPr>
        <w:t>nu un savlaicīgu izplatīšanu; Atbalstīt nedeklarēta darba pārveidošanu par regulāru darbu, atbalstot atturošu pasākumu un stimulu pieņemšanu attiecībā uz regulāru darbu; Komunikācijas kampaņu, informācijas un izpratnes veicināšanas pasākumu veikšana; Pārva</w:t>
      </w:r>
      <w:r>
        <w:rPr>
          <w:noProof/>
        </w:rPr>
        <w:t xml:space="preserve">ldības sistēmas stiprināšana, lai apkarotu nedeklarētu darbu valsts un vietējā līmenī. </w:t>
      </w:r>
    </w:p>
    <w:p w14:paraId="237B7991" w14:textId="77777777" w:rsidR="00C972CB" w:rsidRDefault="002457F6">
      <w:pPr>
        <w:pStyle w:val="P68B1DB1-Normal24"/>
        <w:spacing w:before="120" w:after="120"/>
        <w:jc w:val="both"/>
        <w:rPr>
          <w:noProof/>
        </w:rPr>
      </w:pPr>
      <w:r>
        <w:rPr>
          <w:noProof/>
        </w:rPr>
        <w:t>Ieguldījums — Dzimumu līdztiesības sertifikācijas sistēma</w:t>
      </w:r>
    </w:p>
    <w:p w14:paraId="61239ED3" w14:textId="0D4D4956" w:rsidR="00C972CB" w:rsidRDefault="002457F6">
      <w:pPr>
        <w:spacing w:before="120" w:after="120"/>
        <w:jc w:val="both"/>
        <w:rPr>
          <w:noProof/>
        </w:rPr>
      </w:pPr>
      <w:r>
        <w:rPr>
          <w:noProof/>
          <w:color w:val="000000" w:themeColor="text1"/>
        </w:rPr>
        <w:t>Šā pasākuma mērķis ir nodrošināt sieviešu atkārtotu</w:t>
      </w:r>
      <w:r>
        <w:rPr>
          <w:noProof/>
        </w:rPr>
        <w:t>līdzdalību darba tirgū</w:t>
      </w:r>
      <w:r>
        <w:rPr>
          <w:noProof/>
          <w:color w:val="000000" w:themeColor="text1"/>
        </w:rPr>
        <w:t xml:space="preserve"> un samazināt vīriešu un sieviešu dar</w:t>
      </w:r>
      <w:r>
        <w:rPr>
          <w:noProof/>
          <w:color w:val="000000" w:themeColor="text1"/>
        </w:rPr>
        <w:t xml:space="preserve">ba samaksas atšķirības. Šis ieguldījums ietver </w:t>
      </w:r>
      <w:r>
        <w:rPr>
          <w:b/>
          <w:noProof/>
        </w:rPr>
        <w:t xml:space="preserve">valsts dzimumu līdztiesības sertifikācijas sistēmas </w:t>
      </w:r>
      <w:r>
        <w:rPr>
          <w:noProof/>
          <w:color w:val="000000" w:themeColor="text1"/>
        </w:rPr>
        <w:t xml:space="preserve"> </w:t>
      </w:r>
      <w:r>
        <w:rPr>
          <w:noProof/>
        </w:rPr>
        <w:t>īstenošanu un izpildi, lai veicinātu pārredzamību darba tirgū, kā arī uzņēmējdarbības procesos un vidējā termiņā un ilgtermiņā palīdzētu uzlabot sieviešu da</w:t>
      </w:r>
      <w:r>
        <w:rPr>
          <w:noProof/>
        </w:rPr>
        <w:t>rba apstākļus kvalitātes, atalgojuma un iespēju ziņā.</w:t>
      </w:r>
    </w:p>
    <w:p w14:paraId="2E90FABE" w14:textId="77777777" w:rsidR="00C972CB" w:rsidRDefault="002457F6">
      <w:pPr>
        <w:pStyle w:val="P68B1DB1-Normal2"/>
        <w:spacing w:before="120" w:after="120"/>
        <w:jc w:val="both"/>
        <w:rPr>
          <w:noProof/>
          <w:color w:val="000000" w:themeColor="text1"/>
        </w:rPr>
      </w:pPr>
      <w:r>
        <w:rPr>
          <w:noProof/>
        </w:rPr>
        <w:t>Ieguldījums — duālās sistēmas stiprināšana</w:t>
      </w:r>
    </w:p>
    <w:p w14:paraId="358A3496" w14:textId="5181B406" w:rsidR="00C972CB" w:rsidRDefault="002457F6">
      <w:pPr>
        <w:spacing w:before="120" w:after="120"/>
        <w:jc w:val="both"/>
        <w:rPr>
          <w:noProof/>
        </w:rPr>
      </w:pPr>
      <w:r>
        <w:rPr>
          <w:noProof/>
        </w:rPr>
        <w:t>Šā pasākuma mērķis ir atbalstīt jauniešus un pieaugušos, kuriem nav vidējās izglītības, piekļuvi nodarbinātības iespējām, palielinot to cilvēku skaitu, kuri pi</w:t>
      </w:r>
      <w:r>
        <w:rPr>
          <w:noProof/>
        </w:rPr>
        <w:t>edalās formālajā izglītībā un profesionālajā izglītībā un apmācībā, izmantojot duālo sistēmu, tostarp māceklību. Šis ieguldījums palīdzēs padarīt izglītības un apmācības sistēmas sinerģiskākas ar darba tirgu, kā arī veicināt jauniešu nodarbināmību, apgūsto</w:t>
      </w:r>
      <w:r>
        <w:rPr>
          <w:noProof/>
        </w:rPr>
        <w:t>t jaunas kompetences saskaņā ar digitālo un zaļo pārkārtošanos un mācīšanos darbavietā. Tā palīdz: Modernizēt izglītības un apmācības sistēmu, veicinot mācīšanos darbavietā un stiprinot dialogu ar uzņēmumiem; Palielināt finanšu piešķīrumu, lai piedāvātu ap</w:t>
      </w:r>
      <w:r>
        <w:rPr>
          <w:noProof/>
        </w:rPr>
        <w:t xml:space="preserve">mācību nelabvēlīgos apgabalos; Izveidot stabilu un iekļaujošu pārvaldību, kas ietver ekonomiskos un sociālos partnerus. </w:t>
      </w:r>
    </w:p>
    <w:p w14:paraId="12102082" w14:textId="77777777" w:rsidR="00C972CB" w:rsidRDefault="002457F6">
      <w:pPr>
        <w:pStyle w:val="P68B1DB1-Normal2"/>
        <w:spacing w:before="120" w:after="120"/>
        <w:jc w:val="both"/>
        <w:rPr>
          <w:noProof/>
          <w:color w:val="000000" w:themeColor="text1"/>
        </w:rPr>
      </w:pPr>
      <w:r>
        <w:rPr>
          <w:noProof/>
        </w:rPr>
        <w:t>Ieguldījums</w:t>
      </w:r>
      <w:r>
        <w:rPr>
          <w:noProof/>
          <w:color w:val="000000" w:themeColor="text1"/>
        </w:rPr>
        <w:t>— Universālā civildienesta nostiprināšana</w:t>
      </w:r>
    </w:p>
    <w:p w14:paraId="331AFF62" w14:textId="04C0B345" w:rsidR="00C972CB" w:rsidRDefault="002457F6">
      <w:pPr>
        <w:spacing w:before="120" w:after="120"/>
        <w:jc w:val="both"/>
        <w:rPr>
          <w:noProof/>
          <w:color w:val="000000" w:themeColor="text1"/>
        </w:rPr>
      </w:pPr>
      <w:r>
        <w:rPr>
          <w:noProof/>
        </w:rPr>
        <w:t>Šā pasākuma mērķis ir stiprināt vispārējo civildienestu, palielināt neformālās māc</w:t>
      </w:r>
      <w:r>
        <w:rPr>
          <w:noProof/>
        </w:rPr>
        <w:t xml:space="preserve">īšanās procesā iesaistīto jauniešu skaitu un uzlabot viņu zināšanas un prasmes. Šīs investīcijas ietver pasākumus, kuru mērķis ir palielināt informētību par aktīva pilsoniskuma nozīmi, veicināt </w:t>
      </w:r>
      <w:r>
        <w:rPr>
          <w:noProof/>
          <w:color w:val="000000" w:themeColor="text1"/>
        </w:rPr>
        <w:t>jauniešu nodarbināmību un sociālo kohēziju, īpašu uzmanību pie</w:t>
      </w:r>
      <w:r>
        <w:rPr>
          <w:noProof/>
          <w:color w:val="000000" w:themeColor="text1"/>
        </w:rPr>
        <w:t>vēršot zaļajai un digitālajai pārejai.</w:t>
      </w:r>
    </w:p>
    <w:p w14:paraId="2DC41CC8" w14:textId="77777777" w:rsidR="00C972CB" w:rsidRDefault="002457F6">
      <w:pPr>
        <w:pStyle w:val="Heading3"/>
        <w:numPr>
          <w:ilvl w:val="0"/>
          <w:numId w:val="0"/>
        </w:numPr>
        <w:ind w:left="850" w:hanging="850"/>
        <w:rPr>
          <w:b/>
          <w:i w:val="0"/>
          <w:noProof/>
          <w:u w:val="single"/>
        </w:rPr>
      </w:pPr>
      <w:r>
        <w:rPr>
          <w:b/>
          <w:i w:val="0"/>
          <w:noProof/>
          <w:u w:val="single"/>
        </w:rPr>
        <w:t xml:space="preserve">L.2. </w:t>
      </w:r>
      <w:r>
        <w:rPr>
          <w:noProof/>
        </w:rPr>
        <w:tab/>
      </w:r>
      <w:r>
        <w:rPr>
          <w:b/>
          <w:i w:val="0"/>
          <w:noProof/>
          <w:u w:val="single"/>
        </w:rPr>
        <w:t>Atskaites punkti, mērķrādītāji, citi rādītāji un neatmaksājamā finansiālā atbalsta uzraudzības un īstenošanas grafiks</w:t>
      </w:r>
    </w:p>
    <w:p w14:paraId="5790F7C0" w14:textId="77777777" w:rsidR="00C972CB" w:rsidRDefault="00C972CB">
      <w:pPr>
        <w:spacing w:before="120" w:after="120"/>
        <w:ind w:left="709"/>
        <w:jc w:val="both"/>
        <w:rPr>
          <w:noProof/>
        </w:rPr>
        <w:sectPr w:rsidR="00C972CB">
          <w:headerReference w:type="even" r:id="rId278"/>
          <w:headerReference w:type="default" r:id="rId279"/>
          <w:footerReference w:type="even" r:id="rId280"/>
          <w:footerReference w:type="default" r:id="rId281"/>
          <w:headerReference w:type="first" r:id="rId282"/>
          <w:footerReference w:type="first" r:id="rId283"/>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281"/>
        <w:gridCol w:w="1597"/>
        <w:gridCol w:w="1470"/>
        <w:gridCol w:w="1275"/>
        <w:gridCol w:w="1134"/>
        <w:gridCol w:w="1134"/>
        <w:gridCol w:w="851"/>
        <w:gridCol w:w="709"/>
        <w:gridCol w:w="2835"/>
      </w:tblGrid>
      <w:tr w:rsidR="00C972CB" w14:paraId="7C89DE0E" w14:textId="77777777">
        <w:trPr>
          <w:trHeight w:val="633"/>
          <w:tblHeader/>
          <w:jc w:val="center"/>
        </w:trPr>
        <w:tc>
          <w:tcPr>
            <w:tcW w:w="1364" w:type="dxa"/>
            <w:vMerge w:val="restart"/>
            <w:shd w:val="clear" w:color="auto" w:fill="BDD7EE"/>
            <w:vAlign w:val="center"/>
            <w:hideMark/>
          </w:tcPr>
          <w:p w14:paraId="6F7D6B72" w14:textId="77777777" w:rsidR="00C972CB" w:rsidRDefault="002457F6">
            <w:pPr>
              <w:pStyle w:val="P68B1DB1-Normal9"/>
              <w:jc w:val="center"/>
              <w:rPr>
                <w:noProof/>
              </w:rPr>
            </w:pPr>
            <w:r>
              <w:rPr>
                <w:noProof/>
              </w:rPr>
              <w:t>Kārtas numurs</w:t>
            </w:r>
          </w:p>
        </w:tc>
        <w:tc>
          <w:tcPr>
            <w:tcW w:w="1513" w:type="dxa"/>
            <w:vMerge w:val="restart"/>
            <w:shd w:val="clear" w:color="auto" w:fill="BDD7EE"/>
            <w:vAlign w:val="center"/>
            <w:hideMark/>
          </w:tcPr>
          <w:p w14:paraId="398FE76E" w14:textId="77777777" w:rsidR="00C972CB" w:rsidRDefault="002457F6">
            <w:pPr>
              <w:pStyle w:val="P68B1DB1-Normal9"/>
              <w:jc w:val="center"/>
              <w:rPr>
                <w:noProof/>
              </w:rPr>
            </w:pPr>
            <w:r>
              <w:rPr>
                <w:noProof/>
              </w:rPr>
              <w:t xml:space="preserve">Pasākums (reforma vai </w:t>
            </w:r>
            <w:r>
              <w:rPr>
                <w:noProof/>
              </w:rPr>
              <w:t>investīcija)</w:t>
            </w:r>
          </w:p>
        </w:tc>
        <w:tc>
          <w:tcPr>
            <w:tcW w:w="1281" w:type="dxa"/>
            <w:vMerge w:val="restart"/>
            <w:shd w:val="clear" w:color="auto" w:fill="BDD7EE"/>
            <w:vAlign w:val="center"/>
            <w:hideMark/>
          </w:tcPr>
          <w:p w14:paraId="60AE39E8" w14:textId="77777777" w:rsidR="00C972CB" w:rsidRDefault="002457F6">
            <w:pPr>
              <w:pStyle w:val="P68B1DB1-Normal9"/>
              <w:jc w:val="center"/>
              <w:rPr>
                <w:noProof/>
              </w:rPr>
            </w:pPr>
            <w:r>
              <w:rPr>
                <w:noProof/>
              </w:rPr>
              <w:t>Atskaites punkts/mērķrādītājs</w:t>
            </w:r>
          </w:p>
        </w:tc>
        <w:tc>
          <w:tcPr>
            <w:tcW w:w="1597" w:type="dxa"/>
            <w:vMerge w:val="restart"/>
            <w:shd w:val="clear" w:color="auto" w:fill="BDD7EE"/>
            <w:vAlign w:val="center"/>
            <w:hideMark/>
          </w:tcPr>
          <w:p w14:paraId="16F0560C" w14:textId="77777777" w:rsidR="00C972CB" w:rsidRDefault="002457F6">
            <w:pPr>
              <w:pStyle w:val="P68B1DB1-Normal9"/>
              <w:jc w:val="center"/>
              <w:rPr>
                <w:noProof/>
              </w:rPr>
            </w:pPr>
            <w:r>
              <w:rPr>
                <w:noProof/>
              </w:rPr>
              <w:t>Uzvārds</w:t>
            </w:r>
          </w:p>
        </w:tc>
        <w:tc>
          <w:tcPr>
            <w:tcW w:w="1470" w:type="dxa"/>
            <w:vMerge w:val="restart"/>
            <w:shd w:val="clear" w:color="auto" w:fill="BDD7EE"/>
            <w:vAlign w:val="center"/>
            <w:hideMark/>
          </w:tcPr>
          <w:p w14:paraId="1D21B8E4" w14:textId="77777777" w:rsidR="00C972CB" w:rsidRDefault="002457F6">
            <w:pPr>
              <w:pStyle w:val="P68B1DB1-Normal19"/>
              <w:jc w:val="center"/>
              <w:rPr>
                <w:b/>
                <w:noProof/>
              </w:rPr>
            </w:pPr>
            <w:r>
              <w:rPr>
                <w:b/>
                <w:noProof/>
              </w:rPr>
              <w:t>Kvalitātes rādītāji</w:t>
            </w:r>
            <w:r>
              <w:rPr>
                <w:noProof/>
              </w:rPr>
              <w:t xml:space="preserve"> </w:t>
            </w:r>
            <w:r>
              <w:rPr>
                <w:noProof/>
              </w:rPr>
              <w:br/>
            </w:r>
            <w:r>
              <w:rPr>
                <w:b/>
                <w:noProof/>
              </w:rPr>
              <w:t>(attiecībā uz starpposma mērķiem)</w:t>
            </w:r>
          </w:p>
        </w:tc>
        <w:tc>
          <w:tcPr>
            <w:tcW w:w="3543" w:type="dxa"/>
            <w:gridSpan w:val="3"/>
            <w:shd w:val="clear" w:color="auto" w:fill="BDD7EE"/>
            <w:vAlign w:val="center"/>
            <w:hideMark/>
          </w:tcPr>
          <w:p w14:paraId="31BED4F3" w14:textId="77777777" w:rsidR="00C972CB" w:rsidRDefault="002457F6">
            <w:pPr>
              <w:pStyle w:val="P68B1DB1-Normal19"/>
              <w:jc w:val="center"/>
              <w:rPr>
                <w:b/>
                <w:noProof/>
              </w:rPr>
            </w:pPr>
            <w:r>
              <w:rPr>
                <w:b/>
                <w:noProof/>
              </w:rPr>
              <w:t>Kvantitatīvie rādītāji</w:t>
            </w:r>
            <w:r>
              <w:rPr>
                <w:noProof/>
              </w:rPr>
              <w:t xml:space="preserve"> </w:t>
            </w:r>
            <w:r>
              <w:rPr>
                <w:noProof/>
              </w:rPr>
              <w:br/>
            </w:r>
            <w:r>
              <w:rPr>
                <w:b/>
                <w:noProof/>
              </w:rPr>
              <w:t>(mērķiem)</w:t>
            </w:r>
          </w:p>
        </w:tc>
        <w:tc>
          <w:tcPr>
            <w:tcW w:w="1560" w:type="dxa"/>
            <w:gridSpan w:val="2"/>
            <w:shd w:val="clear" w:color="auto" w:fill="BDD7EE"/>
            <w:vAlign w:val="center"/>
            <w:hideMark/>
          </w:tcPr>
          <w:p w14:paraId="00FC4B1E" w14:textId="77777777" w:rsidR="00C972CB" w:rsidRDefault="002457F6">
            <w:pPr>
              <w:pStyle w:val="P68B1DB1-Normal9"/>
              <w:jc w:val="center"/>
              <w:rPr>
                <w:noProof/>
              </w:rPr>
            </w:pPr>
            <w:r>
              <w:rPr>
                <w:noProof/>
              </w:rPr>
              <w:t>Orientējošs pabeigšanas termiņš</w:t>
            </w:r>
          </w:p>
        </w:tc>
        <w:tc>
          <w:tcPr>
            <w:tcW w:w="2835" w:type="dxa"/>
            <w:vMerge w:val="restart"/>
            <w:shd w:val="clear" w:color="auto" w:fill="BDD7EE"/>
            <w:vAlign w:val="center"/>
            <w:hideMark/>
          </w:tcPr>
          <w:p w14:paraId="69DA7365" w14:textId="77777777" w:rsidR="00C972CB" w:rsidRDefault="002457F6">
            <w:pPr>
              <w:pStyle w:val="P68B1DB1-Normal9"/>
              <w:jc w:val="center"/>
              <w:rPr>
                <w:noProof/>
              </w:rPr>
            </w:pPr>
            <w:r>
              <w:rPr>
                <w:noProof/>
              </w:rPr>
              <w:t>Apraksts par katru atskaites punktu un mērķrādītāju</w:t>
            </w:r>
          </w:p>
        </w:tc>
      </w:tr>
      <w:tr w:rsidR="00C972CB" w14:paraId="76BC4635" w14:textId="77777777">
        <w:trPr>
          <w:trHeight w:val="632"/>
          <w:jc w:val="center"/>
        </w:trPr>
        <w:tc>
          <w:tcPr>
            <w:tcW w:w="1364" w:type="dxa"/>
            <w:vMerge/>
            <w:vAlign w:val="center"/>
          </w:tcPr>
          <w:p w14:paraId="5018A7C3" w14:textId="77777777" w:rsidR="00C972CB" w:rsidRDefault="00C972CB">
            <w:pPr>
              <w:jc w:val="center"/>
              <w:rPr>
                <w:rFonts w:ascii="Arial Narrow" w:hAnsi="Arial Narrow"/>
                <w:b/>
                <w:noProof/>
                <w:sz w:val="20"/>
              </w:rPr>
            </w:pPr>
          </w:p>
        </w:tc>
        <w:tc>
          <w:tcPr>
            <w:tcW w:w="1513" w:type="dxa"/>
            <w:vMerge/>
            <w:vAlign w:val="center"/>
          </w:tcPr>
          <w:p w14:paraId="5CE8B43D" w14:textId="77777777" w:rsidR="00C972CB" w:rsidRDefault="00C972CB">
            <w:pPr>
              <w:jc w:val="center"/>
              <w:rPr>
                <w:rFonts w:ascii="Arial Narrow" w:hAnsi="Arial Narrow"/>
                <w:b/>
                <w:noProof/>
                <w:sz w:val="20"/>
              </w:rPr>
            </w:pPr>
          </w:p>
        </w:tc>
        <w:tc>
          <w:tcPr>
            <w:tcW w:w="1281" w:type="dxa"/>
            <w:vMerge/>
            <w:vAlign w:val="center"/>
          </w:tcPr>
          <w:p w14:paraId="66575E2D" w14:textId="77777777" w:rsidR="00C972CB" w:rsidRDefault="00C972CB">
            <w:pPr>
              <w:jc w:val="center"/>
              <w:rPr>
                <w:rFonts w:ascii="Arial Narrow" w:hAnsi="Arial Narrow"/>
                <w:b/>
                <w:noProof/>
                <w:sz w:val="20"/>
              </w:rPr>
            </w:pPr>
          </w:p>
        </w:tc>
        <w:tc>
          <w:tcPr>
            <w:tcW w:w="1597" w:type="dxa"/>
            <w:vMerge/>
            <w:vAlign w:val="center"/>
          </w:tcPr>
          <w:p w14:paraId="40C4D245" w14:textId="77777777" w:rsidR="00C972CB" w:rsidRDefault="00C972CB">
            <w:pPr>
              <w:jc w:val="center"/>
              <w:rPr>
                <w:rFonts w:ascii="Arial Narrow" w:hAnsi="Arial Narrow"/>
                <w:b/>
                <w:noProof/>
                <w:sz w:val="20"/>
              </w:rPr>
            </w:pPr>
          </w:p>
        </w:tc>
        <w:tc>
          <w:tcPr>
            <w:tcW w:w="1470" w:type="dxa"/>
            <w:vMerge/>
            <w:vAlign w:val="center"/>
          </w:tcPr>
          <w:p w14:paraId="59C36673" w14:textId="77777777" w:rsidR="00C972CB" w:rsidRDefault="00C972CB">
            <w:pPr>
              <w:jc w:val="center"/>
              <w:rPr>
                <w:rFonts w:ascii="Arial Narrow" w:hAnsi="Arial Narrow"/>
                <w:b/>
                <w:noProof/>
                <w:sz w:val="20"/>
              </w:rPr>
            </w:pPr>
          </w:p>
        </w:tc>
        <w:tc>
          <w:tcPr>
            <w:tcW w:w="1275" w:type="dxa"/>
            <w:shd w:val="clear" w:color="auto" w:fill="BDD7EE"/>
            <w:vAlign w:val="center"/>
          </w:tcPr>
          <w:p w14:paraId="383E2B43" w14:textId="77777777" w:rsidR="00C972CB" w:rsidRDefault="002457F6">
            <w:pPr>
              <w:pStyle w:val="P68B1DB1-Normal9"/>
              <w:jc w:val="center"/>
              <w:rPr>
                <w:noProof/>
              </w:rPr>
            </w:pPr>
            <w:r>
              <w:rPr>
                <w:noProof/>
              </w:rPr>
              <w:t>Mēra vienība</w:t>
            </w:r>
          </w:p>
        </w:tc>
        <w:tc>
          <w:tcPr>
            <w:tcW w:w="1134" w:type="dxa"/>
            <w:shd w:val="clear" w:color="auto" w:fill="BDD7EE"/>
            <w:vAlign w:val="center"/>
          </w:tcPr>
          <w:p w14:paraId="440E68E1" w14:textId="77777777" w:rsidR="00C972CB" w:rsidRDefault="002457F6">
            <w:pPr>
              <w:pStyle w:val="P68B1DB1-Normal9"/>
              <w:jc w:val="center"/>
              <w:rPr>
                <w:noProof/>
              </w:rPr>
            </w:pPr>
            <w:r>
              <w:rPr>
                <w:noProof/>
              </w:rPr>
              <w:t>Pamatscenārijs</w:t>
            </w:r>
          </w:p>
        </w:tc>
        <w:tc>
          <w:tcPr>
            <w:tcW w:w="1134" w:type="dxa"/>
            <w:shd w:val="clear" w:color="auto" w:fill="BDD7EE"/>
            <w:vAlign w:val="center"/>
          </w:tcPr>
          <w:p w14:paraId="77DA5AC6" w14:textId="77777777" w:rsidR="00C972CB" w:rsidRDefault="002457F6">
            <w:pPr>
              <w:pStyle w:val="P68B1DB1-Normal9"/>
              <w:jc w:val="center"/>
              <w:rPr>
                <w:noProof/>
              </w:rPr>
            </w:pPr>
            <w:r>
              <w:rPr>
                <w:noProof/>
              </w:rPr>
              <w:t>Mērķis</w:t>
            </w:r>
          </w:p>
        </w:tc>
        <w:tc>
          <w:tcPr>
            <w:tcW w:w="851" w:type="dxa"/>
            <w:shd w:val="clear" w:color="auto" w:fill="BDD7EE"/>
            <w:vAlign w:val="center"/>
          </w:tcPr>
          <w:p w14:paraId="0ED9525F" w14:textId="77777777" w:rsidR="00C972CB" w:rsidRDefault="002457F6">
            <w:pPr>
              <w:pStyle w:val="P68B1DB1-Normal9"/>
              <w:jc w:val="center"/>
              <w:rPr>
                <w:noProof/>
              </w:rPr>
            </w:pPr>
            <w:r>
              <w:rPr>
                <w:noProof/>
              </w:rPr>
              <w:t>Ceturtdaļa</w:t>
            </w:r>
          </w:p>
        </w:tc>
        <w:tc>
          <w:tcPr>
            <w:tcW w:w="709" w:type="dxa"/>
            <w:shd w:val="clear" w:color="auto" w:fill="BDD7EE"/>
            <w:vAlign w:val="center"/>
          </w:tcPr>
          <w:p w14:paraId="4239C47A" w14:textId="77777777" w:rsidR="00C972CB" w:rsidRDefault="002457F6">
            <w:pPr>
              <w:pStyle w:val="P68B1DB1-Normal9"/>
              <w:jc w:val="center"/>
              <w:rPr>
                <w:noProof/>
              </w:rPr>
            </w:pPr>
            <w:r>
              <w:rPr>
                <w:noProof/>
              </w:rPr>
              <w:t>Gadā</w:t>
            </w:r>
          </w:p>
        </w:tc>
        <w:tc>
          <w:tcPr>
            <w:tcW w:w="2835" w:type="dxa"/>
            <w:vMerge/>
            <w:vAlign w:val="center"/>
          </w:tcPr>
          <w:p w14:paraId="3D335E7A" w14:textId="77777777" w:rsidR="00C972CB" w:rsidRDefault="00C972CB">
            <w:pPr>
              <w:jc w:val="center"/>
              <w:rPr>
                <w:rFonts w:ascii="Arial Narrow" w:hAnsi="Arial Narrow"/>
                <w:b/>
                <w:noProof/>
                <w:sz w:val="20"/>
              </w:rPr>
            </w:pPr>
          </w:p>
        </w:tc>
      </w:tr>
      <w:tr w:rsidR="00C972CB" w14:paraId="580512F7" w14:textId="77777777">
        <w:trPr>
          <w:trHeight w:val="309"/>
          <w:jc w:val="center"/>
        </w:trPr>
        <w:tc>
          <w:tcPr>
            <w:tcW w:w="1364" w:type="dxa"/>
            <w:shd w:val="clear" w:color="auto" w:fill="C6EFCE"/>
            <w:noWrap/>
            <w:vAlign w:val="center"/>
            <w:hideMark/>
          </w:tcPr>
          <w:p w14:paraId="2FDE61EE" w14:textId="77777777" w:rsidR="00C972CB" w:rsidRDefault="002457F6">
            <w:pPr>
              <w:pStyle w:val="P68B1DB1-Normal11"/>
              <w:jc w:val="center"/>
              <w:rPr>
                <w:noProof/>
              </w:rPr>
            </w:pPr>
            <w:r>
              <w:rPr>
                <w:noProof/>
              </w:rPr>
              <w:t xml:space="preserve">M5C1–1 </w:t>
            </w:r>
          </w:p>
        </w:tc>
        <w:tc>
          <w:tcPr>
            <w:tcW w:w="1513" w:type="dxa"/>
            <w:shd w:val="clear" w:color="auto" w:fill="C6EFCE"/>
            <w:noWrap/>
            <w:vAlign w:val="center"/>
            <w:hideMark/>
          </w:tcPr>
          <w:p w14:paraId="015FB8EA" w14:textId="77777777" w:rsidR="00C972CB" w:rsidRDefault="002457F6">
            <w:pPr>
              <w:pStyle w:val="P68B1DB1-Normal11"/>
              <w:jc w:val="center"/>
              <w:rPr>
                <w:noProof/>
              </w:rPr>
            </w:pPr>
            <w:r>
              <w:rPr>
                <w:noProof/>
              </w:rPr>
              <w:t>Reforma — ADTP un profesionālā apmācība</w:t>
            </w:r>
          </w:p>
        </w:tc>
        <w:tc>
          <w:tcPr>
            <w:tcW w:w="1281" w:type="dxa"/>
            <w:shd w:val="clear" w:color="auto" w:fill="C6EFCE"/>
            <w:noWrap/>
            <w:vAlign w:val="center"/>
            <w:hideMark/>
          </w:tcPr>
          <w:p w14:paraId="50458721" w14:textId="77777777" w:rsidR="00C972CB" w:rsidRDefault="002457F6">
            <w:pPr>
              <w:pStyle w:val="P68B1DB1-Normal11"/>
              <w:jc w:val="center"/>
              <w:rPr>
                <w:noProof/>
              </w:rPr>
            </w:pPr>
            <w:r>
              <w:rPr>
                <w:noProof/>
              </w:rPr>
              <w:t>Starpposma mērķis</w:t>
            </w:r>
          </w:p>
        </w:tc>
        <w:tc>
          <w:tcPr>
            <w:tcW w:w="1597" w:type="dxa"/>
            <w:shd w:val="clear" w:color="auto" w:fill="C6EFCE"/>
            <w:noWrap/>
            <w:vAlign w:val="center"/>
            <w:hideMark/>
          </w:tcPr>
          <w:p w14:paraId="165DD795" w14:textId="77777777" w:rsidR="00C972CB" w:rsidRDefault="002457F6">
            <w:pPr>
              <w:pStyle w:val="P68B1DB1-Normal11"/>
              <w:jc w:val="center"/>
              <w:rPr>
                <w:noProof/>
              </w:rPr>
            </w:pPr>
            <w:r>
              <w:rPr>
                <w:noProof/>
              </w:rPr>
              <w:t xml:space="preserve">Stājas spēkā ministriju dekrēts, ar ko izveido valsts programmu garantētai darba ņēmēju nodarbināmībai (GOL), un starpministriju dekrēts, ar ko </w:t>
            </w:r>
            <w:r>
              <w:rPr>
                <w:noProof/>
              </w:rPr>
              <w:t>izveido valsts plānu jaunām prasmēm</w:t>
            </w:r>
          </w:p>
        </w:tc>
        <w:tc>
          <w:tcPr>
            <w:tcW w:w="1470" w:type="dxa"/>
            <w:shd w:val="clear" w:color="auto" w:fill="C6EFCE"/>
            <w:noWrap/>
            <w:vAlign w:val="center"/>
            <w:hideMark/>
          </w:tcPr>
          <w:p w14:paraId="29241EDC" w14:textId="77777777" w:rsidR="00C972CB" w:rsidRDefault="002457F6">
            <w:pPr>
              <w:pStyle w:val="P68B1DB1-Normal11"/>
              <w:jc w:val="center"/>
              <w:rPr>
                <w:noProof/>
              </w:rPr>
            </w:pPr>
            <w:r>
              <w:rPr>
                <w:noProof/>
              </w:rPr>
              <w:t>Starpministriju dekrēto noteikums, kas norāda uz abu ministriju starpministriju dekrētu stāšanos spēkā pēc vienošanās valsts un reģionu konferencē par programmu GOL un Valsts jauno prasmju plānu</w:t>
            </w:r>
          </w:p>
        </w:tc>
        <w:tc>
          <w:tcPr>
            <w:tcW w:w="1275" w:type="dxa"/>
            <w:shd w:val="clear" w:color="auto" w:fill="C6EFCE"/>
            <w:noWrap/>
            <w:vAlign w:val="center"/>
            <w:hideMark/>
          </w:tcPr>
          <w:p w14:paraId="69C0AC72"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1FA4790B" w14:textId="77777777" w:rsidR="00C972CB" w:rsidRDefault="002457F6">
            <w:pPr>
              <w:pStyle w:val="P68B1DB1-Normal11"/>
              <w:jc w:val="center"/>
              <w:rPr>
                <w:rFonts w:eastAsia="Calibri"/>
                <w:noProof/>
              </w:rPr>
            </w:pPr>
            <w:r>
              <w:rPr>
                <w:noProof/>
              </w:rPr>
              <w:t>NEPIEMĒRO</w:t>
            </w:r>
          </w:p>
        </w:tc>
        <w:tc>
          <w:tcPr>
            <w:tcW w:w="1134" w:type="dxa"/>
            <w:shd w:val="clear" w:color="auto" w:fill="C6EFCE"/>
            <w:noWrap/>
            <w:vAlign w:val="center"/>
            <w:hideMark/>
          </w:tcPr>
          <w:p w14:paraId="03C4567E" w14:textId="77777777" w:rsidR="00C972CB" w:rsidRDefault="002457F6">
            <w:pPr>
              <w:pStyle w:val="P68B1DB1-Normal11"/>
              <w:jc w:val="center"/>
              <w:rPr>
                <w:noProof/>
              </w:rPr>
            </w:pPr>
            <w:r>
              <w:rPr>
                <w:noProof/>
              </w:rPr>
              <w:t>NEPIEMĒRO</w:t>
            </w:r>
          </w:p>
        </w:tc>
        <w:tc>
          <w:tcPr>
            <w:tcW w:w="851" w:type="dxa"/>
            <w:shd w:val="clear" w:color="auto" w:fill="C6EFCE"/>
            <w:noWrap/>
            <w:vAlign w:val="center"/>
            <w:hideMark/>
          </w:tcPr>
          <w:p w14:paraId="1E36DBCB" w14:textId="77777777" w:rsidR="00C972CB" w:rsidRDefault="002457F6">
            <w:pPr>
              <w:pStyle w:val="P68B1DB1-Normal11"/>
              <w:jc w:val="center"/>
              <w:rPr>
                <w:rFonts w:eastAsia="Calibri"/>
                <w:noProof/>
              </w:rPr>
            </w:pPr>
            <w:r>
              <w:rPr>
                <w:noProof/>
              </w:rPr>
              <w:t>4. CET.</w:t>
            </w:r>
          </w:p>
        </w:tc>
        <w:tc>
          <w:tcPr>
            <w:tcW w:w="709" w:type="dxa"/>
            <w:shd w:val="clear" w:color="auto" w:fill="C6EFCE"/>
            <w:noWrap/>
            <w:vAlign w:val="center"/>
            <w:hideMark/>
          </w:tcPr>
          <w:p w14:paraId="399AC12E" w14:textId="77777777" w:rsidR="00C972CB" w:rsidRDefault="002457F6">
            <w:pPr>
              <w:pStyle w:val="P68B1DB1-Normal11"/>
              <w:jc w:val="center"/>
              <w:rPr>
                <w:noProof/>
              </w:rPr>
            </w:pPr>
            <w:r>
              <w:rPr>
                <w:noProof/>
              </w:rPr>
              <w:t>2021</w:t>
            </w:r>
          </w:p>
        </w:tc>
        <w:tc>
          <w:tcPr>
            <w:tcW w:w="2835" w:type="dxa"/>
            <w:shd w:val="clear" w:color="auto" w:fill="C6EFCE"/>
            <w:noWrap/>
            <w:vAlign w:val="center"/>
            <w:hideMark/>
          </w:tcPr>
          <w:p w14:paraId="00F1D1AA" w14:textId="77777777" w:rsidR="00C972CB" w:rsidRDefault="002457F6">
            <w:pPr>
              <w:pStyle w:val="P68B1DB1-Normal11"/>
              <w:rPr>
                <w:rFonts w:eastAsia="Calibri"/>
                <w:noProof/>
              </w:rPr>
            </w:pPr>
            <w:r>
              <w:rPr>
                <w:noProof/>
              </w:rPr>
              <w:t xml:space="preserve">Tiesību akti attiecībā uz GOL ir vismaz: noteikt valsts nodarbinātības dienestu (VND) būtiskos elementus un standartus, tostarp prasmju prognozēšanu, personalizētus apmācības plānus, konsultācijas un darbaudzināšanu, lai nodrošinātu </w:t>
            </w:r>
            <w:r>
              <w:rPr>
                <w:noProof/>
              </w:rPr>
              <w:t>individualizētu nodarbinātības pakalpojumu efektīvu sniegšanu saskaņā ar kopīgiem un vienotiem standartiem visā valsts teritorijā, ii) nodrošināt, ka valsts nodarbinātības dienestu (VND) nodrošinātie prasmju pilnveides un pārkvalifikācijas apmācības pasāku</w:t>
            </w:r>
            <w:r>
              <w:rPr>
                <w:noProof/>
              </w:rPr>
              <w:t>mi pilnībā atbilst valsts plānam jaunām prasmēm, tostarp digitālajām prasmēm, iii) nodrošināt, ka valsts nodarbinātības dienesti (VND) ir vērsti uz saņēmēju vajadzībām, iv) nodrošināt, ka valsts nodarbinātības dienesti (VND) prioritāri ir vērsti uz visneai</w:t>
            </w:r>
            <w:r>
              <w:rPr>
                <w:noProof/>
              </w:rPr>
              <w:t>zsargātākajiem; noteikt mērķrādītāju, saskaņā ar kuru vismaz 25 % atbalsta saņēmēju no darba ņēmēju garantētās nodarbināmības programmām būtu attiecīgās apmācības saņēmēji, īpašu uzmanību pievēršot digitālajām prasmēm un prioritāti piešķirot visneaizsargāt</w:t>
            </w:r>
            <w:r>
              <w:rPr>
                <w:noProof/>
              </w:rPr>
              <w:t>ākajām personām; VI) izveidot jaunus mehānismus, kas stiprina un padara strukturētu sadarbību starp publiskajām un privātajām sistēmām, tostarp attiecībā uz vajadzīgo prasmju apzināšanu un darba piedāvājumu nodrošināšanu. Dekrētā ir noteikts, ka sociālās d</w:t>
            </w:r>
            <w:r>
              <w:rPr>
                <w:noProof/>
              </w:rPr>
              <w:t xml:space="preserve">rošības tīklu saņēmējiem ir piekļuve pakalpojumiem, kas sniegti saskaņā ar valsts programmu “Garantēta darba ņēmēju nodarbināmība” četru mēnešu laikā no brīža, kad viņi nobrieduši tiesības uz sociālās drošības tīkliem. Tiesību akti, kas attiecas uz valsts </w:t>
            </w:r>
            <w:r>
              <w:rPr>
                <w:noProof/>
              </w:rPr>
              <w:t>jauno prasmju plānu, ir vismaz: nosaka kopējus standartus un būtiskus profesionālās apmācības līmeņus visā valsts teritorijā, ii) attiecas gan uz nodarbinātajiem, gan bezdarbniekiem un personām ar mērķi uzlabot viņu digitālās prasmes un veicināt mūžizglītī</w:t>
            </w:r>
            <w:r>
              <w:rPr>
                <w:noProof/>
              </w:rPr>
              <w:t>bu. III) apzināt prasmes un attiecīgos standartus, pamatojoties uz sadarbību starp publiskajām un privātajām sistēmām, iv) ņemt vērā attiecīgo mērķgrupu dažādās vajadzības, kas ietver vismaz visneaizsargātākās personas, v) ietver visas attiecīgās nozaru st</w:t>
            </w:r>
            <w:r>
              <w:rPr>
                <w:noProof/>
              </w:rPr>
              <w:t>ratēģijas, lai panāktu visaptverošu pieeju, tostarp valsts stratēģisko plānu pieaugušo kompetencēm.vi) iekļaut noteikumu par prognozēšanas sistēmas izstrādi jaunām kompetencēm, kas īstermiņā un vidējā termiņā nepieciešamas darba tirgū.</w:t>
            </w:r>
          </w:p>
        </w:tc>
      </w:tr>
      <w:tr w:rsidR="00C972CB" w14:paraId="74D8E370" w14:textId="77777777">
        <w:trPr>
          <w:trHeight w:val="309"/>
          <w:jc w:val="center"/>
        </w:trPr>
        <w:tc>
          <w:tcPr>
            <w:tcW w:w="1364" w:type="dxa"/>
            <w:shd w:val="clear" w:color="auto" w:fill="C6EFCE"/>
            <w:noWrap/>
            <w:vAlign w:val="center"/>
            <w:hideMark/>
          </w:tcPr>
          <w:p w14:paraId="55B56E03" w14:textId="77777777" w:rsidR="00C972CB" w:rsidRDefault="002457F6">
            <w:pPr>
              <w:pStyle w:val="P68B1DB1-Normal11"/>
              <w:jc w:val="center"/>
              <w:rPr>
                <w:noProof/>
              </w:rPr>
            </w:pPr>
            <w:r>
              <w:rPr>
                <w:noProof/>
              </w:rPr>
              <w:t xml:space="preserve">M5C1–2 </w:t>
            </w:r>
          </w:p>
        </w:tc>
        <w:tc>
          <w:tcPr>
            <w:tcW w:w="1513" w:type="dxa"/>
            <w:shd w:val="clear" w:color="auto" w:fill="C6EFCE"/>
            <w:noWrap/>
            <w:vAlign w:val="center"/>
            <w:hideMark/>
          </w:tcPr>
          <w:p w14:paraId="2C4A5E0E" w14:textId="77777777" w:rsidR="00C972CB" w:rsidRDefault="002457F6">
            <w:pPr>
              <w:pStyle w:val="P68B1DB1-Normal11"/>
              <w:jc w:val="center"/>
              <w:rPr>
                <w:noProof/>
              </w:rPr>
            </w:pPr>
            <w:r>
              <w:rPr>
                <w:noProof/>
              </w:rPr>
              <w:t xml:space="preserve">Reforma — </w:t>
            </w:r>
            <w:r>
              <w:rPr>
                <w:noProof/>
              </w:rPr>
              <w:t>ADTP un profesionālā apmācība</w:t>
            </w:r>
          </w:p>
        </w:tc>
        <w:tc>
          <w:tcPr>
            <w:tcW w:w="1281" w:type="dxa"/>
            <w:shd w:val="clear" w:color="auto" w:fill="C6EFCE"/>
            <w:noWrap/>
            <w:vAlign w:val="center"/>
            <w:hideMark/>
          </w:tcPr>
          <w:p w14:paraId="3C070751" w14:textId="77777777" w:rsidR="00C972CB" w:rsidRDefault="002457F6">
            <w:pPr>
              <w:pStyle w:val="P68B1DB1-Normal11"/>
              <w:jc w:val="center"/>
              <w:rPr>
                <w:noProof/>
              </w:rPr>
            </w:pPr>
            <w:r>
              <w:rPr>
                <w:noProof/>
              </w:rPr>
              <w:t>Starpposma mērķis</w:t>
            </w:r>
          </w:p>
        </w:tc>
        <w:tc>
          <w:tcPr>
            <w:tcW w:w="1597" w:type="dxa"/>
            <w:shd w:val="clear" w:color="auto" w:fill="C6EFCE"/>
            <w:noWrap/>
            <w:vAlign w:val="center"/>
            <w:hideMark/>
          </w:tcPr>
          <w:p w14:paraId="74B08C28" w14:textId="77777777" w:rsidR="00C972CB" w:rsidRDefault="002457F6">
            <w:pPr>
              <w:pStyle w:val="P68B1DB1-Normal11"/>
              <w:jc w:val="center"/>
              <w:rPr>
                <w:noProof/>
              </w:rPr>
            </w:pPr>
            <w:r>
              <w:rPr>
                <w:noProof/>
              </w:rPr>
              <w:t xml:space="preserve">Visu valsts nodarbinātības dienestu (VND) plānu stāšanās spēkā reģionālā līmenī  </w:t>
            </w:r>
          </w:p>
        </w:tc>
        <w:tc>
          <w:tcPr>
            <w:tcW w:w="1470" w:type="dxa"/>
            <w:shd w:val="clear" w:color="auto" w:fill="C6EFCE"/>
            <w:noWrap/>
            <w:vAlign w:val="center"/>
            <w:hideMark/>
          </w:tcPr>
          <w:p w14:paraId="33FDE3A7" w14:textId="77777777" w:rsidR="00C972CB" w:rsidRDefault="002457F6">
            <w:pPr>
              <w:pStyle w:val="P68B1DB1-Normal11"/>
              <w:jc w:val="center"/>
              <w:rPr>
                <w:noProof/>
              </w:rPr>
            </w:pPr>
            <w:r>
              <w:rPr>
                <w:noProof/>
              </w:rPr>
              <w:t>Noteikums par reģionu pieņemto plānu stāšanos spēkā un veiktajām darbībām</w:t>
            </w:r>
          </w:p>
        </w:tc>
        <w:tc>
          <w:tcPr>
            <w:tcW w:w="1275" w:type="dxa"/>
            <w:shd w:val="clear" w:color="auto" w:fill="C6EFCE"/>
            <w:noWrap/>
            <w:vAlign w:val="center"/>
            <w:hideMark/>
          </w:tcPr>
          <w:p w14:paraId="2E1340BB" w14:textId="77777777" w:rsidR="00C972CB" w:rsidRDefault="002457F6">
            <w:pPr>
              <w:pStyle w:val="P68B1DB1-Normal11"/>
              <w:jc w:val="center"/>
              <w:rPr>
                <w:rFonts w:eastAsia="Calibri"/>
                <w:noProof/>
              </w:rPr>
            </w:pPr>
            <w:r>
              <w:rPr>
                <w:noProof/>
              </w:rPr>
              <w:t>NEPIEMĒRO</w:t>
            </w:r>
          </w:p>
        </w:tc>
        <w:tc>
          <w:tcPr>
            <w:tcW w:w="1134" w:type="dxa"/>
            <w:shd w:val="clear" w:color="auto" w:fill="C6EFCE"/>
            <w:noWrap/>
            <w:vAlign w:val="center"/>
            <w:hideMark/>
          </w:tcPr>
          <w:p w14:paraId="33A70F37"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2AFF7D2F" w14:textId="77777777" w:rsidR="00C972CB" w:rsidRDefault="002457F6">
            <w:pPr>
              <w:pStyle w:val="P68B1DB1-Normal11"/>
              <w:jc w:val="center"/>
              <w:rPr>
                <w:noProof/>
              </w:rPr>
            </w:pPr>
            <w:r>
              <w:rPr>
                <w:noProof/>
              </w:rPr>
              <w:t>NEPIEMĒRO</w:t>
            </w:r>
          </w:p>
        </w:tc>
        <w:tc>
          <w:tcPr>
            <w:tcW w:w="851" w:type="dxa"/>
            <w:shd w:val="clear" w:color="auto" w:fill="C6EFCE"/>
            <w:noWrap/>
            <w:vAlign w:val="center"/>
            <w:hideMark/>
          </w:tcPr>
          <w:p w14:paraId="26724380" w14:textId="77777777" w:rsidR="00C972CB" w:rsidRDefault="002457F6">
            <w:pPr>
              <w:pStyle w:val="P68B1DB1-Normal11"/>
              <w:jc w:val="center"/>
              <w:rPr>
                <w:rFonts w:eastAsia="Calibri"/>
                <w:noProof/>
              </w:rPr>
            </w:pPr>
            <w:r>
              <w:rPr>
                <w:noProof/>
              </w:rPr>
              <w:t>4. CET.</w:t>
            </w:r>
          </w:p>
        </w:tc>
        <w:tc>
          <w:tcPr>
            <w:tcW w:w="709" w:type="dxa"/>
            <w:shd w:val="clear" w:color="auto" w:fill="C6EFCE"/>
            <w:noWrap/>
            <w:vAlign w:val="center"/>
            <w:hideMark/>
          </w:tcPr>
          <w:p w14:paraId="08944DA9" w14:textId="77777777" w:rsidR="00C972CB" w:rsidRDefault="002457F6">
            <w:pPr>
              <w:pStyle w:val="P68B1DB1-Normal11"/>
              <w:jc w:val="center"/>
              <w:rPr>
                <w:noProof/>
              </w:rPr>
            </w:pPr>
            <w:r>
              <w:rPr>
                <w:noProof/>
              </w:rPr>
              <w:t>2022</w:t>
            </w:r>
          </w:p>
        </w:tc>
        <w:tc>
          <w:tcPr>
            <w:tcW w:w="2835" w:type="dxa"/>
            <w:shd w:val="clear" w:color="auto" w:fill="C6EFCE"/>
            <w:noWrap/>
            <w:vAlign w:val="center"/>
            <w:hideMark/>
          </w:tcPr>
          <w:p w14:paraId="3C73FCCC" w14:textId="77777777" w:rsidR="00C972CB" w:rsidRDefault="002457F6">
            <w:pPr>
              <w:pStyle w:val="P68B1DB1-Normal11"/>
              <w:rPr>
                <w:rFonts w:eastAsia="Calibri"/>
                <w:noProof/>
              </w:rPr>
            </w:pPr>
            <w:r>
              <w:rPr>
                <w:noProof/>
              </w:rPr>
              <w:t>Valsts noteikumos par darba ņēmēju garantēto nodarbināmību (GOL) paredz programmas īstenošanai nepieciešamo operatīvo darbību noteikšanu reģionālā līmenī. Lai nodrošinātu saskaņotību starp valsts regulējumu un reģionālo īstenošanu, pieņem valsts nodarbināt</w:t>
            </w:r>
            <w:r>
              <w:rPr>
                <w:noProof/>
              </w:rPr>
              <w:t xml:space="preserve">ības dienestu (VND) reģionālos plānus. </w:t>
            </w:r>
          </w:p>
          <w:p w14:paraId="48B604FC" w14:textId="77777777" w:rsidR="00C972CB" w:rsidRDefault="00C972CB">
            <w:pPr>
              <w:rPr>
                <w:rFonts w:ascii="Arial Narrow" w:eastAsia="Calibri" w:hAnsi="Arial Narrow"/>
                <w:noProof/>
                <w:color w:val="006100"/>
                <w:sz w:val="20"/>
              </w:rPr>
            </w:pPr>
          </w:p>
          <w:p w14:paraId="09EA2073" w14:textId="7F8E84C0" w:rsidR="00C972CB" w:rsidRDefault="002457F6">
            <w:pPr>
              <w:pStyle w:val="P68B1DB1-Normal11"/>
              <w:rPr>
                <w:rFonts w:eastAsia="Calibri"/>
                <w:noProof/>
              </w:rPr>
            </w:pPr>
            <w:r>
              <w:rPr>
                <w:noProof/>
              </w:rPr>
              <w:t>Papildus plānu pieņemšanai reģioni veic darbības, pamatojoties uz plāniem, un sasniedz vismaz 10 % no paredzētajiem programmas atbalsta saņēmējiem (galīgais mērķis ir 3000000 cilvēki).</w:t>
            </w:r>
          </w:p>
          <w:p w14:paraId="6427E7C4" w14:textId="77777777" w:rsidR="00C972CB" w:rsidRDefault="00C972CB">
            <w:pPr>
              <w:rPr>
                <w:rFonts w:ascii="Arial Narrow" w:hAnsi="Arial Narrow"/>
                <w:noProof/>
                <w:color w:val="006100"/>
                <w:sz w:val="20"/>
              </w:rPr>
            </w:pPr>
          </w:p>
          <w:p w14:paraId="75EB9AA4" w14:textId="484A4438" w:rsidR="00C972CB" w:rsidRDefault="002457F6">
            <w:pPr>
              <w:pStyle w:val="P68B1DB1-Normal11"/>
              <w:rPr>
                <w:noProof/>
              </w:rPr>
            </w:pPr>
            <w:r>
              <w:rPr>
                <w:noProof/>
              </w:rPr>
              <w:t>Valsts nodarbinātības dienest</w:t>
            </w:r>
            <w:r>
              <w:rPr>
                <w:noProof/>
              </w:rPr>
              <w:t>u (VND) plānu stāšanās spēkā ļaus pilnībā īstenot programmu “Nodrošināta darba ņēmēju nodarbināmība” (GOL).</w:t>
            </w:r>
          </w:p>
          <w:p w14:paraId="6A986EA0" w14:textId="77777777" w:rsidR="00C972CB" w:rsidRDefault="00C972CB">
            <w:pPr>
              <w:rPr>
                <w:rFonts w:ascii="Arial Narrow" w:eastAsia="Calibri" w:hAnsi="Arial Narrow"/>
                <w:noProof/>
                <w:color w:val="006100"/>
                <w:sz w:val="20"/>
              </w:rPr>
            </w:pPr>
          </w:p>
        </w:tc>
      </w:tr>
      <w:tr w:rsidR="00C972CB" w14:paraId="79F2B0EF" w14:textId="77777777">
        <w:trPr>
          <w:trHeight w:val="309"/>
          <w:jc w:val="center"/>
        </w:trPr>
        <w:tc>
          <w:tcPr>
            <w:tcW w:w="1364" w:type="dxa"/>
            <w:shd w:val="clear" w:color="auto" w:fill="C6EFCE"/>
            <w:noWrap/>
            <w:vAlign w:val="center"/>
            <w:hideMark/>
          </w:tcPr>
          <w:p w14:paraId="3F9A2E6F" w14:textId="77777777" w:rsidR="00C972CB" w:rsidRDefault="002457F6">
            <w:pPr>
              <w:pStyle w:val="P68B1DB1-Normal11"/>
              <w:jc w:val="center"/>
              <w:rPr>
                <w:noProof/>
              </w:rPr>
            </w:pPr>
            <w:r>
              <w:rPr>
                <w:noProof/>
              </w:rPr>
              <w:t xml:space="preserve">M5C1–3 </w:t>
            </w:r>
          </w:p>
        </w:tc>
        <w:tc>
          <w:tcPr>
            <w:tcW w:w="1513" w:type="dxa"/>
            <w:shd w:val="clear" w:color="auto" w:fill="C6EFCE"/>
            <w:noWrap/>
            <w:vAlign w:val="center"/>
            <w:hideMark/>
          </w:tcPr>
          <w:p w14:paraId="18F41DC9" w14:textId="77777777" w:rsidR="00C972CB" w:rsidRDefault="002457F6">
            <w:pPr>
              <w:pStyle w:val="P68B1DB1-Normal11"/>
              <w:jc w:val="center"/>
              <w:rPr>
                <w:noProof/>
              </w:rPr>
            </w:pPr>
            <w:r>
              <w:rPr>
                <w:noProof/>
              </w:rPr>
              <w:t>Reforma — ADTP un profesionālā apmācība</w:t>
            </w:r>
          </w:p>
        </w:tc>
        <w:tc>
          <w:tcPr>
            <w:tcW w:w="1281" w:type="dxa"/>
            <w:shd w:val="clear" w:color="auto" w:fill="C6EFCE"/>
            <w:noWrap/>
            <w:vAlign w:val="center"/>
            <w:hideMark/>
          </w:tcPr>
          <w:p w14:paraId="68276A1B" w14:textId="77777777" w:rsidR="00C972CB" w:rsidRDefault="002457F6">
            <w:pPr>
              <w:pStyle w:val="P68B1DB1-Normal11"/>
              <w:jc w:val="center"/>
              <w:rPr>
                <w:noProof/>
              </w:rPr>
            </w:pPr>
            <w:r>
              <w:rPr>
                <w:noProof/>
              </w:rPr>
              <w:t>Mērķa</w:t>
            </w:r>
          </w:p>
        </w:tc>
        <w:tc>
          <w:tcPr>
            <w:tcW w:w="1597" w:type="dxa"/>
            <w:shd w:val="clear" w:color="auto" w:fill="C6EFCE"/>
            <w:noWrap/>
            <w:vAlign w:val="center"/>
            <w:hideMark/>
          </w:tcPr>
          <w:p w14:paraId="69ABCF44" w14:textId="7C3FD519" w:rsidR="00C972CB" w:rsidRDefault="002457F6">
            <w:pPr>
              <w:pStyle w:val="P68B1DB1-Normal11"/>
              <w:jc w:val="center"/>
              <w:rPr>
                <w:rFonts w:eastAsia="Calibri"/>
                <w:noProof/>
              </w:rPr>
            </w:pPr>
            <w:r>
              <w:rPr>
                <w:noProof/>
              </w:rPr>
              <w:t>Cilvēki, uz kuriem attiecas programma “Darba ņēmēju garantēta nodarbināmība” (GOL)</w:t>
            </w:r>
          </w:p>
        </w:tc>
        <w:tc>
          <w:tcPr>
            <w:tcW w:w="1470" w:type="dxa"/>
            <w:shd w:val="clear" w:color="auto" w:fill="C6EFCE"/>
            <w:noWrap/>
            <w:vAlign w:val="center"/>
            <w:hideMark/>
          </w:tcPr>
          <w:p w14:paraId="7F3B549E" w14:textId="77777777" w:rsidR="00C972CB" w:rsidRDefault="002457F6">
            <w:pPr>
              <w:pStyle w:val="P68B1DB1-Normal11"/>
              <w:jc w:val="center"/>
              <w:rPr>
                <w:noProof/>
              </w:rPr>
            </w:pPr>
            <w:r>
              <w:rPr>
                <w:noProof/>
              </w:rPr>
              <w:t>NEPIEMĒRO</w:t>
            </w:r>
          </w:p>
        </w:tc>
        <w:tc>
          <w:tcPr>
            <w:tcW w:w="1275" w:type="dxa"/>
            <w:shd w:val="clear" w:color="auto" w:fill="C6EFCE"/>
            <w:noWrap/>
            <w:vAlign w:val="center"/>
            <w:hideMark/>
          </w:tcPr>
          <w:p w14:paraId="222A2756" w14:textId="77777777" w:rsidR="00C972CB" w:rsidRDefault="002457F6">
            <w:pPr>
              <w:pStyle w:val="P68B1DB1-Normal11"/>
              <w:jc w:val="center"/>
              <w:rPr>
                <w:rFonts w:eastAsia="Calibri"/>
                <w:noProof/>
              </w:rPr>
            </w:pPr>
            <w:r>
              <w:rPr>
                <w:noProof/>
              </w:rPr>
              <w:t xml:space="preserve">Skaits </w:t>
            </w:r>
          </w:p>
        </w:tc>
        <w:tc>
          <w:tcPr>
            <w:tcW w:w="1134" w:type="dxa"/>
            <w:shd w:val="clear" w:color="auto" w:fill="C6EFCE"/>
            <w:noWrap/>
            <w:vAlign w:val="center"/>
            <w:hideMark/>
          </w:tcPr>
          <w:p w14:paraId="4633E47C" w14:textId="2A54CB63" w:rsidR="00C972CB" w:rsidRDefault="002457F6">
            <w:pPr>
              <w:pStyle w:val="P68B1DB1-Normal11"/>
              <w:jc w:val="center"/>
              <w:rPr>
                <w:noProof/>
              </w:rPr>
            </w:pPr>
            <w:r>
              <w:rPr>
                <w:noProof/>
              </w:rPr>
              <w:t>300 000</w:t>
            </w:r>
          </w:p>
        </w:tc>
        <w:tc>
          <w:tcPr>
            <w:tcW w:w="1134" w:type="dxa"/>
            <w:shd w:val="clear" w:color="auto" w:fill="C6EFCE"/>
            <w:noWrap/>
            <w:vAlign w:val="center"/>
            <w:hideMark/>
          </w:tcPr>
          <w:p w14:paraId="4FD14582" w14:textId="5DAE42E9" w:rsidR="00C972CB" w:rsidRDefault="002457F6">
            <w:pPr>
              <w:pStyle w:val="P68B1DB1-Normal11"/>
              <w:jc w:val="center"/>
              <w:rPr>
                <w:noProof/>
              </w:rPr>
            </w:pPr>
            <w:r>
              <w:rPr>
                <w:noProof/>
              </w:rPr>
              <w:t>3 000 000</w:t>
            </w:r>
          </w:p>
        </w:tc>
        <w:tc>
          <w:tcPr>
            <w:tcW w:w="851" w:type="dxa"/>
            <w:shd w:val="clear" w:color="auto" w:fill="C6EFCE"/>
            <w:noWrap/>
            <w:vAlign w:val="center"/>
            <w:hideMark/>
          </w:tcPr>
          <w:p w14:paraId="2A646B9D" w14:textId="77777777" w:rsidR="00C972CB" w:rsidRDefault="002457F6">
            <w:pPr>
              <w:pStyle w:val="P68B1DB1-Normal11"/>
              <w:jc w:val="center"/>
              <w:rPr>
                <w:noProof/>
              </w:rPr>
            </w:pPr>
            <w:r>
              <w:rPr>
                <w:noProof/>
              </w:rPr>
              <w:t>4. CET.</w:t>
            </w:r>
          </w:p>
        </w:tc>
        <w:tc>
          <w:tcPr>
            <w:tcW w:w="709" w:type="dxa"/>
            <w:shd w:val="clear" w:color="auto" w:fill="C6EFCE"/>
            <w:noWrap/>
            <w:vAlign w:val="center"/>
            <w:hideMark/>
          </w:tcPr>
          <w:p w14:paraId="69812246" w14:textId="77777777" w:rsidR="00C972CB" w:rsidRDefault="002457F6">
            <w:pPr>
              <w:pStyle w:val="P68B1DB1-Normal11"/>
              <w:jc w:val="center"/>
              <w:rPr>
                <w:rFonts w:eastAsia="Calibri"/>
                <w:noProof/>
              </w:rPr>
            </w:pPr>
            <w:r>
              <w:rPr>
                <w:noProof/>
              </w:rPr>
              <w:t>2025</w:t>
            </w:r>
          </w:p>
        </w:tc>
        <w:tc>
          <w:tcPr>
            <w:tcW w:w="2835" w:type="dxa"/>
            <w:shd w:val="clear" w:color="auto" w:fill="C6EFCE"/>
            <w:noWrap/>
            <w:vAlign w:val="center"/>
            <w:hideMark/>
          </w:tcPr>
          <w:p w14:paraId="1A0CD922" w14:textId="4D38F64F" w:rsidR="00C972CB" w:rsidRDefault="002457F6">
            <w:pPr>
              <w:pStyle w:val="P68B1DB1-Normal11"/>
              <w:rPr>
                <w:rFonts w:eastAsia="Calibri"/>
                <w:noProof/>
              </w:rPr>
            </w:pPr>
            <w:r>
              <w:rPr>
                <w:noProof/>
              </w:rPr>
              <w:t xml:space="preserve">Vismaz 3000000 cilvēku gūst labumu no darba ņēmēju garantētās nodarbināmības (GOL) programmas. Mērķrādītāja apmierinoša sasniegšana ir atkarīga arī no tā, vai tiks apmierinoši sasniegts sekundārais mērķis: vismaz </w:t>
            </w:r>
            <w:r>
              <w:rPr>
                <w:noProof/>
              </w:rPr>
              <w:t>75 % saņēmēju ir sievietes, ilgstoši bezdarbnieki, personas ar invaliditāti vai personas, kas jaunākas par 30 gadiem vai jaunākas par 55 gadiem.</w:t>
            </w:r>
          </w:p>
        </w:tc>
      </w:tr>
      <w:tr w:rsidR="00C972CB" w14:paraId="4A77873F" w14:textId="77777777">
        <w:trPr>
          <w:trHeight w:val="309"/>
          <w:jc w:val="center"/>
        </w:trPr>
        <w:tc>
          <w:tcPr>
            <w:tcW w:w="1364" w:type="dxa"/>
            <w:shd w:val="clear" w:color="auto" w:fill="C6EFCE"/>
            <w:noWrap/>
            <w:vAlign w:val="center"/>
            <w:hideMark/>
          </w:tcPr>
          <w:p w14:paraId="6E7ABAE1" w14:textId="77777777" w:rsidR="00C972CB" w:rsidRDefault="002457F6">
            <w:pPr>
              <w:pStyle w:val="P68B1DB1-Normal11"/>
              <w:jc w:val="center"/>
              <w:rPr>
                <w:noProof/>
              </w:rPr>
            </w:pPr>
            <w:r>
              <w:rPr>
                <w:noProof/>
              </w:rPr>
              <w:t xml:space="preserve">M5C1–4 </w:t>
            </w:r>
          </w:p>
        </w:tc>
        <w:tc>
          <w:tcPr>
            <w:tcW w:w="1513" w:type="dxa"/>
            <w:shd w:val="clear" w:color="auto" w:fill="C6EFCE"/>
            <w:noWrap/>
            <w:vAlign w:val="center"/>
            <w:hideMark/>
          </w:tcPr>
          <w:p w14:paraId="09663B49" w14:textId="53F77CE6" w:rsidR="00C972CB" w:rsidRDefault="002457F6">
            <w:pPr>
              <w:pStyle w:val="P68B1DB1-Normal11"/>
              <w:jc w:val="center"/>
              <w:rPr>
                <w:rFonts w:eastAsia="Calibri"/>
                <w:noProof/>
              </w:rPr>
            </w:pPr>
            <w:r>
              <w:rPr>
                <w:noProof/>
              </w:rPr>
              <w:t>Reforma — ADTP un profesionālā apmācība</w:t>
            </w:r>
          </w:p>
        </w:tc>
        <w:tc>
          <w:tcPr>
            <w:tcW w:w="1281" w:type="dxa"/>
            <w:shd w:val="clear" w:color="auto" w:fill="C6EFCE"/>
            <w:noWrap/>
            <w:vAlign w:val="center"/>
            <w:hideMark/>
          </w:tcPr>
          <w:p w14:paraId="31FD11F3" w14:textId="77777777" w:rsidR="00C972CB" w:rsidRDefault="002457F6">
            <w:pPr>
              <w:pStyle w:val="P68B1DB1-Normal11"/>
              <w:jc w:val="center"/>
              <w:rPr>
                <w:noProof/>
              </w:rPr>
            </w:pPr>
            <w:r>
              <w:rPr>
                <w:noProof/>
              </w:rPr>
              <w:t>Mērķa</w:t>
            </w:r>
          </w:p>
        </w:tc>
        <w:tc>
          <w:tcPr>
            <w:tcW w:w="1597" w:type="dxa"/>
            <w:shd w:val="clear" w:color="auto" w:fill="C6EFCE"/>
            <w:noWrap/>
            <w:vAlign w:val="center"/>
            <w:hideMark/>
          </w:tcPr>
          <w:p w14:paraId="0BF5EF9F" w14:textId="1380BC07" w:rsidR="00C972CB" w:rsidRDefault="002457F6">
            <w:pPr>
              <w:pStyle w:val="P68B1DB1-Normal11"/>
              <w:jc w:val="center"/>
              <w:rPr>
                <w:noProof/>
              </w:rPr>
            </w:pPr>
            <w:r>
              <w:rPr>
                <w:noProof/>
              </w:rPr>
              <w:t xml:space="preserve">Garantēta darba ņēmēju nodarbināmība ir piedalījušies </w:t>
            </w:r>
            <w:r>
              <w:rPr>
                <w:noProof/>
              </w:rPr>
              <w:t>arodapmācībās</w:t>
            </w:r>
          </w:p>
        </w:tc>
        <w:tc>
          <w:tcPr>
            <w:tcW w:w="1470" w:type="dxa"/>
            <w:shd w:val="clear" w:color="auto" w:fill="C6EFCE"/>
            <w:noWrap/>
            <w:vAlign w:val="center"/>
            <w:hideMark/>
          </w:tcPr>
          <w:p w14:paraId="74F66FBD" w14:textId="77777777" w:rsidR="00C972CB" w:rsidRDefault="002457F6">
            <w:pPr>
              <w:pStyle w:val="P68B1DB1-Normal11"/>
              <w:jc w:val="center"/>
              <w:rPr>
                <w:noProof/>
              </w:rPr>
            </w:pPr>
            <w:r>
              <w:rPr>
                <w:noProof/>
              </w:rPr>
              <w:t>NEPIEMĒRO</w:t>
            </w:r>
          </w:p>
        </w:tc>
        <w:tc>
          <w:tcPr>
            <w:tcW w:w="1275" w:type="dxa"/>
            <w:shd w:val="clear" w:color="auto" w:fill="C6EFCE"/>
            <w:noWrap/>
            <w:vAlign w:val="center"/>
            <w:hideMark/>
          </w:tcPr>
          <w:p w14:paraId="2D29A2B8" w14:textId="77777777" w:rsidR="00C972CB" w:rsidRDefault="002457F6">
            <w:pPr>
              <w:pStyle w:val="P68B1DB1-Normal11"/>
              <w:jc w:val="center"/>
              <w:rPr>
                <w:rFonts w:eastAsia="Calibri"/>
                <w:noProof/>
              </w:rPr>
            </w:pPr>
            <w:r>
              <w:rPr>
                <w:noProof/>
              </w:rPr>
              <w:t xml:space="preserve">Skaits </w:t>
            </w:r>
          </w:p>
        </w:tc>
        <w:tc>
          <w:tcPr>
            <w:tcW w:w="1134" w:type="dxa"/>
            <w:shd w:val="clear" w:color="auto" w:fill="C6EFCE"/>
            <w:noWrap/>
            <w:vAlign w:val="center"/>
            <w:hideMark/>
          </w:tcPr>
          <w:p w14:paraId="31542677" w14:textId="77777777" w:rsidR="00C972CB" w:rsidRDefault="002457F6">
            <w:pPr>
              <w:pStyle w:val="P68B1DB1-Normal11"/>
              <w:jc w:val="center"/>
              <w:rPr>
                <w:rFonts w:eastAsia="Calibri"/>
                <w:noProof/>
              </w:rPr>
            </w:pPr>
            <w:r>
              <w:rPr>
                <w:noProof/>
              </w:rPr>
              <w:t>0</w:t>
            </w:r>
          </w:p>
        </w:tc>
        <w:tc>
          <w:tcPr>
            <w:tcW w:w="1134" w:type="dxa"/>
            <w:shd w:val="clear" w:color="auto" w:fill="C6EFCE"/>
            <w:noWrap/>
            <w:vAlign w:val="center"/>
            <w:hideMark/>
          </w:tcPr>
          <w:p w14:paraId="045470DC" w14:textId="4FDBBD39" w:rsidR="00C972CB" w:rsidRDefault="002457F6">
            <w:pPr>
              <w:pStyle w:val="P68B1DB1-Normal11"/>
              <w:jc w:val="center"/>
              <w:rPr>
                <w:rFonts w:eastAsia="Calibri"/>
                <w:noProof/>
              </w:rPr>
            </w:pPr>
            <w:r>
              <w:rPr>
                <w:noProof/>
              </w:rPr>
              <w:t>800 000</w:t>
            </w:r>
          </w:p>
        </w:tc>
        <w:tc>
          <w:tcPr>
            <w:tcW w:w="851" w:type="dxa"/>
            <w:shd w:val="clear" w:color="auto" w:fill="C6EFCE"/>
            <w:noWrap/>
            <w:vAlign w:val="center"/>
            <w:hideMark/>
          </w:tcPr>
          <w:p w14:paraId="367A624B" w14:textId="77777777" w:rsidR="00C972CB" w:rsidRDefault="002457F6">
            <w:pPr>
              <w:pStyle w:val="P68B1DB1-Normal11"/>
              <w:jc w:val="center"/>
              <w:rPr>
                <w:rFonts w:eastAsia="Calibri"/>
                <w:noProof/>
              </w:rPr>
            </w:pPr>
            <w:r>
              <w:rPr>
                <w:noProof/>
              </w:rPr>
              <w:t>4. CET.</w:t>
            </w:r>
          </w:p>
        </w:tc>
        <w:tc>
          <w:tcPr>
            <w:tcW w:w="709" w:type="dxa"/>
            <w:shd w:val="clear" w:color="auto" w:fill="C6EFCE"/>
            <w:noWrap/>
            <w:vAlign w:val="center"/>
            <w:hideMark/>
          </w:tcPr>
          <w:p w14:paraId="10199DD5" w14:textId="77777777" w:rsidR="00C972CB" w:rsidRDefault="002457F6">
            <w:pPr>
              <w:pStyle w:val="P68B1DB1-Normal11"/>
              <w:jc w:val="center"/>
              <w:rPr>
                <w:rFonts w:eastAsia="Calibri"/>
                <w:noProof/>
              </w:rPr>
            </w:pPr>
            <w:r>
              <w:rPr>
                <w:noProof/>
              </w:rPr>
              <w:t>2025</w:t>
            </w:r>
          </w:p>
        </w:tc>
        <w:tc>
          <w:tcPr>
            <w:tcW w:w="2835" w:type="dxa"/>
            <w:shd w:val="clear" w:color="auto" w:fill="C6EFCE"/>
            <w:noWrap/>
            <w:vAlign w:val="center"/>
            <w:hideMark/>
          </w:tcPr>
          <w:p w14:paraId="41C8ABE7" w14:textId="0E4A22A2" w:rsidR="00C972CB" w:rsidRDefault="002457F6">
            <w:pPr>
              <w:pStyle w:val="P68B1DB1-Normal11"/>
              <w:rPr>
                <w:noProof/>
              </w:rPr>
            </w:pPr>
            <w:r>
              <w:rPr>
                <w:noProof/>
              </w:rPr>
              <w:t xml:space="preserve">Profesionālā apmācība ir daļa no programmas 800000 ADTP atbalsta saņēmējiem piecu gadu laikā. Tādējādi vismaz 800000 no 3000000 garantētās darba ņēmēju nodarbināmības (GOL) atbalsta saņēmējiem ir </w:t>
            </w:r>
            <w:r>
              <w:rPr>
                <w:noProof/>
              </w:rPr>
              <w:t>piedalījušies arodapmācībās. Mērķrādītāja apmierinoša sasniegšana ir atkarīga arī no tā, vai tiks apmierinoši sasniegts sekundārais mērķis: vismaz 300000 no šiem saņēmējiem ir piedalījušies digitālo prasmju apmācībā.</w:t>
            </w:r>
          </w:p>
        </w:tc>
      </w:tr>
      <w:tr w:rsidR="00C972CB" w14:paraId="72942FD5" w14:textId="77777777">
        <w:trPr>
          <w:trHeight w:val="309"/>
          <w:jc w:val="center"/>
        </w:trPr>
        <w:tc>
          <w:tcPr>
            <w:tcW w:w="1364" w:type="dxa"/>
            <w:shd w:val="clear" w:color="auto" w:fill="C6EFCE"/>
            <w:noWrap/>
            <w:vAlign w:val="center"/>
            <w:hideMark/>
          </w:tcPr>
          <w:p w14:paraId="668C5CEB" w14:textId="77777777" w:rsidR="00C972CB" w:rsidRDefault="002457F6">
            <w:pPr>
              <w:pStyle w:val="P68B1DB1-Normal11"/>
              <w:jc w:val="center"/>
              <w:rPr>
                <w:noProof/>
              </w:rPr>
            </w:pPr>
            <w:r>
              <w:rPr>
                <w:noProof/>
              </w:rPr>
              <w:t xml:space="preserve">M5C1–5 </w:t>
            </w:r>
          </w:p>
        </w:tc>
        <w:tc>
          <w:tcPr>
            <w:tcW w:w="1513" w:type="dxa"/>
            <w:shd w:val="clear" w:color="auto" w:fill="C6EFCE"/>
            <w:noWrap/>
            <w:vAlign w:val="center"/>
            <w:hideMark/>
          </w:tcPr>
          <w:p w14:paraId="31D585D4" w14:textId="77777777" w:rsidR="00C972CB" w:rsidRDefault="002457F6">
            <w:pPr>
              <w:pStyle w:val="P68B1DB1-Normal11"/>
              <w:jc w:val="center"/>
              <w:rPr>
                <w:noProof/>
              </w:rPr>
            </w:pPr>
            <w:r>
              <w:rPr>
                <w:noProof/>
              </w:rPr>
              <w:t>Reforma — ADTP un profesionālā</w:t>
            </w:r>
            <w:r>
              <w:rPr>
                <w:noProof/>
              </w:rPr>
              <w:t xml:space="preserve"> apmācība</w:t>
            </w:r>
          </w:p>
        </w:tc>
        <w:tc>
          <w:tcPr>
            <w:tcW w:w="1281" w:type="dxa"/>
            <w:shd w:val="clear" w:color="auto" w:fill="C6EFCE"/>
            <w:noWrap/>
            <w:vAlign w:val="center"/>
            <w:hideMark/>
          </w:tcPr>
          <w:p w14:paraId="677BE36A" w14:textId="77777777" w:rsidR="00C972CB" w:rsidRDefault="002457F6">
            <w:pPr>
              <w:pStyle w:val="P68B1DB1-Normal11"/>
              <w:jc w:val="center"/>
              <w:rPr>
                <w:noProof/>
              </w:rPr>
            </w:pPr>
            <w:r>
              <w:rPr>
                <w:noProof/>
              </w:rPr>
              <w:t>Mērķa</w:t>
            </w:r>
          </w:p>
        </w:tc>
        <w:tc>
          <w:tcPr>
            <w:tcW w:w="1597" w:type="dxa"/>
            <w:shd w:val="clear" w:color="auto" w:fill="C6EFCE"/>
            <w:noWrap/>
            <w:vAlign w:val="center"/>
            <w:hideMark/>
          </w:tcPr>
          <w:p w14:paraId="16D04BB4" w14:textId="77777777" w:rsidR="00C972CB" w:rsidRDefault="002457F6">
            <w:pPr>
              <w:pStyle w:val="P68B1DB1-Normal11"/>
              <w:jc w:val="center"/>
              <w:rPr>
                <w:rFonts w:eastAsia="Calibri"/>
                <w:noProof/>
              </w:rPr>
            </w:pPr>
            <w:r>
              <w:rPr>
                <w:noProof/>
              </w:rPr>
              <w:t xml:space="preserve"> Valsts nodarbinātības dienesti (VND) katrā reģionā ir izpildījuši VND pakalpojumu būtiskā līmeņa kritērijus, kā noteikts darba ņēmēju nodarbinātības garantijas programmā (GOL).</w:t>
            </w:r>
          </w:p>
        </w:tc>
        <w:tc>
          <w:tcPr>
            <w:tcW w:w="1470" w:type="dxa"/>
            <w:shd w:val="clear" w:color="auto" w:fill="C6EFCE"/>
            <w:noWrap/>
            <w:vAlign w:val="center"/>
            <w:hideMark/>
          </w:tcPr>
          <w:p w14:paraId="4FF4E4F9" w14:textId="77777777" w:rsidR="00C972CB" w:rsidRDefault="002457F6">
            <w:pPr>
              <w:pStyle w:val="P68B1DB1-Normal11"/>
              <w:jc w:val="center"/>
              <w:rPr>
                <w:noProof/>
              </w:rPr>
            </w:pPr>
            <w:r>
              <w:rPr>
                <w:noProof/>
              </w:rPr>
              <w:t>NEPIEMĒRO</w:t>
            </w:r>
          </w:p>
        </w:tc>
        <w:tc>
          <w:tcPr>
            <w:tcW w:w="1275" w:type="dxa"/>
            <w:shd w:val="clear" w:color="auto" w:fill="C6EFCE"/>
            <w:noWrap/>
            <w:vAlign w:val="center"/>
            <w:hideMark/>
          </w:tcPr>
          <w:p w14:paraId="01010139" w14:textId="77777777" w:rsidR="00C972CB" w:rsidRDefault="002457F6">
            <w:pPr>
              <w:pStyle w:val="P68B1DB1-Normal11"/>
              <w:jc w:val="center"/>
              <w:rPr>
                <w:noProof/>
              </w:rPr>
            </w:pPr>
            <w:r>
              <w:rPr>
                <w:noProof/>
              </w:rPr>
              <w:t xml:space="preserve">Procentuālā daļa </w:t>
            </w:r>
          </w:p>
        </w:tc>
        <w:tc>
          <w:tcPr>
            <w:tcW w:w="1134" w:type="dxa"/>
            <w:shd w:val="clear" w:color="auto" w:fill="C6EFCE"/>
            <w:noWrap/>
            <w:vAlign w:val="center"/>
            <w:hideMark/>
          </w:tcPr>
          <w:p w14:paraId="1E98963D" w14:textId="77777777" w:rsidR="00C972CB" w:rsidRDefault="002457F6">
            <w:pPr>
              <w:pStyle w:val="P68B1DB1-Normal11"/>
              <w:jc w:val="center"/>
              <w:rPr>
                <w:noProof/>
              </w:rPr>
            </w:pPr>
            <w:r>
              <w:rPr>
                <w:noProof/>
              </w:rPr>
              <w:t>0</w:t>
            </w:r>
          </w:p>
        </w:tc>
        <w:tc>
          <w:tcPr>
            <w:tcW w:w="1134" w:type="dxa"/>
            <w:shd w:val="clear" w:color="auto" w:fill="C6EFCE"/>
            <w:noWrap/>
            <w:vAlign w:val="center"/>
            <w:hideMark/>
          </w:tcPr>
          <w:p w14:paraId="5EC87448" w14:textId="77777777" w:rsidR="00C972CB" w:rsidRDefault="002457F6">
            <w:pPr>
              <w:pStyle w:val="P68B1DB1-Normal11"/>
              <w:jc w:val="center"/>
              <w:rPr>
                <w:rFonts w:eastAsia="Calibri"/>
                <w:noProof/>
              </w:rPr>
            </w:pPr>
            <w:r>
              <w:rPr>
                <w:noProof/>
              </w:rPr>
              <w:t>80</w:t>
            </w:r>
          </w:p>
        </w:tc>
        <w:tc>
          <w:tcPr>
            <w:tcW w:w="851" w:type="dxa"/>
            <w:shd w:val="clear" w:color="auto" w:fill="C6EFCE"/>
            <w:noWrap/>
            <w:vAlign w:val="center"/>
            <w:hideMark/>
          </w:tcPr>
          <w:p w14:paraId="4B21D67E" w14:textId="77777777" w:rsidR="00C972CB" w:rsidRDefault="002457F6">
            <w:pPr>
              <w:pStyle w:val="P68B1DB1-Normal11"/>
              <w:jc w:val="center"/>
              <w:rPr>
                <w:rFonts w:eastAsia="Calibri"/>
                <w:noProof/>
              </w:rPr>
            </w:pPr>
            <w:r>
              <w:rPr>
                <w:noProof/>
              </w:rPr>
              <w:t>4. CET.</w:t>
            </w:r>
          </w:p>
        </w:tc>
        <w:tc>
          <w:tcPr>
            <w:tcW w:w="709" w:type="dxa"/>
            <w:shd w:val="clear" w:color="auto" w:fill="C6EFCE"/>
            <w:noWrap/>
            <w:vAlign w:val="center"/>
            <w:hideMark/>
          </w:tcPr>
          <w:p w14:paraId="6C2E8A52" w14:textId="77777777" w:rsidR="00C972CB" w:rsidRDefault="002457F6">
            <w:pPr>
              <w:pStyle w:val="P68B1DB1-Normal11"/>
              <w:jc w:val="center"/>
              <w:rPr>
                <w:rFonts w:eastAsia="Calibri"/>
                <w:noProof/>
              </w:rPr>
            </w:pPr>
            <w:r>
              <w:rPr>
                <w:noProof/>
              </w:rPr>
              <w:t>2025</w:t>
            </w:r>
          </w:p>
        </w:tc>
        <w:tc>
          <w:tcPr>
            <w:tcW w:w="2835" w:type="dxa"/>
            <w:shd w:val="clear" w:color="auto" w:fill="C6EFCE"/>
            <w:noWrap/>
            <w:vAlign w:val="center"/>
            <w:hideMark/>
          </w:tcPr>
          <w:p w14:paraId="507D50DE" w14:textId="77777777" w:rsidR="00C972CB" w:rsidRDefault="002457F6">
            <w:pPr>
              <w:pStyle w:val="P68B1DB1-Normal11"/>
              <w:rPr>
                <w:rFonts w:eastAsia="Calibri"/>
                <w:noProof/>
              </w:rPr>
            </w:pPr>
            <w:r>
              <w:rPr>
                <w:noProof/>
              </w:rPr>
              <w:t xml:space="preserve">Programmas GOL </w:t>
            </w:r>
            <w:r>
              <w:rPr>
                <w:noProof/>
              </w:rPr>
              <w:t xml:space="preserve">pamatkomponents ir noteikt vairākus būtiskus pakalpojumus, kas jāsniedz ALMPS atbalsta saņēmējiem, sākot no visneaizsargātākajiem. Līdz 2025. gada beigām vismaz 80 % valsts nodarbinātības dienestu (VND) katrā reģionā ir izpildījuši VND pakalpojumu būtiskā </w:t>
            </w:r>
            <w:r>
              <w:rPr>
                <w:noProof/>
              </w:rPr>
              <w:t>līmeņa kritērijus, kā noteikts programmā “Galvena darba ņēmēju nodarbināmība” (GOL).</w:t>
            </w:r>
          </w:p>
        </w:tc>
      </w:tr>
      <w:tr w:rsidR="00C972CB" w14:paraId="38B2A0C7" w14:textId="77777777">
        <w:trPr>
          <w:trHeight w:val="309"/>
          <w:jc w:val="center"/>
        </w:trPr>
        <w:tc>
          <w:tcPr>
            <w:tcW w:w="1364" w:type="dxa"/>
            <w:shd w:val="clear" w:color="auto" w:fill="C6EFCE"/>
            <w:noWrap/>
            <w:vAlign w:val="center"/>
            <w:hideMark/>
          </w:tcPr>
          <w:p w14:paraId="13B5C80E" w14:textId="45E69E94" w:rsidR="00C972CB" w:rsidRDefault="002457F6">
            <w:pPr>
              <w:pStyle w:val="P68B1DB1-Normal11"/>
              <w:spacing w:before="120" w:after="120"/>
              <w:jc w:val="center"/>
              <w:rPr>
                <w:noProof/>
              </w:rPr>
            </w:pPr>
            <w:r>
              <w:rPr>
                <w:noProof/>
              </w:rPr>
              <w:t>M5C1–6</w:t>
            </w:r>
          </w:p>
        </w:tc>
        <w:tc>
          <w:tcPr>
            <w:tcW w:w="1513" w:type="dxa"/>
            <w:shd w:val="clear" w:color="auto" w:fill="C6EFCE"/>
            <w:noWrap/>
            <w:vAlign w:val="center"/>
            <w:hideMark/>
          </w:tcPr>
          <w:p w14:paraId="0771B265" w14:textId="55F59898" w:rsidR="00C972CB" w:rsidRDefault="002457F6">
            <w:pPr>
              <w:pStyle w:val="P68B1DB1-Normal11"/>
              <w:spacing w:before="120" w:after="120"/>
              <w:jc w:val="center"/>
              <w:rPr>
                <w:rFonts w:eastAsia="Calibri"/>
                <w:noProof/>
              </w:rPr>
            </w:pPr>
            <w:r>
              <w:rPr>
                <w:noProof/>
              </w:rPr>
              <w:t>Ieguldījums 1 — Valsts nodarbinātības dienestu (VND) stiprināšana</w:t>
            </w:r>
          </w:p>
        </w:tc>
        <w:tc>
          <w:tcPr>
            <w:tcW w:w="1281" w:type="dxa"/>
            <w:shd w:val="clear" w:color="auto" w:fill="C6EFCE"/>
            <w:noWrap/>
            <w:vAlign w:val="center"/>
            <w:hideMark/>
          </w:tcPr>
          <w:p w14:paraId="2FD57F0B" w14:textId="77777777" w:rsidR="00C972CB" w:rsidRDefault="002457F6">
            <w:pPr>
              <w:pStyle w:val="P68B1DB1-Normal11"/>
              <w:spacing w:before="120" w:after="120"/>
              <w:jc w:val="center"/>
              <w:rPr>
                <w:rFonts w:eastAsia="Calibri"/>
                <w:noProof/>
              </w:rPr>
            </w:pPr>
            <w:r>
              <w:rPr>
                <w:noProof/>
              </w:rPr>
              <w:t>Mērķa</w:t>
            </w:r>
          </w:p>
        </w:tc>
        <w:tc>
          <w:tcPr>
            <w:tcW w:w="1597" w:type="dxa"/>
            <w:shd w:val="clear" w:color="auto" w:fill="C6EFCE"/>
            <w:noWrap/>
            <w:vAlign w:val="center"/>
            <w:hideMark/>
          </w:tcPr>
          <w:p w14:paraId="2C77A53C" w14:textId="77777777" w:rsidR="00C972CB" w:rsidRDefault="002457F6">
            <w:pPr>
              <w:pStyle w:val="P68B1DB1-Normal11"/>
              <w:spacing w:before="120" w:after="120"/>
              <w:jc w:val="center"/>
              <w:rPr>
                <w:rFonts w:eastAsia="Calibri"/>
                <w:noProof/>
              </w:rPr>
            </w:pPr>
            <w:r>
              <w:rPr>
                <w:noProof/>
              </w:rPr>
              <w:t xml:space="preserve"> Valstu nodarbinātības dienesti (VND) trīs gadu laikposmā no 2021. līdz 2023. gadam īsteno stiprināšanas plānā paredzētās darbības.</w:t>
            </w:r>
          </w:p>
        </w:tc>
        <w:tc>
          <w:tcPr>
            <w:tcW w:w="1470" w:type="dxa"/>
            <w:shd w:val="clear" w:color="auto" w:fill="C6EFCE"/>
            <w:noWrap/>
            <w:vAlign w:val="center"/>
            <w:hideMark/>
          </w:tcPr>
          <w:p w14:paraId="050AB948" w14:textId="77777777" w:rsidR="00C972CB" w:rsidRDefault="002457F6">
            <w:pPr>
              <w:pStyle w:val="P68B1DB1-Normal11"/>
              <w:spacing w:before="120" w:after="120"/>
              <w:jc w:val="center"/>
              <w:rPr>
                <w:rFonts w:eastAsia="Calibri"/>
                <w:noProof/>
              </w:rPr>
            </w:pPr>
            <w:r>
              <w:rPr>
                <w:noProof/>
              </w:rPr>
              <w:t>NEPIEMĒRO</w:t>
            </w:r>
          </w:p>
        </w:tc>
        <w:tc>
          <w:tcPr>
            <w:tcW w:w="1275" w:type="dxa"/>
            <w:shd w:val="clear" w:color="auto" w:fill="C6EFCE"/>
            <w:noWrap/>
            <w:vAlign w:val="center"/>
            <w:hideMark/>
          </w:tcPr>
          <w:p w14:paraId="0772A167" w14:textId="77777777" w:rsidR="00C972CB" w:rsidRDefault="002457F6">
            <w:pPr>
              <w:pStyle w:val="P68B1DB1-Normal11"/>
              <w:spacing w:before="120" w:after="120"/>
              <w:jc w:val="center"/>
              <w:rPr>
                <w:rFonts w:eastAsia="Calibri"/>
                <w:noProof/>
              </w:rPr>
            </w:pPr>
            <w:r>
              <w:rPr>
                <w:noProof/>
              </w:rPr>
              <w:t>Skaits</w:t>
            </w:r>
          </w:p>
        </w:tc>
        <w:tc>
          <w:tcPr>
            <w:tcW w:w="1134" w:type="dxa"/>
            <w:shd w:val="clear" w:color="auto" w:fill="C6EFCE"/>
            <w:noWrap/>
            <w:vAlign w:val="center"/>
            <w:hideMark/>
          </w:tcPr>
          <w:p w14:paraId="53A6A044" w14:textId="77777777" w:rsidR="00C972CB" w:rsidRDefault="002457F6">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3A5F4538" w14:textId="77777777" w:rsidR="00C972CB" w:rsidRDefault="002457F6">
            <w:pPr>
              <w:pStyle w:val="P68B1DB1-Normal11"/>
              <w:spacing w:before="120" w:after="120"/>
              <w:jc w:val="center"/>
              <w:rPr>
                <w:rFonts w:eastAsia="Calibri"/>
                <w:noProof/>
              </w:rPr>
            </w:pPr>
            <w:r>
              <w:rPr>
                <w:noProof/>
              </w:rPr>
              <w:t>250</w:t>
            </w:r>
          </w:p>
        </w:tc>
        <w:tc>
          <w:tcPr>
            <w:tcW w:w="851" w:type="dxa"/>
            <w:shd w:val="clear" w:color="auto" w:fill="C6EFCE"/>
            <w:noWrap/>
            <w:vAlign w:val="center"/>
            <w:hideMark/>
          </w:tcPr>
          <w:p w14:paraId="73EF3A20" w14:textId="77777777" w:rsidR="00C972CB" w:rsidRDefault="002457F6">
            <w:pPr>
              <w:pStyle w:val="P68B1DB1-Normal11"/>
              <w:spacing w:before="120" w:after="120"/>
              <w:jc w:val="center"/>
              <w:rPr>
                <w:rFonts w:eastAsia="Calibri"/>
                <w:noProof/>
              </w:rPr>
            </w:pPr>
            <w:r>
              <w:rPr>
                <w:noProof/>
              </w:rPr>
              <w:t>4. CET.</w:t>
            </w:r>
          </w:p>
        </w:tc>
        <w:tc>
          <w:tcPr>
            <w:tcW w:w="709" w:type="dxa"/>
            <w:shd w:val="clear" w:color="auto" w:fill="C6EFCE"/>
            <w:noWrap/>
            <w:vAlign w:val="center"/>
            <w:hideMark/>
          </w:tcPr>
          <w:p w14:paraId="3B95D416" w14:textId="77777777" w:rsidR="00C972CB" w:rsidRDefault="002457F6">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7DF63092" w14:textId="77777777" w:rsidR="00C972CB" w:rsidRDefault="002457F6">
            <w:pPr>
              <w:pStyle w:val="P68B1DB1-Normal11"/>
              <w:spacing w:before="120" w:after="120"/>
              <w:rPr>
                <w:rFonts w:eastAsia="Calibri"/>
                <w:noProof/>
              </w:rPr>
            </w:pPr>
            <w:r>
              <w:rPr>
                <w:noProof/>
              </w:rPr>
              <w:t xml:space="preserve">Vismaz 250 valstu nodarbinātības dienesti (VND) trīs gadu laikposmā no 2021. līdz 2023. </w:t>
            </w:r>
            <w:r>
              <w:rPr>
                <w:noProof/>
              </w:rPr>
              <w:t>gadam ir pabeiguši vismaz 50 % no stiprināšanas plānā paredzētajām darbībām.</w:t>
            </w:r>
          </w:p>
          <w:p w14:paraId="68B25669" w14:textId="77777777" w:rsidR="00C972CB" w:rsidRDefault="002457F6">
            <w:pPr>
              <w:pStyle w:val="P68B1DB1-Normal11"/>
              <w:spacing w:before="120" w:after="120"/>
              <w:rPr>
                <w:rFonts w:eastAsia="Calibri"/>
                <w:noProof/>
              </w:rPr>
            </w:pPr>
            <w:r>
              <w:rPr>
                <w:noProof/>
              </w:rPr>
              <w:t>Šīs darbības atbilst centrālajam stiprināšanas plānam un sīkāk definētas reģionālā līmenī, pamatojoties uz vajadzību analīzi un piešķirtajiem resursiem.</w:t>
            </w:r>
          </w:p>
          <w:p w14:paraId="1CA9E046" w14:textId="77777777" w:rsidR="00C972CB" w:rsidRDefault="002457F6">
            <w:pPr>
              <w:pStyle w:val="P68B1DB1-Normal11"/>
              <w:spacing w:before="120" w:after="120"/>
              <w:rPr>
                <w:rFonts w:eastAsia="Calibri"/>
                <w:noProof/>
              </w:rPr>
            </w:pPr>
            <w:r>
              <w:rPr>
                <w:noProof/>
              </w:rPr>
              <w:t>Šīs darbības ietver: Valst</w:t>
            </w:r>
            <w:r>
              <w:rPr>
                <w:noProof/>
              </w:rPr>
              <w:t>s nodarbinātības dienestu (VND) pašreizējo atrašanās vietu renovācija un atjaunošana un jaunu vietu iegāde; Turpināt IT sistēmas īstenošanu, ņemot vērā valsts mēroga sadarbspēju; Personāla profesionālā apmācība; Vietējo darba tirgu reģionālo novērošanas ce</w:t>
            </w:r>
            <w:r>
              <w:rPr>
                <w:noProof/>
              </w:rPr>
              <w:t xml:space="preserve">ntru iestāde; Iestāžu saziņa un informēšana. </w:t>
            </w:r>
          </w:p>
          <w:p w14:paraId="3C0DA703" w14:textId="77777777" w:rsidR="00C972CB" w:rsidRDefault="002457F6">
            <w:pPr>
              <w:pStyle w:val="P68B1DB1-Normal11"/>
              <w:spacing w:before="120" w:after="120"/>
              <w:rPr>
                <w:rFonts w:eastAsia="Calibri"/>
                <w:noProof/>
              </w:rPr>
            </w:pPr>
            <w:r>
              <w:rPr>
                <w:noProof/>
              </w:rPr>
              <w:t>Šajā mērķī nav iekļautas infrastruktūras darbības.</w:t>
            </w:r>
          </w:p>
          <w:p w14:paraId="72CCDFCD" w14:textId="77777777" w:rsidR="00C972CB" w:rsidRDefault="002457F6">
            <w:pPr>
              <w:pStyle w:val="P68B1DB1-Normal11"/>
              <w:spacing w:before="120" w:after="120"/>
              <w:rPr>
                <w:rFonts w:eastAsia="Calibri"/>
                <w:noProof/>
              </w:rPr>
            </w:pPr>
            <w:r>
              <w:rPr>
                <w:noProof/>
              </w:rPr>
              <w:t>Lai sasniegtu mērķi attiecībā uz teritoriālo sadalījumu (ziemeļu, centra un dienvidu), tiek nodrošināts vienāds līdzsvars.</w:t>
            </w:r>
          </w:p>
        </w:tc>
      </w:tr>
      <w:tr w:rsidR="00C972CB" w14:paraId="1011EC40" w14:textId="77777777">
        <w:trPr>
          <w:trHeight w:val="309"/>
          <w:jc w:val="center"/>
        </w:trPr>
        <w:tc>
          <w:tcPr>
            <w:tcW w:w="1364" w:type="dxa"/>
            <w:shd w:val="clear" w:color="auto" w:fill="C6EFCE"/>
            <w:noWrap/>
            <w:vAlign w:val="center"/>
            <w:hideMark/>
          </w:tcPr>
          <w:p w14:paraId="110D21F6" w14:textId="3903F19D" w:rsidR="00C972CB" w:rsidRDefault="002457F6">
            <w:pPr>
              <w:pStyle w:val="P68B1DB1-Normal11"/>
              <w:spacing w:before="120" w:after="120"/>
              <w:jc w:val="center"/>
              <w:rPr>
                <w:rFonts w:eastAsia="Calibri"/>
                <w:noProof/>
              </w:rPr>
            </w:pPr>
            <w:r>
              <w:rPr>
                <w:noProof/>
              </w:rPr>
              <w:t>M5C1–7</w:t>
            </w:r>
          </w:p>
        </w:tc>
        <w:tc>
          <w:tcPr>
            <w:tcW w:w="1513" w:type="dxa"/>
            <w:shd w:val="clear" w:color="auto" w:fill="C6EFCE"/>
            <w:noWrap/>
            <w:vAlign w:val="center"/>
            <w:hideMark/>
          </w:tcPr>
          <w:p w14:paraId="0C541C78" w14:textId="2CBF77B7" w:rsidR="00C972CB" w:rsidRDefault="002457F6">
            <w:pPr>
              <w:pStyle w:val="P68B1DB1-Normal11"/>
              <w:spacing w:before="120" w:after="120"/>
              <w:jc w:val="center"/>
              <w:rPr>
                <w:rFonts w:eastAsia="Calibri"/>
                <w:noProof/>
              </w:rPr>
            </w:pPr>
            <w:r>
              <w:rPr>
                <w:noProof/>
              </w:rPr>
              <w:t xml:space="preserve">Ieguldījums 1 — Valsts </w:t>
            </w:r>
            <w:r>
              <w:rPr>
                <w:noProof/>
              </w:rPr>
              <w:t>nodarbinātības dienestu (VND) stiprināšana</w:t>
            </w:r>
          </w:p>
        </w:tc>
        <w:tc>
          <w:tcPr>
            <w:tcW w:w="1281" w:type="dxa"/>
            <w:shd w:val="clear" w:color="auto" w:fill="C6EFCE"/>
            <w:noWrap/>
            <w:vAlign w:val="center"/>
            <w:hideMark/>
          </w:tcPr>
          <w:p w14:paraId="11D4ECC1" w14:textId="77777777" w:rsidR="00C972CB" w:rsidRDefault="002457F6">
            <w:pPr>
              <w:pStyle w:val="P68B1DB1-Normal11"/>
              <w:spacing w:before="120" w:after="120"/>
              <w:jc w:val="center"/>
              <w:rPr>
                <w:rFonts w:eastAsia="Calibri"/>
                <w:noProof/>
              </w:rPr>
            </w:pPr>
            <w:r>
              <w:rPr>
                <w:noProof/>
              </w:rPr>
              <w:t>Mērķa</w:t>
            </w:r>
          </w:p>
        </w:tc>
        <w:tc>
          <w:tcPr>
            <w:tcW w:w="1597" w:type="dxa"/>
            <w:shd w:val="clear" w:color="auto" w:fill="C6EFCE"/>
            <w:noWrap/>
            <w:vAlign w:val="center"/>
            <w:hideMark/>
          </w:tcPr>
          <w:p w14:paraId="308B74B1" w14:textId="77777777" w:rsidR="00C972CB" w:rsidRDefault="002457F6">
            <w:pPr>
              <w:pStyle w:val="P68B1DB1-Normal11"/>
              <w:spacing w:before="120" w:after="120"/>
              <w:jc w:val="center"/>
              <w:rPr>
                <w:rFonts w:eastAsia="Calibri"/>
                <w:noProof/>
              </w:rPr>
            </w:pPr>
            <w:r>
              <w:rPr>
                <w:noProof/>
              </w:rPr>
              <w:t>Valstu nodarbinātības dienesti (VND) ir pabeiguši stiprināšanas plānā paredzētos pasākumus</w:t>
            </w:r>
          </w:p>
        </w:tc>
        <w:tc>
          <w:tcPr>
            <w:tcW w:w="1470" w:type="dxa"/>
            <w:shd w:val="clear" w:color="auto" w:fill="C6EFCE"/>
            <w:noWrap/>
            <w:vAlign w:val="center"/>
            <w:hideMark/>
          </w:tcPr>
          <w:p w14:paraId="71087633" w14:textId="77777777" w:rsidR="00C972CB" w:rsidRDefault="002457F6">
            <w:pPr>
              <w:pStyle w:val="P68B1DB1-Normal11"/>
              <w:spacing w:before="120" w:after="120"/>
              <w:jc w:val="center"/>
              <w:rPr>
                <w:rFonts w:eastAsia="Calibri"/>
                <w:noProof/>
              </w:rPr>
            </w:pPr>
            <w:r>
              <w:rPr>
                <w:noProof/>
              </w:rPr>
              <w:t>NEPIEMĒRO</w:t>
            </w:r>
          </w:p>
        </w:tc>
        <w:tc>
          <w:tcPr>
            <w:tcW w:w="1275" w:type="dxa"/>
            <w:shd w:val="clear" w:color="auto" w:fill="C6EFCE"/>
            <w:noWrap/>
            <w:vAlign w:val="center"/>
            <w:hideMark/>
          </w:tcPr>
          <w:p w14:paraId="6CAB82CD" w14:textId="77777777" w:rsidR="00C972CB" w:rsidRDefault="002457F6">
            <w:pPr>
              <w:pStyle w:val="P68B1DB1-Normal11"/>
              <w:spacing w:before="120" w:after="120"/>
              <w:jc w:val="center"/>
              <w:rPr>
                <w:rFonts w:eastAsia="Calibri"/>
                <w:noProof/>
              </w:rPr>
            </w:pPr>
            <w:r>
              <w:rPr>
                <w:noProof/>
              </w:rPr>
              <w:t xml:space="preserve">Skaits </w:t>
            </w:r>
          </w:p>
        </w:tc>
        <w:tc>
          <w:tcPr>
            <w:tcW w:w="1134" w:type="dxa"/>
            <w:shd w:val="clear" w:color="auto" w:fill="C6EFCE"/>
            <w:noWrap/>
            <w:vAlign w:val="center"/>
            <w:hideMark/>
          </w:tcPr>
          <w:p w14:paraId="0AC5F17B" w14:textId="77777777" w:rsidR="00C972CB" w:rsidRDefault="002457F6">
            <w:pPr>
              <w:pStyle w:val="P68B1DB1-Normal11"/>
              <w:spacing w:before="120" w:after="120"/>
              <w:jc w:val="center"/>
              <w:rPr>
                <w:rFonts w:eastAsia="Calibri"/>
                <w:noProof/>
              </w:rPr>
            </w:pPr>
            <w:r>
              <w:rPr>
                <w:noProof/>
              </w:rPr>
              <w:t>250</w:t>
            </w:r>
          </w:p>
        </w:tc>
        <w:tc>
          <w:tcPr>
            <w:tcW w:w="1134" w:type="dxa"/>
            <w:shd w:val="clear" w:color="auto" w:fill="C6EFCE"/>
            <w:noWrap/>
            <w:vAlign w:val="center"/>
            <w:hideMark/>
          </w:tcPr>
          <w:p w14:paraId="66CDAAA9" w14:textId="77777777" w:rsidR="00C972CB" w:rsidRDefault="002457F6">
            <w:pPr>
              <w:pStyle w:val="P68B1DB1-Normal11"/>
              <w:spacing w:before="120" w:after="120"/>
              <w:jc w:val="center"/>
              <w:rPr>
                <w:noProof/>
              </w:rPr>
            </w:pPr>
            <w:r>
              <w:rPr>
                <w:noProof/>
              </w:rPr>
              <w:t>500</w:t>
            </w:r>
          </w:p>
        </w:tc>
        <w:tc>
          <w:tcPr>
            <w:tcW w:w="851" w:type="dxa"/>
            <w:shd w:val="clear" w:color="auto" w:fill="C6EFCE"/>
            <w:noWrap/>
            <w:vAlign w:val="center"/>
            <w:hideMark/>
          </w:tcPr>
          <w:p w14:paraId="7B191153" w14:textId="77777777" w:rsidR="00C972CB" w:rsidRDefault="002457F6">
            <w:pPr>
              <w:pStyle w:val="P68B1DB1-Normal11"/>
              <w:spacing w:before="120" w:after="120"/>
              <w:jc w:val="center"/>
              <w:rPr>
                <w:rFonts w:eastAsia="Calibri"/>
                <w:noProof/>
              </w:rPr>
            </w:pPr>
            <w:r>
              <w:rPr>
                <w:noProof/>
              </w:rPr>
              <w:t>4. CET.</w:t>
            </w:r>
          </w:p>
        </w:tc>
        <w:tc>
          <w:tcPr>
            <w:tcW w:w="709" w:type="dxa"/>
            <w:shd w:val="clear" w:color="auto" w:fill="C6EFCE"/>
            <w:noWrap/>
            <w:vAlign w:val="center"/>
            <w:hideMark/>
          </w:tcPr>
          <w:p w14:paraId="0BBA87A1" w14:textId="77777777" w:rsidR="00C972CB" w:rsidRDefault="002457F6">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0DF1E350" w14:textId="77777777" w:rsidR="00C972CB" w:rsidRDefault="002457F6">
            <w:pPr>
              <w:pStyle w:val="P68B1DB1-Normal11"/>
              <w:spacing w:after="120"/>
              <w:rPr>
                <w:rFonts w:eastAsia="Calibri"/>
                <w:noProof/>
              </w:rPr>
            </w:pPr>
            <w:r>
              <w:rPr>
                <w:noProof/>
              </w:rPr>
              <w:t xml:space="preserve">Vismaz 500 valsts nodarbinātības dienesti (VND) ir pabeiguši 100 % no </w:t>
            </w:r>
            <w:r>
              <w:rPr>
                <w:noProof/>
              </w:rPr>
              <w:t>pasākumiem, kas paredzēti reģionālajos plānos valsts nodarbinātības centru attīstībai (</w:t>
            </w:r>
            <w:r>
              <w:rPr>
                <w:i/>
                <w:noProof/>
              </w:rPr>
              <w:t>Piani regionali di potenziamento dei centri per l’impiego</w:t>
            </w:r>
            <w:r>
              <w:rPr>
                <w:noProof/>
              </w:rPr>
              <w:t>).</w:t>
            </w:r>
          </w:p>
          <w:p w14:paraId="13AA33E8" w14:textId="77777777" w:rsidR="00C972CB" w:rsidRDefault="002457F6">
            <w:pPr>
              <w:pStyle w:val="P68B1DB1-Normal11"/>
              <w:spacing w:before="120" w:after="120"/>
              <w:rPr>
                <w:rFonts w:eastAsia="Calibri"/>
                <w:noProof/>
              </w:rPr>
            </w:pPr>
            <w:r>
              <w:rPr>
                <w:noProof/>
              </w:rPr>
              <w:t xml:space="preserve">Šīs darbības atbilst centrālajam stiprināšanas plānam un sīkāk definētas reģionālā līmenī, pamatojoties uz </w:t>
            </w:r>
            <w:r>
              <w:rPr>
                <w:noProof/>
              </w:rPr>
              <w:t>vajadzību analīzi un piešķirtajiem resursiem.</w:t>
            </w:r>
          </w:p>
          <w:p w14:paraId="0395F578" w14:textId="37327A28" w:rsidR="00C972CB" w:rsidRDefault="002457F6">
            <w:pPr>
              <w:pStyle w:val="P68B1DB1-Normal11"/>
              <w:spacing w:before="120" w:after="120"/>
              <w:rPr>
                <w:rFonts w:eastAsia="Calibri"/>
                <w:noProof/>
              </w:rPr>
            </w:pPr>
            <w:r>
              <w:rPr>
                <w:noProof/>
              </w:rPr>
              <w:t xml:space="preserve">Šīs darbības ietver: IT sistēmas turpmāka īstenošana, ņemot vērā sadarbspēju valstu līmenī; Personāla profesionālā apmācība; </w:t>
            </w:r>
            <w:r>
              <w:rPr>
                <w:noProof/>
              </w:rPr>
              <w:br/>
              <w:t>Vietējo darba tirgu reģionālo novērošanas centru izveide; Iestāžu saziņa un informēš</w:t>
            </w:r>
            <w:r>
              <w:rPr>
                <w:noProof/>
              </w:rPr>
              <w:t>ana.</w:t>
            </w:r>
          </w:p>
          <w:p w14:paraId="2AF6BA30" w14:textId="77777777" w:rsidR="00C972CB" w:rsidRDefault="002457F6">
            <w:pPr>
              <w:pStyle w:val="P68B1DB1-Normal11"/>
              <w:spacing w:before="120" w:after="120"/>
              <w:rPr>
                <w:rFonts w:eastAsia="Calibri"/>
                <w:noProof/>
              </w:rPr>
            </w:pPr>
            <w:r>
              <w:rPr>
                <w:noProof/>
              </w:rPr>
              <w:t xml:space="preserve">Šajā mērķī nav iekļautas infrastruktūras darbības. </w:t>
            </w:r>
          </w:p>
          <w:p w14:paraId="565182C0" w14:textId="77777777" w:rsidR="00C972CB" w:rsidRDefault="002457F6">
            <w:pPr>
              <w:pStyle w:val="P68B1DB1-Normal11"/>
              <w:spacing w:before="120" w:after="120"/>
              <w:rPr>
                <w:rFonts w:eastAsia="Calibri"/>
                <w:noProof/>
              </w:rPr>
            </w:pPr>
            <w:r>
              <w:rPr>
                <w:noProof/>
              </w:rPr>
              <w:t>Lai sasniegtu mērķi, tiek garantēts līdzsvars teritoriālajā sadalījumā (ziemeļu, centra un dienvidu) ziņā, arī ar subsidiaritātes pasākumiem.</w:t>
            </w:r>
          </w:p>
        </w:tc>
      </w:tr>
      <w:tr w:rsidR="00C972CB" w14:paraId="55B164C5" w14:textId="77777777">
        <w:trPr>
          <w:trHeight w:val="309"/>
          <w:jc w:val="center"/>
        </w:trPr>
        <w:tc>
          <w:tcPr>
            <w:tcW w:w="1364" w:type="dxa"/>
            <w:shd w:val="clear" w:color="auto" w:fill="C6EFCE"/>
            <w:noWrap/>
            <w:vAlign w:val="center"/>
          </w:tcPr>
          <w:p w14:paraId="1AA10754" w14:textId="77777777" w:rsidR="00C972CB" w:rsidRDefault="002457F6">
            <w:pPr>
              <w:pStyle w:val="P68B1DB1-Normal11"/>
              <w:jc w:val="center"/>
              <w:rPr>
                <w:noProof/>
              </w:rPr>
            </w:pPr>
            <w:r>
              <w:rPr>
                <w:noProof/>
              </w:rPr>
              <w:t>M5C1–7bis</w:t>
            </w:r>
          </w:p>
        </w:tc>
        <w:tc>
          <w:tcPr>
            <w:tcW w:w="1513" w:type="dxa"/>
            <w:shd w:val="clear" w:color="auto" w:fill="C6EFCE"/>
            <w:noWrap/>
            <w:vAlign w:val="center"/>
          </w:tcPr>
          <w:p w14:paraId="3933760A" w14:textId="5A640466" w:rsidR="00C972CB" w:rsidRDefault="002457F6">
            <w:pPr>
              <w:pStyle w:val="P68B1DB1-Normal11"/>
              <w:spacing w:before="120" w:after="120"/>
              <w:jc w:val="center"/>
              <w:rPr>
                <w:rFonts w:eastAsia="Calibri"/>
                <w:noProof/>
              </w:rPr>
            </w:pPr>
            <w:r>
              <w:rPr>
                <w:noProof/>
              </w:rPr>
              <w:t>Ieguldījums 1 — Valsts nodarbinātības dienestu</w:t>
            </w:r>
            <w:r>
              <w:rPr>
                <w:noProof/>
              </w:rPr>
              <w:t xml:space="preserve"> (VND) stiprināšana</w:t>
            </w:r>
          </w:p>
        </w:tc>
        <w:tc>
          <w:tcPr>
            <w:tcW w:w="1281" w:type="dxa"/>
            <w:shd w:val="clear" w:color="auto" w:fill="C6EFCE"/>
            <w:noWrap/>
            <w:vAlign w:val="center"/>
          </w:tcPr>
          <w:p w14:paraId="06442EDC" w14:textId="77777777" w:rsidR="00C972CB" w:rsidRDefault="002457F6">
            <w:pPr>
              <w:pStyle w:val="P68B1DB1-Normal11"/>
              <w:jc w:val="center"/>
              <w:rPr>
                <w:rFonts w:eastAsia="Calibri"/>
                <w:noProof/>
              </w:rPr>
            </w:pPr>
            <w:r>
              <w:rPr>
                <w:noProof/>
              </w:rPr>
              <w:t>Mērķa</w:t>
            </w:r>
          </w:p>
        </w:tc>
        <w:tc>
          <w:tcPr>
            <w:tcW w:w="1597" w:type="dxa"/>
            <w:shd w:val="clear" w:color="auto" w:fill="C6EFCE"/>
            <w:noWrap/>
            <w:vAlign w:val="center"/>
          </w:tcPr>
          <w:p w14:paraId="00C65D81" w14:textId="77777777" w:rsidR="00C972CB" w:rsidRDefault="002457F6">
            <w:pPr>
              <w:pStyle w:val="P68B1DB1-Normal11"/>
              <w:jc w:val="center"/>
              <w:rPr>
                <w:noProof/>
              </w:rPr>
            </w:pPr>
            <w:r>
              <w:rPr>
                <w:noProof/>
              </w:rPr>
              <w:t>Valstu nodarbinātības dienesti (VND) ir pabeiguši stiprināšanas plānā paredzētos pasākumus</w:t>
            </w:r>
          </w:p>
        </w:tc>
        <w:tc>
          <w:tcPr>
            <w:tcW w:w="1470" w:type="dxa"/>
            <w:shd w:val="clear" w:color="auto" w:fill="C6EFCE"/>
            <w:noWrap/>
            <w:vAlign w:val="center"/>
          </w:tcPr>
          <w:p w14:paraId="54FDDE73" w14:textId="77777777" w:rsidR="00C972CB" w:rsidRDefault="002457F6">
            <w:pPr>
              <w:pStyle w:val="P68B1DB1-Normal11"/>
              <w:jc w:val="center"/>
              <w:rPr>
                <w:rFonts w:eastAsia="Calibri"/>
                <w:noProof/>
              </w:rPr>
            </w:pPr>
            <w:r>
              <w:rPr>
                <w:noProof/>
              </w:rPr>
              <w:t>NEPIEMĒRO</w:t>
            </w:r>
          </w:p>
        </w:tc>
        <w:tc>
          <w:tcPr>
            <w:tcW w:w="1275" w:type="dxa"/>
            <w:shd w:val="clear" w:color="auto" w:fill="C6EFCE"/>
            <w:noWrap/>
            <w:vAlign w:val="center"/>
          </w:tcPr>
          <w:p w14:paraId="2A4BD1A6" w14:textId="77777777" w:rsidR="00C972CB" w:rsidRDefault="002457F6">
            <w:pPr>
              <w:pStyle w:val="P68B1DB1-Normal11"/>
              <w:jc w:val="center"/>
              <w:rPr>
                <w:rFonts w:eastAsia="Calibri"/>
                <w:noProof/>
              </w:rPr>
            </w:pPr>
            <w:r>
              <w:rPr>
                <w:noProof/>
              </w:rPr>
              <w:t xml:space="preserve">Skaits </w:t>
            </w:r>
          </w:p>
        </w:tc>
        <w:tc>
          <w:tcPr>
            <w:tcW w:w="1134" w:type="dxa"/>
            <w:shd w:val="clear" w:color="auto" w:fill="C6EFCE"/>
            <w:noWrap/>
            <w:vAlign w:val="center"/>
          </w:tcPr>
          <w:p w14:paraId="39B69383" w14:textId="77777777" w:rsidR="00C972CB" w:rsidRDefault="002457F6">
            <w:pPr>
              <w:pStyle w:val="P68B1DB1-Normal11"/>
              <w:jc w:val="center"/>
              <w:rPr>
                <w:rFonts w:eastAsia="Calibri"/>
                <w:noProof/>
              </w:rPr>
            </w:pPr>
            <w:r>
              <w:rPr>
                <w:noProof/>
              </w:rPr>
              <w:t>0</w:t>
            </w:r>
          </w:p>
        </w:tc>
        <w:tc>
          <w:tcPr>
            <w:tcW w:w="1134" w:type="dxa"/>
            <w:shd w:val="clear" w:color="auto" w:fill="C6EFCE"/>
            <w:noWrap/>
            <w:vAlign w:val="center"/>
          </w:tcPr>
          <w:p w14:paraId="2C45EA00" w14:textId="77777777" w:rsidR="00C972CB" w:rsidRDefault="002457F6">
            <w:pPr>
              <w:pStyle w:val="P68B1DB1-Normal11"/>
              <w:jc w:val="center"/>
              <w:rPr>
                <w:rFonts w:eastAsia="Calibri"/>
                <w:noProof/>
              </w:rPr>
            </w:pPr>
            <w:r>
              <w:rPr>
                <w:noProof/>
              </w:rPr>
              <w:t>500</w:t>
            </w:r>
          </w:p>
        </w:tc>
        <w:tc>
          <w:tcPr>
            <w:tcW w:w="851" w:type="dxa"/>
            <w:shd w:val="clear" w:color="auto" w:fill="C6EFCE"/>
            <w:noWrap/>
            <w:vAlign w:val="center"/>
          </w:tcPr>
          <w:p w14:paraId="112EBA93" w14:textId="77777777" w:rsidR="00C972CB" w:rsidRDefault="002457F6">
            <w:pPr>
              <w:pStyle w:val="P68B1DB1-Normal11"/>
              <w:jc w:val="center"/>
              <w:rPr>
                <w:rFonts w:eastAsia="Calibri"/>
                <w:noProof/>
              </w:rPr>
            </w:pPr>
            <w:r>
              <w:rPr>
                <w:noProof/>
              </w:rPr>
              <w:t>2. CET.</w:t>
            </w:r>
          </w:p>
        </w:tc>
        <w:tc>
          <w:tcPr>
            <w:tcW w:w="709" w:type="dxa"/>
            <w:shd w:val="clear" w:color="auto" w:fill="C6EFCE"/>
            <w:noWrap/>
            <w:vAlign w:val="center"/>
          </w:tcPr>
          <w:p w14:paraId="48B85233" w14:textId="77777777" w:rsidR="00C972CB" w:rsidRDefault="002457F6">
            <w:pPr>
              <w:pStyle w:val="P68B1DB1-Normal11"/>
              <w:jc w:val="center"/>
              <w:rPr>
                <w:rFonts w:eastAsia="Calibri"/>
                <w:noProof/>
              </w:rPr>
            </w:pPr>
            <w:r>
              <w:rPr>
                <w:noProof/>
              </w:rPr>
              <w:t>2026</w:t>
            </w:r>
          </w:p>
        </w:tc>
        <w:tc>
          <w:tcPr>
            <w:tcW w:w="2835" w:type="dxa"/>
            <w:shd w:val="clear" w:color="auto" w:fill="C6EFCE"/>
            <w:noWrap/>
            <w:vAlign w:val="center"/>
          </w:tcPr>
          <w:p w14:paraId="62363C3A" w14:textId="77777777" w:rsidR="00C972CB" w:rsidRDefault="002457F6">
            <w:pPr>
              <w:pStyle w:val="P68B1DB1-Normal11"/>
              <w:spacing w:before="120" w:after="120"/>
              <w:rPr>
                <w:rFonts w:eastAsia="Calibri"/>
                <w:noProof/>
              </w:rPr>
            </w:pPr>
            <w:r>
              <w:rPr>
                <w:noProof/>
              </w:rPr>
              <w:t xml:space="preserve">Vismaz 500 valstu nodarbinātības dienesti (VND) ir pabeiguši 100 % no pasākumiem, kas paredzēti reģionālajos plānos valsts nodarbinātības centru attīstībai </w:t>
            </w:r>
            <w:r>
              <w:rPr>
                <w:i/>
                <w:noProof/>
              </w:rPr>
              <w:t xml:space="preserve">(Piani regionali di potenziamento dei centri per l’impiego) </w:t>
            </w:r>
            <w:r>
              <w:rPr>
                <w:noProof/>
              </w:rPr>
              <w:t>attiecībā uz valsts nodarbinātības diene</w:t>
            </w:r>
            <w:r>
              <w:rPr>
                <w:noProof/>
              </w:rPr>
              <w:t>stu (VND) un reģionālo aģentūru pašreizējo ēku renovāciju un atjaunošanu un jaunu ēku iegādi, kā aprakstīts Darba un sociālās politikas ministrijas ģenerālsekretāra dekrētā Nr. 123/2020.</w:t>
            </w:r>
          </w:p>
        </w:tc>
      </w:tr>
      <w:tr w:rsidR="00C972CB" w14:paraId="789C711D" w14:textId="77777777">
        <w:trPr>
          <w:trHeight w:val="309"/>
          <w:jc w:val="center"/>
        </w:trPr>
        <w:tc>
          <w:tcPr>
            <w:tcW w:w="1364" w:type="dxa"/>
            <w:shd w:val="clear" w:color="auto" w:fill="C6EFCE"/>
            <w:noWrap/>
            <w:vAlign w:val="center"/>
            <w:hideMark/>
          </w:tcPr>
          <w:p w14:paraId="20F55497" w14:textId="20BBF3C9" w:rsidR="00C972CB" w:rsidRDefault="002457F6">
            <w:pPr>
              <w:pStyle w:val="P68B1DB1-Normal11"/>
              <w:jc w:val="center"/>
              <w:rPr>
                <w:rFonts w:eastAsia="Calibri"/>
                <w:noProof/>
              </w:rPr>
            </w:pPr>
            <w:r>
              <w:rPr>
                <w:noProof/>
              </w:rPr>
              <w:t>M5C1–8</w:t>
            </w:r>
          </w:p>
        </w:tc>
        <w:tc>
          <w:tcPr>
            <w:tcW w:w="1513" w:type="dxa"/>
            <w:shd w:val="clear" w:color="auto" w:fill="C6EFCE"/>
            <w:noWrap/>
            <w:vAlign w:val="center"/>
            <w:hideMark/>
          </w:tcPr>
          <w:p w14:paraId="7EBAEBA9" w14:textId="77777777" w:rsidR="00C972CB" w:rsidRDefault="002457F6">
            <w:pPr>
              <w:pStyle w:val="P68B1DB1-Normal11"/>
              <w:jc w:val="center"/>
              <w:rPr>
                <w:rFonts w:eastAsia="Calibri"/>
                <w:noProof/>
              </w:rPr>
            </w:pPr>
            <w:r>
              <w:rPr>
                <w:noProof/>
              </w:rPr>
              <w:t>Reforma — nedeklarēts darbs</w:t>
            </w:r>
          </w:p>
        </w:tc>
        <w:tc>
          <w:tcPr>
            <w:tcW w:w="1281" w:type="dxa"/>
            <w:shd w:val="clear" w:color="auto" w:fill="C6EFCE"/>
            <w:noWrap/>
            <w:vAlign w:val="center"/>
            <w:hideMark/>
          </w:tcPr>
          <w:p w14:paraId="63EFA52F" w14:textId="77777777" w:rsidR="00C972CB" w:rsidRDefault="002457F6">
            <w:pPr>
              <w:pStyle w:val="P68B1DB1-Normal11"/>
              <w:jc w:val="center"/>
              <w:rPr>
                <w:rFonts w:eastAsia="Calibri"/>
                <w:noProof/>
              </w:rPr>
            </w:pPr>
            <w:r>
              <w:rPr>
                <w:noProof/>
              </w:rPr>
              <w:t>Starpposma mērķis</w:t>
            </w:r>
          </w:p>
        </w:tc>
        <w:tc>
          <w:tcPr>
            <w:tcW w:w="1597" w:type="dxa"/>
            <w:shd w:val="clear" w:color="auto" w:fill="C6EFCE"/>
            <w:noWrap/>
            <w:vAlign w:val="center"/>
            <w:hideMark/>
          </w:tcPr>
          <w:p w14:paraId="7BA0E066" w14:textId="77777777" w:rsidR="00C972CB" w:rsidRDefault="002457F6">
            <w:pPr>
              <w:pStyle w:val="P68B1DB1-Normal11"/>
              <w:jc w:val="center"/>
              <w:rPr>
                <w:noProof/>
              </w:rPr>
            </w:pPr>
            <w:r>
              <w:rPr>
                <w:noProof/>
              </w:rPr>
              <w:t xml:space="preserve">Stājas spēkā </w:t>
            </w:r>
            <w:r>
              <w:rPr>
                <w:noProof/>
              </w:rPr>
              <w:t>valsts plāns un īstenošanas ceļvedis nedeklarēta darba apkarošanai visās ekonomikas nozarēs.</w:t>
            </w:r>
          </w:p>
        </w:tc>
        <w:tc>
          <w:tcPr>
            <w:tcW w:w="1470" w:type="dxa"/>
            <w:shd w:val="clear" w:color="auto" w:fill="C6EFCE"/>
            <w:noWrap/>
            <w:vAlign w:val="center"/>
            <w:hideMark/>
          </w:tcPr>
          <w:p w14:paraId="7D0FD54C" w14:textId="08B0F3AB" w:rsidR="00C972CB" w:rsidRDefault="002457F6">
            <w:pPr>
              <w:pStyle w:val="P68B1DB1-Normal11"/>
              <w:jc w:val="center"/>
              <w:rPr>
                <w:rFonts w:eastAsia="Calibri"/>
                <w:noProof/>
              </w:rPr>
            </w:pPr>
            <w:r>
              <w:rPr>
                <w:noProof/>
              </w:rPr>
              <w:t>Likuma noteikumi, kas norāda uz valsts plāna stāšanos spēkā un iestāžu darba grupas izveidi, kas būs atbildīga par valsts plāna un īstenošanas ceļveža izstrādi</w:t>
            </w:r>
          </w:p>
        </w:tc>
        <w:tc>
          <w:tcPr>
            <w:tcW w:w="1275" w:type="dxa"/>
            <w:shd w:val="clear" w:color="auto" w:fill="C6EFCE"/>
            <w:noWrap/>
            <w:vAlign w:val="center"/>
            <w:hideMark/>
          </w:tcPr>
          <w:p w14:paraId="6376B42D" w14:textId="77777777" w:rsidR="00C972CB" w:rsidRDefault="002457F6">
            <w:pPr>
              <w:pStyle w:val="P68B1DB1-Normal11"/>
              <w:jc w:val="center"/>
              <w:rPr>
                <w:rFonts w:eastAsia="Calibri"/>
                <w:noProof/>
              </w:rPr>
            </w:pPr>
            <w:r>
              <w:rPr>
                <w:noProof/>
              </w:rPr>
              <w:t>NEPIEMĒRO</w:t>
            </w:r>
          </w:p>
        </w:tc>
        <w:tc>
          <w:tcPr>
            <w:tcW w:w="1134" w:type="dxa"/>
            <w:shd w:val="clear" w:color="auto" w:fill="C6EFCE"/>
            <w:noWrap/>
            <w:vAlign w:val="center"/>
            <w:hideMark/>
          </w:tcPr>
          <w:p w14:paraId="5BEB0E05" w14:textId="77777777" w:rsidR="00C972CB" w:rsidRDefault="002457F6">
            <w:pPr>
              <w:pStyle w:val="P68B1DB1-Normal11"/>
              <w:jc w:val="center"/>
              <w:rPr>
                <w:rFonts w:eastAsia="Calibri"/>
                <w:noProof/>
              </w:rPr>
            </w:pPr>
            <w:r>
              <w:rPr>
                <w:noProof/>
              </w:rPr>
              <w:t>NEPIEMĒRO</w:t>
            </w:r>
          </w:p>
        </w:tc>
        <w:tc>
          <w:tcPr>
            <w:tcW w:w="1134" w:type="dxa"/>
            <w:shd w:val="clear" w:color="auto" w:fill="C6EFCE"/>
            <w:noWrap/>
            <w:vAlign w:val="center"/>
            <w:hideMark/>
          </w:tcPr>
          <w:p w14:paraId="6385B054" w14:textId="77777777" w:rsidR="00C972CB" w:rsidRDefault="002457F6">
            <w:pPr>
              <w:pStyle w:val="P68B1DB1-Normal11"/>
              <w:jc w:val="center"/>
              <w:rPr>
                <w:rFonts w:eastAsia="Calibri"/>
                <w:noProof/>
              </w:rPr>
            </w:pPr>
            <w:r>
              <w:rPr>
                <w:noProof/>
              </w:rPr>
              <w:t>NEPIEMĒRO</w:t>
            </w:r>
          </w:p>
        </w:tc>
        <w:tc>
          <w:tcPr>
            <w:tcW w:w="851" w:type="dxa"/>
            <w:shd w:val="clear" w:color="auto" w:fill="C6EFCE"/>
            <w:noWrap/>
            <w:vAlign w:val="center"/>
            <w:hideMark/>
          </w:tcPr>
          <w:p w14:paraId="1ACA708B" w14:textId="77777777" w:rsidR="00C972CB" w:rsidRDefault="002457F6">
            <w:pPr>
              <w:pStyle w:val="P68B1DB1-Normal11"/>
              <w:jc w:val="center"/>
              <w:rPr>
                <w:rFonts w:eastAsia="Calibri"/>
                <w:noProof/>
              </w:rPr>
            </w:pPr>
            <w:r>
              <w:rPr>
                <w:noProof/>
              </w:rPr>
              <w:t>4. CET.</w:t>
            </w:r>
          </w:p>
        </w:tc>
        <w:tc>
          <w:tcPr>
            <w:tcW w:w="709" w:type="dxa"/>
            <w:shd w:val="clear" w:color="auto" w:fill="C6EFCE"/>
            <w:noWrap/>
            <w:vAlign w:val="center"/>
            <w:hideMark/>
          </w:tcPr>
          <w:p w14:paraId="634C38CB" w14:textId="77777777" w:rsidR="00C972CB" w:rsidRDefault="002457F6">
            <w:pPr>
              <w:pStyle w:val="P68B1DB1-Normal11"/>
              <w:jc w:val="center"/>
              <w:rPr>
                <w:rFonts w:eastAsia="Calibri"/>
                <w:noProof/>
              </w:rPr>
            </w:pPr>
            <w:r>
              <w:rPr>
                <w:noProof/>
              </w:rPr>
              <w:t>2022</w:t>
            </w:r>
          </w:p>
        </w:tc>
        <w:tc>
          <w:tcPr>
            <w:tcW w:w="2835" w:type="dxa"/>
            <w:shd w:val="clear" w:color="auto" w:fill="C6EFCE"/>
            <w:noWrap/>
            <w:vAlign w:val="center"/>
            <w:hideMark/>
          </w:tcPr>
          <w:p w14:paraId="7E2BBBB4" w14:textId="77777777" w:rsidR="00C972CB" w:rsidRDefault="002457F6">
            <w:pPr>
              <w:pStyle w:val="P68B1DB1-Normal19"/>
              <w:rPr>
                <w:rFonts w:eastAsia="Calibri"/>
                <w:noProof/>
                <w:color w:val="006100"/>
              </w:rPr>
            </w:pPr>
            <w:r>
              <w:rPr>
                <w:noProof/>
              </w:rPr>
              <w:t>Valsts plāna un noteiktā termiņā (viena gada) īstenošanas ceļveža</w:t>
            </w:r>
            <w:r>
              <w:rPr>
                <w:noProof/>
                <w:color w:val="006100"/>
              </w:rPr>
              <w:t>pieņemšana, lai apkarotu nedeklarētu darbu visās ekonomikas nozarēs. Valsts plāna pamatā ir vispārējā stratēģija nedeklarēta darba apkarošanai un da</w:t>
            </w:r>
            <w:r>
              <w:rPr>
                <w:noProof/>
                <w:color w:val="006100"/>
              </w:rPr>
              <w:t>udzaģentūru pieeja, ko izmanto, lai pieņemtu valsts plānu cīņai pret darbaspēka izmantošanu lauksaimniecības nozarē — “Piano triennale di contrasto sfruttamento lavorativo in agricoltura e al caporalato (2020–2022)”. Valsts plānā un īstenošanas plānā iekļa</w:t>
            </w:r>
            <w:r>
              <w:rPr>
                <w:noProof/>
                <w:color w:val="006100"/>
              </w:rPr>
              <w:t xml:space="preserve">uj vismaz šādus elementus: </w:t>
            </w:r>
            <w:r>
              <w:rPr>
                <w:noProof/>
              </w:rPr>
              <w:t xml:space="preserve"> </w:t>
            </w:r>
            <w:r>
              <w:rPr>
                <w:noProof/>
              </w:rPr>
              <w:br/>
            </w:r>
            <w:r>
              <w:rPr>
                <w:noProof/>
                <w:color w:val="006100"/>
              </w:rPr>
              <w:t xml:space="preserve">Pasākumi, kuru mērķis ir uzlabot detalizētu datu par nedeklarētu darbu sagatavošanu, vākšanu un savlaicīgu izplatīšanu; </w:t>
            </w:r>
            <w:r>
              <w:rPr>
                <w:noProof/>
              </w:rPr>
              <w:t xml:space="preserve"> </w:t>
            </w:r>
            <w:r>
              <w:rPr>
                <w:noProof/>
              </w:rPr>
              <w:br/>
            </w:r>
            <w:r>
              <w:rPr>
                <w:noProof/>
                <w:color w:val="006100"/>
              </w:rPr>
              <w:t>Ieviest tiešus un netiešus pasākumus, lai nedeklarētu darbu pārveidotu par deklarētu darbu, nodrošinot, k</w:t>
            </w:r>
            <w:r>
              <w:rPr>
                <w:noProof/>
                <w:color w:val="006100"/>
              </w:rPr>
              <w:t xml:space="preserve">a ieguvumi no darbības deklarētajā ekonomikā pārsniedz izmaksas, ko rada darbs nedeklarētā ekonomikā. Piemēram, a) atturoši pasākumi, piemēram, pārbaužu un sankciju stiprināšana, un preventīvi pasākumi, lai veicinātu deklarēto darbu, piemēram, mērķtiecīgi </w:t>
            </w:r>
            <w:r>
              <w:rPr>
                <w:noProof/>
                <w:color w:val="006100"/>
              </w:rPr>
              <w:t xml:space="preserve">finansiāli stimuli, arī pārskatot un racionalizējot esošos; saiknes stiprināšana ar nodarbinātības un sociālo politiku; </w:t>
            </w:r>
            <w:r>
              <w:rPr>
                <w:noProof/>
              </w:rPr>
              <w:t xml:space="preserve"> </w:t>
            </w:r>
            <w:r>
              <w:rPr>
                <w:noProof/>
              </w:rPr>
              <w:br/>
            </w:r>
            <w:r>
              <w:rPr>
                <w:noProof/>
                <w:color w:val="006100"/>
              </w:rPr>
              <w:t>III) valsts mēroga informācijas kampaņa par nedeklarēta darba “disvalitāti”, kas paredzēta darba devējiem un darba ņēmējiem, aktīvi ie</w:t>
            </w:r>
            <w:r>
              <w:rPr>
                <w:noProof/>
                <w:color w:val="006100"/>
              </w:rPr>
              <w:t xml:space="preserve">saistot sociālos partnerus; </w:t>
            </w:r>
            <w:r>
              <w:rPr>
                <w:noProof/>
              </w:rPr>
              <w:t xml:space="preserve"> </w:t>
            </w:r>
            <w:r>
              <w:rPr>
                <w:noProof/>
              </w:rPr>
              <w:br/>
            </w:r>
            <w:r>
              <w:rPr>
                <w:noProof/>
                <w:color w:val="006100"/>
              </w:rPr>
              <w:t xml:space="preserve">Pārvaldības struktūra, lai nodrošinātu darbību efektīvu īstenošanu; </w:t>
            </w:r>
          </w:p>
          <w:p w14:paraId="6ECCE12C" w14:textId="77777777" w:rsidR="00C972CB" w:rsidRDefault="002457F6">
            <w:pPr>
              <w:pStyle w:val="P68B1DB1-Normal11"/>
              <w:rPr>
                <w:rFonts w:eastAsia="Calibri"/>
                <w:noProof/>
              </w:rPr>
            </w:pPr>
            <w:r>
              <w:rPr>
                <w:noProof/>
              </w:rPr>
              <w:t>Pasākumi nelikumīgu apmetņu pārvarēšanai, lai cīnītos pret darbaspēka ekspluatāciju lauksaimniecībā.</w:t>
            </w:r>
          </w:p>
          <w:p w14:paraId="44E74DB2" w14:textId="77777777" w:rsidR="00C972CB" w:rsidRDefault="00C972CB">
            <w:pPr>
              <w:rPr>
                <w:rFonts w:ascii="Arial Narrow" w:eastAsia="Calibri" w:hAnsi="Arial Narrow"/>
                <w:noProof/>
                <w:color w:val="006100"/>
                <w:sz w:val="20"/>
              </w:rPr>
            </w:pPr>
          </w:p>
        </w:tc>
      </w:tr>
      <w:tr w:rsidR="00C972CB" w14:paraId="179179CF" w14:textId="77777777">
        <w:trPr>
          <w:trHeight w:val="309"/>
          <w:jc w:val="center"/>
        </w:trPr>
        <w:tc>
          <w:tcPr>
            <w:tcW w:w="1364" w:type="dxa"/>
            <w:shd w:val="clear" w:color="auto" w:fill="C6EFCE"/>
            <w:noWrap/>
            <w:vAlign w:val="center"/>
            <w:hideMark/>
          </w:tcPr>
          <w:p w14:paraId="04467B4E" w14:textId="7A0B3771" w:rsidR="00C972CB" w:rsidRDefault="002457F6">
            <w:pPr>
              <w:pStyle w:val="P68B1DB1-Normal11"/>
              <w:jc w:val="center"/>
              <w:rPr>
                <w:rFonts w:eastAsia="Calibri"/>
                <w:noProof/>
              </w:rPr>
            </w:pPr>
            <w:r>
              <w:rPr>
                <w:noProof/>
              </w:rPr>
              <w:t>M5C1–9</w:t>
            </w:r>
          </w:p>
        </w:tc>
        <w:tc>
          <w:tcPr>
            <w:tcW w:w="1513" w:type="dxa"/>
            <w:shd w:val="clear" w:color="auto" w:fill="C6EFCE"/>
            <w:noWrap/>
            <w:vAlign w:val="center"/>
            <w:hideMark/>
          </w:tcPr>
          <w:p w14:paraId="1EF519EF" w14:textId="77777777" w:rsidR="00C972CB" w:rsidRDefault="002457F6">
            <w:pPr>
              <w:pStyle w:val="P68B1DB1-Normal11"/>
              <w:jc w:val="center"/>
              <w:rPr>
                <w:rFonts w:eastAsia="Calibri"/>
                <w:noProof/>
              </w:rPr>
            </w:pPr>
            <w:r>
              <w:rPr>
                <w:noProof/>
              </w:rPr>
              <w:t>Reforma — nedeklarēts darbs</w:t>
            </w:r>
          </w:p>
        </w:tc>
        <w:tc>
          <w:tcPr>
            <w:tcW w:w="1281" w:type="dxa"/>
            <w:shd w:val="clear" w:color="auto" w:fill="C6EFCE"/>
            <w:noWrap/>
            <w:vAlign w:val="center"/>
            <w:hideMark/>
          </w:tcPr>
          <w:p w14:paraId="3BF09AF3" w14:textId="77777777" w:rsidR="00C972CB" w:rsidRDefault="002457F6">
            <w:pPr>
              <w:pStyle w:val="P68B1DB1-Normal11"/>
              <w:jc w:val="center"/>
              <w:rPr>
                <w:rFonts w:eastAsia="Calibri"/>
                <w:noProof/>
              </w:rPr>
            </w:pPr>
            <w:r>
              <w:rPr>
                <w:noProof/>
              </w:rPr>
              <w:t>Starpposma mērķis</w:t>
            </w:r>
          </w:p>
        </w:tc>
        <w:tc>
          <w:tcPr>
            <w:tcW w:w="1597" w:type="dxa"/>
            <w:shd w:val="clear" w:color="auto" w:fill="C6EFCE"/>
            <w:noWrap/>
            <w:vAlign w:val="center"/>
            <w:hideMark/>
          </w:tcPr>
          <w:p w14:paraId="18752DCD" w14:textId="77777777" w:rsidR="00C972CB" w:rsidRDefault="002457F6">
            <w:pPr>
              <w:pStyle w:val="P68B1DB1-Normal11"/>
              <w:jc w:val="center"/>
              <w:rPr>
                <w:noProof/>
              </w:rPr>
            </w:pPr>
            <w:r>
              <w:rPr>
                <w:noProof/>
              </w:rPr>
              <w:t>Valsts plānā iekļauto pasākumu pilnīga īstenošana saskaņā ar Ceļvedi</w:t>
            </w:r>
          </w:p>
        </w:tc>
        <w:tc>
          <w:tcPr>
            <w:tcW w:w="1470" w:type="dxa"/>
            <w:shd w:val="clear" w:color="auto" w:fill="C6EFCE"/>
            <w:noWrap/>
            <w:vAlign w:val="center"/>
            <w:hideMark/>
          </w:tcPr>
          <w:p w14:paraId="626ADCEC" w14:textId="77777777" w:rsidR="00C972CB" w:rsidRDefault="002457F6">
            <w:pPr>
              <w:pStyle w:val="P68B1DB1-Normal11"/>
              <w:jc w:val="center"/>
              <w:rPr>
                <w:noProof/>
              </w:rPr>
            </w:pPr>
            <w:r>
              <w:rPr>
                <w:noProof/>
              </w:rPr>
              <w:t>Īstenotie valsts plāna pasākumi</w:t>
            </w:r>
          </w:p>
        </w:tc>
        <w:tc>
          <w:tcPr>
            <w:tcW w:w="1275" w:type="dxa"/>
            <w:shd w:val="clear" w:color="auto" w:fill="C6EFCE"/>
            <w:noWrap/>
            <w:vAlign w:val="center"/>
            <w:hideMark/>
          </w:tcPr>
          <w:p w14:paraId="38AA4691" w14:textId="77777777" w:rsidR="00C972CB" w:rsidRDefault="002457F6">
            <w:pPr>
              <w:pStyle w:val="P68B1DB1-Normal11"/>
              <w:jc w:val="center"/>
              <w:rPr>
                <w:rFonts w:eastAsia="Calibri"/>
                <w:noProof/>
              </w:rPr>
            </w:pPr>
            <w:r>
              <w:rPr>
                <w:noProof/>
              </w:rPr>
              <w:t>NEPIEMĒRO</w:t>
            </w:r>
          </w:p>
        </w:tc>
        <w:tc>
          <w:tcPr>
            <w:tcW w:w="1134" w:type="dxa"/>
            <w:shd w:val="clear" w:color="auto" w:fill="C6EFCE"/>
            <w:noWrap/>
            <w:vAlign w:val="center"/>
            <w:hideMark/>
          </w:tcPr>
          <w:p w14:paraId="7761F3AD" w14:textId="77777777" w:rsidR="00C972CB" w:rsidRDefault="002457F6">
            <w:pPr>
              <w:pStyle w:val="P68B1DB1-Normal11"/>
              <w:jc w:val="center"/>
              <w:rPr>
                <w:rFonts w:eastAsia="Calibri"/>
                <w:noProof/>
              </w:rPr>
            </w:pPr>
            <w:r>
              <w:rPr>
                <w:noProof/>
              </w:rPr>
              <w:t>NEPIEMĒRO</w:t>
            </w:r>
          </w:p>
        </w:tc>
        <w:tc>
          <w:tcPr>
            <w:tcW w:w="1134" w:type="dxa"/>
            <w:shd w:val="clear" w:color="auto" w:fill="C6EFCE"/>
            <w:noWrap/>
            <w:vAlign w:val="center"/>
            <w:hideMark/>
          </w:tcPr>
          <w:p w14:paraId="03CE2D3C" w14:textId="77777777" w:rsidR="00C972CB" w:rsidRDefault="002457F6">
            <w:pPr>
              <w:pStyle w:val="P68B1DB1-Normal11"/>
              <w:jc w:val="center"/>
              <w:rPr>
                <w:rFonts w:eastAsia="Calibri"/>
                <w:noProof/>
              </w:rPr>
            </w:pPr>
            <w:r>
              <w:rPr>
                <w:noProof/>
              </w:rPr>
              <w:t>NEPIEMĒRO</w:t>
            </w:r>
          </w:p>
        </w:tc>
        <w:tc>
          <w:tcPr>
            <w:tcW w:w="851" w:type="dxa"/>
            <w:shd w:val="clear" w:color="auto" w:fill="C6EFCE"/>
            <w:noWrap/>
            <w:vAlign w:val="center"/>
            <w:hideMark/>
          </w:tcPr>
          <w:p w14:paraId="17AA142A" w14:textId="77777777" w:rsidR="00C972CB" w:rsidRDefault="002457F6">
            <w:pPr>
              <w:pStyle w:val="P68B1DB1-Normal11"/>
              <w:jc w:val="center"/>
              <w:rPr>
                <w:rFonts w:eastAsia="Calibri"/>
                <w:noProof/>
              </w:rPr>
            </w:pPr>
            <w:r>
              <w:rPr>
                <w:noProof/>
              </w:rPr>
              <w:t>1. CET.</w:t>
            </w:r>
          </w:p>
        </w:tc>
        <w:tc>
          <w:tcPr>
            <w:tcW w:w="709" w:type="dxa"/>
            <w:shd w:val="clear" w:color="auto" w:fill="C6EFCE"/>
            <w:noWrap/>
            <w:vAlign w:val="center"/>
            <w:hideMark/>
          </w:tcPr>
          <w:p w14:paraId="72D46007" w14:textId="77777777" w:rsidR="00C972CB" w:rsidRDefault="002457F6">
            <w:pPr>
              <w:pStyle w:val="P68B1DB1-Normal11"/>
              <w:jc w:val="center"/>
              <w:rPr>
                <w:rFonts w:eastAsia="Calibri"/>
                <w:noProof/>
              </w:rPr>
            </w:pPr>
            <w:r>
              <w:rPr>
                <w:noProof/>
              </w:rPr>
              <w:t>2024</w:t>
            </w:r>
          </w:p>
        </w:tc>
        <w:tc>
          <w:tcPr>
            <w:tcW w:w="2835" w:type="dxa"/>
            <w:shd w:val="clear" w:color="auto" w:fill="C6EFCE"/>
            <w:noWrap/>
            <w:vAlign w:val="center"/>
            <w:hideMark/>
          </w:tcPr>
          <w:p w14:paraId="5874E567" w14:textId="77777777" w:rsidR="00C972CB" w:rsidRDefault="002457F6">
            <w:pPr>
              <w:pStyle w:val="P68B1DB1-Normal11"/>
              <w:rPr>
                <w:rFonts w:eastAsia="Calibri"/>
                <w:noProof/>
              </w:rPr>
            </w:pPr>
            <w:r>
              <w:rPr>
                <w:noProof/>
              </w:rPr>
              <w:t>Pilnībā īstenot visus valsts plānā iekļautos pasākumus saskaņā ar Ceļvedi.</w:t>
            </w:r>
          </w:p>
        </w:tc>
      </w:tr>
      <w:tr w:rsidR="00C972CB" w14:paraId="7EB24EA1" w14:textId="77777777">
        <w:trPr>
          <w:trHeight w:val="309"/>
          <w:jc w:val="center"/>
        </w:trPr>
        <w:tc>
          <w:tcPr>
            <w:tcW w:w="1364" w:type="dxa"/>
            <w:shd w:val="clear" w:color="auto" w:fill="C6EFCE"/>
            <w:noWrap/>
            <w:vAlign w:val="center"/>
            <w:hideMark/>
          </w:tcPr>
          <w:p w14:paraId="42FAC86D" w14:textId="77777777" w:rsidR="00C972CB" w:rsidRDefault="002457F6">
            <w:pPr>
              <w:pStyle w:val="P68B1DB1-Normal11"/>
              <w:jc w:val="center"/>
              <w:rPr>
                <w:noProof/>
              </w:rPr>
            </w:pPr>
            <w:r>
              <w:rPr>
                <w:noProof/>
              </w:rPr>
              <w:t xml:space="preserve">M5C1–10 </w:t>
            </w:r>
          </w:p>
        </w:tc>
        <w:tc>
          <w:tcPr>
            <w:tcW w:w="1513" w:type="dxa"/>
            <w:shd w:val="clear" w:color="auto" w:fill="C6EFCE"/>
            <w:noWrap/>
            <w:vAlign w:val="center"/>
            <w:hideMark/>
          </w:tcPr>
          <w:p w14:paraId="3C244DAC" w14:textId="53E40940" w:rsidR="00C972CB" w:rsidRDefault="002457F6">
            <w:pPr>
              <w:pStyle w:val="P68B1DB1-Normal11"/>
              <w:jc w:val="center"/>
              <w:rPr>
                <w:rFonts w:eastAsia="Calibri"/>
                <w:noProof/>
              </w:rPr>
            </w:pPr>
            <w:r>
              <w:rPr>
                <w:noProof/>
              </w:rPr>
              <w:t>Reforma — nedeklarēts darbs</w:t>
            </w:r>
          </w:p>
        </w:tc>
        <w:tc>
          <w:tcPr>
            <w:tcW w:w="1281" w:type="dxa"/>
            <w:shd w:val="clear" w:color="auto" w:fill="C6EFCE"/>
            <w:noWrap/>
            <w:vAlign w:val="center"/>
            <w:hideMark/>
          </w:tcPr>
          <w:p w14:paraId="57C4A05E" w14:textId="77777777" w:rsidR="00C972CB" w:rsidRDefault="002457F6">
            <w:pPr>
              <w:pStyle w:val="P68B1DB1-Normal11"/>
              <w:jc w:val="center"/>
              <w:rPr>
                <w:rFonts w:eastAsia="Calibri"/>
                <w:noProof/>
              </w:rPr>
            </w:pPr>
            <w:r>
              <w:rPr>
                <w:noProof/>
              </w:rPr>
              <w:t>Mērķa</w:t>
            </w:r>
          </w:p>
        </w:tc>
        <w:tc>
          <w:tcPr>
            <w:tcW w:w="1597" w:type="dxa"/>
            <w:shd w:val="clear" w:color="auto" w:fill="C6EFCE"/>
            <w:noWrap/>
            <w:vAlign w:val="center"/>
            <w:hideMark/>
          </w:tcPr>
          <w:p w14:paraId="2D490AAB" w14:textId="77777777" w:rsidR="00C972CB" w:rsidRDefault="002457F6">
            <w:pPr>
              <w:pStyle w:val="P68B1DB1-Normal11"/>
              <w:jc w:val="center"/>
              <w:rPr>
                <w:rFonts w:eastAsia="Calibri"/>
                <w:noProof/>
              </w:rPr>
            </w:pPr>
            <w:r>
              <w:rPr>
                <w:noProof/>
              </w:rPr>
              <w:t>Lielāks darba inspekciju skaits</w:t>
            </w:r>
          </w:p>
        </w:tc>
        <w:tc>
          <w:tcPr>
            <w:tcW w:w="1470" w:type="dxa"/>
            <w:shd w:val="clear" w:color="auto" w:fill="C6EFCE"/>
            <w:noWrap/>
            <w:vAlign w:val="center"/>
            <w:hideMark/>
          </w:tcPr>
          <w:p w14:paraId="662B17C3" w14:textId="77777777" w:rsidR="00C972CB" w:rsidRDefault="002457F6">
            <w:pPr>
              <w:pStyle w:val="P68B1DB1-Normal11"/>
              <w:jc w:val="center"/>
              <w:rPr>
                <w:rFonts w:eastAsia="Calibri"/>
                <w:noProof/>
              </w:rPr>
            </w:pPr>
            <w:r>
              <w:rPr>
                <w:noProof/>
              </w:rPr>
              <w:t>NEPIEMĒRO</w:t>
            </w:r>
          </w:p>
        </w:tc>
        <w:tc>
          <w:tcPr>
            <w:tcW w:w="1275" w:type="dxa"/>
            <w:shd w:val="clear" w:color="auto" w:fill="C6EFCE"/>
            <w:noWrap/>
            <w:vAlign w:val="center"/>
            <w:hideMark/>
          </w:tcPr>
          <w:p w14:paraId="1E3B8549" w14:textId="77777777" w:rsidR="00C972CB" w:rsidRDefault="002457F6">
            <w:pPr>
              <w:pStyle w:val="P68B1DB1-Normal11"/>
              <w:jc w:val="center"/>
              <w:rPr>
                <w:noProof/>
              </w:rPr>
            </w:pPr>
            <w:r>
              <w:rPr>
                <w:noProof/>
              </w:rPr>
              <w:t xml:space="preserve">Procentuālā daļa </w:t>
            </w:r>
          </w:p>
        </w:tc>
        <w:tc>
          <w:tcPr>
            <w:tcW w:w="1134" w:type="dxa"/>
            <w:shd w:val="clear" w:color="auto" w:fill="C6EFCE"/>
            <w:noWrap/>
            <w:vAlign w:val="center"/>
            <w:hideMark/>
          </w:tcPr>
          <w:p w14:paraId="6C74F525" w14:textId="77777777" w:rsidR="00C972CB" w:rsidRDefault="002457F6">
            <w:pPr>
              <w:pStyle w:val="P68B1DB1-Normal11"/>
              <w:jc w:val="center"/>
              <w:rPr>
                <w:noProof/>
              </w:rPr>
            </w:pPr>
            <w:r>
              <w:rPr>
                <w:noProof/>
              </w:rPr>
              <w:t>0</w:t>
            </w:r>
          </w:p>
        </w:tc>
        <w:tc>
          <w:tcPr>
            <w:tcW w:w="1134" w:type="dxa"/>
            <w:shd w:val="clear" w:color="auto" w:fill="C6EFCE"/>
            <w:noWrap/>
            <w:vAlign w:val="center"/>
            <w:hideMark/>
          </w:tcPr>
          <w:p w14:paraId="5DED6C0C" w14:textId="77777777" w:rsidR="00C972CB" w:rsidRDefault="002457F6">
            <w:pPr>
              <w:pStyle w:val="P68B1DB1-Normal11"/>
              <w:jc w:val="center"/>
              <w:rPr>
                <w:noProof/>
              </w:rPr>
            </w:pPr>
            <w:r>
              <w:rPr>
                <w:noProof/>
              </w:rPr>
              <w:t>20</w:t>
            </w:r>
          </w:p>
        </w:tc>
        <w:tc>
          <w:tcPr>
            <w:tcW w:w="851" w:type="dxa"/>
            <w:shd w:val="clear" w:color="auto" w:fill="C6EFCE"/>
            <w:noWrap/>
            <w:vAlign w:val="center"/>
            <w:hideMark/>
          </w:tcPr>
          <w:p w14:paraId="7856FFDE" w14:textId="77777777" w:rsidR="00C972CB" w:rsidRDefault="002457F6">
            <w:pPr>
              <w:pStyle w:val="P68B1DB1-Normal11"/>
              <w:jc w:val="center"/>
              <w:rPr>
                <w:rFonts w:eastAsia="Calibri"/>
                <w:noProof/>
              </w:rPr>
            </w:pPr>
            <w:r>
              <w:rPr>
                <w:noProof/>
              </w:rPr>
              <w:t>2. CET.</w:t>
            </w:r>
          </w:p>
        </w:tc>
        <w:tc>
          <w:tcPr>
            <w:tcW w:w="709" w:type="dxa"/>
            <w:shd w:val="clear" w:color="auto" w:fill="C6EFCE"/>
            <w:noWrap/>
            <w:vAlign w:val="center"/>
            <w:hideMark/>
          </w:tcPr>
          <w:p w14:paraId="3CA2DCFD" w14:textId="77777777" w:rsidR="00C972CB" w:rsidRDefault="002457F6">
            <w:pPr>
              <w:pStyle w:val="P68B1DB1-Normal11"/>
              <w:jc w:val="center"/>
              <w:rPr>
                <w:rFonts w:eastAsia="Calibri"/>
                <w:noProof/>
              </w:rPr>
            </w:pPr>
            <w:r>
              <w:rPr>
                <w:noProof/>
              </w:rPr>
              <w:t>2025</w:t>
            </w:r>
          </w:p>
        </w:tc>
        <w:tc>
          <w:tcPr>
            <w:tcW w:w="2835" w:type="dxa"/>
            <w:shd w:val="clear" w:color="auto" w:fill="C6EFCE"/>
            <w:noWrap/>
            <w:vAlign w:val="center"/>
            <w:hideMark/>
          </w:tcPr>
          <w:p w14:paraId="4F049AC5" w14:textId="47E715AF" w:rsidR="00C972CB" w:rsidRDefault="002457F6">
            <w:pPr>
              <w:pStyle w:val="P68B1DB1-Normal11"/>
              <w:rPr>
                <w:noProof/>
              </w:rPr>
            </w:pPr>
            <w:r>
              <w:rPr>
                <w:noProof/>
              </w:rPr>
              <w:t xml:space="preserve">Inspekciju skaita pieaugums par vismaz + 20 % attiecībā uz 2019.–2021. gada periodu. Divu gadu laikposmā no 2019. līdz 2020. gadam darba inspekcijas bija vidēji aptuveni </w:t>
            </w:r>
            <w:r>
              <w:rPr>
                <w:noProof/>
              </w:rPr>
              <w:t>85000.</w:t>
            </w:r>
          </w:p>
        </w:tc>
      </w:tr>
      <w:tr w:rsidR="00C972CB" w14:paraId="5172D08C" w14:textId="77777777">
        <w:trPr>
          <w:trHeight w:val="309"/>
          <w:jc w:val="center"/>
        </w:trPr>
        <w:tc>
          <w:tcPr>
            <w:tcW w:w="1364" w:type="dxa"/>
            <w:shd w:val="clear" w:color="auto" w:fill="C6EFCE"/>
            <w:noWrap/>
            <w:vAlign w:val="center"/>
            <w:hideMark/>
          </w:tcPr>
          <w:p w14:paraId="197F793E" w14:textId="77777777" w:rsidR="00C972CB" w:rsidRDefault="002457F6">
            <w:pPr>
              <w:pStyle w:val="P68B1DB1-Normal11"/>
              <w:jc w:val="center"/>
              <w:rPr>
                <w:rFonts w:eastAsia="Calibri"/>
                <w:noProof/>
              </w:rPr>
            </w:pPr>
            <w:r>
              <w:rPr>
                <w:noProof/>
              </w:rPr>
              <w:t xml:space="preserve">M5C1–11 </w:t>
            </w:r>
          </w:p>
        </w:tc>
        <w:tc>
          <w:tcPr>
            <w:tcW w:w="1513" w:type="dxa"/>
            <w:shd w:val="clear" w:color="auto" w:fill="C6EFCE"/>
            <w:noWrap/>
            <w:vAlign w:val="center"/>
            <w:hideMark/>
          </w:tcPr>
          <w:p w14:paraId="1DF55B01" w14:textId="090B4F09" w:rsidR="00C972CB" w:rsidRDefault="002457F6">
            <w:pPr>
              <w:pStyle w:val="P68B1DB1-Normal11"/>
              <w:jc w:val="center"/>
              <w:rPr>
                <w:rFonts w:eastAsia="Calibri"/>
                <w:noProof/>
              </w:rPr>
            </w:pPr>
            <w:r>
              <w:rPr>
                <w:noProof/>
              </w:rPr>
              <w:t>Reforma — nedeklarēts darbs</w:t>
            </w:r>
          </w:p>
        </w:tc>
        <w:tc>
          <w:tcPr>
            <w:tcW w:w="1281" w:type="dxa"/>
            <w:shd w:val="clear" w:color="auto" w:fill="C6EFCE"/>
            <w:noWrap/>
            <w:vAlign w:val="center"/>
            <w:hideMark/>
          </w:tcPr>
          <w:p w14:paraId="68B0E5D7" w14:textId="77777777" w:rsidR="00C972CB" w:rsidRDefault="002457F6">
            <w:pPr>
              <w:pStyle w:val="P68B1DB1-Normal11"/>
              <w:jc w:val="center"/>
              <w:rPr>
                <w:rFonts w:eastAsia="Calibri"/>
                <w:noProof/>
              </w:rPr>
            </w:pPr>
            <w:r>
              <w:rPr>
                <w:noProof/>
              </w:rPr>
              <w:t>Mērķa</w:t>
            </w:r>
          </w:p>
        </w:tc>
        <w:tc>
          <w:tcPr>
            <w:tcW w:w="1597" w:type="dxa"/>
            <w:shd w:val="clear" w:color="auto" w:fill="C6EFCE"/>
            <w:noWrap/>
            <w:vAlign w:val="center"/>
            <w:hideMark/>
          </w:tcPr>
          <w:p w14:paraId="656E56F3" w14:textId="77777777" w:rsidR="00C972CB" w:rsidRDefault="002457F6">
            <w:pPr>
              <w:pStyle w:val="P68B1DB1-Normal11"/>
              <w:jc w:val="center"/>
              <w:rPr>
                <w:rFonts w:eastAsia="Calibri"/>
                <w:noProof/>
              </w:rPr>
            </w:pPr>
            <w:r>
              <w:rPr>
                <w:noProof/>
              </w:rPr>
              <w:t>Mazāks nedeklarēta darba biežums</w:t>
            </w:r>
          </w:p>
        </w:tc>
        <w:tc>
          <w:tcPr>
            <w:tcW w:w="1470" w:type="dxa"/>
            <w:shd w:val="clear" w:color="auto" w:fill="C6EFCE"/>
            <w:noWrap/>
            <w:vAlign w:val="center"/>
            <w:hideMark/>
          </w:tcPr>
          <w:p w14:paraId="550A8D0E" w14:textId="77777777" w:rsidR="00C972CB" w:rsidRDefault="002457F6">
            <w:pPr>
              <w:pStyle w:val="P68B1DB1-Normal11"/>
              <w:jc w:val="center"/>
              <w:rPr>
                <w:noProof/>
              </w:rPr>
            </w:pPr>
            <w:r>
              <w:rPr>
                <w:noProof/>
              </w:rPr>
              <w:t>NEPIEMĒRO</w:t>
            </w:r>
          </w:p>
        </w:tc>
        <w:tc>
          <w:tcPr>
            <w:tcW w:w="1275" w:type="dxa"/>
            <w:shd w:val="clear" w:color="auto" w:fill="C6EFCE"/>
            <w:noWrap/>
            <w:vAlign w:val="center"/>
            <w:hideMark/>
          </w:tcPr>
          <w:p w14:paraId="10D237B1" w14:textId="77777777" w:rsidR="00C972CB" w:rsidRDefault="002457F6">
            <w:pPr>
              <w:pStyle w:val="P68B1DB1-Normal11"/>
              <w:jc w:val="center"/>
              <w:rPr>
                <w:noProof/>
              </w:rPr>
            </w:pPr>
            <w:r>
              <w:rPr>
                <w:noProof/>
              </w:rPr>
              <w:t xml:space="preserve">Procentuālā daļa </w:t>
            </w:r>
          </w:p>
        </w:tc>
        <w:tc>
          <w:tcPr>
            <w:tcW w:w="1134" w:type="dxa"/>
            <w:shd w:val="clear" w:color="auto" w:fill="C6EFCE"/>
            <w:noWrap/>
            <w:vAlign w:val="center"/>
            <w:hideMark/>
          </w:tcPr>
          <w:p w14:paraId="6BAF4077" w14:textId="77777777" w:rsidR="00C972CB" w:rsidRDefault="002457F6">
            <w:pPr>
              <w:pStyle w:val="P68B1DB1-Normal11"/>
              <w:jc w:val="center"/>
              <w:rPr>
                <w:rFonts w:eastAsia="Calibri"/>
                <w:noProof/>
              </w:rPr>
            </w:pPr>
            <w:r>
              <w:rPr>
                <w:noProof/>
              </w:rPr>
              <w:t>0</w:t>
            </w:r>
          </w:p>
        </w:tc>
        <w:tc>
          <w:tcPr>
            <w:tcW w:w="1134" w:type="dxa"/>
            <w:shd w:val="clear" w:color="auto" w:fill="C6EFCE"/>
            <w:noWrap/>
            <w:vAlign w:val="center"/>
            <w:hideMark/>
          </w:tcPr>
          <w:p w14:paraId="3D48F3CA" w14:textId="77777777" w:rsidR="00C972CB" w:rsidRDefault="002457F6">
            <w:pPr>
              <w:pStyle w:val="P68B1DB1-Normal11"/>
              <w:jc w:val="center"/>
              <w:rPr>
                <w:noProof/>
              </w:rPr>
            </w:pPr>
            <w:r>
              <w:rPr>
                <w:noProof/>
              </w:rPr>
              <w:t>2</w:t>
            </w:r>
          </w:p>
        </w:tc>
        <w:tc>
          <w:tcPr>
            <w:tcW w:w="851" w:type="dxa"/>
            <w:shd w:val="clear" w:color="auto" w:fill="C6EFCE"/>
            <w:noWrap/>
            <w:vAlign w:val="center"/>
            <w:hideMark/>
          </w:tcPr>
          <w:p w14:paraId="32BD6F37" w14:textId="77777777" w:rsidR="00C972CB" w:rsidRDefault="002457F6">
            <w:pPr>
              <w:pStyle w:val="P68B1DB1-Normal11"/>
              <w:jc w:val="center"/>
              <w:rPr>
                <w:rFonts w:eastAsia="Calibri"/>
                <w:noProof/>
              </w:rPr>
            </w:pPr>
            <w:r>
              <w:rPr>
                <w:noProof/>
              </w:rPr>
              <w:t>1. CET.</w:t>
            </w:r>
          </w:p>
        </w:tc>
        <w:tc>
          <w:tcPr>
            <w:tcW w:w="709" w:type="dxa"/>
            <w:shd w:val="clear" w:color="auto" w:fill="C6EFCE"/>
            <w:noWrap/>
            <w:vAlign w:val="center"/>
            <w:hideMark/>
          </w:tcPr>
          <w:p w14:paraId="28605ADD" w14:textId="77777777" w:rsidR="00C972CB" w:rsidRDefault="002457F6">
            <w:pPr>
              <w:pStyle w:val="P68B1DB1-Normal11"/>
              <w:jc w:val="center"/>
              <w:rPr>
                <w:rFonts w:eastAsia="Calibri"/>
                <w:noProof/>
              </w:rPr>
            </w:pPr>
            <w:r>
              <w:rPr>
                <w:noProof/>
              </w:rPr>
              <w:t>2026</w:t>
            </w:r>
          </w:p>
        </w:tc>
        <w:tc>
          <w:tcPr>
            <w:tcW w:w="2835" w:type="dxa"/>
            <w:shd w:val="clear" w:color="auto" w:fill="C6EFCE"/>
            <w:noWrap/>
            <w:vAlign w:val="center"/>
            <w:hideMark/>
          </w:tcPr>
          <w:p w14:paraId="138A8783" w14:textId="77777777" w:rsidR="00C972CB" w:rsidRDefault="002457F6">
            <w:pPr>
              <w:pStyle w:val="P68B1DB1-Normal11"/>
              <w:rPr>
                <w:noProof/>
              </w:rPr>
            </w:pPr>
            <w:r>
              <w:rPr>
                <w:noProof/>
              </w:rPr>
              <w:t xml:space="preserve">Samazināt nedeklarēta darba izplatību vismaz par 2 procentpunktiem atkarībā no mērķa nozarēm. </w:t>
            </w:r>
          </w:p>
          <w:p w14:paraId="447D5B0C" w14:textId="77777777" w:rsidR="00C972CB" w:rsidRDefault="002457F6">
            <w:pPr>
              <w:pStyle w:val="P68B1DB1-Normal11"/>
              <w:rPr>
                <w:noProof/>
              </w:rPr>
            </w:pPr>
            <w:r>
              <w:rPr>
                <w:noProof/>
              </w:rPr>
              <w:t>Mērķrādītāja galvenais mērķis ir</w:t>
            </w:r>
            <w:r>
              <w:rPr>
                <w:noProof/>
              </w:rPr>
              <w:t xml:space="preserve"> noteikt vērienīguma līmeni valsts plānam, kas jāpieņem līdz 2022. gadam. Šajā sakarā sniedz analītiskās specifikācijas un nosaka attiecīgos un īstenojamos rādītājus.</w:t>
            </w:r>
          </w:p>
          <w:p w14:paraId="181AA684" w14:textId="77777777" w:rsidR="00C972CB" w:rsidRDefault="00C972CB">
            <w:pPr>
              <w:rPr>
                <w:rFonts w:ascii="Arial Narrow" w:hAnsi="Arial Narrow"/>
                <w:noProof/>
                <w:color w:val="006100"/>
                <w:sz w:val="20"/>
              </w:rPr>
            </w:pPr>
          </w:p>
        </w:tc>
      </w:tr>
      <w:tr w:rsidR="00C972CB" w14:paraId="00699AE5" w14:textId="77777777">
        <w:trPr>
          <w:trHeight w:val="309"/>
          <w:jc w:val="center"/>
        </w:trPr>
        <w:tc>
          <w:tcPr>
            <w:tcW w:w="1364" w:type="dxa"/>
            <w:shd w:val="clear" w:color="auto" w:fill="C6EFCE"/>
            <w:noWrap/>
            <w:vAlign w:val="center"/>
            <w:hideMark/>
          </w:tcPr>
          <w:p w14:paraId="62DE35DA" w14:textId="25894342" w:rsidR="00C972CB" w:rsidRDefault="002457F6">
            <w:pPr>
              <w:pStyle w:val="P68B1DB1-Normal11"/>
              <w:spacing w:before="120" w:after="120"/>
              <w:jc w:val="center"/>
              <w:rPr>
                <w:rFonts w:eastAsia="Calibri"/>
                <w:noProof/>
              </w:rPr>
            </w:pPr>
            <w:r>
              <w:rPr>
                <w:noProof/>
              </w:rPr>
              <w:t>M5C1–12</w:t>
            </w:r>
          </w:p>
        </w:tc>
        <w:tc>
          <w:tcPr>
            <w:tcW w:w="1513" w:type="dxa"/>
            <w:shd w:val="clear" w:color="auto" w:fill="C6EFCE"/>
            <w:noWrap/>
            <w:vAlign w:val="center"/>
            <w:hideMark/>
          </w:tcPr>
          <w:p w14:paraId="01C4DE04" w14:textId="77777777" w:rsidR="00C972CB" w:rsidRDefault="002457F6">
            <w:pPr>
              <w:pStyle w:val="P68B1DB1-Normal11"/>
              <w:spacing w:before="120" w:after="120"/>
              <w:jc w:val="center"/>
              <w:rPr>
                <w:noProof/>
              </w:rPr>
            </w:pPr>
            <w:r>
              <w:rPr>
                <w:noProof/>
              </w:rPr>
              <w:t>Ieguldījums — Dzimumu līdztiesības sertifikācijas sistēma</w:t>
            </w:r>
          </w:p>
        </w:tc>
        <w:tc>
          <w:tcPr>
            <w:tcW w:w="1281" w:type="dxa"/>
            <w:shd w:val="clear" w:color="auto" w:fill="C6EFCE"/>
            <w:noWrap/>
            <w:vAlign w:val="center"/>
            <w:hideMark/>
          </w:tcPr>
          <w:p w14:paraId="7885EF8E" w14:textId="77777777" w:rsidR="00C972CB" w:rsidRDefault="002457F6">
            <w:pPr>
              <w:pStyle w:val="P68B1DB1-Normal11"/>
              <w:spacing w:before="120" w:after="120"/>
              <w:jc w:val="center"/>
              <w:rPr>
                <w:rFonts w:eastAsia="Calibri"/>
                <w:noProof/>
              </w:rPr>
            </w:pPr>
            <w:r>
              <w:rPr>
                <w:noProof/>
              </w:rPr>
              <w:t>Starpposma mērķis</w:t>
            </w:r>
          </w:p>
        </w:tc>
        <w:tc>
          <w:tcPr>
            <w:tcW w:w="1597" w:type="dxa"/>
            <w:shd w:val="clear" w:color="auto" w:fill="C6EFCE"/>
            <w:noWrap/>
            <w:vAlign w:val="center"/>
            <w:hideMark/>
          </w:tcPr>
          <w:p w14:paraId="45440BF4" w14:textId="77777777" w:rsidR="00C972CB" w:rsidRDefault="002457F6">
            <w:pPr>
              <w:pStyle w:val="P68B1DB1-Normal11"/>
              <w:spacing w:before="120" w:after="120"/>
              <w:jc w:val="center"/>
              <w:rPr>
                <w:rFonts w:eastAsia="Calibri"/>
                <w:noProof/>
              </w:rPr>
            </w:pPr>
            <w:r>
              <w:rPr>
                <w:noProof/>
              </w:rPr>
              <w:t xml:space="preserve">Stājas spēkā dzimumu līdztiesības sertifikācijas sistēma un ar to saistītie uzņēmumu stimulēšanas mehānismi </w:t>
            </w:r>
          </w:p>
        </w:tc>
        <w:tc>
          <w:tcPr>
            <w:tcW w:w="1470" w:type="dxa"/>
            <w:shd w:val="clear" w:color="auto" w:fill="C6EFCE"/>
            <w:noWrap/>
            <w:vAlign w:val="center"/>
            <w:hideMark/>
          </w:tcPr>
          <w:p w14:paraId="5E8B79AA" w14:textId="77777777" w:rsidR="00C972CB" w:rsidRDefault="002457F6">
            <w:pPr>
              <w:pStyle w:val="P68B1DB1-Normal11"/>
              <w:spacing w:before="120" w:after="120"/>
              <w:jc w:val="center"/>
              <w:rPr>
                <w:rFonts w:eastAsia="Calibri"/>
                <w:noProof/>
              </w:rPr>
            </w:pPr>
            <w:r>
              <w:rPr>
                <w:noProof/>
              </w:rPr>
              <w:t>Tiesību aktu noteikumi, kas norāda, ka stājas spēkā tiesību akti un īstenošanas pasākumi, kas reglamentē sertifikācijas sistēmas definēšanu</w:t>
            </w:r>
          </w:p>
        </w:tc>
        <w:tc>
          <w:tcPr>
            <w:tcW w:w="1275" w:type="dxa"/>
            <w:shd w:val="clear" w:color="auto" w:fill="C6EFCE"/>
            <w:noWrap/>
            <w:vAlign w:val="center"/>
            <w:hideMark/>
          </w:tcPr>
          <w:p w14:paraId="27C7496C" w14:textId="77777777" w:rsidR="00C972CB" w:rsidRDefault="002457F6">
            <w:pPr>
              <w:pStyle w:val="P68B1DB1-Normal11"/>
              <w:spacing w:before="120" w:after="120"/>
              <w:jc w:val="center"/>
              <w:rPr>
                <w:rFonts w:eastAsia="Calibri"/>
                <w:noProof/>
              </w:rPr>
            </w:pPr>
            <w:r>
              <w:rPr>
                <w:noProof/>
              </w:rPr>
              <w:t>NEPIEMĒRO</w:t>
            </w:r>
          </w:p>
        </w:tc>
        <w:tc>
          <w:tcPr>
            <w:tcW w:w="1134" w:type="dxa"/>
            <w:shd w:val="clear" w:color="auto" w:fill="C6EFCE"/>
            <w:noWrap/>
            <w:vAlign w:val="center"/>
            <w:hideMark/>
          </w:tcPr>
          <w:p w14:paraId="235885D5" w14:textId="77777777" w:rsidR="00C972CB" w:rsidRDefault="002457F6">
            <w:pPr>
              <w:pStyle w:val="P68B1DB1-Normal11"/>
              <w:spacing w:before="120" w:after="120"/>
              <w:jc w:val="center"/>
              <w:rPr>
                <w:rFonts w:eastAsia="Calibri"/>
                <w:noProof/>
              </w:rPr>
            </w:pPr>
            <w:r>
              <w:rPr>
                <w:noProof/>
              </w:rPr>
              <w:t>NEPIEMĒRO</w:t>
            </w:r>
          </w:p>
        </w:tc>
        <w:tc>
          <w:tcPr>
            <w:tcW w:w="1134" w:type="dxa"/>
            <w:shd w:val="clear" w:color="auto" w:fill="C6EFCE"/>
            <w:noWrap/>
            <w:vAlign w:val="center"/>
            <w:hideMark/>
          </w:tcPr>
          <w:p w14:paraId="16130ECE" w14:textId="77777777" w:rsidR="00C972CB" w:rsidRDefault="002457F6">
            <w:pPr>
              <w:pStyle w:val="P68B1DB1-Normal11"/>
              <w:spacing w:before="120" w:after="120"/>
              <w:jc w:val="center"/>
              <w:rPr>
                <w:rFonts w:eastAsia="Calibri"/>
                <w:noProof/>
              </w:rPr>
            </w:pPr>
            <w:r>
              <w:rPr>
                <w:noProof/>
              </w:rPr>
              <w:t>NEPIEMĒRO</w:t>
            </w:r>
          </w:p>
        </w:tc>
        <w:tc>
          <w:tcPr>
            <w:tcW w:w="851" w:type="dxa"/>
            <w:shd w:val="clear" w:color="auto" w:fill="C6EFCE"/>
            <w:noWrap/>
            <w:vAlign w:val="center"/>
            <w:hideMark/>
          </w:tcPr>
          <w:p w14:paraId="742BA0D1" w14:textId="77777777" w:rsidR="00C972CB" w:rsidRDefault="002457F6">
            <w:pPr>
              <w:pStyle w:val="P68B1DB1-Normal11"/>
              <w:spacing w:before="120" w:after="120"/>
              <w:jc w:val="center"/>
              <w:rPr>
                <w:rFonts w:eastAsia="Calibri"/>
                <w:noProof/>
              </w:rPr>
            </w:pPr>
            <w:r>
              <w:rPr>
                <w:noProof/>
              </w:rPr>
              <w:t>4. CET.</w:t>
            </w:r>
          </w:p>
        </w:tc>
        <w:tc>
          <w:tcPr>
            <w:tcW w:w="709" w:type="dxa"/>
            <w:shd w:val="clear" w:color="auto" w:fill="C6EFCE"/>
            <w:noWrap/>
            <w:vAlign w:val="center"/>
            <w:hideMark/>
          </w:tcPr>
          <w:p w14:paraId="48C563AB" w14:textId="77777777" w:rsidR="00C972CB" w:rsidRDefault="002457F6">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578D66C5" w14:textId="77777777" w:rsidR="00C972CB" w:rsidRDefault="002457F6">
            <w:pPr>
              <w:pStyle w:val="P68B1DB1-Normal11"/>
              <w:spacing w:before="120" w:after="120"/>
              <w:rPr>
                <w:rFonts w:eastAsia="Calibri"/>
                <w:noProof/>
              </w:rPr>
            </w:pPr>
            <w:r>
              <w:rPr>
                <w:noProof/>
              </w:rPr>
              <w:t>Dzimumu līdztiesības sertifikācijas sistēma un ar to saistītie uzņēmumu stimulēšanas mehānismi aptver vismaz šādas dimensijas: izaugsmes iespējas sievietēm, vienāds atalgojums par vienādu darbu, dzimumu daudzveidī</w:t>
            </w:r>
            <w:r>
              <w:rPr>
                <w:noProof/>
              </w:rPr>
              <w:t>bas pārvaldības politika, maternitātes aizsardzība.</w:t>
            </w:r>
          </w:p>
          <w:p w14:paraId="66AC70A0" w14:textId="6D581F8D" w:rsidR="00C972CB" w:rsidRDefault="002457F6">
            <w:pPr>
              <w:pStyle w:val="P68B1DB1-Normal11"/>
              <w:spacing w:before="120" w:after="120"/>
              <w:rPr>
                <w:rFonts w:eastAsia="Calibri"/>
                <w:noProof/>
              </w:rPr>
            </w:pPr>
            <w:r>
              <w:rPr>
                <w:noProof/>
              </w:rPr>
              <w:t>Noteikt stimulēšanas mehānismus organizācijām, kas veic sertifikācijas procesu, un tehniskos norādījumus. Tai skaitā: Uzņēmumu dzimumu līdztiesības sertifikācijas sistēmas tehnisko standartu izstrāde; Sti</w:t>
            </w:r>
            <w:r>
              <w:rPr>
                <w:noProof/>
              </w:rPr>
              <w:t>mulu mehānisma noteikšana; Pasākumu papildina IT sistēmas izveide.</w:t>
            </w:r>
          </w:p>
        </w:tc>
      </w:tr>
      <w:tr w:rsidR="00C972CB" w14:paraId="1CE4271B" w14:textId="77777777">
        <w:trPr>
          <w:trHeight w:val="309"/>
          <w:jc w:val="center"/>
        </w:trPr>
        <w:tc>
          <w:tcPr>
            <w:tcW w:w="1364" w:type="dxa"/>
            <w:shd w:val="clear" w:color="auto" w:fill="C6EFCE"/>
            <w:noWrap/>
            <w:vAlign w:val="center"/>
            <w:hideMark/>
          </w:tcPr>
          <w:p w14:paraId="278E175B" w14:textId="43D92601" w:rsidR="00C972CB" w:rsidRDefault="002457F6">
            <w:pPr>
              <w:pStyle w:val="P68B1DB1-Normal11"/>
              <w:spacing w:before="120" w:after="120"/>
              <w:jc w:val="center"/>
              <w:rPr>
                <w:rFonts w:eastAsia="Calibri"/>
                <w:noProof/>
              </w:rPr>
            </w:pPr>
            <w:r>
              <w:rPr>
                <w:noProof/>
              </w:rPr>
              <w:t>M5C1–13</w:t>
            </w:r>
          </w:p>
        </w:tc>
        <w:tc>
          <w:tcPr>
            <w:tcW w:w="1513" w:type="dxa"/>
            <w:shd w:val="clear" w:color="auto" w:fill="C6EFCE"/>
            <w:noWrap/>
            <w:vAlign w:val="center"/>
            <w:hideMark/>
          </w:tcPr>
          <w:p w14:paraId="1122B3EF" w14:textId="77777777" w:rsidR="00C972CB" w:rsidRDefault="002457F6">
            <w:pPr>
              <w:pStyle w:val="P68B1DB1-Normal11"/>
              <w:spacing w:before="120" w:after="120"/>
              <w:jc w:val="center"/>
              <w:rPr>
                <w:noProof/>
              </w:rPr>
            </w:pPr>
            <w:r>
              <w:rPr>
                <w:noProof/>
              </w:rPr>
              <w:t>Ieguldījums — Dzimumu līdztiesības sertifikācijas sistēma</w:t>
            </w:r>
          </w:p>
        </w:tc>
        <w:tc>
          <w:tcPr>
            <w:tcW w:w="1281" w:type="dxa"/>
            <w:shd w:val="clear" w:color="auto" w:fill="C6EFCE"/>
            <w:noWrap/>
            <w:vAlign w:val="center"/>
            <w:hideMark/>
          </w:tcPr>
          <w:p w14:paraId="7B5DA24D" w14:textId="77777777" w:rsidR="00C972CB" w:rsidRDefault="002457F6">
            <w:pPr>
              <w:pStyle w:val="P68B1DB1-Normal11"/>
              <w:spacing w:before="120" w:after="120"/>
              <w:jc w:val="center"/>
              <w:rPr>
                <w:rFonts w:eastAsia="Calibri"/>
                <w:noProof/>
              </w:rPr>
            </w:pPr>
            <w:r>
              <w:rPr>
                <w:noProof/>
              </w:rPr>
              <w:t>Mērķa</w:t>
            </w:r>
          </w:p>
        </w:tc>
        <w:tc>
          <w:tcPr>
            <w:tcW w:w="1597" w:type="dxa"/>
            <w:shd w:val="clear" w:color="auto" w:fill="C6EFCE"/>
            <w:noWrap/>
            <w:vAlign w:val="center"/>
            <w:hideMark/>
          </w:tcPr>
          <w:p w14:paraId="522852F1" w14:textId="77777777" w:rsidR="00C972CB" w:rsidRDefault="002457F6">
            <w:pPr>
              <w:pStyle w:val="P68B1DB1-Normal11"/>
              <w:spacing w:before="120" w:after="120"/>
              <w:jc w:val="center"/>
              <w:rPr>
                <w:rFonts w:eastAsia="Calibri"/>
                <w:noProof/>
              </w:rPr>
            </w:pPr>
            <w:r>
              <w:rPr>
                <w:noProof/>
              </w:rPr>
              <w:t>Uzņēmumi ir saņēmuši dzimumu līdztiesības sertifikātu</w:t>
            </w:r>
          </w:p>
        </w:tc>
        <w:tc>
          <w:tcPr>
            <w:tcW w:w="1470" w:type="dxa"/>
            <w:shd w:val="clear" w:color="auto" w:fill="C6EFCE"/>
            <w:noWrap/>
            <w:vAlign w:val="center"/>
            <w:hideMark/>
          </w:tcPr>
          <w:p w14:paraId="7002C1D6" w14:textId="77777777" w:rsidR="00C972CB" w:rsidRDefault="002457F6">
            <w:pPr>
              <w:pStyle w:val="P68B1DB1-Normal11"/>
              <w:spacing w:before="120" w:after="120"/>
              <w:jc w:val="center"/>
              <w:rPr>
                <w:rFonts w:eastAsia="Calibri"/>
                <w:noProof/>
              </w:rPr>
            </w:pPr>
            <w:r>
              <w:rPr>
                <w:noProof/>
              </w:rPr>
              <w:t>NEPIEMĒRO</w:t>
            </w:r>
          </w:p>
        </w:tc>
        <w:tc>
          <w:tcPr>
            <w:tcW w:w="1275" w:type="dxa"/>
            <w:shd w:val="clear" w:color="auto" w:fill="C6EFCE"/>
            <w:noWrap/>
            <w:vAlign w:val="center"/>
            <w:hideMark/>
          </w:tcPr>
          <w:p w14:paraId="34D32A3A" w14:textId="77777777" w:rsidR="00C972CB" w:rsidRDefault="002457F6">
            <w:pPr>
              <w:pStyle w:val="P68B1DB1-Normal11"/>
              <w:spacing w:before="120" w:after="120"/>
              <w:jc w:val="center"/>
              <w:rPr>
                <w:rFonts w:eastAsia="Calibri"/>
                <w:noProof/>
              </w:rPr>
            </w:pPr>
            <w:r>
              <w:rPr>
                <w:noProof/>
              </w:rPr>
              <w:t xml:space="preserve">Skaits </w:t>
            </w:r>
          </w:p>
        </w:tc>
        <w:tc>
          <w:tcPr>
            <w:tcW w:w="1134" w:type="dxa"/>
            <w:shd w:val="clear" w:color="auto" w:fill="C6EFCE"/>
            <w:noWrap/>
            <w:vAlign w:val="center"/>
            <w:hideMark/>
          </w:tcPr>
          <w:p w14:paraId="2407B3BC" w14:textId="77777777" w:rsidR="00C972CB" w:rsidRDefault="002457F6">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568703C5" w14:textId="77777777" w:rsidR="00C972CB" w:rsidRDefault="002457F6">
            <w:pPr>
              <w:pStyle w:val="P68B1DB1-Normal11"/>
              <w:spacing w:before="120" w:after="120"/>
              <w:jc w:val="center"/>
              <w:rPr>
                <w:rFonts w:eastAsia="Calibri"/>
                <w:noProof/>
              </w:rPr>
            </w:pPr>
            <w:r>
              <w:rPr>
                <w:noProof/>
              </w:rPr>
              <w:t>800</w:t>
            </w:r>
          </w:p>
        </w:tc>
        <w:tc>
          <w:tcPr>
            <w:tcW w:w="851" w:type="dxa"/>
            <w:shd w:val="clear" w:color="auto" w:fill="C6EFCE"/>
            <w:noWrap/>
            <w:vAlign w:val="center"/>
            <w:hideMark/>
          </w:tcPr>
          <w:p w14:paraId="14A8798E" w14:textId="77777777" w:rsidR="00C972CB" w:rsidRDefault="002457F6">
            <w:pPr>
              <w:pStyle w:val="P68B1DB1-Normal11"/>
              <w:spacing w:before="120" w:after="120"/>
              <w:jc w:val="center"/>
              <w:rPr>
                <w:rFonts w:eastAsia="Calibri"/>
                <w:noProof/>
              </w:rPr>
            </w:pPr>
            <w:r>
              <w:rPr>
                <w:noProof/>
              </w:rPr>
              <w:t>2. CET.</w:t>
            </w:r>
          </w:p>
        </w:tc>
        <w:tc>
          <w:tcPr>
            <w:tcW w:w="709" w:type="dxa"/>
            <w:shd w:val="clear" w:color="auto" w:fill="C6EFCE"/>
            <w:noWrap/>
            <w:vAlign w:val="center"/>
            <w:hideMark/>
          </w:tcPr>
          <w:p w14:paraId="1E4C0006" w14:textId="77777777" w:rsidR="00C972CB" w:rsidRDefault="002457F6">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64A9ABF0" w14:textId="77777777" w:rsidR="00C972CB" w:rsidRDefault="002457F6">
            <w:pPr>
              <w:pStyle w:val="P68B1DB1-Normal11"/>
              <w:spacing w:before="120" w:after="120"/>
              <w:rPr>
                <w:rFonts w:eastAsia="Calibri"/>
                <w:noProof/>
              </w:rPr>
            </w:pPr>
            <w:r>
              <w:rPr>
                <w:noProof/>
              </w:rPr>
              <w:t xml:space="preserve">Vismaz 800 uzņēmumi (no </w:t>
            </w:r>
            <w:r>
              <w:rPr>
                <w:noProof/>
              </w:rPr>
              <w:t>kuriem 450 MVU) ir saņēmuši dzimumu līdztiesības sertifikātu.</w:t>
            </w:r>
          </w:p>
          <w:p w14:paraId="5C35F425" w14:textId="77777777" w:rsidR="00C972CB" w:rsidRDefault="002457F6">
            <w:pPr>
              <w:pStyle w:val="P68B1DB1-Normal11"/>
              <w:spacing w:before="120" w:after="120"/>
              <w:rPr>
                <w:rFonts w:eastAsia="Calibri"/>
                <w:noProof/>
              </w:rPr>
            </w:pPr>
            <w:r>
              <w:rPr>
                <w:noProof/>
              </w:rPr>
              <w:t xml:space="preserve">Uzņēmumi paši sedz sertifikācijas procesa izmaksas.  </w:t>
            </w:r>
          </w:p>
        </w:tc>
      </w:tr>
      <w:tr w:rsidR="00C972CB" w14:paraId="35166D9E" w14:textId="77777777">
        <w:trPr>
          <w:trHeight w:val="309"/>
          <w:jc w:val="center"/>
        </w:trPr>
        <w:tc>
          <w:tcPr>
            <w:tcW w:w="1364" w:type="dxa"/>
            <w:shd w:val="clear" w:color="auto" w:fill="C6EFCE"/>
            <w:noWrap/>
            <w:vAlign w:val="center"/>
            <w:hideMark/>
          </w:tcPr>
          <w:p w14:paraId="77BCED5A" w14:textId="53C8FD24" w:rsidR="00C972CB" w:rsidRDefault="002457F6">
            <w:pPr>
              <w:pStyle w:val="P68B1DB1-Normal11"/>
              <w:spacing w:before="120" w:after="120"/>
              <w:jc w:val="center"/>
              <w:rPr>
                <w:noProof/>
              </w:rPr>
            </w:pPr>
            <w:r>
              <w:rPr>
                <w:noProof/>
              </w:rPr>
              <w:t>M5C1–14</w:t>
            </w:r>
          </w:p>
        </w:tc>
        <w:tc>
          <w:tcPr>
            <w:tcW w:w="1513" w:type="dxa"/>
            <w:shd w:val="clear" w:color="auto" w:fill="C6EFCE"/>
            <w:noWrap/>
            <w:vAlign w:val="center"/>
            <w:hideMark/>
          </w:tcPr>
          <w:p w14:paraId="34DE5AC9" w14:textId="0AE2D6F1" w:rsidR="00C972CB" w:rsidRDefault="002457F6">
            <w:pPr>
              <w:pStyle w:val="P68B1DB1-Normal11"/>
              <w:spacing w:before="120" w:after="120"/>
              <w:jc w:val="center"/>
              <w:rPr>
                <w:rFonts w:eastAsia="Calibri"/>
                <w:noProof/>
              </w:rPr>
            </w:pPr>
            <w:r>
              <w:rPr>
                <w:noProof/>
              </w:rPr>
              <w:t>Ieguldījums — Dzimumu līdztiesības sertifikācijas sistēma</w:t>
            </w:r>
          </w:p>
        </w:tc>
        <w:tc>
          <w:tcPr>
            <w:tcW w:w="1281" w:type="dxa"/>
            <w:shd w:val="clear" w:color="auto" w:fill="C6EFCE"/>
            <w:noWrap/>
            <w:vAlign w:val="center"/>
            <w:hideMark/>
          </w:tcPr>
          <w:p w14:paraId="514D8F36" w14:textId="77777777" w:rsidR="00C972CB" w:rsidRDefault="002457F6">
            <w:pPr>
              <w:pStyle w:val="P68B1DB1-Normal11"/>
              <w:spacing w:before="120" w:after="120"/>
              <w:jc w:val="center"/>
              <w:rPr>
                <w:rFonts w:eastAsia="Calibri"/>
                <w:noProof/>
              </w:rPr>
            </w:pPr>
            <w:r>
              <w:rPr>
                <w:noProof/>
              </w:rPr>
              <w:t>Mērķa</w:t>
            </w:r>
          </w:p>
        </w:tc>
        <w:tc>
          <w:tcPr>
            <w:tcW w:w="1597" w:type="dxa"/>
            <w:shd w:val="clear" w:color="auto" w:fill="C6EFCE"/>
            <w:noWrap/>
            <w:vAlign w:val="center"/>
            <w:hideMark/>
          </w:tcPr>
          <w:p w14:paraId="277BDB51" w14:textId="77777777" w:rsidR="00C972CB" w:rsidRDefault="002457F6">
            <w:pPr>
              <w:pStyle w:val="P68B1DB1-Normal11"/>
              <w:spacing w:before="120" w:after="120"/>
              <w:jc w:val="center"/>
              <w:rPr>
                <w:rFonts w:eastAsia="Calibri"/>
                <w:noProof/>
              </w:rPr>
            </w:pPr>
            <w:r>
              <w:rPr>
                <w:noProof/>
              </w:rPr>
              <w:t xml:space="preserve">Ar tehnisko palīdzību atbalstītie uzņēmumi ir saņēmuši dzimumu </w:t>
            </w:r>
            <w:r>
              <w:rPr>
                <w:noProof/>
              </w:rPr>
              <w:t>līdztiesības sertifikātu</w:t>
            </w:r>
          </w:p>
        </w:tc>
        <w:tc>
          <w:tcPr>
            <w:tcW w:w="1470" w:type="dxa"/>
            <w:shd w:val="clear" w:color="auto" w:fill="C6EFCE"/>
            <w:noWrap/>
            <w:vAlign w:val="center"/>
            <w:hideMark/>
          </w:tcPr>
          <w:p w14:paraId="55997DF4" w14:textId="77777777" w:rsidR="00C972CB" w:rsidRDefault="002457F6">
            <w:pPr>
              <w:pStyle w:val="P68B1DB1-Normal11"/>
              <w:spacing w:before="120" w:after="120"/>
              <w:jc w:val="center"/>
              <w:rPr>
                <w:rFonts w:eastAsia="Calibri"/>
                <w:noProof/>
              </w:rPr>
            </w:pPr>
            <w:r>
              <w:rPr>
                <w:noProof/>
              </w:rPr>
              <w:t>NEPIEMĒRO</w:t>
            </w:r>
          </w:p>
        </w:tc>
        <w:tc>
          <w:tcPr>
            <w:tcW w:w="1275" w:type="dxa"/>
            <w:shd w:val="clear" w:color="auto" w:fill="C6EFCE"/>
            <w:noWrap/>
            <w:vAlign w:val="center"/>
            <w:hideMark/>
          </w:tcPr>
          <w:p w14:paraId="7C81D713" w14:textId="77777777" w:rsidR="00C972CB" w:rsidRDefault="002457F6">
            <w:pPr>
              <w:pStyle w:val="P68B1DB1-Normal11"/>
              <w:spacing w:before="120" w:after="120"/>
              <w:jc w:val="center"/>
              <w:rPr>
                <w:rFonts w:eastAsia="Calibri"/>
                <w:noProof/>
              </w:rPr>
            </w:pPr>
            <w:r>
              <w:rPr>
                <w:noProof/>
              </w:rPr>
              <w:t xml:space="preserve">Skaits </w:t>
            </w:r>
          </w:p>
        </w:tc>
        <w:tc>
          <w:tcPr>
            <w:tcW w:w="1134" w:type="dxa"/>
            <w:shd w:val="clear" w:color="auto" w:fill="C6EFCE"/>
            <w:noWrap/>
            <w:vAlign w:val="center"/>
            <w:hideMark/>
          </w:tcPr>
          <w:p w14:paraId="1C24E126" w14:textId="77777777" w:rsidR="00C972CB" w:rsidRDefault="002457F6">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4DDE4259" w14:textId="1FE4307F" w:rsidR="00C972CB" w:rsidRDefault="002457F6">
            <w:pPr>
              <w:pStyle w:val="P68B1DB1-Normal11"/>
              <w:spacing w:before="120" w:after="120"/>
              <w:jc w:val="center"/>
              <w:rPr>
                <w:rFonts w:eastAsia="Calibri"/>
                <w:noProof/>
              </w:rPr>
            </w:pPr>
            <w:r>
              <w:rPr>
                <w:noProof/>
              </w:rPr>
              <w:t>1 000</w:t>
            </w:r>
          </w:p>
        </w:tc>
        <w:tc>
          <w:tcPr>
            <w:tcW w:w="851" w:type="dxa"/>
            <w:shd w:val="clear" w:color="auto" w:fill="C6EFCE"/>
            <w:noWrap/>
            <w:vAlign w:val="center"/>
            <w:hideMark/>
          </w:tcPr>
          <w:p w14:paraId="62A43E7A" w14:textId="77777777" w:rsidR="00C972CB" w:rsidRDefault="002457F6">
            <w:pPr>
              <w:pStyle w:val="P68B1DB1-Normal11"/>
              <w:spacing w:before="120" w:after="120"/>
              <w:jc w:val="center"/>
              <w:rPr>
                <w:rFonts w:eastAsia="Calibri"/>
                <w:noProof/>
              </w:rPr>
            </w:pPr>
            <w:r>
              <w:rPr>
                <w:noProof/>
              </w:rPr>
              <w:t>2. CET.</w:t>
            </w:r>
          </w:p>
        </w:tc>
        <w:tc>
          <w:tcPr>
            <w:tcW w:w="709" w:type="dxa"/>
            <w:shd w:val="clear" w:color="auto" w:fill="C6EFCE"/>
            <w:noWrap/>
            <w:vAlign w:val="center"/>
            <w:hideMark/>
          </w:tcPr>
          <w:p w14:paraId="51FDA89C" w14:textId="77777777" w:rsidR="00C972CB" w:rsidRDefault="002457F6">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0B3A3DCB" w14:textId="00C60487" w:rsidR="00C972CB" w:rsidRDefault="002457F6">
            <w:pPr>
              <w:pStyle w:val="P68B1DB1-Normal11"/>
              <w:spacing w:before="120" w:after="120"/>
              <w:rPr>
                <w:rFonts w:eastAsia="Calibri"/>
                <w:noProof/>
              </w:rPr>
            </w:pPr>
            <w:r>
              <w:rPr>
                <w:noProof/>
              </w:rPr>
              <w:t>Vismaz 1000 uzņēmumi, kas saņēmuši atbalstu no tehniskās palīdzības, ir saņēmuši dzimumu līdztiesības sertifikātu.</w:t>
            </w:r>
          </w:p>
          <w:p w14:paraId="54615569" w14:textId="1131189F" w:rsidR="00C972CB" w:rsidRDefault="002457F6">
            <w:pPr>
              <w:pStyle w:val="P68B1DB1-Normal11"/>
              <w:spacing w:before="120" w:after="120"/>
              <w:rPr>
                <w:rFonts w:eastAsia="Calibri"/>
                <w:noProof/>
              </w:rPr>
            </w:pPr>
            <w:r>
              <w:rPr>
                <w:noProof/>
              </w:rPr>
              <w:t xml:space="preserve">Lai nodrošinātu papildu pasākumus mentorēšanas, tehniskā vadības atbalsta, </w:t>
            </w:r>
            <w:r>
              <w:rPr>
                <w:noProof/>
              </w:rPr>
              <w:t>darba un privātās dzīves līdzsvara pasākumu, uzņēmējdarbības izglītības pasākumu veidā, izmanto kuponu shēmu.</w:t>
            </w:r>
          </w:p>
        </w:tc>
      </w:tr>
      <w:tr w:rsidR="00C972CB" w14:paraId="350BA10E" w14:textId="77777777">
        <w:trPr>
          <w:trHeight w:val="309"/>
          <w:jc w:val="center"/>
        </w:trPr>
        <w:tc>
          <w:tcPr>
            <w:tcW w:w="1364" w:type="dxa"/>
            <w:shd w:val="clear" w:color="auto" w:fill="C6EFCE"/>
            <w:noWrap/>
            <w:vAlign w:val="center"/>
            <w:hideMark/>
          </w:tcPr>
          <w:p w14:paraId="3203452D" w14:textId="19E3C91E" w:rsidR="00C972CB" w:rsidRDefault="002457F6">
            <w:pPr>
              <w:pStyle w:val="P68B1DB1-Normal11"/>
              <w:spacing w:before="120" w:after="120"/>
              <w:jc w:val="center"/>
              <w:rPr>
                <w:rFonts w:eastAsia="Calibri"/>
                <w:noProof/>
              </w:rPr>
            </w:pPr>
            <w:r>
              <w:rPr>
                <w:noProof/>
              </w:rPr>
              <w:t>M5C1–15</w:t>
            </w:r>
          </w:p>
        </w:tc>
        <w:tc>
          <w:tcPr>
            <w:tcW w:w="1513" w:type="dxa"/>
            <w:shd w:val="clear" w:color="auto" w:fill="C6EFCE"/>
            <w:noWrap/>
            <w:vAlign w:val="center"/>
            <w:hideMark/>
          </w:tcPr>
          <w:p w14:paraId="4281AD62" w14:textId="77777777" w:rsidR="00C972CB" w:rsidRDefault="002457F6">
            <w:pPr>
              <w:pStyle w:val="P68B1DB1-Normal11"/>
              <w:spacing w:before="120" w:after="120"/>
              <w:jc w:val="center"/>
              <w:rPr>
                <w:rFonts w:eastAsia="Calibri"/>
                <w:noProof/>
              </w:rPr>
            </w:pPr>
            <w:r>
              <w:rPr>
                <w:noProof/>
              </w:rPr>
              <w:t>Ieguldījums — duālās sistēmas stiprināšana</w:t>
            </w:r>
          </w:p>
        </w:tc>
        <w:tc>
          <w:tcPr>
            <w:tcW w:w="1281" w:type="dxa"/>
            <w:shd w:val="clear" w:color="auto" w:fill="C6EFCE"/>
            <w:noWrap/>
            <w:vAlign w:val="center"/>
            <w:hideMark/>
          </w:tcPr>
          <w:p w14:paraId="03E560DF" w14:textId="77777777" w:rsidR="00C972CB" w:rsidRDefault="002457F6">
            <w:pPr>
              <w:pStyle w:val="P68B1DB1-Normal11"/>
              <w:spacing w:before="120" w:after="120"/>
              <w:jc w:val="center"/>
              <w:rPr>
                <w:rFonts w:eastAsia="Calibri"/>
                <w:noProof/>
              </w:rPr>
            </w:pPr>
            <w:r>
              <w:rPr>
                <w:noProof/>
              </w:rPr>
              <w:t>Mērķa</w:t>
            </w:r>
          </w:p>
        </w:tc>
        <w:tc>
          <w:tcPr>
            <w:tcW w:w="1597" w:type="dxa"/>
            <w:shd w:val="clear" w:color="auto" w:fill="C6EFCE"/>
            <w:noWrap/>
            <w:vAlign w:val="center"/>
            <w:hideMark/>
          </w:tcPr>
          <w:p w14:paraId="11C1FD71" w14:textId="77777777" w:rsidR="00C972CB" w:rsidRDefault="002457F6">
            <w:pPr>
              <w:pStyle w:val="P68B1DB1-Normal11"/>
              <w:spacing w:before="120" w:after="120"/>
              <w:jc w:val="center"/>
              <w:rPr>
                <w:rFonts w:eastAsia="Calibri"/>
                <w:noProof/>
              </w:rPr>
            </w:pPr>
            <w:r>
              <w:rPr>
                <w:noProof/>
              </w:rPr>
              <w:t>Personas, kuras ir piedalījušās duālajā sistēmā un saņēmušas attiecīgo sertifikātu piecu</w:t>
            </w:r>
            <w:r>
              <w:rPr>
                <w:noProof/>
              </w:rPr>
              <w:t xml:space="preserve"> gadu periodā no 2021. līdz 2025. gadam</w:t>
            </w:r>
          </w:p>
        </w:tc>
        <w:tc>
          <w:tcPr>
            <w:tcW w:w="1470" w:type="dxa"/>
            <w:shd w:val="clear" w:color="auto" w:fill="C6EFCE"/>
            <w:noWrap/>
            <w:vAlign w:val="center"/>
            <w:hideMark/>
          </w:tcPr>
          <w:p w14:paraId="5A2494E4" w14:textId="77777777" w:rsidR="00C972CB" w:rsidRDefault="002457F6">
            <w:pPr>
              <w:pStyle w:val="P68B1DB1-Normal11"/>
              <w:spacing w:before="120" w:after="120"/>
              <w:jc w:val="center"/>
              <w:rPr>
                <w:rFonts w:eastAsia="Calibri"/>
                <w:noProof/>
              </w:rPr>
            </w:pPr>
            <w:r>
              <w:rPr>
                <w:noProof/>
              </w:rPr>
              <w:t>NEPIEMĒRO</w:t>
            </w:r>
          </w:p>
        </w:tc>
        <w:tc>
          <w:tcPr>
            <w:tcW w:w="1275" w:type="dxa"/>
            <w:shd w:val="clear" w:color="auto" w:fill="C6EFCE"/>
            <w:noWrap/>
            <w:vAlign w:val="center"/>
            <w:hideMark/>
          </w:tcPr>
          <w:p w14:paraId="4870DB8D" w14:textId="77777777" w:rsidR="00C972CB" w:rsidRDefault="002457F6">
            <w:pPr>
              <w:pStyle w:val="P68B1DB1-Normal11"/>
              <w:spacing w:before="120" w:after="120"/>
              <w:jc w:val="center"/>
              <w:rPr>
                <w:rFonts w:eastAsia="Calibri"/>
                <w:noProof/>
              </w:rPr>
            </w:pPr>
            <w:r>
              <w:rPr>
                <w:noProof/>
              </w:rPr>
              <w:t xml:space="preserve">Skaits </w:t>
            </w:r>
          </w:p>
        </w:tc>
        <w:tc>
          <w:tcPr>
            <w:tcW w:w="1134" w:type="dxa"/>
            <w:shd w:val="clear" w:color="auto" w:fill="C6EFCE"/>
            <w:noWrap/>
            <w:vAlign w:val="center"/>
            <w:hideMark/>
          </w:tcPr>
          <w:p w14:paraId="2CA37934" w14:textId="7CE75920" w:rsidR="00C972CB" w:rsidRDefault="002457F6">
            <w:pPr>
              <w:pStyle w:val="P68B1DB1-Normal11"/>
              <w:spacing w:before="120" w:after="120"/>
              <w:jc w:val="center"/>
              <w:rPr>
                <w:rFonts w:eastAsia="Calibri"/>
                <w:noProof/>
              </w:rPr>
            </w:pPr>
            <w:r>
              <w:rPr>
                <w:noProof/>
              </w:rPr>
              <w:t>39 000</w:t>
            </w:r>
          </w:p>
        </w:tc>
        <w:tc>
          <w:tcPr>
            <w:tcW w:w="1134" w:type="dxa"/>
            <w:shd w:val="clear" w:color="auto" w:fill="C6EFCE"/>
            <w:noWrap/>
            <w:vAlign w:val="center"/>
            <w:hideMark/>
          </w:tcPr>
          <w:p w14:paraId="166D9696" w14:textId="5B194B96" w:rsidR="00C972CB" w:rsidRDefault="002457F6">
            <w:pPr>
              <w:pStyle w:val="P68B1DB1-Normal11"/>
              <w:spacing w:before="120" w:after="120"/>
              <w:jc w:val="center"/>
              <w:rPr>
                <w:rFonts w:eastAsia="Calibri"/>
                <w:noProof/>
              </w:rPr>
            </w:pPr>
            <w:r>
              <w:rPr>
                <w:noProof/>
              </w:rPr>
              <w:t>129 000</w:t>
            </w:r>
          </w:p>
        </w:tc>
        <w:tc>
          <w:tcPr>
            <w:tcW w:w="851" w:type="dxa"/>
            <w:shd w:val="clear" w:color="auto" w:fill="C6EFCE"/>
            <w:noWrap/>
            <w:vAlign w:val="center"/>
            <w:hideMark/>
          </w:tcPr>
          <w:p w14:paraId="0536B20B" w14:textId="77777777" w:rsidR="00C972CB" w:rsidRDefault="002457F6">
            <w:pPr>
              <w:pStyle w:val="P68B1DB1-Normal11"/>
              <w:spacing w:before="120" w:after="120"/>
              <w:jc w:val="center"/>
              <w:rPr>
                <w:rFonts w:eastAsia="Calibri"/>
                <w:noProof/>
              </w:rPr>
            </w:pPr>
            <w:r>
              <w:rPr>
                <w:noProof/>
              </w:rPr>
              <w:t>4. CET.</w:t>
            </w:r>
          </w:p>
        </w:tc>
        <w:tc>
          <w:tcPr>
            <w:tcW w:w="709" w:type="dxa"/>
            <w:shd w:val="clear" w:color="auto" w:fill="C6EFCE"/>
            <w:noWrap/>
            <w:vAlign w:val="center"/>
            <w:hideMark/>
          </w:tcPr>
          <w:p w14:paraId="1E58F04B" w14:textId="77777777" w:rsidR="00C972CB" w:rsidRDefault="002457F6">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55072BBC" w14:textId="5DAA9529" w:rsidR="00C972CB" w:rsidRDefault="002457F6">
            <w:pPr>
              <w:pStyle w:val="P68B1DB1-Normal11"/>
              <w:spacing w:before="120" w:after="120"/>
              <w:rPr>
                <w:rFonts w:eastAsia="Calibri"/>
                <w:noProof/>
              </w:rPr>
            </w:pPr>
            <w:r>
              <w:rPr>
                <w:noProof/>
              </w:rPr>
              <w:t xml:space="preserve">Salīdzinājumā ar pamatscenāriju ir reģistrēti vismaz 90000 papildu reģistrācijas duālajā sistēmā, un piecu gadu periodā no 2021. līdz 2025. gadam ir iegūti attiecīgie </w:t>
            </w:r>
            <w:r>
              <w:rPr>
                <w:noProof/>
              </w:rPr>
              <w:t>sertifikāti, kas apliecina kursa pabeigšanu.</w:t>
            </w:r>
          </w:p>
          <w:p w14:paraId="0F25B7DF" w14:textId="77777777" w:rsidR="00C972CB" w:rsidRDefault="002457F6">
            <w:pPr>
              <w:pStyle w:val="P68B1DB1-Normal11"/>
              <w:spacing w:before="120" w:after="120"/>
              <w:rPr>
                <w:rFonts w:eastAsia="Calibri"/>
                <w:noProof/>
              </w:rPr>
            </w:pPr>
            <w:r>
              <w:rPr>
                <w:noProof/>
              </w:rPr>
              <w:t>Resursu sadale reģioniem duālās sistēmas stiprināšanai notiek, pamatojoties uz PIA kursos uzņemto studentu skaitu.</w:t>
            </w:r>
          </w:p>
        </w:tc>
      </w:tr>
      <w:tr w:rsidR="00C972CB" w14:paraId="3E7E90B6" w14:textId="77777777">
        <w:trPr>
          <w:trHeight w:val="309"/>
          <w:jc w:val="center"/>
        </w:trPr>
        <w:tc>
          <w:tcPr>
            <w:tcW w:w="1364" w:type="dxa"/>
            <w:shd w:val="clear" w:color="auto" w:fill="C6EFCE"/>
            <w:noWrap/>
            <w:vAlign w:val="center"/>
          </w:tcPr>
          <w:p w14:paraId="1A2E7506" w14:textId="77777777" w:rsidR="00C972CB" w:rsidRDefault="002457F6">
            <w:pPr>
              <w:pStyle w:val="P68B1DB1-Normal11"/>
              <w:spacing w:before="120" w:after="120"/>
              <w:jc w:val="center"/>
              <w:rPr>
                <w:rFonts w:eastAsia="Calibri"/>
                <w:noProof/>
              </w:rPr>
            </w:pPr>
            <w:r>
              <w:rPr>
                <w:noProof/>
              </w:rPr>
              <w:t>M5C1–15bis</w:t>
            </w:r>
          </w:p>
        </w:tc>
        <w:tc>
          <w:tcPr>
            <w:tcW w:w="1513" w:type="dxa"/>
            <w:shd w:val="clear" w:color="auto" w:fill="C6EFCE"/>
            <w:noWrap/>
            <w:vAlign w:val="center"/>
          </w:tcPr>
          <w:p w14:paraId="034C1FFB" w14:textId="77777777" w:rsidR="00C972CB" w:rsidRDefault="002457F6">
            <w:pPr>
              <w:pStyle w:val="P68B1DB1-Normal11"/>
              <w:spacing w:before="120" w:after="120"/>
              <w:jc w:val="center"/>
              <w:rPr>
                <w:rFonts w:eastAsia="Calibri"/>
                <w:noProof/>
              </w:rPr>
            </w:pPr>
            <w:r>
              <w:rPr>
                <w:noProof/>
              </w:rPr>
              <w:t>Ieguldījums 4 — Universālais civildienests</w:t>
            </w:r>
          </w:p>
        </w:tc>
        <w:tc>
          <w:tcPr>
            <w:tcW w:w="1281" w:type="dxa"/>
            <w:shd w:val="clear" w:color="auto" w:fill="C6EFCE"/>
            <w:noWrap/>
            <w:vAlign w:val="center"/>
          </w:tcPr>
          <w:p w14:paraId="1A738786" w14:textId="77777777" w:rsidR="00C972CB" w:rsidRDefault="002457F6">
            <w:pPr>
              <w:pStyle w:val="P68B1DB1-Normal11"/>
              <w:spacing w:before="120" w:after="120"/>
              <w:jc w:val="center"/>
              <w:rPr>
                <w:rFonts w:eastAsia="Calibri"/>
                <w:noProof/>
              </w:rPr>
            </w:pPr>
            <w:r>
              <w:rPr>
                <w:noProof/>
              </w:rPr>
              <w:t>Starpposma mērķis</w:t>
            </w:r>
          </w:p>
        </w:tc>
        <w:tc>
          <w:tcPr>
            <w:tcW w:w="1597" w:type="dxa"/>
            <w:shd w:val="clear" w:color="auto" w:fill="C6EFCE"/>
            <w:noWrap/>
            <w:vAlign w:val="center"/>
          </w:tcPr>
          <w:p w14:paraId="5D22E105" w14:textId="7DADC4CE" w:rsidR="00C972CB" w:rsidRDefault="002457F6">
            <w:pPr>
              <w:pStyle w:val="P68B1DB1-Normal11"/>
              <w:spacing w:before="120" w:after="120"/>
              <w:jc w:val="center"/>
              <w:rPr>
                <w:rFonts w:eastAsia="Calibri"/>
                <w:noProof/>
              </w:rPr>
            </w:pPr>
            <w:bookmarkStart w:id="4" w:name="_Hlk149581877"/>
            <w:r>
              <w:rPr>
                <w:noProof/>
              </w:rPr>
              <w:t xml:space="preserve">Pašreizējā </w:t>
            </w:r>
            <w:r>
              <w:rPr>
                <w:noProof/>
              </w:rPr>
              <w:t>“Disposizioni concernenti la disciplina dei rapporti tra enti e operatora Volontari del servizio civile universale” normatīvā pārskatīšana, kas pieņemta 2019. gada 14.</w:t>
            </w:r>
            <w:r>
              <w:rPr>
                <w:noProof/>
                <w:vertAlign w:val="superscript"/>
              </w:rPr>
              <w:t>janvārī</w:t>
            </w:r>
            <w:r>
              <w:rPr>
                <w:noProof/>
              </w:rPr>
              <w:t xml:space="preserve"> kā dpcm (decreto del Presidente del Consiglio dei Ministri) ar mērķi stiprināt un</w:t>
            </w:r>
            <w:r>
              <w:rPr>
                <w:noProof/>
              </w:rPr>
              <w:t xml:space="preserve">iversālo civildienestu </w:t>
            </w:r>
            <w:bookmarkEnd w:id="4"/>
          </w:p>
        </w:tc>
        <w:tc>
          <w:tcPr>
            <w:tcW w:w="1470" w:type="dxa"/>
            <w:shd w:val="clear" w:color="auto" w:fill="C6EFCE"/>
            <w:noWrap/>
            <w:vAlign w:val="center"/>
          </w:tcPr>
          <w:p w14:paraId="1E1F5648" w14:textId="77777777" w:rsidR="00C972CB" w:rsidRDefault="002457F6">
            <w:pPr>
              <w:pStyle w:val="P68B1DB1-Normal11"/>
              <w:spacing w:before="120" w:after="120"/>
              <w:jc w:val="center"/>
              <w:rPr>
                <w:rFonts w:eastAsia="Calibri"/>
                <w:noProof/>
              </w:rPr>
            </w:pPr>
            <w:r>
              <w:rPr>
                <w:noProof/>
              </w:rPr>
              <w:t>Attiecīgā tiesību akta pieņemšana</w:t>
            </w:r>
          </w:p>
        </w:tc>
        <w:tc>
          <w:tcPr>
            <w:tcW w:w="1275" w:type="dxa"/>
            <w:shd w:val="clear" w:color="auto" w:fill="C6EFCE"/>
            <w:noWrap/>
            <w:vAlign w:val="center"/>
          </w:tcPr>
          <w:p w14:paraId="333DDD5A" w14:textId="77777777" w:rsidR="00C972CB" w:rsidRDefault="002457F6">
            <w:pPr>
              <w:pStyle w:val="P68B1DB1-Normal11"/>
              <w:spacing w:before="120" w:after="120"/>
              <w:jc w:val="center"/>
              <w:rPr>
                <w:rFonts w:eastAsia="Calibri"/>
                <w:noProof/>
              </w:rPr>
            </w:pPr>
            <w:r>
              <w:rPr>
                <w:noProof/>
              </w:rPr>
              <w:t>NEPIEMĒRO</w:t>
            </w:r>
          </w:p>
        </w:tc>
        <w:tc>
          <w:tcPr>
            <w:tcW w:w="1134" w:type="dxa"/>
            <w:shd w:val="clear" w:color="auto" w:fill="C6EFCE"/>
            <w:noWrap/>
            <w:vAlign w:val="center"/>
          </w:tcPr>
          <w:p w14:paraId="67618D53" w14:textId="77777777" w:rsidR="00C972CB" w:rsidRDefault="002457F6">
            <w:pPr>
              <w:pStyle w:val="P68B1DB1-Normal11"/>
              <w:spacing w:before="120" w:after="120"/>
              <w:jc w:val="center"/>
              <w:rPr>
                <w:rFonts w:eastAsia="Calibri"/>
                <w:noProof/>
              </w:rPr>
            </w:pPr>
            <w:r>
              <w:rPr>
                <w:noProof/>
              </w:rPr>
              <w:t>NEPIEMĒRO</w:t>
            </w:r>
          </w:p>
        </w:tc>
        <w:tc>
          <w:tcPr>
            <w:tcW w:w="1134" w:type="dxa"/>
            <w:shd w:val="clear" w:color="auto" w:fill="C6EFCE"/>
            <w:noWrap/>
            <w:vAlign w:val="center"/>
          </w:tcPr>
          <w:p w14:paraId="24779BDF" w14:textId="77777777" w:rsidR="00C972CB" w:rsidRDefault="002457F6">
            <w:pPr>
              <w:pStyle w:val="P68B1DB1-Normal11"/>
              <w:spacing w:before="120" w:after="120"/>
              <w:jc w:val="center"/>
              <w:rPr>
                <w:rFonts w:eastAsia="Calibri"/>
                <w:noProof/>
              </w:rPr>
            </w:pPr>
            <w:r>
              <w:rPr>
                <w:noProof/>
              </w:rPr>
              <w:t>NEPIEMĒRO</w:t>
            </w:r>
          </w:p>
        </w:tc>
        <w:tc>
          <w:tcPr>
            <w:tcW w:w="851" w:type="dxa"/>
            <w:shd w:val="clear" w:color="auto" w:fill="C6EFCE"/>
            <w:noWrap/>
            <w:vAlign w:val="center"/>
          </w:tcPr>
          <w:p w14:paraId="1BA37103" w14:textId="77777777" w:rsidR="00C972CB" w:rsidRDefault="002457F6">
            <w:pPr>
              <w:pStyle w:val="P68B1DB1-Normal11"/>
              <w:spacing w:before="120" w:after="120"/>
              <w:jc w:val="center"/>
              <w:rPr>
                <w:rFonts w:eastAsia="Calibri"/>
                <w:noProof/>
              </w:rPr>
            </w:pPr>
            <w:r>
              <w:rPr>
                <w:noProof/>
              </w:rPr>
              <w:t>4. CET.</w:t>
            </w:r>
          </w:p>
        </w:tc>
        <w:tc>
          <w:tcPr>
            <w:tcW w:w="709" w:type="dxa"/>
            <w:shd w:val="clear" w:color="auto" w:fill="C6EFCE"/>
            <w:noWrap/>
            <w:vAlign w:val="center"/>
          </w:tcPr>
          <w:p w14:paraId="68334000" w14:textId="77777777" w:rsidR="00C972CB" w:rsidRDefault="002457F6">
            <w:pPr>
              <w:pStyle w:val="P68B1DB1-Normal11"/>
              <w:spacing w:before="120" w:after="120"/>
              <w:jc w:val="center"/>
              <w:rPr>
                <w:rFonts w:eastAsia="Calibri"/>
                <w:noProof/>
              </w:rPr>
            </w:pPr>
            <w:r>
              <w:rPr>
                <w:noProof/>
              </w:rPr>
              <w:t>2024</w:t>
            </w:r>
          </w:p>
        </w:tc>
        <w:tc>
          <w:tcPr>
            <w:tcW w:w="2835" w:type="dxa"/>
            <w:shd w:val="clear" w:color="auto" w:fill="C6EFCE"/>
            <w:noWrap/>
            <w:vAlign w:val="center"/>
          </w:tcPr>
          <w:p w14:paraId="112B3DE2" w14:textId="6BF69697" w:rsidR="00C972CB" w:rsidRDefault="002457F6">
            <w:pPr>
              <w:pStyle w:val="P68B1DB1-Normal11"/>
              <w:spacing w:before="120" w:after="120"/>
              <w:rPr>
                <w:rFonts w:eastAsia="Calibri"/>
                <w:noProof/>
              </w:rPr>
            </w:pPr>
            <w:r>
              <w:rPr>
                <w:noProof/>
              </w:rPr>
              <w:t xml:space="preserve">Stājas spēkā pārskatītais tiesību akts par attiecībām starp struktūrām un brīvprātīgajiem operatoriem (VO), ņemot vērā TAI projekta rezultātus (20IT06 — “Atbalsts universālā civildienesta (UCS) ANP projekta izstrādei un īstenošanai, lai atraisītu jauniešu </w:t>
            </w:r>
            <w:r>
              <w:rPr>
                <w:noProof/>
              </w:rPr>
              <w:t xml:space="preserve">nodarbinātības iespējas”). </w:t>
            </w:r>
          </w:p>
          <w:p w14:paraId="42F1C092" w14:textId="5078844C" w:rsidR="00C972CB" w:rsidRDefault="002457F6">
            <w:pPr>
              <w:pStyle w:val="P68B1DB1-Normal11"/>
              <w:spacing w:before="120"/>
              <w:rPr>
                <w:rFonts w:eastAsia="Calibri"/>
                <w:noProof/>
              </w:rPr>
            </w:pPr>
            <w:r>
              <w:rPr>
                <w:noProof/>
              </w:rPr>
              <w:t>Pārskatītajā tiesību aktā:</w:t>
            </w:r>
          </w:p>
          <w:p w14:paraId="4F758717" w14:textId="4D7486B4" w:rsidR="00C972CB" w:rsidRDefault="002457F6">
            <w:pPr>
              <w:pStyle w:val="P68B1DB1-Normal11"/>
              <w:rPr>
                <w:rFonts w:eastAsia="Calibri"/>
                <w:noProof/>
              </w:rPr>
            </w:pPr>
            <w:r>
              <w:rPr>
                <w:noProof/>
              </w:rPr>
              <w:t>palielināt jauniešu līdzdalību;</w:t>
            </w:r>
          </w:p>
          <w:p w14:paraId="6ACC6654" w14:textId="5E1BF379" w:rsidR="00C972CB" w:rsidRDefault="002457F6">
            <w:pPr>
              <w:pStyle w:val="P68B1DB1-Normal10"/>
              <w:rPr>
                <w:rFonts w:eastAsia="Calibri"/>
                <w:noProof/>
                <w:color w:val="006100"/>
                <w:sz w:val="20"/>
              </w:rPr>
            </w:pPr>
            <w:r>
              <w:rPr>
                <w:noProof/>
                <w:color w:val="006100"/>
                <w:sz w:val="20"/>
              </w:rPr>
              <w:t>vienkāršot procedūras; un</w:t>
            </w:r>
            <w:r>
              <w:rPr>
                <w:noProof/>
              </w:rPr>
              <w:br/>
            </w:r>
            <w:r>
              <w:rPr>
                <w:noProof/>
                <w:color w:val="006100"/>
                <w:sz w:val="20"/>
              </w:rPr>
              <w:t>uzlabot UCS projektu kvalitāti.</w:t>
            </w:r>
          </w:p>
        </w:tc>
      </w:tr>
      <w:tr w:rsidR="00C972CB" w14:paraId="2ED33151" w14:textId="77777777">
        <w:trPr>
          <w:trHeight w:val="309"/>
          <w:jc w:val="center"/>
        </w:trPr>
        <w:tc>
          <w:tcPr>
            <w:tcW w:w="1364" w:type="dxa"/>
            <w:shd w:val="clear" w:color="auto" w:fill="C6EFCE"/>
            <w:noWrap/>
            <w:vAlign w:val="center"/>
            <w:hideMark/>
          </w:tcPr>
          <w:p w14:paraId="60B74889" w14:textId="29C5169C" w:rsidR="00C972CB" w:rsidRDefault="002457F6">
            <w:pPr>
              <w:pStyle w:val="P68B1DB1-Normal11"/>
              <w:spacing w:before="120" w:after="120"/>
              <w:jc w:val="center"/>
              <w:rPr>
                <w:rFonts w:eastAsia="Calibri"/>
                <w:noProof/>
              </w:rPr>
            </w:pPr>
            <w:r>
              <w:rPr>
                <w:noProof/>
              </w:rPr>
              <w:t>M5C1–16</w:t>
            </w:r>
          </w:p>
        </w:tc>
        <w:tc>
          <w:tcPr>
            <w:tcW w:w="1513" w:type="dxa"/>
            <w:shd w:val="clear" w:color="auto" w:fill="C6EFCE"/>
            <w:noWrap/>
            <w:vAlign w:val="center"/>
            <w:hideMark/>
          </w:tcPr>
          <w:p w14:paraId="72668D0D" w14:textId="77777777" w:rsidR="00C972CB" w:rsidRDefault="002457F6">
            <w:pPr>
              <w:pStyle w:val="P68B1DB1-Normal11"/>
              <w:spacing w:before="120" w:after="120"/>
              <w:jc w:val="center"/>
              <w:rPr>
                <w:rFonts w:eastAsia="Calibri"/>
                <w:noProof/>
              </w:rPr>
            </w:pPr>
            <w:r>
              <w:rPr>
                <w:noProof/>
              </w:rPr>
              <w:t>Ieguldījums 4 — Universālais civildienests</w:t>
            </w:r>
          </w:p>
        </w:tc>
        <w:tc>
          <w:tcPr>
            <w:tcW w:w="1281" w:type="dxa"/>
            <w:shd w:val="clear" w:color="auto" w:fill="C6EFCE"/>
            <w:noWrap/>
            <w:vAlign w:val="center"/>
            <w:hideMark/>
          </w:tcPr>
          <w:p w14:paraId="633E3165" w14:textId="77777777" w:rsidR="00C972CB" w:rsidRDefault="002457F6">
            <w:pPr>
              <w:pStyle w:val="P68B1DB1-Normal11"/>
              <w:spacing w:before="120" w:after="120"/>
              <w:jc w:val="center"/>
              <w:rPr>
                <w:rFonts w:eastAsia="Calibri"/>
                <w:noProof/>
              </w:rPr>
            </w:pPr>
            <w:r>
              <w:rPr>
                <w:noProof/>
              </w:rPr>
              <w:t>Mērķa</w:t>
            </w:r>
          </w:p>
        </w:tc>
        <w:tc>
          <w:tcPr>
            <w:tcW w:w="1597" w:type="dxa"/>
            <w:shd w:val="clear" w:color="auto" w:fill="C6EFCE"/>
            <w:noWrap/>
            <w:vAlign w:val="center"/>
            <w:hideMark/>
          </w:tcPr>
          <w:p w14:paraId="63F9CB54" w14:textId="77777777" w:rsidR="00C972CB" w:rsidRDefault="002457F6">
            <w:pPr>
              <w:pStyle w:val="P68B1DB1-Normal11"/>
              <w:spacing w:before="120" w:after="120"/>
              <w:jc w:val="center"/>
              <w:rPr>
                <w:rFonts w:eastAsia="Calibri"/>
                <w:noProof/>
              </w:rPr>
            </w:pPr>
            <w:r>
              <w:rPr>
                <w:noProof/>
              </w:rPr>
              <w:t xml:space="preserve"> Cilvēki ir piedalījušies vispārējā civildienesta programmā un saņēmuši attiecīgu sertifikātu četru gadu laikposmā no 2021. līdz 2024. gadam</w:t>
            </w:r>
          </w:p>
        </w:tc>
        <w:tc>
          <w:tcPr>
            <w:tcW w:w="1470" w:type="dxa"/>
            <w:shd w:val="clear" w:color="auto" w:fill="C6EFCE"/>
            <w:noWrap/>
            <w:vAlign w:val="center"/>
            <w:hideMark/>
          </w:tcPr>
          <w:p w14:paraId="00FA34FA" w14:textId="77777777" w:rsidR="00C972CB" w:rsidRDefault="002457F6">
            <w:pPr>
              <w:pStyle w:val="P68B1DB1-Normal11"/>
              <w:spacing w:before="120" w:after="120"/>
              <w:jc w:val="center"/>
              <w:rPr>
                <w:rFonts w:eastAsia="Calibri"/>
                <w:noProof/>
              </w:rPr>
            </w:pPr>
            <w:r>
              <w:rPr>
                <w:noProof/>
              </w:rPr>
              <w:t>NEPIEMĒRO</w:t>
            </w:r>
          </w:p>
        </w:tc>
        <w:tc>
          <w:tcPr>
            <w:tcW w:w="1275" w:type="dxa"/>
            <w:shd w:val="clear" w:color="auto" w:fill="C6EFCE"/>
            <w:noWrap/>
            <w:vAlign w:val="center"/>
            <w:hideMark/>
          </w:tcPr>
          <w:p w14:paraId="19CF1E09" w14:textId="77777777" w:rsidR="00C972CB" w:rsidRDefault="002457F6">
            <w:pPr>
              <w:pStyle w:val="P68B1DB1-Normal11"/>
              <w:spacing w:before="120" w:after="120"/>
              <w:jc w:val="center"/>
              <w:rPr>
                <w:rFonts w:eastAsia="Calibri"/>
                <w:noProof/>
              </w:rPr>
            </w:pPr>
            <w:r>
              <w:rPr>
                <w:noProof/>
              </w:rPr>
              <w:t xml:space="preserve">Skaits </w:t>
            </w:r>
          </w:p>
        </w:tc>
        <w:tc>
          <w:tcPr>
            <w:tcW w:w="1134" w:type="dxa"/>
            <w:shd w:val="clear" w:color="auto" w:fill="C6EFCE"/>
            <w:noWrap/>
            <w:vAlign w:val="center"/>
            <w:hideMark/>
          </w:tcPr>
          <w:p w14:paraId="39BFF020" w14:textId="77777777" w:rsidR="00C972CB" w:rsidRDefault="002457F6">
            <w:pPr>
              <w:pStyle w:val="P68B1DB1-Normal11"/>
              <w:spacing w:before="120" w:after="120"/>
              <w:jc w:val="center"/>
              <w:rPr>
                <w:noProof/>
              </w:rPr>
            </w:pPr>
            <w:r>
              <w:rPr>
                <w:noProof/>
              </w:rPr>
              <w:t>0</w:t>
            </w:r>
          </w:p>
        </w:tc>
        <w:tc>
          <w:tcPr>
            <w:tcW w:w="1134" w:type="dxa"/>
            <w:shd w:val="clear" w:color="auto" w:fill="C6EFCE"/>
            <w:noWrap/>
            <w:vAlign w:val="center"/>
            <w:hideMark/>
          </w:tcPr>
          <w:p w14:paraId="136BCB17" w14:textId="6C8A54BD" w:rsidR="00C972CB" w:rsidRDefault="002457F6">
            <w:pPr>
              <w:pStyle w:val="P68B1DB1-Normal11"/>
              <w:spacing w:before="120" w:after="120"/>
              <w:jc w:val="center"/>
              <w:rPr>
                <w:rFonts w:eastAsia="Calibri"/>
                <w:noProof/>
              </w:rPr>
            </w:pPr>
            <w:r>
              <w:rPr>
                <w:noProof/>
              </w:rPr>
              <w:t>166 670</w:t>
            </w:r>
          </w:p>
        </w:tc>
        <w:tc>
          <w:tcPr>
            <w:tcW w:w="851" w:type="dxa"/>
            <w:shd w:val="clear" w:color="auto" w:fill="C6EFCE"/>
            <w:noWrap/>
            <w:vAlign w:val="center"/>
            <w:hideMark/>
          </w:tcPr>
          <w:p w14:paraId="295AE9DA" w14:textId="77777777" w:rsidR="00C972CB" w:rsidRDefault="002457F6">
            <w:pPr>
              <w:pStyle w:val="P68B1DB1-Normal11"/>
              <w:spacing w:before="120" w:after="120"/>
              <w:jc w:val="center"/>
              <w:rPr>
                <w:rFonts w:eastAsia="Calibri"/>
                <w:noProof/>
              </w:rPr>
            </w:pPr>
            <w:r>
              <w:rPr>
                <w:noProof/>
              </w:rPr>
              <w:t>2. CET.</w:t>
            </w:r>
          </w:p>
        </w:tc>
        <w:tc>
          <w:tcPr>
            <w:tcW w:w="709" w:type="dxa"/>
            <w:shd w:val="clear" w:color="auto" w:fill="C6EFCE"/>
            <w:noWrap/>
            <w:vAlign w:val="center"/>
            <w:hideMark/>
          </w:tcPr>
          <w:p w14:paraId="1FCA2863" w14:textId="77777777" w:rsidR="00C972CB" w:rsidRDefault="002457F6">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297C2FCA" w14:textId="1BACDFB2" w:rsidR="00C972CB" w:rsidRDefault="002457F6">
            <w:pPr>
              <w:pStyle w:val="P68B1DB1-Normal11"/>
              <w:spacing w:before="120" w:after="120"/>
              <w:rPr>
                <w:rFonts w:eastAsia="Calibri"/>
                <w:noProof/>
              </w:rPr>
            </w:pPr>
            <w:r>
              <w:rPr>
                <w:noProof/>
              </w:rPr>
              <w:t xml:space="preserve">Četru gadu laikposmā no 2021. līdz 2024. gadam Universālā civildienesta </w:t>
            </w:r>
            <w:r>
              <w:rPr>
                <w:noProof/>
              </w:rPr>
              <w:t>programmā ir piedalījušies vismaz 166670 cilvēku.</w:t>
            </w:r>
          </w:p>
          <w:p w14:paraId="1C421959" w14:textId="77777777" w:rsidR="00C972CB" w:rsidRDefault="002457F6">
            <w:pPr>
              <w:pStyle w:val="P68B1DB1-Normal11"/>
              <w:spacing w:before="120" w:after="120"/>
              <w:rPr>
                <w:rFonts w:eastAsia="Calibri"/>
                <w:noProof/>
              </w:rPr>
            </w:pPr>
            <w:r>
              <w:rPr>
                <w:noProof/>
              </w:rPr>
              <w:t xml:space="preserve">Galvenais mērķis ir stiprināt vispārējo civildienestu, palielinot brīvprātīgo skaitu un uzlabojot to programmu un projektu kvalitāti, kuros iesaistīti jaunieši. </w:t>
            </w:r>
          </w:p>
        </w:tc>
      </w:tr>
    </w:tbl>
    <w:p w14:paraId="7717BCED" w14:textId="77777777" w:rsidR="00C972CB" w:rsidRDefault="00C972CB">
      <w:pPr>
        <w:rPr>
          <w:noProof/>
        </w:rPr>
      </w:pPr>
    </w:p>
    <w:p w14:paraId="64B7BB65" w14:textId="77777777" w:rsidR="00C972CB" w:rsidRDefault="00C972CB">
      <w:pPr>
        <w:spacing w:before="120" w:after="120"/>
        <w:ind w:left="709"/>
        <w:jc w:val="both"/>
        <w:rPr>
          <w:noProof/>
        </w:rPr>
      </w:pPr>
    </w:p>
    <w:p w14:paraId="779CEFB9" w14:textId="77777777" w:rsidR="00C972CB" w:rsidRDefault="00C972CB">
      <w:pPr>
        <w:spacing w:before="120" w:after="120"/>
        <w:ind w:left="709"/>
        <w:jc w:val="both"/>
        <w:rPr>
          <w:noProof/>
        </w:rPr>
        <w:sectPr w:rsidR="00C972CB" w:rsidSect="000D3774">
          <w:headerReference w:type="even" r:id="rId284"/>
          <w:headerReference w:type="default" r:id="rId285"/>
          <w:footerReference w:type="even" r:id="rId286"/>
          <w:footerReference w:type="default" r:id="rId287"/>
          <w:headerReference w:type="first" r:id="rId288"/>
          <w:footerReference w:type="first" r:id="rId289"/>
          <w:pgSz w:w="16838" w:h="11906" w:orient="landscape" w:code="9"/>
          <w:pgMar w:top="1134" w:right="1134" w:bottom="1134" w:left="1134" w:header="567" w:footer="567" w:gutter="0"/>
          <w:cols w:space="720"/>
          <w:docGrid w:linePitch="360"/>
        </w:sectPr>
      </w:pPr>
    </w:p>
    <w:p w14:paraId="1BCC0CAF" w14:textId="1A16296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L.3. </w:t>
      </w:r>
      <w:r>
        <w:rPr>
          <w:noProof/>
        </w:rPr>
        <w:tab/>
      </w:r>
      <w:r>
        <w:rPr>
          <w:b/>
          <w:i w:val="0"/>
          <w:noProof/>
          <w:u w:val="single"/>
        </w:rPr>
        <w:t xml:space="preserve">Aizdevumam pieteikto reformu un investīciju apraksts </w:t>
      </w:r>
    </w:p>
    <w:p w14:paraId="7E0F6059" w14:textId="77777777" w:rsidR="00C972CB" w:rsidRDefault="002457F6">
      <w:pPr>
        <w:pStyle w:val="P68B1DB1-Normal2"/>
        <w:spacing w:before="120" w:after="120"/>
        <w:jc w:val="both"/>
        <w:rPr>
          <w:noProof/>
        </w:rPr>
      </w:pPr>
      <w:r>
        <w:rPr>
          <w:noProof/>
        </w:rPr>
        <w:t>Ieguldījums Nr. 5 — Sieviešu uzņēmumu izveide</w:t>
      </w:r>
    </w:p>
    <w:p w14:paraId="52012527" w14:textId="1A7D3869" w:rsidR="00C972CB" w:rsidRDefault="002457F6">
      <w:pPr>
        <w:spacing w:before="120" w:after="120"/>
        <w:jc w:val="both"/>
        <w:rPr>
          <w:noProof/>
        </w:rPr>
      </w:pPr>
      <w:r>
        <w:rPr>
          <w:noProof/>
        </w:rPr>
        <w:t>Šā pasākuma mērķis ir palīdzēt palielināt sieviešu līdzdalības līmeni darba tirgū un jo īpaši atbalstīt sieviešu līdzdalīb</w:t>
      </w:r>
      <w:r>
        <w:rPr>
          <w:noProof/>
        </w:rPr>
        <w:t xml:space="preserve">u uzņēmējdarbībā. Ieguldījums atbalsta </w:t>
      </w:r>
      <w:r>
        <w:rPr>
          <w:b/>
          <w:noProof/>
        </w:rPr>
        <w:t>sieviešu uzņēmumu izveidi</w:t>
      </w:r>
      <w:r>
        <w:rPr>
          <w:noProof/>
        </w:rPr>
        <w:t>. Pasākuma galvenie mērķi ir šādi: Sistematizēt un pārveidot pašreizējos atbalsta pasākumus sieviešu uzņēmējdarbības atbalstam, lai palielinātu to efektivitāti; Atbalstīt tādu inovatīvu uzņēmē</w:t>
      </w:r>
      <w:r>
        <w:rPr>
          <w:noProof/>
        </w:rPr>
        <w:t>jdarbības projektu īstenošanu, kas jau ir izveidoti un darbojas; Atbalsts sieviešu uzņēmējdarbības uzsākšanai, izmantojot mentorēšanu, tehnisko un vadības atbalstu, pasākumus darba un privātās dzīves līdzsvara nodrošināšanai u. c.; IV) ar mērķtiecīgām komu</w:t>
      </w:r>
      <w:r>
        <w:rPr>
          <w:noProof/>
        </w:rPr>
        <w:t xml:space="preserve">nikācijas darbībām radīt labvēlīgus apstākļus sieviešu uzņēmējdarbībai kultūras jomā. </w:t>
      </w:r>
    </w:p>
    <w:p w14:paraId="10FB1FCA" w14:textId="77777777" w:rsidR="00C972CB" w:rsidRDefault="002457F6">
      <w:pPr>
        <w:pStyle w:val="Heading3"/>
        <w:numPr>
          <w:ilvl w:val="0"/>
          <w:numId w:val="0"/>
        </w:numPr>
        <w:ind w:left="850" w:hanging="850"/>
        <w:rPr>
          <w:b/>
          <w:i w:val="0"/>
          <w:noProof/>
          <w:u w:val="single"/>
        </w:rPr>
      </w:pPr>
      <w:r>
        <w:rPr>
          <w:b/>
          <w:i w:val="0"/>
          <w:noProof/>
          <w:u w:val="single"/>
        </w:rPr>
        <w:t xml:space="preserve">L.4. </w:t>
      </w:r>
      <w:r>
        <w:rPr>
          <w:noProof/>
        </w:rPr>
        <w:tab/>
      </w:r>
      <w:r>
        <w:rPr>
          <w:b/>
          <w:i w:val="0"/>
          <w:noProof/>
          <w:u w:val="single"/>
        </w:rPr>
        <w:t xml:space="preserve">Atskaites punkti, mērķrādītāji, citi rādītāji un aizdevuma uzraudzības un īstenošanas grafiks </w:t>
      </w:r>
    </w:p>
    <w:p w14:paraId="0CFF3AF6" w14:textId="77777777" w:rsidR="00C972CB" w:rsidRDefault="00C972CB">
      <w:pPr>
        <w:spacing w:before="120" w:after="120"/>
        <w:ind w:left="709"/>
        <w:contextualSpacing/>
        <w:jc w:val="both"/>
        <w:rPr>
          <w:noProof/>
        </w:rPr>
        <w:sectPr w:rsidR="00C972CB" w:rsidSect="000D3774">
          <w:headerReference w:type="even" r:id="rId290"/>
          <w:headerReference w:type="default" r:id="rId291"/>
          <w:footerReference w:type="even" r:id="rId292"/>
          <w:footerReference w:type="default" r:id="rId293"/>
          <w:headerReference w:type="first" r:id="rId294"/>
          <w:footerReference w:type="first" r:id="rId295"/>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1179"/>
        <w:gridCol w:w="1802"/>
        <w:gridCol w:w="1670"/>
        <w:gridCol w:w="1037"/>
        <w:gridCol w:w="999"/>
        <w:gridCol w:w="1189"/>
        <w:gridCol w:w="979"/>
        <w:gridCol w:w="689"/>
        <w:gridCol w:w="2982"/>
      </w:tblGrid>
      <w:tr w:rsidR="00C972CB" w14:paraId="3AA0246A" w14:textId="77777777">
        <w:trPr>
          <w:trHeight w:val="701"/>
          <w:tblHeader/>
          <w:jc w:val="center"/>
        </w:trPr>
        <w:tc>
          <w:tcPr>
            <w:tcW w:w="1254" w:type="dxa"/>
            <w:vMerge w:val="restart"/>
            <w:shd w:val="clear" w:color="auto" w:fill="BDD7EE"/>
            <w:vAlign w:val="center"/>
            <w:hideMark/>
          </w:tcPr>
          <w:p w14:paraId="3685BA26" w14:textId="77777777" w:rsidR="00C972CB" w:rsidRDefault="002457F6">
            <w:pPr>
              <w:pStyle w:val="P68B1DB1-Normal33"/>
              <w:jc w:val="center"/>
              <w:rPr>
                <w:noProof/>
              </w:rPr>
            </w:pPr>
            <w:r>
              <w:rPr>
                <w:noProof/>
              </w:rPr>
              <w:t>Kārtas nu</w:t>
            </w:r>
            <w:r>
              <w:rPr>
                <w:noProof/>
              </w:rPr>
              <w:t>murs</w:t>
            </w:r>
          </w:p>
        </w:tc>
        <w:tc>
          <w:tcPr>
            <w:tcW w:w="1530" w:type="dxa"/>
            <w:vMerge w:val="restart"/>
            <w:shd w:val="clear" w:color="auto" w:fill="BDD7EE"/>
            <w:vAlign w:val="center"/>
            <w:hideMark/>
          </w:tcPr>
          <w:p w14:paraId="434301EC" w14:textId="77777777" w:rsidR="00C972CB" w:rsidRDefault="002457F6">
            <w:pPr>
              <w:pStyle w:val="P68B1DB1-Normal33"/>
              <w:jc w:val="center"/>
              <w:rPr>
                <w:noProof/>
              </w:rPr>
            </w:pPr>
            <w:r>
              <w:rPr>
                <w:noProof/>
              </w:rPr>
              <w:t>Pasākums (reforma vai investīcija)</w:t>
            </w:r>
          </w:p>
        </w:tc>
        <w:tc>
          <w:tcPr>
            <w:tcW w:w="1179" w:type="dxa"/>
            <w:vMerge w:val="restart"/>
            <w:shd w:val="clear" w:color="auto" w:fill="BDD7EE"/>
            <w:vAlign w:val="center"/>
            <w:hideMark/>
          </w:tcPr>
          <w:p w14:paraId="7CAD8476" w14:textId="77777777" w:rsidR="00C972CB" w:rsidRDefault="002457F6">
            <w:pPr>
              <w:pStyle w:val="P68B1DB1-Normal33"/>
              <w:jc w:val="center"/>
              <w:rPr>
                <w:noProof/>
              </w:rPr>
            </w:pPr>
            <w:r>
              <w:rPr>
                <w:noProof/>
              </w:rPr>
              <w:t>Atskaites punkts/mērķrādītājs</w:t>
            </w:r>
          </w:p>
        </w:tc>
        <w:tc>
          <w:tcPr>
            <w:tcW w:w="1802" w:type="dxa"/>
            <w:vMerge w:val="restart"/>
            <w:shd w:val="clear" w:color="auto" w:fill="BDD7EE"/>
            <w:vAlign w:val="center"/>
            <w:hideMark/>
          </w:tcPr>
          <w:p w14:paraId="27BF98E2" w14:textId="77777777" w:rsidR="00C972CB" w:rsidRDefault="002457F6">
            <w:pPr>
              <w:pStyle w:val="P68B1DB1-Normal33"/>
              <w:jc w:val="center"/>
              <w:rPr>
                <w:noProof/>
              </w:rPr>
            </w:pPr>
            <w:r>
              <w:rPr>
                <w:noProof/>
              </w:rPr>
              <w:t>Uzvārds</w:t>
            </w:r>
          </w:p>
        </w:tc>
        <w:tc>
          <w:tcPr>
            <w:tcW w:w="1670" w:type="dxa"/>
            <w:vMerge w:val="restart"/>
            <w:shd w:val="clear" w:color="auto" w:fill="BDD7EE"/>
            <w:vAlign w:val="center"/>
            <w:hideMark/>
          </w:tcPr>
          <w:p w14:paraId="7C58CCDF" w14:textId="77777777" w:rsidR="00C972CB" w:rsidRDefault="002457F6">
            <w:pPr>
              <w:pStyle w:val="P68B1DB1-Normal19"/>
              <w:jc w:val="center"/>
              <w:rPr>
                <w:b/>
                <w:noProof/>
                <w:color w:val="000000"/>
              </w:rPr>
            </w:pPr>
            <w:r>
              <w:rPr>
                <w:b/>
                <w:noProof/>
                <w:color w:val="000000"/>
              </w:rPr>
              <w:t>Kvalitātes rādītāji</w:t>
            </w:r>
            <w:r>
              <w:rPr>
                <w:noProof/>
              </w:rPr>
              <w:t xml:space="preserve"> </w:t>
            </w:r>
            <w:r>
              <w:rPr>
                <w:noProof/>
              </w:rPr>
              <w:br/>
            </w:r>
            <w:r>
              <w:rPr>
                <w:b/>
                <w:noProof/>
                <w:color w:val="000000"/>
              </w:rPr>
              <w:t>(attiecībā uz starpposma mērķiem)</w:t>
            </w:r>
          </w:p>
        </w:tc>
        <w:tc>
          <w:tcPr>
            <w:tcW w:w="3225" w:type="dxa"/>
            <w:gridSpan w:val="3"/>
            <w:shd w:val="clear" w:color="auto" w:fill="BDD7EE"/>
            <w:vAlign w:val="center"/>
            <w:hideMark/>
          </w:tcPr>
          <w:p w14:paraId="75B87EBF" w14:textId="77777777" w:rsidR="00C972CB" w:rsidRDefault="002457F6">
            <w:pPr>
              <w:pStyle w:val="P68B1DB1-Normal19"/>
              <w:jc w:val="center"/>
              <w:rPr>
                <w:b/>
                <w:noProof/>
                <w:color w:val="000000"/>
              </w:rPr>
            </w:pPr>
            <w:r>
              <w:rPr>
                <w:b/>
                <w:noProof/>
                <w:color w:val="000000"/>
              </w:rPr>
              <w:t>Kvantitatīvie rādītāji</w:t>
            </w:r>
            <w:r>
              <w:rPr>
                <w:noProof/>
              </w:rPr>
              <w:t xml:space="preserve"> </w:t>
            </w:r>
            <w:r>
              <w:rPr>
                <w:noProof/>
              </w:rPr>
              <w:br/>
            </w:r>
            <w:r>
              <w:rPr>
                <w:b/>
                <w:noProof/>
                <w:color w:val="000000"/>
              </w:rPr>
              <w:t>(mērķiem)</w:t>
            </w:r>
          </w:p>
        </w:tc>
        <w:tc>
          <w:tcPr>
            <w:tcW w:w="1668" w:type="dxa"/>
            <w:gridSpan w:val="2"/>
            <w:shd w:val="clear" w:color="auto" w:fill="BDD7EE"/>
            <w:vAlign w:val="center"/>
            <w:hideMark/>
          </w:tcPr>
          <w:p w14:paraId="41E3496B" w14:textId="77777777" w:rsidR="00C972CB" w:rsidRDefault="002457F6">
            <w:pPr>
              <w:pStyle w:val="P68B1DB1-Normal33"/>
              <w:jc w:val="center"/>
              <w:rPr>
                <w:noProof/>
              </w:rPr>
            </w:pPr>
            <w:r>
              <w:rPr>
                <w:noProof/>
              </w:rPr>
              <w:t>Orientējošs pabeigšanas termiņš</w:t>
            </w:r>
          </w:p>
        </w:tc>
        <w:tc>
          <w:tcPr>
            <w:tcW w:w="2982" w:type="dxa"/>
            <w:vMerge w:val="restart"/>
            <w:shd w:val="clear" w:color="auto" w:fill="BDD7EE"/>
            <w:vAlign w:val="center"/>
            <w:hideMark/>
          </w:tcPr>
          <w:p w14:paraId="4784543B" w14:textId="77777777" w:rsidR="00C972CB" w:rsidRDefault="002457F6">
            <w:pPr>
              <w:pStyle w:val="P68B1DB1-Normal33"/>
              <w:jc w:val="center"/>
              <w:rPr>
                <w:noProof/>
              </w:rPr>
            </w:pPr>
            <w:r>
              <w:rPr>
                <w:noProof/>
              </w:rPr>
              <w:t>Apraksts par katru atskaites punktu un mērķrādītāju</w:t>
            </w:r>
          </w:p>
        </w:tc>
      </w:tr>
      <w:tr w:rsidR="00C972CB" w14:paraId="010B3DE5" w14:textId="77777777">
        <w:trPr>
          <w:trHeight w:val="701"/>
          <w:jc w:val="center"/>
        </w:trPr>
        <w:tc>
          <w:tcPr>
            <w:tcW w:w="1254" w:type="dxa"/>
            <w:vMerge/>
            <w:vAlign w:val="center"/>
          </w:tcPr>
          <w:p w14:paraId="2CA1CD34" w14:textId="77777777" w:rsidR="00C972CB" w:rsidRDefault="00C972CB">
            <w:pPr>
              <w:rPr>
                <w:rFonts w:ascii="Arial Narrow" w:hAnsi="Arial Narrow"/>
                <w:b/>
                <w:noProof/>
                <w:color w:val="000000"/>
                <w:sz w:val="20"/>
              </w:rPr>
            </w:pPr>
          </w:p>
        </w:tc>
        <w:tc>
          <w:tcPr>
            <w:tcW w:w="1530" w:type="dxa"/>
            <w:vMerge/>
            <w:vAlign w:val="center"/>
          </w:tcPr>
          <w:p w14:paraId="5649FD6F" w14:textId="77777777" w:rsidR="00C972CB" w:rsidRDefault="00C972CB">
            <w:pPr>
              <w:rPr>
                <w:rFonts w:ascii="Arial Narrow" w:hAnsi="Arial Narrow"/>
                <w:b/>
                <w:noProof/>
                <w:color w:val="000000"/>
                <w:sz w:val="20"/>
              </w:rPr>
            </w:pPr>
          </w:p>
        </w:tc>
        <w:tc>
          <w:tcPr>
            <w:tcW w:w="1179" w:type="dxa"/>
            <w:vMerge/>
            <w:vAlign w:val="center"/>
          </w:tcPr>
          <w:p w14:paraId="6F8C7858" w14:textId="77777777" w:rsidR="00C972CB" w:rsidRDefault="00C972CB">
            <w:pPr>
              <w:rPr>
                <w:rFonts w:ascii="Arial Narrow" w:hAnsi="Arial Narrow"/>
                <w:b/>
                <w:noProof/>
                <w:color w:val="000000"/>
                <w:sz w:val="20"/>
              </w:rPr>
            </w:pPr>
          </w:p>
        </w:tc>
        <w:tc>
          <w:tcPr>
            <w:tcW w:w="1802" w:type="dxa"/>
            <w:vMerge/>
            <w:vAlign w:val="center"/>
          </w:tcPr>
          <w:p w14:paraId="7AF1ACD2" w14:textId="77777777" w:rsidR="00C972CB" w:rsidRDefault="00C972CB">
            <w:pPr>
              <w:rPr>
                <w:rFonts w:ascii="Arial Narrow" w:hAnsi="Arial Narrow"/>
                <w:b/>
                <w:noProof/>
                <w:color w:val="000000"/>
                <w:sz w:val="20"/>
              </w:rPr>
            </w:pPr>
          </w:p>
        </w:tc>
        <w:tc>
          <w:tcPr>
            <w:tcW w:w="1670" w:type="dxa"/>
            <w:vMerge/>
            <w:vAlign w:val="center"/>
          </w:tcPr>
          <w:p w14:paraId="247FE103" w14:textId="77777777" w:rsidR="00C972CB" w:rsidRDefault="00C972CB">
            <w:pPr>
              <w:jc w:val="center"/>
              <w:rPr>
                <w:rFonts w:ascii="Arial Narrow" w:hAnsi="Arial Narrow"/>
                <w:b/>
                <w:noProof/>
                <w:color w:val="000000"/>
                <w:sz w:val="20"/>
              </w:rPr>
            </w:pPr>
          </w:p>
        </w:tc>
        <w:tc>
          <w:tcPr>
            <w:tcW w:w="1037" w:type="dxa"/>
            <w:shd w:val="clear" w:color="auto" w:fill="BDD7EE"/>
            <w:vAlign w:val="center"/>
          </w:tcPr>
          <w:p w14:paraId="58E7F925" w14:textId="77777777" w:rsidR="00C972CB" w:rsidRDefault="002457F6">
            <w:pPr>
              <w:pStyle w:val="P68B1DB1-Normal33"/>
              <w:jc w:val="center"/>
              <w:rPr>
                <w:noProof/>
              </w:rPr>
            </w:pPr>
            <w:r>
              <w:rPr>
                <w:noProof/>
              </w:rPr>
              <w:t>Mēra vienība</w:t>
            </w:r>
          </w:p>
        </w:tc>
        <w:tc>
          <w:tcPr>
            <w:tcW w:w="999" w:type="dxa"/>
            <w:shd w:val="clear" w:color="auto" w:fill="BDD7EE"/>
            <w:vAlign w:val="center"/>
          </w:tcPr>
          <w:p w14:paraId="564DDE1A" w14:textId="77777777" w:rsidR="00C972CB" w:rsidRDefault="002457F6">
            <w:pPr>
              <w:pStyle w:val="P68B1DB1-Normal33"/>
              <w:jc w:val="center"/>
              <w:rPr>
                <w:noProof/>
              </w:rPr>
            </w:pPr>
            <w:r>
              <w:rPr>
                <w:noProof/>
              </w:rPr>
              <w:t>Pamatscenārijs</w:t>
            </w:r>
          </w:p>
        </w:tc>
        <w:tc>
          <w:tcPr>
            <w:tcW w:w="1189" w:type="dxa"/>
            <w:shd w:val="clear" w:color="auto" w:fill="BDD7EE"/>
            <w:vAlign w:val="center"/>
          </w:tcPr>
          <w:p w14:paraId="044E673D" w14:textId="77777777" w:rsidR="00C972CB" w:rsidRDefault="002457F6">
            <w:pPr>
              <w:pStyle w:val="P68B1DB1-Normal33"/>
              <w:jc w:val="center"/>
              <w:rPr>
                <w:noProof/>
              </w:rPr>
            </w:pPr>
            <w:r>
              <w:rPr>
                <w:noProof/>
              </w:rPr>
              <w:t>Mērķis</w:t>
            </w:r>
          </w:p>
        </w:tc>
        <w:tc>
          <w:tcPr>
            <w:tcW w:w="979" w:type="dxa"/>
            <w:shd w:val="clear" w:color="auto" w:fill="BDD7EE"/>
            <w:vAlign w:val="center"/>
          </w:tcPr>
          <w:p w14:paraId="4EDB2FD4" w14:textId="77777777" w:rsidR="00C972CB" w:rsidRDefault="002457F6">
            <w:pPr>
              <w:pStyle w:val="P68B1DB1-Normal33"/>
              <w:jc w:val="center"/>
              <w:rPr>
                <w:noProof/>
              </w:rPr>
            </w:pPr>
            <w:r>
              <w:rPr>
                <w:noProof/>
              </w:rPr>
              <w:t>Ceturtdaļa</w:t>
            </w:r>
          </w:p>
        </w:tc>
        <w:tc>
          <w:tcPr>
            <w:tcW w:w="689" w:type="dxa"/>
            <w:shd w:val="clear" w:color="auto" w:fill="BDD7EE"/>
            <w:vAlign w:val="center"/>
          </w:tcPr>
          <w:p w14:paraId="49C6B959" w14:textId="77777777" w:rsidR="00C972CB" w:rsidRDefault="002457F6">
            <w:pPr>
              <w:pStyle w:val="P68B1DB1-Normal33"/>
              <w:jc w:val="center"/>
              <w:rPr>
                <w:noProof/>
              </w:rPr>
            </w:pPr>
            <w:r>
              <w:rPr>
                <w:noProof/>
              </w:rPr>
              <w:t>Gadā</w:t>
            </w:r>
          </w:p>
        </w:tc>
        <w:tc>
          <w:tcPr>
            <w:tcW w:w="2982" w:type="dxa"/>
            <w:vMerge/>
            <w:vAlign w:val="center"/>
          </w:tcPr>
          <w:p w14:paraId="67C1634C" w14:textId="77777777" w:rsidR="00C972CB" w:rsidRDefault="00C972CB">
            <w:pPr>
              <w:rPr>
                <w:rFonts w:ascii="Arial Narrow" w:hAnsi="Arial Narrow"/>
                <w:b/>
                <w:noProof/>
                <w:color w:val="000000"/>
                <w:sz w:val="20"/>
              </w:rPr>
            </w:pPr>
          </w:p>
        </w:tc>
      </w:tr>
      <w:tr w:rsidR="00C972CB" w14:paraId="7FF01C1E" w14:textId="77777777">
        <w:trPr>
          <w:trHeight w:val="1965"/>
          <w:jc w:val="center"/>
        </w:trPr>
        <w:tc>
          <w:tcPr>
            <w:tcW w:w="1254" w:type="dxa"/>
            <w:shd w:val="clear" w:color="auto" w:fill="C6EFCE"/>
            <w:vAlign w:val="center"/>
            <w:hideMark/>
          </w:tcPr>
          <w:p w14:paraId="27522128" w14:textId="77777777" w:rsidR="00C972CB" w:rsidRDefault="002457F6">
            <w:pPr>
              <w:pStyle w:val="P68B1DB1-Normal11"/>
              <w:jc w:val="center"/>
              <w:rPr>
                <w:noProof/>
              </w:rPr>
            </w:pPr>
            <w:r>
              <w:rPr>
                <w:noProof/>
              </w:rPr>
              <w:t>M5C1–17</w:t>
            </w:r>
          </w:p>
        </w:tc>
        <w:tc>
          <w:tcPr>
            <w:tcW w:w="1530" w:type="dxa"/>
            <w:shd w:val="clear" w:color="auto" w:fill="C6EFCE"/>
            <w:vAlign w:val="center"/>
            <w:hideMark/>
          </w:tcPr>
          <w:p w14:paraId="14CEC065" w14:textId="77777777" w:rsidR="00C972CB" w:rsidRDefault="002457F6">
            <w:pPr>
              <w:pStyle w:val="P68B1DB1-Normal11"/>
              <w:jc w:val="center"/>
              <w:rPr>
                <w:noProof/>
              </w:rPr>
            </w:pPr>
            <w:r>
              <w:rPr>
                <w:noProof/>
              </w:rPr>
              <w:t>Ieguldījums Nr. 5 — Sieviešu uzņēmumu izveide</w:t>
            </w:r>
          </w:p>
        </w:tc>
        <w:tc>
          <w:tcPr>
            <w:tcW w:w="1179" w:type="dxa"/>
            <w:shd w:val="clear" w:color="auto" w:fill="C6EFCE"/>
            <w:vAlign w:val="center"/>
            <w:hideMark/>
          </w:tcPr>
          <w:p w14:paraId="5AB79EE5" w14:textId="77777777" w:rsidR="00C972CB" w:rsidRDefault="002457F6">
            <w:pPr>
              <w:pStyle w:val="P68B1DB1-Normal11"/>
              <w:jc w:val="center"/>
              <w:rPr>
                <w:noProof/>
              </w:rPr>
            </w:pPr>
            <w:r>
              <w:rPr>
                <w:noProof/>
              </w:rPr>
              <w:t>Starpposma mērķis</w:t>
            </w:r>
          </w:p>
        </w:tc>
        <w:tc>
          <w:tcPr>
            <w:tcW w:w="1802" w:type="dxa"/>
            <w:shd w:val="clear" w:color="auto" w:fill="C6EFCE"/>
            <w:vAlign w:val="center"/>
            <w:hideMark/>
          </w:tcPr>
          <w:p w14:paraId="5157A23A" w14:textId="77777777" w:rsidR="00C972CB" w:rsidRDefault="002457F6">
            <w:pPr>
              <w:pStyle w:val="P68B1DB1-Normal11"/>
              <w:jc w:val="center"/>
              <w:rPr>
                <w:noProof/>
              </w:rPr>
            </w:pPr>
            <w:r>
              <w:rPr>
                <w:noProof/>
              </w:rPr>
              <w:t>Fonds sieviešu uzņēmējdarbības atbalstam ir pieņemts</w:t>
            </w:r>
          </w:p>
        </w:tc>
        <w:tc>
          <w:tcPr>
            <w:tcW w:w="1670" w:type="dxa"/>
            <w:shd w:val="clear" w:color="auto" w:fill="C6EFCE"/>
            <w:vAlign w:val="center"/>
            <w:hideMark/>
          </w:tcPr>
          <w:p w14:paraId="29F763F0" w14:textId="77777777" w:rsidR="00C972CB" w:rsidRDefault="002457F6">
            <w:pPr>
              <w:pStyle w:val="P68B1DB1-Normal11"/>
              <w:jc w:val="center"/>
              <w:rPr>
                <w:noProof/>
              </w:rPr>
            </w:pPr>
            <w:r>
              <w:rPr>
                <w:noProof/>
              </w:rPr>
              <w:t>Ir apstiprināts ministrijas dekrēts par “Fondo Impresa Donna” izveidi.</w:t>
            </w:r>
          </w:p>
        </w:tc>
        <w:tc>
          <w:tcPr>
            <w:tcW w:w="1037" w:type="dxa"/>
            <w:shd w:val="clear" w:color="auto" w:fill="C6EFCE"/>
            <w:vAlign w:val="center"/>
            <w:hideMark/>
          </w:tcPr>
          <w:p w14:paraId="12C1B200" w14:textId="77777777" w:rsidR="00C972CB" w:rsidRDefault="002457F6">
            <w:pPr>
              <w:pStyle w:val="P68B1DB1-Normal11"/>
              <w:jc w:val="center"/>
              <w:rPr>
                <w:noProof/>
              </w:rPr>
            </w:pPr>
            <w:r>
              <w:rPr>
                <w:noProof/>
              </w:rPr>
              <w:t>NEPIEMĒRO</w:t>
            </w:r>
          </w:p>
        </w:tc>
        <w:tc>
          <w:tcPr>
            <w:tcW w:w="999" w:type="dxa"/>
            <w:shd w:val="clear" w:color="auto" w:fill="C6EFCE"/>
            <w:vAlign w:val="center"/>
            <w:hideMark/>
          </w:tcPr>
          <w:p w14:paraId="2BD66C3D" w14:textId="77777777" w:rsidR="00C972CB" w:rsidRDefault="002457F6">
            <w:pPr>
              <w:pStyle w:val="P68B1DB1-Normal11"/>
              <w:jc w:val="center"/>
              <w:rPr>
                <w:noProof/>
              </w:rPr>
            </w:pPr>
            <w:r>
              <w:rPr>
                <w:noProof/>
              </w:rPr>
              <w:t>NEPIEMĒRO</w:t>
            </w:r>
          </w:p>
        </w:tc>
        <w:tc>
          <w:tcPr>
            <w:tcW w:w="1189" w:type="dxa"/>
            <w:shd w:val="clear" w:color="auto" w:fill="C6EFCE"/>
            <w:vAlign w:val="center"/>
            <w:hideMark/>
          </w:tcPr>
          <w:p w14:paraId="5C032983" w14:textId="77777777" w:rsidR="00C972CB" w:rsidRDefault="002457F6">
            <w:pPr>
              <w:pStyle w:val="P68B1DB1-Normal11"/>
              <w:jc w:val="center"/>
              <w:rPr>
                <w:noProof/>
              </w:rPr>
            </w:pPr>
            <w:r>
              <w:rPr>
                <w:noProof/>
              </w:rPr>
              <w:t>NEPIEMĒRO</w:t>
            </w:r>
          </w:p>
        </w:tc>
        <w:tc>
          <w:tcPr>
            <w:tcW w:w="979" w:type="dxa"/>
            <w:shd w:val="clear" w:color="auto" w:fill="C6EFCE"/>
            <w:vAlign w:val="center"/>
            <w:hideMark/>
          </w:tcPr>
          <w:p w14:paraId="005C8021" w14:textId="77777777" w:rsidR="00C972CB" w:rsidRDefault="002457F6">
            <w:pPr>
              <w:pStyle w:val="P68B1DB1-Normal11"/>
              <w:jc w:val="center"/>
              <w:rPr>
                <w:noProof/>
              </w:rPr>
            </w:pPr>
            <w:r>
              <w:rPr>
                <w:noProof/>
              </w:rPr>
              <w:t>3. CET.</w:t>
            </w:r>
          </w:p>
        </w:tc>
        <w:tc>
          <w:tcPr>
            <w:tcW w:w="689" w:type="dxa"/>
            <w:shd w:val="clear" w:color="auto" w:fill="C6EFCE"/>
            <w:vAlign w:val="center"/>
            <w:hideMark/>
          </w:tcPr>
          <w:p w14:paraId="77AC16ED" w14:textId="77777777" w:rsidR="00C972CB" w:rsidRDefault="002457F6">
            <w:pPr>
              <w:pStyle w:val="P68B1DB1-Normal11"/>
              <w:jc w:val="center"/>
              <w:rPr>
                <w:noProof/>
              </w:rPr>
            </w:pPr>
            <w:r>
              <w:rPr>
                <w:noProof/>
              </w:rPr>
              <w:t>2021</w:t>
            </w:r>
          </w:p>
        </w:tc>
        <w:tc>
          <w:tcPr>
            <w:tcW w:w="2982" w:type="dxa"/>
            <w:shd w:val="clear" w:color="auto" w:fill="C6EFCE"/>
            <w:vAlign w:val="center"/>
            <w:hideMark/>
          </w:tcPr>
          <w:p w14:paraId="1FF870FF" w14:textId="77777777" w:rsidR="00C972CB" w:rsidRDefault="002457F6">
            <w:pPr>
              <w:pStyle w:val="P68B1DB1-Normal11"/>
              <w:rPr>
                <w:noProof/>
              </w:rPr>
            </w:pPr>
            <w:r>
              <w:rPr>
                <w:noProof/>
              </w:rPr>
              <w:t>Fondu sieviešu uzņēmējdarbības atbalstam pieņem ar ministrijas dekrētu, kurā nosaka atbilstības kritēriju kopumu saskaņā ar ANM mērķiem, tostarp principu “nenodarīt būtisku kaitējumu” un parakstot finansēšanas nol</w:t>
            </w:r>
            <w:r>
              <w:rPr>
                <w:noProof/>
              </w:rPr>
              <w:t>īgumu un darbības nolīgumus ar finanšu starpnieku(-iem).</w:t>
            </w:r>
          </w:p>
          <w:p w14:paraId="1913A1E8" w14:textId="77777777" w:rsidR="00C972CB" w:rsidRDefault="00C972CB">
            <w:pPr>
              <w:rPr>
                <w:rFonts w:ascii="Arial Narrow" w:hAnsi="Arial Narrow"/>
                <w:noProof/>
                <w:color w:val="006100"/>
                <w:sz w:val="20"/>
              </w:rPr>
            </w:pPr>
          </w:p>
          <w:p w14:paraId="21370EC2" w14:textId="77777777" w:rsidR="00C972CB" w:rsidRDefault="002457F6">
            <w:pPr>
              <w:pStyle w:val="P68B1DB1-Normal11"/>
              <w:rPr>
                <w:noProof/>
              </w:rPr>
            </w:pPr>
            <w:r>
              <w:rPr>
                <w:noProof/>
              </w:rPr>
              <w:t xml:space="preserve">Šie fondi veido “Fondo Impresa Donna”, kas īsteno īpašo pasākumu, kura mērķis ir atbalstīt sieviešu uzņēmējdarbību. Ekonomikas attīstības ministrija un PCM Vienlīdzīgu iespēju departaments iepriekš </w:t>
            </w:r>
            <w:r>
              <w:rPr>
                <w:noProof/>
              </w:rPr>
              <w:t>vienojas par īstenošanas pasākumiem, kuru mērķis ir:</w:t>
            </w:r>
          </w:p>
          <w:p w14:paraId="583DFB45" w14:textId="77777777" w:rsidR="00C972CB" w:rsidRDefault="002457F6">
            <w:pPr>
              <w:pStyle w:val="P68B1DB1-Normal11"/>
              <w:rPr>
                <w:noProof/>
              </w:rPr>
            </w:pPr>
            <w:r>
              <w:rPr>
                <w:noProof/>
              </w:rPr>
              <w:t>stiprināt esošos pasākumus, ko jau pārvalda Ekonomikas attīstības ministrijas iekšējās struktūras (piemēram, NITO-ON, Smart &amp; Start), veicot kapitāla ieguldījumu, kas ir paredzēts tikai sieviešu uzņēmumi</w:t>
            </w:r>
            <w:r>
              <w:rPr>
                <w:noProof/>
              </w:rPr>
              <w:t>em;</w:t>
            </w:r>
          </w:p>
          <w:p w14:paraId="5CDD7B41" w14:textId="3204B780" w:rsidR="00C972CB" w:rsidRDefault="002457F6">
            <w:pPr>
              <w:pStyle w:val="P68B1DB1-Normal11"/>
              <w:rPr>
                <w:noProof/>
              </w:rPr>
            </w:pPr>
            <w:r>
              <w:rPr>
                <w:noProof/>
              </w:rPr>
              <w:t>nodrošināt papildinājumu sieviešu uzņēmējdarbības fondam, kas izveidots ar 2021. gada budžeta likumu (no 2022. gada 3. ceturkšņa);</w:t>
            </w:r>
          </w:p>
          <w:p w14:paraId="37CE49C0" w14:textId="77777777" w:rsidR="00C972CB" w:rsidRDefault="002457F6">
            <w:pPr>
              <w:pStyle w:val="P68B1DB1-Normal11"/>
              <w:rPr>
                <w:noProof/>
              </w:rPr>
            </w:pPr>
            <w:r>
              <w:rPr>
                <w:noProof/>
              </w:rPr>
              <w:t>papildu pasākumu, uzraudzības un komunikācijas kampaņu izstrāde. PCM Vienlīdzīgu iespēju departaments īsteno daudzgadu in</w:t>
            </w:r>
            <w:r>
              <w:rPr>
                <w:noProof/>
              </w:rPr>
              <w:t>formācijas kampaņu, lai veicinātu sieviešu uzņēmējdarbību, profesionālās orientācijas pasākumus visu vecumu sievietēm un studentiem universitātēs attiecībā uz priekšmetiem un profesijām, kurās sievietes ir nepietiekami pārstāvētas, un komunikācijas platfor</w:t>
            </w:r>
            <w:r>
              <w:rPr>
                <w:noProof/>
              </w:rPr>
              <w:t>mas izveidi.</w:t>
            </w:r>
          </w:p>
        </w:tc>
      </w:tr>
      <w:tr w:rsidR="00C972CB" w14:paraId="0C11C86A" w14:textId="77777777">
        <w:trPr>
          <w:trHeight w:val="845"/>
          <w:jc w:val="center"/>
        </w:trPr>
        <w:tc>
          <w:tcPr>
            <w:tcW w:w="1254" w:type="dxa"/>
            <w:shd w:val="clear" w:color="auto" w:fill="C6EFCE"/>
            <w:vAlign w:val="center"/>
            <w:hideMark/>
          </w:tcPr>
          <w:p w14:paraId="3973B524" w14:textId="77777777" w:rsidR="00C972CB" w:rsidRDefault="002457F6">
            <w:pPr>
              <w:pStyle w:val="P68B1DB1-Normal11"/>
              <w:jc w:val="center"/>
              <w:rPr>
                <w:noProof/>
              </w:rPr>
            </w:pPr>
            <w:r>
              <w:rPr>
                <w:noProof/>
              </w:rPr>
              <w:t>M5C1–18</w:t>
            </w:r>
          </w:p>
        </w:tc>
        <w:tc>
          <w:tcPr>
            <w:tcW w:w="1530" w:type="dxa"/>
            <w:shd w:val="clear" w:color="auto" w:fill="C6EFCE"/>
            <w:vAlign w:val="center"/>
            <w:hideMark/>
          </w:tcPr>
          <w:p w14:paraId="26F904DD" w14:textId="77777777" w:rsidR="00C972CB" w:rsidRDefault="002457F6">
            <w:pPr>
              <w:pStyle w:val="P68B1DB1-Normal11"/>
              <w:jc w:val="center"/>
              <w:rPr>
                <w:noProof/>
              </w:rPr>
            </w:pPr>
            <w:r>
              <w:rPr>
                <w:noProof/>
              </w:rPr>
              <w:t>Ieguldījums Nr. 5 — Sieviešu uzņēmumu izveide</w:t>
            </w:r>
          </w:p>
        </w:tc>
        <w:tc>
          <w:tcPr>
            <w:tcW w:w="1179" w:type="dxa"/>
            <w:shd w:val="clear" w:color="auto" w:fill="C6EFCE"/>
            <w:vAlign w:val="center"/>
            <w:hideMark/>
          </w:tcPr>
          <w:p w14:paraId="3A3C6382" w14:textId="77777777" w:rsidR="00C972CB" w:rsidRDefault="002457F6">
            <w:pPr>
              <w:pStyle w:val="P68B1DB1-Normal11"/>
              <w:jc w:val="center"/>
              <w:rPr>
                <w:noProof/>
              </w:rPr>
            </w:pPr>
            <w:r>
              <w:rPr>
                <w:noProof/>
              </w:rPr>
              <w:t>Mērķa</w:t>
            </w:r>
          </w:p>
        </w:tc>
        <w:tc>
          <w:tcPr>
            <w:tcW w:w="1802" w:type="dxa"/>
            <w:shd w:val="clear" w:color="auto" w:fill="C6EFCE"/>
            <w:vAlign w:val="center"/>
            <w:hideMark/>
          </w:tcPr>
          <w:p w14:paraId="39C2482C" w14:textId="77777777" w:rsidR="00C972CB" w:rsidRDefault="002457F6">
            <w:pPr>
              <w:pStyle w:val="P68B1DB1-Normal11"/>
              <w:jc w:val="center"/>
              <w:rPr>
                <w:noProof/>
              </w:rPr>
            </w:pPr>
            <w:r>
              <w:rPr>
                <w:noProof/>
              </w:rPr>
              <w:t xml:space="preserve"> Ir sniegts finansiāls atbalsts uzņēmumiem </w:t>
            </w:r>
          </w:p>
        </w:tc>
        <w:tc>
          <w:tcPr>
            <w:tcW w:w="1670" w:type="dxa"/>
            <w:shd w:val="clear" w:color="auto" w:fill="C6EFCE"/>
            <w:vAlign w:val="center"/>
            <w:hideMark/>
          </w:tcPr>
          <w:p w14:paraId="6D578092" w14:textId="77777777" w:rsidR="00C972CB" w:rsidRDefault="002457F6">
            <w:pPr>
              <w:pStyle w:val="P68B1DB1-Normal11"/>
              <w:jc w:val="center"/>
              <w:rPr>
                <w:noProof/>
              </w:rPr>
            </w:pPr>
            <w:r>
              <w:rPr>
                <w:noProof/>
              </w:rPr>
              <w:t>NEPIEMĒRO</w:t>
            </w:r>
          </w:p>
        </w:tc>
        <w:tc>
          <w:tcPr>
            <w:tcW w:w="1037" w:type="dxa"/>
            <w:shd w:val="clear" w:color="auto" w:fill="C6EFCE"/>
            <w:vAlign w:val="center"/>
            <w:hideMark/>
          </w:tcPr>
          <w:p w14:paraId="50EC50E8" w14:textId="77777777" w:rsidR="00C972CB" w:rsidRDefault="002457F6">
            <w:pPr>
              <w:pStyle w:val="P68B1DB1-Normal11"/>
              <w:jc w:val="center"/>
              <w:rPr>
                <w:noProof/>
              </w:rPr>
            </w:pPr>
            <w:r>
              <w:rPr>
                <w:noProof/>
              </w:rPr>
              <w:t>Skaits</w:t>
            </w:r>
          </w:p>
        </w:tc>
        <w:tc>
          <w:tcPr>
            <w:tcW w:w="999" w:type="dxa"/>
            <w:shd w:val="clear" w:color="auto" w:fill="C6EFCE"/>
            <w:vAlign w:val="center"/>
            <w:hideMark/>
          </w:tcPr>
          <w:p w14:paraId="14E8B577" w14:textId="77777777" w:rsidR="00C972CB" w:rsidRDefault="002457F6">
            <w:pPr>
              <w:pStyle w:val="P68B1DB1-Normal11"/>
              <w:jc w:val="center"/>
              <w:rPr>
                <w:noProof/>
              </w:rPr>
            </w:pPr>
            <w:r>
              <w:rPr>
                <w:noProof/>
              </w:rPr>
              <w:t>0</w:t>
            </w:r>
          </w:p>
        </w:tc>
        <w:tc>
          <w:tcPr>
            <w:tcW w:w="1189" w:type="dxa"/>
            <w:shd w:val="clear" w:color="auto" w:fill="C6EFCE"/>
            <w:vAlign w:val="center"/>
            <w:hideMark/>
          </w:tcPr>
          <w:p w14:paraId="3E866043" w14:textId="77777777" w:rsidR="00C972CB" w:rsidRDefault="002457F6">
            <w:pPr>
              <w:pStyle w:val="P68B1DB1-Normal11"/>
              <w:jc w:val="center"/>
              <w:rPr>
                <w:noProof/>
              </w:rPr>
            </w:pPr>
            <w:r>
              <w:rPr>
                <w:noProof/>
              </w:rPr>
              <w:t>700</w:t>
            </w:r>
          </w:p>
        </w:tc>
        <w:tc>
          <w:tcPr>
            <w:tcW w:w="979" w:type="dxa"/>
            <w:shd w:val="clear" w:color="auto" w:fill="C6EFCE"/>
            <w:vAlign w:val="center"/>
            <w:hideMark/>
          </w:tcPr>
          <w:p w14:paraId="4427AF80" w14:textId="77777777" w:rsidR="00C972CB" w:rsidRDefault="002457F6">
            <w:pPr>
              <w:pStyle w:val="P68B1DB1-Normal11"/>
              <w:jc w:val="center"/>
              <w:rPr>
                <w:noProof/>
              </w:rPr>
            </w:pPr>
            <w:r>
              <w:rPr>
                <w:noProof/>
              </w:rPr>
              <w:t>2. CET.</w:t>
            </w:r>
          </w:p>
        </w:tc>
        <w:tc>
          <w:tcPr>
            <w:tcW w:w="689" w:type="dxa"/>
            <w:shd w:val="clear" w:color="auto" w:fill="C6EFCE"/>
            <w:vAlign w:val="center"/>
            <w:hideMark/>
          </w:tcPr>
          <w:p w14:paraId="41848E14" w14:textId="77777777" w:rsidR="00C972CB" w:rsidRDefault="002457F6">
            <w:pPr>
              <w:pStyle w:val="P68B1DB1-Normal11"/>
              <w:jc w:val="center"/>
              <w:rPr>
                <w:noProof/>
              </w:rPr>
            </w:pPr>
            <w:r>
              <w:rPr>
                <w:noProof/>
              </w:rPr>
              <w:t>2023</w:t>
            </w:r>
          </w:p>
        </w:tc>
        <w:tc>
          <w:tcPr>
            <w:tcW w:w="2982" w:type="dxa"/>
            <w:shd w:val="clear" w:color="auto" w:fill="C6EFCE"/>
            <w:vAlign w:val="center"/>
            <w:hideMark/>
          </w:tcPr>
          <w:p w14:paraId="154B612C" w14:textId="77777777" w:rsidR="00C972CB" w:rsidRDefault="002457F6">
            <w:pPr>
              <w:pStyle w:val="P68B1DB1-Normal11"/>
              <w:rPr>
                <w:noProof/>
              </w:rPr>
            </w:pPr>
            <w:r>
              <w:rPr>
                <w:noProof/>
              </w:rPr>
              <w:t xml:space="preserve">Finansiālais atbalsts ir piešķirts vismaz 700 papildu uzņēmumiem salīdzinājumā ar pamatscenāriju. </w:t>
            </w:r>
          </w:p>
          <w:p w14:paraId="07DB888A" w14:textId="77777777" w:rsidR="00C972CB" w:rsidRDefault="002457F6">
            <w:pPr>
              <w:pStyle w:val="P68B1DB1-Normal11"/>
              <w:rPr>
                <w:noProof/>
              </w:rPr>
            </w:pPr>
            <w:r>
              <w:rPr>
                <w:noProof/>
              </w:rPr>
              <w:t>Atbalstu sieviešu uzņēmējdarbībai īsteno, izmantojot jau aktīvus instrumentus (NITO-ON, Smart &amp; Start) un jauno fondu, kas izveidots ar 2021. gada budžeta likumu (sieviešu uzņēmumi, kurus līdz 2020. gada novembrim atbalstīja ar esošajiem finanšu instrument</w:t>
            </w:r>
            <w:r>
              <w:rPr>
                <w:noProof/>
              </w:rPr>
              <w:t>iem kā pamatscenāriju).</w:t>
            </w:r>
          </w:p>
        </w:tc>
      </w:tr>
      <w:tr w:rsidR="00C972CB" w14:paraId="632B0D98" w14:textId="77777777">
        <w:trPr>
          <w:trHeight w:val="703"/>
          <w:jc w:val="center"/>
        </w:trPr>
        <w:tc>
          <w:tcPr>
            <w:tcW w:w="1254" w:type="dxa"/>
            <w:shd w:val="clear" w:color="auto" w:fill="C6EFCE"/>
            <w:vAlign w:val="center"/>
            <w:hideMark/>
          </w:tcPr>
          <w:p w14:paraId="2142396A" w14:textId="77777777" w:rsidR="00C972CB" w:rsidRDefault="002457F6">
            <w:pPr>
              <w:pStyle w:val="P68B1DB1-Normal11"/>
              <w:jc w:val="center"/>
              <w:rPr>
                <w:noProof/>
              </w:rPr>
            </w:pPr>
            <w:r>
              <w:rPr>
                <w:noProof/>
              </w:rPr>
              <w:t>M5C1–19</w:t>
            </w:r>
          </w:p>
        </w:tc>
        <w:tc>
          <w:tcPr>
            <w:tcW w:w="1530" w:type="dxa"/>
            <w:shd w:val="clear" w:color="auto" w:fill="C6EFCE"/>
            <w:vAlign w:val="center"/>
            <w:hideMark/>
          </w:tcPr>
          <w:p w14:paraId="04A1661D" w14:textId="77777777" w:rsidR="00C972CB" w:rsidRDefault="002457F6">
            <w:pPr>
              <w:pStyle w:val="P68B1DB1-Normal11"/>
              <w:jc w:val="center"/>
              <w:rPr>
                <w:noProof/>
              </w:rPr>
            </w:pPr>
            <w:r>
              <w:rPr>
                <w:noProof/>
              </w:rPr>
              <w:t>Ieguldījums Nr. 5 — Sieviešu uzņēmumu izveide</w:t>
            </w:r>
          </w:p>
        </w:tc>
        <w:tc>
          <w:tcPr>
            <w:tcW w:w="1179" w:type="dxa"/>
            <w:shd w:val="clear" w:color="auto" w:fill="C6EFCE"/>
            <w:vAlign w:val="center"/>
            <w:hideMark/>
          </w:tcPr>
          <w:p w14:paraId="3ED70867" w14:textId="77777777" w:rsidR="00C972CB" w:rsidRDefault="002457F6">
            <w:pPr>
              <w:pStyle w:val="P68B1DB1-Normal11"/>
              <w:jc w:val="center"/>
              <w:rPr>
                <w:noProof/>
              </w:rPr>
            </w:pPr>
            <w:r>
              <w:rPr>
                <w:noProof/>
              </w:rPr>
              <w:t>Mērķa</w:t>
            </w:r>
          </w:p>
        </w:tc>
        <w:tc>
          <w:tcPr>
            <w:tcW w:w="1802" w:type="dxa"/>
            <w:shd w:val="clear" w:color="auto" w:fill="C6EFCE"/>
            <w:vAlign w:val="center"/>
            <w:hideMark/>
          </w:tcPr>
          <w:p w14:paraId="5A6A3527" w14:textId="77777777" w:rsidR="00C972CB" w:rsidRDefault="002457F6">
            <w:pPr>
              <w:pStyle w:val="P68B1DB1-Normal11"/>
              <w:jc w:val="center"/>
              <w:rPr>
                <w:noProof/>
              </w:rPr>
            </w:pPr>
            <w:r>
              <w:rPr>
                <w:noProof/>
              </w:rPr>
              <w:t>Uzņēmumi, kas definēti attiecīgajā ieguldījumu politikā, ir saņēmuši finansiālu atbalstu</w:t>
            </w:r>
          </w:p>
        </w:tc>
        <w:tc>
          <w:tcPr>
            <w:tcW w:w="1670" w:type="dxa"/>
            <w:shd w:val="clear" w:color="auto" w:fill="C6EFCE"/>
            <w:vAlign w:val="center"/>
            <w:hideMark/>
          </w:tcPr>
          <w:p w14:paraId="3785FBED" w14:textId="77777777" w:rsidR="00C972CB" w:rsidRDefault="002457F6">
            <w:pPr>
              <w:pStyle w:val="P68B1DB1-Normal11"/>
              <w:jc w:val="center"/>
              <w:rPr>
                <w:noProof/>
              </w:rPr>
            </w:pPr>
            <w:r>
              <w:rPr>
                <w:noProof/>
              </w:rPr>
              <w:t>NEPIEMĒRO</w:t>
            </w:r>
          </w:p>
        </w:tc>
        <w:tc>
          <w:tcPr>
            <w:tcW w:w="1037" w:type="dxa"/>
            <w:shd w:val="clear" w:color="auto" w:fill="C6EFCE"/>
            <w:vAlign w:val="center"/>
            <w:hideMark/>
          </w:tcPr>
          <w:p w14:paraId="2A1E7603" w14:textId="77777777" w:rsidR="00C972CB" w:rsidRDefault="002457F6">
            <w:pPr>
              <w:pStyle w:val="P68B1DB1-Normal11"/>
              <w:jc w:val="center"/>
              <w:rPr>
                <w:noProof/>
              </w:rPr>
            </w:pPr>
            <w:r>
              <w:rPr>
                <w:noProof/>
              </w:rPr>
              <w:t>Skaits</w:t>
            </w:r>
          </w:p>
        </w:tc>
        <w:tc>
          <w:tcPr>
            <w:tcW w:w="999" w:type="dxa"/>
            <w:shd w:val="clear" w:color="auto" w:fill="C6EFCE"/>
            <w:vAlign w:val="center"/>
            <w:hideMark/>
          </w:tcPr>
          <w:p w14:paraId="6DA20C6E" w14:textId="77777777" w:rsidR="00C972CB" w:rsidRDefault="002457F6">
            <w:pPr>
              <w:pStyle w:val="P68B1DB1-Normal11"/>
              <w:jc w:val="center"/>
              <w:rPr>
                <w:noProof/>
              </w:rPr>
            </w:pPr>
            <w:r>
              <w:rPr>
                <w:noProof/>
              </w:rPr>
              <w:t>0</w:t>
            </w:r>
          </w:p>
        </w:tc>
        <w:tc>
          <w:tcPr>
            <w:tcW w:w="1189" w:type="dxa"/>
            <w:shd w:val="clear" w:color="auto" w:fill="C6EFCE"/>
            <w:vAlign w:val="center"/>
            <w:hideMark/>
          </w:tcPr>
          <w:p w14:paraId="7CC3D2C4" w14:textId="4B88077F" w:rsidR="00C972CB" w:rsidRDefault="002457F6">
            <w:pPr>
              <w:pStyle w:val="P68B1DB1-Normal11"/>
              <w:jc w:val="center"/>
              <w:rPr>
                <w:noProof/>
              </w:rPr>
            </w:pPr>
            <w:r>
              <w:rPr>
                <w:noProof/>
              </w:rPr>
              <w:t>2 400</w:t>
            </w:r>
          </w:p>
        </w:tc>
        <w:tc>
          <w:tcPr>
            <w:tcW w:w="979" w:type="dxa"/>
            <w:shd w:val="clear" w:color="auto" w:fill="C6EFCE"/>
            <w:vAlign w:val="center"/>
            <w:hideMark/>
          </w:tcPr>
          <w:p w14:paraId="7F799E50" w14:textId="77777777" w:rsidR="00C972CB" w:rsidRDefault="002457F6">
            <w:pPr>
              <w:pStyle w:val="P68B1DB1-Normal11"/>
              <w:jc w:val="center"/>
              <w:rPr>
                <w:noProof/>
              </w:rPr>
            </w:pPr>
            <w:r>
              <w:rPr>
                <w:noProof/>
              </w:rPr>
              <w:t>2. CET.</w:t>
            </w:r>
          </w:p>
        </w:tc>
        <w:tc>
          <w:tcPr>
            <w:tcW w:w="689" w:type="dxa"/>
            <w:shd w:val="clear" w:color="auto" w:fill="C6EFCE"/>
            <w:vAlign w:val="center"/>
            <w:hideMark/>
          </w:tcPr>
          <w:p w14:paraId="77BB5FAA" w14:textId="77777777" w:rsidR="00C972CB" w:rsidRDefault="002457F6">
            <w:pPr>
              <w:pStyle w:val="P68B1DB1-Normal11"/>
              <w:jc w:val="center"/>
              <w:rPr>
                <w:noProof/>
              </w:rPr>
            </w:pPr>
            <w:r>
              <w:rPr>
                <w:noProof/>
              </w:rPr>
              <w:t>2026</w:t>
            </w:r>
          </w:p>
        </w:tc>
        <w:tc>
          <w:tcPr>
            <w:tcW w:w="2982" w:type="dxa"/>
            <w:shd w:val="clear" w:color="auto" w:fill="C6EFCE"/>
            <w:vAlign w:val="center"/>
            <w:hideMark/>
          </w:tcPr>
          <w:p w14:paraId="6A51FFA8" w14:textId="1793DA60" w:rsidR="00C972CB" w:rsidRDefault="002457F6">
            <w:pPr>
              <w:pStyle w:val="P68B1DB1-Normal11"/>
              <w:rPr>
                <w:noProof/>
              </w:rPr>
            </w:pPr>
            <w:r>
              <w:rPr>
                <w:noProof/>
              </w:rPr>
              <w:t xml:space="preserve">Finansiālais atbalsts ir izmaksāts vismaz </w:t>
            </w:r>
            <w:r>
              <w:rPr>
                <w:noProof/>
              </w:rPr>
              <w:t>2400 uzņēmumiem, kā noteikts attiecīgajā ieguldījumu politikā.</w:t>
            </w:r>
          </w:p>
          <w:p w14:paraId="66C9B675" w14:textId="77777777" w:rsidR="00C972CB" w:rsidRDefault="00C972CB">
            <w:pPr>
              <w:rPr>
                <w:rFonts w:ascii="Arial Narrow" w:hAnsi="Arial Narrow"/>
                <w:noProof/>
                <w:color w:val="006100"/>
                <w:sz w:val="20"/>
              </w:rPr>
            </w:pPr>
          </w:p>
          <w:p w14:paraId="63698BF4" w14:textId="77777777" w:rsidR="00C972CB" w:rsidRDefault="002457F6">
            <w:pPr>
              <w:pStyle w:val="P68B1DB1-Normal11"/>
              <w:rPr>
                <w:noProof/>
              </w:rPr>
            </w:pPr>
            <w:r>
              <w:rPr>
                <w:noProof/>
              </w:rPr>
              <w:t>Atbalstu sieviešu uzņēmējdarbībai īsteno, izmantojot jau aktīvus instrumentus (NITO-ON, Smart &amp; Start) un jauno fondu, kas izveidots ar 2021. gada Budžeta likumu.</w:t>
            </w:r>
          </w:p>
        </w:tc>
      </w:tr>
    </w:tbl>
    <w:p w14:paraId="05B56706" w14:textId="77777777" w:rsidR="00C972CB" w:rsidRDefault="00C972CB">
      <w:pPr>
        <w:rPr>
          <w:rFonts w:ascii="Arial Narrow" w:hAnsi="Arial Narrow"/>
          <w:noProof/>
        </w:rPr>
      </w:pPr>
    </w:p>
    <w:p w14:paraId="1B3E0CC0" w14:textId="77777777" w:rsidR="00C972CB" w:rsidRDefault="00C972CB">
      <w:pPr>
        <w:tabs>
          <w:tab w:val="left" w:pos="4252"/>
        </w:tabs>
        <w:rPr>
          <w:i/>
          <w:noProof/>
        </w:rPr>
      </w:pPr>
    </w:p>
    <w:p w14:paraId="367BE4BD" w14:textId="77777777" w:rsidR="00C972CB" w:rsidRDefault="00C972CB">
      <w:pPr>
        <w:tabs>
          <w:tab w:val="left" w:pos="4252"/>
        </w:tabs>
        <w:rPr>
          <w:i/>
          <w:noProof/>
        </w:rPr>
        <w:sectPr w:rsidR="00C972CB" w:rsidSect="000D3774">
          <w:headerReference w:type="even" r:id="rId296"/>
          <w:headerReference w:type="default" r:id="rId297"/>
          <w:footerReference w:type="even" r:id="rId298"/>
          <w:footerReference w:type="default" r:id="rId299"/>
          <w:headerReference w:type="first" r:id="rId300"/>
          <w:footerReference w:type="first" r:id="rId301"/>
          <w:pgSz w:w="16838" w:h="11906" w:orient="landscape" w:code="9"/>
          <w:pgMar w:top="1134" w:right="1134" w:bottom="1134" w:left="1134" w:header="567" w:footer="567" w:gutter="0"/>
          <w:cols w:space="720"/>
          <w:docGrid w:linePitch="360"/>
        </w:sectPr>
      </w:pPr>
    </w:p>
    <w:p w14:paraId="69C2BFEE" w14:textId="3F2335C4" w:rsidR="00C972CB" w:rsidRDefault="002457F6">
      <w:pPr>
        <w:pStyle w:val="Heading2"/>
        <w:numPr>
          <w:ilvl w:val="0"/>
          <w:numId w:val="0"/>
        </w:numPr>
        <w:ind w:left="850" w:hanging="850"/>
        <w:rPr>
          <w:noProof/>
        </w:rPr>
      </w:pPr>
      <w:r>
        <w:rPr>
          <w:noProof/>
        </w:rPr>
        <w:t>M. 5. MISIJAS 2. KOMPONENTS: Sociālā infrastruktūra, ģimenes, kopienas un trešais sektors</w:t>
      </w:r>
    </w:p>
    <w:p w14:paraId="05BBF2CA" w14:textId="77777777" w:rsidR="00C972CB" w:rsidRDefault="002457F6">
      <w:pPr>
        <w:spacing w:before="120" w:after="120"/>
        <w:jc w:val="both"/>
        <w:rPr>
          <w:noProof/>
        </w:rPr>
      </w:pPr>
      <w:r>
        <w:rPr>
          <w:noProof/>
        </w:rPr>
        <w:t>Šajā komponentā iekļauto plānoto reformu un investīciju mērķis ir stiprināt noturību, atbalstot visneaizsargātāko personu integrā</w:t>
      </w:r>
      <w:r>
        <w:rPr>
          <w:noProof/>
        </w:rPr>
        <w:t>ciju un iekļaušanu individuālajā, ģimenes un sociālajā dimensijā. Šis komponents nodrošina valsts stratēģiju neaizsargātu iedzīvotāju grupu aktīvai iekļaušanai. Šā komponenta mērķi ir šādi: Stiprināt integrētu sociālo pakalpojumu nozīmi, lai atbalstītu ģim</w:t>
      </w:r>
      <w:r>
        <w:rPr>
          <w:noProof/>
        </w:rPr>
        <w:t>enes, nepilngadīgos un pusaudžus, atbalstītu vecāku prasmes un aizsargātu neaizsargātas ģimenes, kā arī personas ar invaliditāti, tostarp uzlabojot sociālo infrastruktūru, kurā iesaistīts trešais sektors; Uzlabot personu ar invaliditāti autonomiju, sniedzo</w:t>
      </w:r>
      <w:r>
        <w:rPr>
          <w:noProof/>
        </w:rPr>
        <w:t>t kopienās un mājās balstītus sociālos un veselības aprūpes pakalpojumus un likvidējot šķēršļus mājokļu un darba iespēju pieejamībai; III) uzlabot to cilvēku iekļaušanu, kuri nonākuši galējā atstumtībā un nelabvēlīgos sadzīves apstākļos (piemēram, bezpajum</w:t>
      </w:r>
      <w:r>
        <w:rPr>
          <w:noProof/>
        </w:rPr>
        <w:t>tnieki), plašāk piedāvājot pagaidu izmitināšanas iespējas un pakalpojumus, personalizētus ceļus uz autonomiju un personīgo noturību; (IV) cenas ziņā pieejamāku publisko un privāto mājokļu pieejamības un pilsētvides un teritoriālās atjaunošanas stiprināšana</w:t>
      </w:r>
      <w:r>
        <w:rPr>
          <w:noProof/>
        </w:rPr>
        <w:t>; Visneaizsargātāko personu noturības spēju attīstīšana, izplatot sporta kultūru un izveidojot sporta infrastruktūru, izveidojot pilsētu parkus, kuros sporta aktivitātes var apvienot ar izklaides pasākumiem kopienu labā.</w:t>
      </w:r>
    </w:p>
    <w:p w14:paraId="2A566949" w14:textId="316D5ED6" w:rsidR="00C972CB" w:rsidRDefault="002457F6">
      <w:pPr>
        <w:spacing w:before="120" w:after="120"/>
        <w:jc w:val="both"/>
        <w:rPr>
          <w:noProof/>
        </w:rPr>
      </w:pPr>
      <w:r>
        <w:rPr>
          <w:noProof/>
        </w:rPr>
        <w:t>Paredzams, ka šo pasākumu īstenošan</w:t>
      </w:r>
      <w:r>
        <w:rPr>
          <w:noProof/>
        </w:rPr>
        <w:t>a palīdzēs risināt problēmas, uz kurām attiecas 2019. gada valstij adresētais ieteikums Nr. 2 par sociālo politiku, mudinot Itāliju “nodrošināt, ka [...] sociālā politika ir efektīvi integrēta un sasniedz jo īpaši jauniešus un neaizsargātas grupas” un 2020</w:t>
      </w:r>
      <w:r>
        <w:rPr>
          <w:noProof/>
        </w:rPr>
        <w:t xml:space="preserve">. gada valstij adresētajā ieteikumā Nr. 2 “nodrošināt pienācīgu (..) piekļuvi sociālajai aizsardzībai”. </w:t>
      </w:r>
    </w:p>
    <w:p w14:paraId="5011E46B"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M.1. </w:t>
      </w:r>
      <w:r>
        <w:rPr>
          <w:noProof/>
        </w:rPr>
        <w:tab/>
      </w:r>
      <w:r>
        <w:rPr>
          <w:b/>
          <w:i w:val="0"/>
          <w:noProof/>
          <w:u w:val="single"/>
        </w:rPr>
        <w:t>Neatmaksājamam finansiālajam atbalstam pieteikto reformu un investīciju apraksts</w:t>
      </w:r>
    </w:p>
    <w:p w14:paraId="6F1C0412" w14:textId="77777777" w:rsidR="00C972CB" w:rsidRDefault="002457F6">
      <w:pPr>
        <w:pStyle w:val="P68B1DB1-Normal2"/>
        <w:spacing w:before="120" w:after="120"/>
        <w:jc w:val="both"/>
        <w:rPr>
          <w:rFonts w:eastAsia="Calibri"/>
          <w:noProof/>
        </w:rPr>
      </w:pPr>
      <w:r>
        <w:rPr>
          <w:noProof/>
        </w:rPr>
        <w:t>Reforma — Pamatlikums par invaliditāti</w:t>
      </w:r>
    </w:p>
    <w:p w14:paraId="280BE916" w14:textId="4B39121D" w:rsidR="00C972CB" w:rsidRDefault="002457F6">
      <w:pPr>
        <w:spacing w:before="120" w:after="120"/>
        <w:jc w:val="both"/>
        <w:rPr>
          <w:rFonts w:eastAsia="Calibri"/>
          <w:noProof/>
        </w:rPr>
      </w:pPr>
      <w:r>
        <w:rPr>
          <w:noProof/>
        </w:rPr>
        <w:t>Reformas galvenais mērķis</w:t>
      </w:r>
      <w:r>
        <w:rPr>
          <w:noProof/>
        </w:rPr>
        <w:t xml:space="preserve"> ir grozīt tiesību aktus par invaliditāti un veicināt personu ar invaliditāti deinstitucionalizāciju (t. i., pāreju no valsts vai privātām iestādēm uz savām ģimenēm vai uz kopienā balstītiem mājokļiem) un personu ar invaliditāti autonomiju. Tas ietver (I) </w:t>
      </w:r>
      <w:r>
        <w:rPr>
          <w:noProof/>
        </w:rPr>
        <w:t>sociālo pakalpojumu piedāvājuma stiprināšanu, II) piekļuves sociālajiem un veselības aprūpes pakalpojumiem vienkāršošanu, III) invaliditātes novērtējumu reformas, IV) neatkarīgas dzīves projektu veicināšanu, V) ekspertu grupu darba veicināšanu, kas var atb</w:t>
      </w:r>
      <w:r>
        <w:rPr>
          <w:noProof/>
        </w:rPr>
        <w:t xml:space="preserve">alstīt personas ar invaliditāti ar daudzdimensionālām vajadzībām. </w:t>
      </w:r>
    </w:p>
    <w:p w14:paraId="6BF9B493" w14:textId="77777777" w:rsidR="00C972CB" w:rsidRDefault="002457F6">
      <w:pPr>
        <w:pStyle w:val="P68B1DB1-Normal2"/>
        <w:spacing w:before="120" w:after="120"/>
        <w:jc w:val="both"/>
        <w:rPr>
          <w:rFonts w:eastAsia="Calibri"/>
          <w:noProof/>
        </w:rPr>
      </w:pPr>
      <w:r>
        <w:rPr>
          <w:noProof/>
        </w:rPr>
        <w:t>Reforma — reforma attiecībā uz vecāka gadagājuma cilvēkiem, kas nav pašpietiekami</w:t>
      </w:r>
    </w:p>
    <w:p w14:paraId="15EE35AA" w14:textId="7C4662BF" w:rsidR="00C972CB" w:rsidRDefault="002457F6">
      <w:pPr>
        <w:spacing w:before="120" w:after="120"/>
        <w:jc w:val="both"/>
        <w:rPr>
          <w:rFonts w:eastAsia="Calibri"/>
          <w:noProof/>
        </w:rPr>
      </w:pPr>
      <w:r>
        <w:rPr>
          <w:noProof/>
        </w:rPr>
        <w:t>Šā pasākuma mērķis ir reformēt sociālos pakalpojumus un uzlabot dzīves apstākļus vecāka gadagājuma cilvēkie</w:t>
      </w:r>
      <w:r>
        <w:rPr>
          <w:noProof/>
        </w:rPr>
        <w:t>m, kas nav pašpietiekami. Šī reforma ietver: Vienkāršot vecāka gadagājuma cilvēku piekļuvi pakalpojumiem, izveidojot vienotus sociālās un veselības aprūpes pieejamības punktus, II) apzināt veidus, kā atzīt pašpietiekamību, pamatojoties uz vajadzību pēc pal</w:t>
      </w:r>
      <w:r>
        <w:rPr>
          <w:noProof/>
        </w:rPr>
        <w:t xml:space="preserve">īdzības, (III) sniegt daudzdimensionālu novērtējumu, IV) noteikt individualizētus projektus, kas veicina deinstitucionalizāciju.  Šī reforma ir paredzēta ar īpašiem pasākumiem, kas paredzēti plānā un iekļauti gan veselības aprūpes misijā (M6), atsaucoties </w:t>
      </w:r>
      <w:r>
        <w:rPr>
          <w:noProof/>
        </w:rPr>
        <w:t xml:space="preserve">uz projektiem, kas stiprina vietējos veselības aprūpes pakalpojumus un aprūpi mājās, gan šajā komponentā, īpaši atsaucoties uz ieguldījumu 1, II intervence, kuras mērķis ir deinstitucionalizācija. </w:t>
      </w:r>
    </w:p>
    <w:p w14:paraId="6E8D6D68" w14:textId="77777777" w:rsidR="00C972CB" w:rsidRDefault="002457F6">
      <w:pPr>
        <w:pStyle w:val="P68B1DB1-Normal2"/>
        <w:spacing w:before="120" w:after="120"/>
        <w:jc w:val="both"/>
        <w:rPr>
          <w:rFonts w:eastAsia="Calibri"/>
          <w:noProof/>
        </w:rPr>
      </w:pPr>
      <w:r>
        <w:rPr>
          <w:noProof/>
        </w:rPr>
        <w:t>Ieguldījums 1 — Atbalsts neaizsargātām personām un institu</w:t>
      </w:r>
      <w:r>
        <w:rPr>
          <w:noProof/>
        </w:rPr>
        <w:t>cionalizācijas novēršana</w:t>
      </w:r>
    </w:p>
    <w:p w14:paraId="3AFFD943" w14:textId="28667A08" w:rsidR="00C972CB" w:rsidRDefault="002457F6">
      <w:pPr>
        <w:spacing w:before="120" w:after="120"/>
        <w:jc w:val="both"/>
        <w:rPr>
          <w:rFonts w:eastAsia="Calibri"/>
          <w:noProof/>
        </w:rPr>
      </w:pPr>
      <w:r>
        <w:rPr>
          <w:noProof/>
        </w:rPr>
        <w:t>Šā pasākuma mērķis ir atbalstīt neaizsargātas personas un novērst institucionalizāciju. Šīs investīcijas ietver šādus intervences pasākumus: Atbalstīt vecāku prasmes un novērst ģimeņu un bērnu neaizsargātību; Atbalsts vecāka gadagā</w:t>
      </w:r>
      <w:r>
        <w:rPr>
          <w:noProof/>
        </w:rPr>
        <w:t>juma cilvēku patstāvīgai dzīvei un deinstitucionalizācijai; Stiprināt sociālos pakalpojumus mājās, lai garantētu agrīni atbalstītu budžeta izpildi un novērstu hospitalizāciju; III) stiprināt sociālos pakalpojumus un novērst izdegšanu sociālo darbinieku vid</w:t>
      </w:r>
      <w:r>
        <w:rPr>
          <w:noProof/>
        </w:rPr>
        <w:t xml:space="preserve">ū. </w:t>
      </w:r>
    </w:p>
    <w:p w14:paraId="043EB06B" w14:textId="77777777" w:rsidR="00C972CB" w:rsidRDefault="002457F6">
      <w:pPr>
        <w:pStyle w:val="P68B1DB1-Normal2"/>
        <w:spacing w:before="120" w:after="120"/>
        <w:jc w:val="both"/>
        <w:rPr>
          <w:rFonts w:eastAsia="Calibri"/>
          <w:noProof/>
        </w:rPr>
      </w:pPr>
      <w:r>
        <w:rPr>
          <w:noProof/>
        </w:rPr>
        <w:t>Ieguldījums. Personu ar invaliditāti autonomijas modeļi</w:t>
      </w:r>
    </w:p>
    <w:p w14:paraId="22EE82C9" w14:textId="55F74C88" w:rsidR="00C972CB" w:rsidRDefault="002457F6">
      <w:pPr>
        <w:spacing w:before="120" w:after="120"/>
        <w:jc w:val="both"/>
        <w:rPr>
          <w:rFonts w:eastAsia="Calibri"/>
          <w:noProof/>
        </w:rPr>
      </w:pPr>
      <w:r>
        <w:rPr>
          <w:noProof/>
        </w:rPr>
        <w:t>Šā pasākuma mērķis ir palielināt personu ar invaliditāti autonomiju. Ieguldījumu mērķis ir paātrināt deinstitucionalizācijas procesu, sniedzot kopienās un mājās balstītus sociālos un veselības apr</w:t>
      </w:r>
      <w:r>
        <w:rPr>
          <w:noProof/>
        </w:rPr>
        <w:t xml:space="preserve">ūpes pakalpojumus, lai uzlabotu personu ar invaliditāti autonomiju. Pasākums veicina piekļuvi mājokļiem un darba iespējām, tostarp jaunām iespējām, ko piedāvā informācijas tehnoloģijas. </w:t>
      </w:r>
    </w:p>
    <w:p w14:paraId="331C21C7" w14:textId="77777777" w:rsidR="00C972CB" w:rsidRDefault="002457F6">
      <w:pPr>
        <w:pStyle w:val="P68B1DB1-Normal2"/>
        <w:spacing w:before="120" w:after="120"/>
        <w:jc w:val="both"/>
        <w:rPr>
          <w:noProof/>
        </w:rPr>
      </w:pPr>
      <w:r>
        <w:rPr>
          <w:noProof/>
        </w:rPr>
        <w:t>Ieguldījums — Mājokļu pirmās un pēcsta stacijas</w:t>
      </w:r>
    </w:p>
    <w:p w14:paraId="28D2ABAB" w14:textId="7B1D313F" w:rsidR="00C972CB" w:rsidRDefault="002457F6">
      <w:pPr>
        <w:spacing w:before="120" w:after="120"/>
        <w:jc w:val="both"/>
        <w:rPr>
          <w:rFonts w:eastAsia="Calibri"/>
          <w:noProof/>
        </w:rPr>
      </w:pPr>
      <w:r>
        <w:rPr>
          <w:noProof/>
        </w:rPr>
        <w:t>Šā pasākuma mērķis ir</w:t>
      </w:r>
      <w:r>
        <w:rPr>
          <w:noProof/>
        </w:rPr>
        <w:t xml:space="preserve"> aizsargāt un atbalstīt marginalizētu cilvēku iekļaušanu, izmantojot mājokļus pirmajā vietā un poststacijās. Pieejas “mājoklis vispirms” ieviešana nozīmē, ka pašvaldības nodrošina dzīvokļu pieejamību atsevišķiem indivīdiem, mazām grupām vai ģimenēm līdz 24</w:t>
      </w:r>
      <w:r>
        <w:rPr>
          <w:noProof/>
        </w:rPr>
        <w:t xml:space="preserve"> mēnešiem. Turklāt katrai personai/ģimenei ir jāaktivizē individuāli pielāgoti projekti, lai īstenotu personīgās izaugsmes attīstības programmas un palīdzētu viņiem sasniegt augstāku autonomijas pakāpi, tostarp nodrošinot viņiem apmācību un citus pakalpoju</w:t>
      </w:r>
      <w:r>
        <w:rPr>
          <w:noProof/>
        </w:rPr>
        <w:t xml:space="preserve">mus, kuru mērķis ir uzlabot viņu nodarbināmības līmeni. No otras puses, “pasta staciju” ieviešana nozīmē pakalpojumu un iekļaušanas centra izveidi bezpajumtniekiem. Šādi centri papildus ierobežotai nakts uzņemšanai piedāvā svarīgus pakalpojumus, piemēram, </w:t>
      </w:r>
      <w:r>
        <w:rPr>
          <w:noProof/>
        </w:rPr>
        <w:t>veselības aprūpes pakalpojumus, ēdināšanu, pasta izplatīšanu, kultūras starpniecību, konsultācijas, orientāciju uz darbu, juridiskās konsultācijas un preču izplatīšanu.</w:t>
      </w:r>
    </w:p>
    <w:p w14:paraId="3510882D" w14:textId="77777777" w:rsidR="00C972CB" w:rsidRDefault="002457F6">
      <w:pPr>
        <w:pStyle w:val="Heading3"/>
        <w:numPr>
          <w:ilvl w:val="0"/>
          <w:numId w:val="0"/>
        </w:numPr>
        <w:ind w:left="850" w:hanging="850"/>
        <w:rPr>
          <w:b/>
          <w:i w:val="0"/>
          <w:noProof/>
          <w:u w:val="single"/>
        </w:rPr>
      </w:pPr>
      <w:r>
        <w:rPr>
          <w:b/>
          <w:i w:val="0"/>
          <w:noProof/>
          <w:u w:val="single"/>
        </w:rPr>
        <w:t xml:space="preserve">M.2. </w:t>
      </w:r>
      <w:r>
        <w:rPr>
          <w:noProof/>
        </w:rPr>
        <w:tab/>
      </w:r>
      <w:r>
        <w:rPr>
          <w:b/>
          <w:i w:val="0"/>
          <w:noProof/>
          <w:u w:val="single"/>
        </w:rPr>
        <w:t xml:space="preserve">Atskaites punkti, mērķrādītāji, citi rādītāji un neatmaksājamā finansiālā </w:t>
      </w:r>
      <w:r>
        <w:rPr>
          <w:b/>
          <w:i w:val="0"/>
          <w:noProof/>
          <w:u w:val="single"/>
        </w:rPr>
        <w:t>atbalsta uzraudzības un īstenošanas grafiks</w:t>
      </w:r>
    </w:p>
    <w:p w14:paraId="56450402" w14:textId="77777777" w:rsidR="00C972CB" w:rsidRDefault="002457F6">
      <w:pPr>
        <w:pStyle w:val="P68B1DB1-Normal34"/>
        <w:spacing w:before="120" w:after="120"/>
        <w:ind w:left="709"/>
        <w:jc w:val="both"/>
        <w:rPr>
          <w:noProof/>
        </w:rPr>
      </w:pPr>
      <w:r>
        <w:rPr>
          <w:noProof/>
        </w:rPr>
        <w:t>.</w:t>
      </w:r>
    </w:p>
    <w:p w14:paraId="30B79C84" w14:textId="77777777" w:rsidR="00C972CB" w:rsidRDefault="00C972CB">
      <w:pPr>
        <w:spacing w:before="120" w:after="120"/>
        <w:ind w:left="709"/>
        <w:jc w:val="both"/>
        <w:rPr>
          <w:noProof/>
        </w:rPr>
        <w:sectPr w:rsidR="00C972CB">
          <w:headerReference w:type="even" r:id="rId302"/>
          <w:headerReference w:type="default" r:id="rId303"/>
          <w:footerReference w:type="even" r:id="rId304"/>
          <w:footerReference w:type="default" r:id="rId305"/>
          <w:headerReference w:type="first" r:id="rId306"/>
          <w:footerReference w:type="first" r:id="rId307"/>
          <w:pgSz w:w="11907" w:h="16839"/>
          <w:pgMar w:top="1440" w:right="1440" w:bottom="1440" w:left="1440" w:header="567" w:footer="567" w:gutter="0"/>
          <w:cols w:space="720"/>
          <w:docGrid w:linePitch="360"/>
        </w:sectPr>
      </w:pPr>
    </w:p>
    <w:tbl>
      <w:tblPr>
        <w:tblW w:w="1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08"/>
        <w:gridCol w:w="1775"/>
        <w:gridCol w:w="1539"/>
        <w:gridCol w:w="1539"/>
        <w:gridCol w:w="1474"/>
        <w:gridCol w:w="1420"/>
        <w:gridCol w:w="1201"/>
        <w:gridCol w:w="1078"/>
        <w:gridCol w:w="755"/>
        <w:gridCol w:w="5046"/>
      </w:tblGrid>
      <w:tr w:rsidR="00C972CB" w14:paraId="0AA52FA7" w14:textId="77777777">
        <w:trPr>
          <w:trHeight w:val="927"/>
          <w:tblHeader/>
          <w:jc w:val="center"/>
        </w:trPr>
        <w:tc>
          <w:tcPr>
            <w:tcW w:w="1648" w:type="dxa"/>
            <w:vMerge w:val="restart"/>
            <w:shd w:val="clear" w:color="auto" w:fill="BDD7EE"/>
            <w:vAlign w:val="center"/>
            <w:hideMark/>
          </w:tcPr>
          <w:p w14:paraId="0EFC3AFD" w14:textId="77777777" w:rsidR="00C972CB" w:rsidRDefault="002457F6">
            <w:pPr>
              <w:pStyle w:val="P68B1DB1-Normal9"/>
              <w:jc w:val="center"/>
              <w:rPr>
                <w:noProof/>
              </w:rPr>
            </w:pPr>
            <w:r>
              <w:rPr>
                <w:noProof/>
              </w:rPr>
              <w:t>Kārtas numurs</w:t>
            </w:r>
          </w:p>
        </w:tc>
        <w:tc>
          <w:tcPr>
            <w:tcW w:w="1908" w:type="dxa"/>
            <w:vMerge w:val="restart"/>
            <w:shd w:val="clear" w:color="auto" w:fill="BDD7EE"/>
            <w:vAlign w:val="center"/>
            <w:hideMark/>
          </w:tcPr>
          <w:p w14:paraId="7D6FB6E0" w14:textId="77777777" w:rsidR="00C972CB" w:rsidRDefault="002457F6">
            <w:pPr>
              <w:pStyle w:val="P68B1DB1-Normal9"/>
              <w:jc w:val="center"/>
              <w:rPr>
                <w:noProof/>
              </w:rPr>
            </w:pPr>
            <w:r>
              <w:rPr>
                <w:noProof/>
              </w:rPr>
              <w:t>Pasākums (reforma vai investīcija)</w:t>
            </w:r>
          </w:p>
        </w:tc>
        <w:tc>
          <w:tcPr>
            <w:tcW w:w="1322" w:type="dxa"/>
            <w:vMerge w:val="restart"/>
            <w:shd w:val="clear" w:color="auto" w:fill="BDD7EE"/>
            <w:vAlign w:val="center"/>
            <w:hideMark/>
          </w:tcPr>
          <w:p w14:paraId="41C7ADB4" w14:textId="77777777" w:rsidR="00C972CB" w:rsidRDefault="002457F6">
            <w:pPr>
              <w:pStyle w:val="P68B1DB1-Normal9"/>
              <w:jc w:val="center"/>
              <w:rPr>
                <w:noProof/>
              </w:rPr>
            </w:pPr>
            <w:r>
              <w:rPr>
                <w:noProof/>
              </w:rPr>
              <w:t>Atskaites punkts/mērķrādītājs</w:t>
            </w:r>
          </w:p>
        </w:tc>
        <w:tc>
          <w:tcPr>
            <w:tcW w:w="1395" w:type="dxa"/>
            <w:vMerge w:val="restart"/>
            <w:shd w:val="clear" w:color="auto" w:fill="BDD7EE"/>
            <w:vAlign w:val="center"/>
            <w:hideMark/>
          </w:tcPr>
          <w:p w14:paraId="245FB5D3" w14:textId="77777777" w:rsidR="00C972CB" w:rsidRDefault="002457F6">
            <w:pPr>
              <w:pStyle w:val="P68B1DB1-Normal9"/>
              <w:jc w:val="center"/>
              <w:rPr>
                <w:noProof/>
              </w:rPr>
            </w:pPr>
            <w:r>
              <w:rPr>
                <w:noProof/>
              </w:rPr>
              <w:t>Uzvārds</w:t>
            </w:r>
          </w:p>
        </w:tc>
        <w:tc>
          <w:tcPr>
            <w:tcW w:w="1476" w:type="dxa"/>
            <w:vMerge w:val="restart"/>
            <w:shd w:val="clear" w:color="auto" w:fill="BDD7EE"/>
            <w:vAlign w:val="center"/>
            <w:hideMark/>
          </w:tcPr>
          <w:p w14:paraId="06CF148E" w14:textId="77777777" w:rsidR="00C972CB" w:rsidRDefault="002457F6">
            <w:pPr>
              <w:pStyle w:val="P68B1DB1-Normal19"/>
              <w:jc w:val="center"/>
              <w:rPr>
                <w:b/>
                <w:noProof/>
              </w:rPr>
            </w:pPr>
            <w:r>
              <w:rPr>
                <w:b/>
                <w:noProof/>
              </w:rPr>
              <w:t>Kvalitātes rādītāji</w:t>
            </w:r>
            <w:r>
              <w:rPr>
                <w:noProof/>
              </w:rPr>
              <w:t xml:space="preserve"> </w:t>
            </w:r>
            <w:r>
              <w:rPr>
                <w:noProof/>
              </w:rPr>
              <w:br/>
            </w:r>
            <w:r>
              <w:rPr>
                <w:b/>
                <w:noProof/>
              </w:rPr>
              <w:t>(attiecībā uz starpposma mērķiem)</w:t>
            </w:r>
          </w:p>
        </w:tc>
        <w:tc>
          <w:tcPr>
            <w:tcW w:w="3341" w:type="dxa"/>
            <w:gridSpan w:val="3"/>
            <w:shd w:val="clear" w:color="auto" w:fill="BDD7EE"/>
            <w:vAlign w:val="center"/>
            <w:hideMark/>
          </w:tcPr>
          <w:p w14:paraId="51544834" w14:textId="77777777" w:rsidR="00C972CB" w:rsidRDefault="002457F6">
            <w:pPr>
              <w:pStyle w:val="P68B1DB1-Normal19"/>
              <w:jc w:val="center"/>
              <w:rPr>
                <w:b/>
                <w:noProof/>
              </w:rPr>
            </w:pPr>
            <w:r>
              <w:rPr>
                <w:b/>
                <w:noProof/>
              </w:rPr>
              <w:t xml:space="preserve">Kvantitatīvie </w:t>
            </w:r>
            <w:r>
              <w:rPr>
                <w:b/>
                <w:noProof/>
              </w:rPr>
              <w:t>rādītāji</w:t>
            </w:r>
            <w:r>
              <w:rPr>
                <w:noProof/>
              </w:rPr>
              <w:t xml:space="preserve"> </w:t>
            </w:r>
            <w:r>
              <w:rPr>
                <w:noProof/>
              </w:rPr>
              <w:br/>
            </w:r>
            <w:r>
              <w:rPr>
                <w:b/>
                <w:noProof/>
              </w:rPr>
              <w:t>(mērķiem)</w:t>
            </w:r>
          </w:p>
        </w:tc>
        <w:tc>
          <w:tcPr>
            <w:tcW w:w="1833" w:type="dxa"/>
            <w:gridSpan w:val="2"/>
            <w:shd w:val="clear" w:color="auto" w:fill="BDD7EE"/>
            <w:vAlign w:val="center"/>
            <w:hideMark/>
          </w:tcPr>
          <w:p w14:paraId="2962CAB5" w14:textId="77777777" w:rsidR="00C972CB" w:rsidRDefault="002457F6">
            <w:pPr>
              <w:pStyle w:val="P68B1DB1-Normal9"/>
              <w:jc w:val="center"/>
              <w:rPr>
                <w:noProof/>
              </w:rPr>
            </w:pPr>
            <w:r>
              <w:rPr>
                <w:noProof/>
              </w:rPr>
              <w:t>Orientējošs pabeigšanas termiņš</w:t>
            </w:r>
          </w:p>
        </w:tc>
        <w:tc>
          <w:tcPr>
            <w:tcW w:w="5046" w:type="dxa"/>
            <w:vMerge w:val="restart"/>
            <w:shd w:val="clear" w:color="auto" w:fill="BDD7EE"/>
            <w:vAlign w:val="center"/>
            <w:hideMark/>
          </w:tcPr>
          <w:p w14:paraId="4E075719" w14:textId="77777777" w:rsidR="00C972CB" w:rsidRDefault="002457F6">
            <w:pPr>
              <w:pStyle w:val="P68B1DB1-Normal9"/>
              <w:jc w:val="center"/>
              <w:rPr>
                <w:noProof/>
              </w:rPr>
            </w:pPr>
            <w:r>
              <w:rPr>
                <w:noProof/>
              </w:rPr>
              <w:t>Apraksts par katru atskaites punktu un mērķrādītāju</w:t>
            </w:r>
          </w:p>
        </w:tc>
      </w:tr>
      <w:tr w:rsidR="00C972CB" w14:paraId="1B3ED9BC" w14:textId="77777777">
        <w:trPr>
          <w:trHeight w:val="654"/>
          <w:jc w:val="center"/>
        </w:trPr>
        <w:tc>
          <w:tcPr>
            <w:tcW w:w="1648" w:type="dxa"/>
            <w:vMerge/>
            <w:vAlign w:val="center"/>
            <w:hideMark/>
          </w:tcPr>
          <w:p w14:paraId="7E21DDC6" w14:textId="77777777" w:rsidR="00C972CB" w:rsidRDefault="00C972CB">
            <w:pPr>
              <w:jc w:val="center"/>
              <w:rPr>
                <w:rFonts w:ascii="Arial Narrow" w:hAnsi="Arial Narrow"/>
                <w:b/>
                <w:noProof/>
                <w:sz w:val="20"/>
              </w:rPr>
            </w:pPr>
          </w:p>
        </w:tc>
        <w:tc>
          <w:tcPr>
            <w:tcW w:w="1908" w:type="dxa"/>
            <w:vMerge/>
            <w:vAlign w:val="center"/>
            <w:hideMark/>
          </w:tcPr>
          <w:p w14:paraId="7445F966" w14:textId="77777777" w:rsidR="00C972CB" w:rsidRDefault="00C972CB">
            <w:pPr>
              <w:jc w:val="center"/>
              <w:rPr>
                <w:rFonts w:ascii="Arial Narrow" w:hAnsi="Arial Narrow"/>
                <w:b/>
                <w:noProof/>
                <w:sz w:val="20"/>
              </w:rPr>
            </w:pPr>
          </w:p>
        </w:tc>
        <w:tc>
          <w:tcPr>
            <w:tcW w:w="1322" w:type="dxa"/>
            <w:vMerge/>
            <w:vAlign w:val="center"/>
            <w:hideMark/>
          </w:tcPr>
          <w:p w14:paraId="3B7DC3A7" w14:textId="77777777" w:rsidR="00C972CB" w:rsidRDefault="00C972CB">
            <w:pPr>
              <w:jc w:val="center"/>
              <w:rPr>
                <w:rFonts w:ascii="Arial Narrow" w:hAnsi="Arial Narrow"/>
                <w:b/>
                <w:noProof/>
                <w:sz w:val="20"/>
              </w:rPr>
            </w:pPr>
          </w:p>
        </w:tc>
        <w:tc>
          <w:tcPr>
            <w:tcW w:w="1395" w:type="dxa"/>
            <w:vMerge/>
            <w:vAlign w:val="center"/>
            <w:hideMark/>
          </w:tcPr>
          <w:p w14:paraId="62C7B269" w14:textId="77777777" w:rsidR="00C972CB" w:rsidRDefault="00C972CB">
            <w:pPr>
              <w:jc w:val="center"/>
              <w:rPr>
                <w:rFonts w:ascii="Arial Narrow" w:hAnsi="Arial Narrow"/>
                <w:b/>
                <w:noProof/>
                <w:sz w:val="20"/>
              </w:rPr>
            </w:pPr>
          </w:p>
        </w:tc>
        <w:tc>
          <w:tcPr>
            <w:tcW w:w="1476" w:type="dxa"/>
            <w:vMerge/>
            <w:vAlign w:val="center"/>
            <w:hideMark/>
          </w:tcPr>
          <w:p w14:paraId="221450B2" w14:textId="77777777" w:rsidR="00C972CB" w:rsidRDefault="00C972CB">
            <w:pPr>
              <w:jc w:val="center"/>
              <w:rPr>
                <w:rFonts w:ascii="Arial Narrow" w:hAnsi="Arial Narrow"/>
                <w:b/>
                <w:noProof/>
                <w:sz w:val="20"/>
              </w:rPr>
            </w:pPr>
          </w:p>
        </w:tc>
        <w:tc>
          <w:tcPr>
            <w:tcW w:w="1474" w:type="dxa"/>
            <w:shd w:val="clear" w:color="auto" w:fill="BDD7EE"/>
            <w:vAlign w:val="center"/>
            <w:hideMark/>
          </w:tcPr>
          <w:p w14:paraId="00687B62" w14:textId="77777777" w:rsidR="00C972CB" w:rsidRDefault="002457F6">
            <w:pPr>
              <w:pStyle w:val="P68B1DB1-Normal9"/>
              <w:jc w:val="center"/>
              <w:rPr>
                <w:noProof/>
              </w:rPr>
            </w:pPr>
            <w:r>
              <w:rPr>
                <w:noProof/>
              </w:rPr>
              <w:t>Mēra vienība</w:t>
            </w:r>
          </w:p>
        </w:tc>
        <w:tc>
          <w:tcPr>
            <w:tcW w:w="1092" w:type="dxa"/>
            <w:shd w:val="clear" w:color="auto" w:fill="BDD7EE"/>
            <w:vAlign w:val="center"/>
            <w:hideMark/>
          </w:tcPr>
          <w:p w14:paraId="4352135A" w14:textId="77777777" w:rsidR="00C972CB" w:rsidRDefault="002457F6">
            <w:pPr>
              <w:pStyle w:val="P68B1DB1-Normal9"/>
              <w:jc w:val="center"/>
              <w:rPr>
                <w:noProof/>
              </w:rPr>
            </w:pPr>
            <w:r>
              <w:rPr>
                <w:noProof/>
              </w:rPr>
              <w:t>Pamatscenārijs</w:t>
            </w:r>
          </w:p>
        </w:tc>
        <w:tc>
          <w:tcPr>
            <w:tcW w:w="775" w:type="dxa"/>
            <w:shd w:val="clear" w:color="auto" w:fill="BDD7EE"/>
            <w:vAlign w:val="center"/>
            <w:hideMark/>
          </w:tcPr>
          <w:p w14:paraId="3EBD38BE" w14:textId="77777777" w:rsidR="00C972CB" w:rsidRDefault="002457F6">
            <w:pPr>
              <w:pStyle w:val="P68B1DB1-Normal9"/>
              <w:jc w:val="center"/>
              <w:rPr>
                <w:noProof/>
              </w:rPr>
            </w:pPr>
            <w:r>
              <w:rPr>
                <w:noProof/>
              </w:rPr>
              <w:t>Mērķis</w:t>
            </w:r>
          </w:p>
        </w:tc>
        <w:tc>
          <w:tcPr>
            <w:tcW w:w="1078" w:type="dxa"/>
            <w:shd w:val="clear" w:color="auto" w:fill="BDD7EE"/>
            <w:vAlign w:val="center"/>
            <w:hideMark/>
          </w:tcPr>
          <w:p w14:paraId="7C36991A" w14:textId="77777777" w:rsidR="00C972CB" w:rsidRDefault="002457F6">
            <w:pPr>
              <w:pStyle w:val="P68B1DB1-Normal9"/>
              <w:jc w:val="center"/>
              <w:rPr>
                <w:noProof/>
              </w:rPr>
            </w:pPr>
            <w:r>
              <w:rPr>
                <w:noProof/>
              </w:rPr>
              <w:t>Ceturtdaļa</w:t>
            </w:r>
          </w:p>
        </w:tc>
        <w:tc>
          <w:tcPr>
            <w:tcW w:w="755" w:type="dxa"/>
            <w:shd w:val="clear" w:color="auto" w:fill="BDD7EE"/>
            <w:vAlign w:val="center"/>
            <w:hideMark/>
          </w:tcPr>
          <w:p w14:paraId="559C709B" w14:textId="77777777" w:rsidR="00C972CB" w:rsidRDefault="002457F6">
            <w:pPr>
              <w:pStyle w:val="P68B1DB1-Normal9"/>
              <w:jc w:val="center"/>
              <w:rPr>
                <w:noProof/>
              </w:rPr>
            </w:pPr>
            <w:r>
              <w:rPr>
                <w:noProof/>
              </w:rPr>
              <w:t>Gadā</w:t>
            </w:r>
          </w:p>
        </w:tc>
        <w:tc>
          <w:tcPr>
            <w:tcW w:w="5046" w:type="dxa"/>
            <w:vMerge/>
            <w:vAlign w:val="center"/>
            <w:hideMark/>
          </w:tcPr>
          <w:p w14:paraId="6D98D561" w14:textId="77777777" w:rsidR="00C972CB" w:rsidRDefault="00C972CB">
            <w:pPr>
              <w:rPr>
                <w:rFonts w:ascii="Arial Narrow" w:hAnsi="Arial Narrow"/>
                <w:b/>
                <w:noProof/>
                <w:sz w:val="20"/>
              </w:rPr>
            </w:pPr>
          </w:p>
        </w:tc>
      </w:tr>
      <w:tr w:rsidR="00C972CB" w14:paraId="5DB69AB9" w14:textId="77777777">
        <w:trPr>
          <w:trHeight w:val="309"/>
          <w:jc w:val="center"/>
        </w:trPr>
        <w:tc>
          <w:tcPr>
            <w:tcW w:w="1648" w:type="dxa"/>
            <w:shd w:val="clear" w:color="auto" w:fill="C6EFCE"/>
            <w:noWrap/>
            <w:vAlign w:val="center"/>
            <w:hideMark/>
          </w:tcPr>
          <w:p w14:paraId="3D48CEFB" w14:textId="08A07B77" w:rsidR="00C972CB" w:rsidRDefault="002457F6">
            <w:pPr>
              <w:pStyle w:val="P68B1DB1-Normal11"/>
              <w:spacing w:before="120" w:after="120"/>
              <w:jc w:val="center"/>
              <w:rPr>
                <w:noProof/>
              </w:rPr>
            </w:pPr>
            <w:r>
              <w:rPr>
                <w:noProof/>
              </w:rPr>
              <w:t>M5C2–1</w:t>
            </w:r>
          </w:p>
        </w:tc>
        <w:tc>
          <w:tcPr>
            <w:tcW w:w="1908" w:type="dxa"/>
            <w:shd w:val="clear" w:color="auto" w:fill="C6EFCE"/>
            <w:noWrap/>
            <w:vAlign w:val="center"/>
            <w:hideMark/>
          </w:tcPr>
          <w:p w14:paraId="2D393A97" w14:textId="77777777" w:rsidR="00C972CB" w:rsidRDefault="002457F6">
            <w:pPr>
              <w:pStyle w:val="P68B1DB1-Normal11"/>
              <w:jc w:val="center"/>
              <w:rPr>
                <w:noProof/>
              </w:rPr>
            </w:pPr>
            <w:r>
              <w:rPr>
                <w:noProof/>
              </w:rPr>
              <w:t>Reforma — Pamatlikums par invaliditāti</w:t>
            </w:r>
          </w:p>
        </w:tc>
        <w:tc>
          <w:tcPr>
            <w:tcW w:w="1322" w:type="dxa"/>
            <w:shd w:val="clear" w:color="auto" w:fill="C6EFCE"/>
            <w:noWrap/>
            <w:vAlign w:val="center"/>
            <w:hideMark/>
          </w:tcPr>
          <w:p w14:paraId="078990AB" w14:textId="77777777" w:rsidR="00C972CB" w:rsidRDefault="002457F6">
            <w:pPr>
              <w:pStyle w:val="P68B1DB1-Normal11"/>
              <w:jc w:val="center"/>
              <w:rPr>
                <w:noProof/>
              </w:rPr>
            </w:pPr>
            <w:r>
              <w:rPr>
                <w:noProof/>
              </w:rPr>
              <w:t>Starpposma mērķis</w:t>
            </w:r>
          </w:p>
        </w:tc>
        <w:tc>
          <w:tcPr>
            <w:tcW w:w="1395" w:type="dxa"/>
            <w:shd w:val="clear" w:color="auto" w:fill="C6EFCE"/>
            <w:noWrap/>
            <w:vAlign w:val="center"/>
            <w:hideMark/>
          </w:tcPr>
          <w:p w14:paraId="437FB37B" w14:textId="77777777" w:rsidR="00C972CB" w:rsidRDefault="002457F6">
            <w:pPr>
              <w:pStyle w:val="P68B1DB1-Normal11"/>
              <w:jc w:val="center"/>
              <w:rPr>
                <w:noProof/>
              </w:rPr>
            </w:pPr>
            <w:r>
              <w:rPr>
                <w:noProof/>
              </w:rPr>
              <w:t>Stājas spēkā Pamatlikums, lai</w:t>
            </w:r>
            <w:r>
              <w:rPr>
                <w:noProof/>
              </w:rPr>
              <w:t xml:space="preserve"> stiprinātu personu ar invaliditāti autonomiju.</w:t>
            </w:r>
          </w:p>
        </w:tc>
        <w:tc>
          <w:tcPr>
            <w:tcW w:w="1476" w:type="dxa"/>
            <w:shd w:val="clear" w:color="auto" w:fill="C6EFCE"/>
            <w:noWrap/>
            <w:vAlign w:val="center"/>
            <w:hideMark/>
          </w:tcPr>
          <w:p w14:paraId="15155AD7" w14:textId="77777777" w:rsidR="00C972CB" w:rsidRDefault="002457F6">
            <w:pPr>
              <w:pStyle w:val="P68B1DB1-Normal11"/>
              <w:jc w:val="center"/>
              <w:rPr>
                <w:rFonts w:eastAsia="Calibri"/>
                <w:noProof/>
              </w:rPr>
            </w:pPr>
            <w:r>
              <w:rPr>
                <w:noProof/>
              </w:rPr>
              <w:t>Likuma norma, kas norāda uz Pamatlikuma stāšanos spēkā</w:t>
            </w:r>
          </w:p>
        </w:tc>
        <w:tc>
          <w:tcPr>
            <w:tcW w:w="1474" w:type="dxa"/>
            <w:shd w:val="clear" w:color="auto" w:fill="C6EFCE"/>
            <w:noWrap/>
            <w:vAlign w:val="center"/>
            <w:hideMark/>
          </w:tcPr>
          <w:p w14:paraId="6F4AA5D2" w14:textId="77777777" w:rsidR="00C972CB" w:rsidRDefault="002457F6">
            <w:pPr>
              <w:pStyle w:val="P68B1DB1-Normal11"/>
              <w:jc w:val="center"/>
              <w:rPr>
                <w:rFonts w:eastAsia="Calibri"/>
                <w:noProof/>
              </w:rPr>
            </w:pPr>
            <w:r>
              <w:rPr>
                <w:noProof/>
              </w:rPr>
              <w:t>NEPIEMĒRO</w:t>
            </w:r>
          </w:p>
        </w:tc>
        <w:tc>
          <w:tcPr>
            <w:tcW w:w="1092" w:type="dxa"/>
            <w:shd w:val="clear" w:color="auto" w:fill="C6EFCE"/>
            <w:noWrap/>
            <w:vAlign w:val="center"/>
            <w:hideMark/>
          </w:tcPr>
          <w:p w14:paraId="1DC86094" w14:textId="77777777" w:rsidR="00C972CB" w:rsidRDefault="002457F6">
            <w:pPr>
              <w:pStyle w:val="P68B1DB1-Normal11"/>
              <w:jc w:val="center"/>
              <w:rPr>
                <w:noProof/>
              </w:rPr>
            </w:pPr>
            <w:r>
              <w:rPr>
                <w:noProof/>
              </w:rPr>
              <w:t>NEPIEMĒRO</w:t>
            </w:r>
          </w:p>
        </w:tc>
        <w:tc>
          <w:tcPr>
            <w:tcW w:w="775" w:type="dxa"/>
            <w:shd w:val="clear" w:color="auto" w:fill="C6EFCE"/>
            <w:noWrap/>
            <w:vAlign w:val="center"/>
            <w:hideMark/>
          </w:tcPr>
          <w:p w14:paraId="2B2DC7D6" w14:textId="77777777" w:rsidR="00C972CB" w:rsidRDefault="002457F6">
            <w:pPr>
              <w:pStyle w:val="P68B1DB1-Normal11"/>
              <w:jc w:val="center"/>
              <w:rPr>
                <w:rFonts w:eastAsia="Calibri"/>
                <w:noProof/>
              </w:rPr>
            </w:pPr>
            <w:r>
              <w:rPr>
                <w:noProof/>
              </w:rPr>
              <w:t>NEPIEMĒRO</w:t>
            </w:r>
          </w:p>
        </w:tc>
        <w:tc>
          <w:tcPr>
            <w:tcW w:w="1078" w:type="dxa"/>
            <w:shd w:val="clear" w:color="auto" w:fill="C6EFCE"/>
            <w:noWrap/>
            <w:vAlign w:val="center"/>
            <w:hideMark/>
          </w:tcPr>
          <w:p w14:paraId="16582DD1" w14:textId="77777777" w:rsidR="00C972CB" w:rsidRDefault="002457F6">
            <w:pPr>
              <w:pStyle w:val="P68B1DB1-Normal11"/>
              <w:jc w:val="center"/>
              <w:rPr>
                <w:rFonts w:eastAsia="Calibri"/>
                <w:noProof/>
              </w:rPr>
            </w:pPr>
            <w:r>
              <w:rPr>
                <w:noProof/>
              </w:rPr>
              <w:t>4. CET.</w:t>
            </w:r>
          </w:p>
        </w:tc>
        <w:tc>
          <w:tcPr>
            <w:tcW w:w="755" w:type="dxa"/>
            <w:shd w:val="clear" w:color="auto" w:fill="C6EFCE"/>
            <w:noWrap/>
            <w:vAlign w:val="center"/>
            <w:hideMark/>
          </w:tcPr>
          <w:p w14:paraId="4FE272EE" w14:textId="77777777" w:rsidR="00C972CB" w:rsidRDefault="002457F6">
            <w:pPr>
              <w:pStyle w:val="P68B1DB1-Normal11"/>
              <w:jc w:val="center"/>
              <w:rPr>
                <w:noProof/>
              </w:rPr>
            </w:pPr>
            <w:r>
              <w:rPr>
                <w:noProof/>
              </w:rPr>
              <w:t>2021</w:t>
            </w:r>
          </w:p>
        </w:tc>
        <w:tc>
          <w:tcPr>
            <w:tcW w:w="5046" w:type="dxa"/>
            <w:shd w:val="clear" w:color="auto" w:fill="C6EFCE"/>
            <w:noWrap/>
            <w:vAlign w:val="center"/>
            <w:hideMark/>
          </w:tcPr>
          <w:p w14:paraId="3D6003A8" w14:textId="77777777" w:rsidR="00C972CB" w:rsidRDefault="002457F6">
            <w:pPr>
              <w:pStyle w:val="P68B1DB1-Normal11"/>
              <w:rPr>
                <w:noProof/>
              </w:rPr>
            </w:pPr>
            <w:r>
              <w:rPr>
                <w:noProof/>
              </w:rPr>
              <w:t>Ietvarlikums, ko veido deleģēšanas likums, stiprina personu ar invaliditāti autonomiju saskaņā ar UNCRPD un Ei</w:t>
            </w:r>
            <w:r>
              <w:rPr>
                <w:noProof/>
              </w:rPr>
              <w:t>ropas Personu ar invaliditāti tiesību stratēģijas 2021.–2030. gadam principiem, kas ietver vismaz: sociālo pakalpojumu invalīdiem visaptveroša definīcija un uzlabošana, kā arī deinstitucionalizācijas un neatkarīgas dzīves veicināšana, ii) procedūru vienkār</w:t>
            </w:r>
            <w:r>
              <w:rPr>
                <w:noProof/>
              </w:rPr>
              <w:t>šošana attiecībā uz piekļuvi veselības aprūpes un sociālajiem pakalpojumiem un iii) invaliditātes stāvokļa novērtēšanas procedūru pārskatīšana, lai veiktu ikvienas personas stāvokļa daudzdimensiju novērtējumu.</w:t>
            </w:r>
          </w:p>
          <w:p w14:paraId="27790CCA" w14:textId="77777777" w:rsidR="00C972CB" w:rsidRDefault="002457F6">
            <w:pPr>
              <w:pStyle w:val="P68B1DB1-Normal11"/>
              <w:rPr>
                <w:rFonts w:eastAsia="Calibri"/>
                <w:noProof/>
              </w:rPr>
            </w:pPr>
            <w:r>
              <w:rPr>
                <w:noProof/>
              </w:rPr>
              <w:t>Personas ar invaliditāti ir personas, kas defi</w:t>
            </w:r>
            <w:r>
              <w:rPr>
                <w:noProof/>
              </w:rPr>
              <w:t>nētas saskaņā ar UNCRPD principiem Likumā Nr. 104/1992. Itālijā novērtēšanas process ir reģionu kompetencē, un šo personu novērtē vietējie veselības dienesti vai Valsts sociālās labklājības institūts.</w:t>
            </w:r>
          </w:p>
          <w:p w14:paraId="69EC632B" w14:textId="77777777" w:rsidR="00C972CB" w:rsidRDefault="002457F6">
            <w:pPr>
              <w:pStyle w:val="P68B1DB1-Normal11"/>
              <w:rPr>
                <w:rFonts w:eastAsia="Calibri"/>
                <w:noProof/>
              </w:rPr>
            </w:pPr>
            <w:r>
              <w:rPr>
                <w:noProof/>
              </w:rPr>
              <w:t>Likumu ierosina Invalīdu lietu ministrs apstiprināšanai</w:t>
            </w:r>
            <w:r>
              <w:rPr>
                <w:noProof/>
              </w:rPr>
              <w:t xml:space="preserve"> Ministru padomē saskaņā ar noteikto plānu.</w:t>
            </w:r>
          </w:p>
          <w:p w14:paraId="2CA554E5" w14:textId="77777777" w:rsidR="00C972CB" w:rsidRDefault="002457F6">
            <w:pPr>
              <w:pStyle w:val="P68B1DB1-Normal11"/>
              <w:rPr>
                <w:rFonts w:eastAsia="Calibri"/>
                <w:noProof/>
              </w:rPr>
            </w:pPr>
            <w:r>
              <w:rPr>
                <w:noProof/>
              </w:rPr>
              <w:t>Pamatlikuma pieņemšanai seko vietējo sociālo pakalpojumu reorganizācija, kvalitātes standartu noteikšana un IKT platformas nodrošināšana, lai uzlabotu un padarītu efektīvākus pakalpojumus.</w:t>
            </w:r>
          </w:p>
        </w:tc>
      </w:tr>
      <w:tr w:rsidR="00C972CB" w14:paraId="489D483B" w14:textId="77777777">
        <w:trPr>
          <w:trHeight w:val="309"/>
          <w:jc w:val="center"/>
        </w:trPr>
        <w:tc>
          <w:tcPr>
            <w:tcW w:w="1648" w:type="dxa"/>
            <w:shd w:val="clear" w:color="auto" w:fill="C6EFCE"/>
            <w:noWrap/>
            <w:vAlign w:val="center"/>
            <w:hideMark/>
          </w:tcPr>
          <w:p w14:paraId="4BEAC9C9" w14:textId="4E64B79E" w:rsidR="00C972CB" w:rsidRDefault="002457F6">
            <w:pPr>
              <w:pStyle w:val="P68B1DB1-Normal11"/>
              <w:spacing w:before="120" w:after="120"/>
              <w:jc w:val="center"/>
              <w:rPr>
                <w:noProof/>
              </w:rPr>
            </w:pPr>
            <w:r>
              <w:rPr>
                <w:noProof/>
              </w:rPr>
              <w:t>M5C2–2</w:t>
            </w:r>
          </w:p>
        </w:tc>
        <w:tc>
          <w:tcPr>
            <w:tcW w:w="1908" w:type="dxa"/>
            <w:shd w:val="clear" w:color="auto" w:fill="C6EFCE"/>
            <w:noWrap/>
            <w:vAlign w:val="center"/>
            <w:hideMark/>
          </w:tcPr>
          <w:p w14:paraId="094BFFCF" w14:textId="77777777" w:rsidR="00C972CB" w:rsidRDefault="002457F6">
            <w:pPr>
              <w:pStyle w:val="P68B1DB1-Normal11"/>
              <w:jc w:val="center"/>
              <w:rPr>
                <w:noProof/>
              </w:rPr>
            </w:pPr>
            <w:r>
              <w:rPr>
                <w:noProof/>
              </w:rPr>
              <w:t xml:space="preserve">Reforma — </w:t>
            </w:r>
            <w:r>
              <w:rPr>
                <w:noProof/>
              </w:rPr>
              <w:t>Pamatlikums par invaliditāti</w:t>
            </w:r>
          </w:p>
        </w:tc>
        <w:tc>
          <w:tcPr>
            <w:tcW w:w="1322" w:type="dxa"/>
            <w:shd w:val="clear" w:color="auto" w:fill="C6EFCE"/>
            <w:noWrap/>
            <w:vAlign w:val="center"/>
            <w:hideMark/>
          </w:tcPr>
          <w:p w14:paraId="43A16F3B" w14:textId="77777777" w:rsidR="00C972CB" w:rsidRDefault="002457F6">
            <w:pPr>
              <w:pStyle w:val="P68B1DB1-Normal11"/>
              <w:jc w:val="center"/>
              <w:rPr>
                <w:rFonts w:eastAsia="Calibri"/>
                <w:noProof/>
              </w:rPr>
            </w:pPr>
            <w:r>
              <w:rPr>
                <w:noProof/>
              </w:rPr>
              <w:t>Starpposma mērķis</w:t>
            </w:r>
          </w:p>
        </w:tc>
        <w:tc>
          <w:tcPr>
            <w:tcW w:w="1395" w:type="dxa"/>
            <w:shd w:val="clear" w:color="auto" w:fill="C6EFCE"/>
            <w:noWrap/>
            <w:vAlign w:val="center"/>
            <w:hideMark/>
          </w:tcPr>
          <w:p w14:paraId="23350BC4" w14:textId="77777777" w:rsidR="00C972CB" w:rsidRDefault="002457F6">
            <w:pPr>
              <w:pStyle w:val="P68B1DB1-Normal11"/>
              <w:jc w:val="center"/>
              <w:rPr>
                <w:noProof/>
              </w:rPr>
            </w:pPr>
            <w:r>
              <w:rPr>
                <w:noProof/>
              </w:rPr>
              <w:t>Pamatlikuma stāšanās spēkā un valdības pieņemto likumdošanas dekrētu pieņemšana, ar ko izstrādā Pamatlikumā izklāstītos noteikumus, lai stiprinātu personu ar invaliditāti autonomiju</w:t>
            </w:r>
          </w:p>
        </w:tc>
        <w:tc>
          <w:tcPr>
            <w:tcW w:w="1476" w:type="dxa"/>
            <w:shd w:val="clear" w:color="auto" w:fill="C6EFCE"/>
            <w:noWrap/>
            <w:vAlign w:val="center"/>
            <w:hideMark/>
          </w:tcPr>
          <w:p w14:paraId="4511362B" w14:textId="77777777" w:rsidR="00C972CB" w:rsidRDefault="002457F6">
            <w:pPr>
              <w:pStyle w:val="P68B1DB1-Normal11"/>
              <w:jc w:val="center"/>
              <w:rPr>
                <w:rFonts w:eastAsia="Calibri"/>
                <w:noProof/>
              </w:rPr>
            </w:pPr>
            <w:r>
              <w:rPr>
                <w:noProof/>
              </w:rPr>
              <w:t xml:space="preserve">Likuma normas, kas norāda </w:t>
            </w:r>
            <w:r>
              <w:rPr>
                <w:noProof/>
              </w:rPr>
              <w:t>uz likumdošanas dekrētu stāšanos spēkā</w:t>
            </w:r>
          </w:p>
        </w:tc>
        <w:tc>
          <w:tcPr>
            <w:tcW w:w="1474" w:type="dxa"/>
            <w:shd w:val="clear" w:color="auto" w:fill="C6EFCE"/>
            <w:noWrap/>
            <w:vAlign w:val="center"/>
            <w:hideMark/>
          </w:tcPr>
          <w:p w14:paraId="4057F2E7" w14:textId="77777777" w:rsidR="00C972CB" w:rsidRDefault="002457F6">
            <w:pPr>
              <w:pStyle w:val="P68B1DB1-Normal11"/>
              <w:jc w:val="center"/>
              <w:rPr>
                <w:noProof/>
              </w:rPr>
            </w:pPr>
            <w:r>
              <w:rPr>
                <w:noProof/>
              </w:rPr>
              <w:t>NEPIEMĒRO</w:t>
            </w:r>
          </w:p>
        </w:tc>
        <w:tc>
          <w:tcPr>
            <w:tcW w:w="1092" w:type="dxa"/>
            <w:shd w:val="clear" w:color="auto" w:fill="C6EFCE"/>
            <w:noWrap/>
            <w:vAlign w:val="center"/>
            <w:hideMark/>
          </w:tcPr>
          <w:p w14:paraId="090E553F" w14:textId="77777777" w:rsidR="00C972CB" w:rsidRDefault="002457F6">
            <w:pPr>
              <w:pStyle w:val="P68B1DB1-Normal11"/>
              <w:jc w:val="center"/>
              <w:rPr>
                <w:rFonts w:eastAsia="Calibri"/>
                <w:noProof/>
              </w:rPr>
            </w:pPr>
            <w:r>
              <w:rPr>
                <w:noProof/>
              </w:rPr>
              <w:t>NEPIEMĒRO</w:t>
            </w:r>
          </w:p>
        </w:tc>
        <w:tc>
          <w:tcPr>
            <w:tcW w:w="775" w:type="dxa"/>
            <w:shd w:val="clear" w:color="auto" w:fill="C6EFCE"/>
            <w:noWrap/>
            <w:vAlign w:val="center"/>
            <w:hideMark/>
          </w:tcPr>
          <w:p w14:paraId="05E916C0" w14:textId="77777777" w:rsidR="00C972CB" w:rsidRDefault="002457F6">
            <w:pPr>
              <w:pStyle w:val="P68B1DB1-Normal11"/>
              <w:jc w:val="center"/>
              <w:rPr>
                <w:rFonts w:eastAsia="Calibri"/>
                <w:noProof/>
              </w:rPr>
            </w:pPr>
            <w:r>
              <w:rPr>
                <w:noProof/>
              </w:rPr>
              <w:t>NEPIEMĒRO</w:t>
            </w:r>
          </w:p>
        </w:tc>
        <w:tc>
          <w:tcPr>
            <w:tcW w:w="1078" w:type="dxa"/>
            <w:shd w:val="clear" w:color="auto" w:fill="C6EFCE"/>
            <w:noWrap/>
            <w:vAlign w:val="center"/>
            <w:hideMark/>
          </w:tcPr>
          <w:p w14:paraId="5A1A7474" w14:textId="77777777" w:rsidR="00C972CB" w:rsidRDefault="002457F6">
            <w:pPr>
              <w:pStyle w:val="P68B1DB1-Normal11"/>
              <w:jc w:val="center"/>
              <w:rPr>
                <w:noProof/>
              </w:rPr>
            </w:pPr>
            <w:r>
              <w:rPr>
                <w:noProof/>
              </w:rPr>
              <w:t>2. CET.</w:t>
            </w:r>
          </w:p>
        </w:tc>
        <w:tc>
          <w:tcPr>
            <w:tcW w:w="755" w:type="dxa"/>
            <w:shd w:val="clear" w:color="auto" w:fill="C6EFCE"/>
            <w:noWrap/>
            <w:vAlign w:val="center"/>
            <w:hideMark/>
          </w:tcPr>
          <w:p w14:paraId="43F26287" w14:textId="77777777" w:rsidR="00C972CB" w:rsidRDefault="002457F6">
            <w:pPr>
              <w:pStyle w:val="P68B1DB1-Normal11"/>
              <w:jc w:val="center"/>
              <w:rPr>
                <w:rFonts w:eastAsia="Calibri"/>
                <w:noProof/>
              </w:rPr>
            </w:pPr>
            <w:r>
              <w:rPr>
                <w:noProof/>
              </w:rPr>
              <w:t>2024</w:t>
            </w:r>
          </w:p>
        </w:tc>
        <w:tc>
          <w:tcPr>
            <w:tcW w:w="5046" w:type="dxa"/>
            <w:shd w:val="clear" w:color="auto" w:fill="C6EFCE"/>
            <w:noWrap/>
            <w:vAlign w:val="center"/>
            <w:hideMark/>
          </w:tcPr>
          <w:p w14:paraId="44BAAD75" w14:textId="77777777" w:rsidR="00C972CB" w:rsidRDefault="002457F6">
            <w:pPr>
              <w:pStyle w:val="P68B1DB1-Normal11"/>
              <w:rPr>
                <w:rFonts w:eastAsia="Calibri"/>
                <w:noProof/>
              </w:rPr>
            </w:pPr>
            <w:r>
              <w:rPr>
                <w:noProof/>
              </w:rPr>
              <w:t>Leģislatīvajos dekrētos tiek izstrādāti Pamatlikumā paredzētie noteikumi, lai stiprinātu personu ar invaliditāti autonomiju. Likumā kā minimums ir paredzēti noteikumi, lai (I</w:t>
            </w:r>
            <w:r>
              <w:rPr>
                <w:noProof/>
              </w:rPr>
              <w:t xml:space="preserve">) stiprinātu sociālo pakalpojumu piedāvājumu, (II) vienkāršotu piekļuvi sociālajiem un veselības aprūpes pakalpojumiem, III) veiktu invaliditātes novērtējumu reformas, (IV) veicinātu neatkarīgus dzīves projektus, V) veicinātu ekspertu grupu darbu, kas var </w:t>
            </w:r>
            <w:r>
              <w:rPr>
                <w:noProof/>
              </w:rPr>
              <w:t>atbalstīt personas ar invaliditāti ar daudzdimensionālām vajadzībām.</w:t>
            </w:r>
          </w:p>
        </w:tc>
      </w:tr>
      <w:tr w:rsidR="00C972CB" w14:paraId="6EAFF7B7" w14:textId="77777777">
        <w:trPr>
          <w:trHeight w:val="309"/>
          <w:jc w:val="center"/>
        </w:trPr>
        <w:tc>
          <w:tcPr>
            <w:tcW w:w="1648" w:type="dxa"/>
            <w:shd w:val="clear" w:color="auto" w:fill="C6EFCE"/>
            <w:noWrap/>
            <w:vAlign w:val="center"/>
            <w:hideMark/>
          </w:tcPr>
          <w:p w14:paraId="040F422A" w14:textId="33238835" w:rsidR="00C972CB" w:rsidRDefault="002457F6">
            <w:pPr>
              <w:pStyle w:val="P68B1DB1-Normal11"/>
              <w:spacing w:before="120" w:after="120"/>
              <w:jc w:val="center"/>
              <w:rPr>
                <w:noProof/>
              </w:rPr>
            </w:pPr>
            <w:r>
              <w:rPr>
                <w:noProof/>
              </w:rPr>
              <w:t>M5C2–3</w:t>
            </w:r>
          </w:p>
        </w:tc>
        <w:tc>
          <w:tcPr>
            <w:tcW w:w="1908" w:type="dxa"/>
            <w:shd w:val="clear" w:color="auto" w:fill="C6EFCE"/>
            <w:noWrap/>
            <w:vAlign w:val="center"/>
            <w:hideMark/>
          </w:tcPr>
          <w:p w14:paraId="586A0732" w14:textId="37B4E1D3" w:rsidR="00C972CB" w:rsidRDefault="002457F6">
            <w:pPr>
              <w:pStyle w:val="P68B1DB1-Normal11"/>
              <w:jc w:val="center"/>
              <w:rPr>
                <w:noProof/>
              </w:rPr>
            </w:pPr>
            <w:r>
              <w:rPr>
                <w:noProof/>
              </w:rPr>
              <w:t>Reforma — reforma attiecībā uz vecāka gadagājuma cilvēkiem, kas nav pašpietiekami</w:t>
            </w:r>
          </w:p>
        </w:tc>
        <w:tc>
          <w:tcPr>
            <w:tcW w:w="1322" w:type="dxa"/>
            <w:shd w:val="clear" w:color="auto" w:fill="C6EFCE"/>
            <w:noWrap/>
            <w:vAlign w:val="center"/>
            <w:hideMark/>
          </w:tcPr>
          <w:p w14:paraId="76A2DD01" w14:textId="77777777" w:rsidR="00C972CB" w:rsidRDefault="002457F6">
            <w:pPr>
              <w:pStyle w:val="P68B1DB1-Normal11"/>
              <w:jc w:val="center"/>
              <w:rPr>
                <w:noProof/>
              </w:rPr>
            </w:pPr>
            <w:r>
              <w:rPr>
                <w:noProof/>
              </w:rPr>
              <w:t>Starpposma mērķis</w:t>
            </w:r>
          </w:p>
        </w:tc>
        <w:tc>
          <w:tcPr>
            <w:tcW w:w="1395" w:type="dxa"/>
            <w:shd w:val="clear" w:color="auto" w:fill="C6EFCE"/>
            <w:noWrap/>
            <w:vAlign w:val="center"/>
            <w:hideMark/>
          </w:tcPr>
          <w:p w14:paraId="61057961" w14:textId="77777777" w:rsidR="00C972CB" w:rsidRDefault="002457F6">
            <w:pPr>
              <w:pStyle w:val="P68B1DB1-Normal11"/>
              <w:jc w:val="center"/>
              <w:rPr>
                <w:noProof/>
              </w:rPr>
            </w:pPr>
            <w:r>
              <w:rPr>
                <w:noProof/>
              </w:rPr>
              <w:t xml:space="preserve">Stājas spēkā pamatlikums, kas stiprina pasākumus vecāka gadagājuma cilvēku, </w:t>
            </w:r>
            <w:r>
              <w:rPr>
                <w:noProof/>
              </w:rPr>
              <w:t>kuriem nav pašpietiekamības, labā</w:t>
            </w:r>
          </w:p>
        </w:tc>
        <w:tc>
          <w:tcPr>
            <w:tcW w:w="1476" w:type="dxa"/>
            <w:shd w:val="clear" w:color="auto" w:fill="C6EFCE"/>
            <w:noWrap/>
            <w:vAlign w:val="center"/>
            <w:hideMark/>
          </w:tcPr>
          <w:p w14:paraId="2A0E6E8F" w14:textId="77777777" w:rsidR="00C972CB" w:rsidRDefault="002457F6">
            <w:pPr>
              <w:pStyle w:val="P68B1DB1-Normal19"/>
              <w:jc w:val="center"/>
              <w:rPr>
                <w:noProof/>
                <w:color w:val="006100"/>
              </w:rPr>
            </w:pPr>
            <w:r>
              <w:rPr>
                <w:noProof/>
                <w:color w:val="006100"/>
              </w:rPr>
              <w:t>Likumanoteikumi, kas norāda uz Pamatlikuma stāšanos spēkā,  kas stiprina pasākumus vecāka gadagājuma cilvēku, kuriem nav pašpietiekamības, labā</w:t>
            </w:r>
          </w:p>
        </w:tc>
        <w:tc>
          <w:tcPr>
            <w:tcW w:w="1474" w:type="dxa"/>
            <w:shd w:val="clear" w:color="auto" w:fill="C6EFCE"/>
            <w:noWrap/>
            <w:vAlign w:val="center"/>
            <w:hideMark/>
          </w:tcPr>
          <w:p w14:paraId="06B42225" w14:textId="77777777" w:rsidR="00C972CB" w:rsidRDefault="002457F6">
            <w:pPr>
              <w:pStyle w:val="P68B1DB1-Normal11"/>
              <w:jc w:val="center"/>
              <w:rPr>
                <w:noProof/>
              </w:rPr>
            </w:pPr>
            <w:r>
              <w:rPr>
                <w:noProof/>
              </w:rPr>
              <w:t>NEPIEMĒRO</w:t>
            </w:r>
          </w:p>
        </w:tc>
        <w:tc>
          <w:tcPr>
            <w:tcW w:w="1092" w:type="dxa"/>
            <w:shd w:val="clear" w:color="auto" w:fill="C6EFCE"/>
            <w:noWrap/>
            <w:vAlign w:val="center"/>
            <w:hideMark/>
          </w:tcPr>
          <w:p w14:paraId="478E8FC7" w14:textId="77777777" w:rsidR="00C972CB" w:rsidRDefault="002457F6">
            <w:pPr>
              <w:pStyle w:val="P68B1DB1-Normal11"/>
              <w:jc w:val="center"/>
              <w:rPr>
                <w:rFonts w:eastAsia="Calibri"/>
                <w:noProof/>
              </w:rPr>
            </w:pPr>
            <w:r>
              <w:rPr>
                <w:noProof/>
              </w:rPr>
              <w:t>NEPIEMĒRO</w:t>
            </w:r>
          </w:p>
        </w:tc>
        <w:tc>
          <w:tcPr>
            <w:tcW w:w="775" w:type="dxa"/>
            <w:shd w:val="clear" w:color="auto" w:fill="C6EFCE"/>
            <w:noWrap/>
            <w:vAlign w:val="center"/>
            <w:hideMark/>
          </w:tcPr>
          <w:p w14:paraId="432E90D2" w14:textId="77777777" w:rsidR="00C972CB" w:rsidRDefault="002457F6">
            <w:pPr>
              <w:pStyle w:val="P68B1DB1-Normal11"/>
              <w:jc w:val="center"/>
              <w:rPr>
                <w:rFonts w:eastAsia="Calibri"/>
                <w:noProof/>
              </w:rPr>
            </w:pPr>
            <w:r>
              <w:rPr>
                <w:noProof/>
              </w:rPr>
              <w:t>NEPIEMĒRO</w:t>
            </w:r>
          </w:p>
        </w:tc>
        <w:tc>
          <w:tcPr>
            <w:tcW w:w="1078" w:type="dxa"/>
            <w:shd w:val="clear" w:color="auto" w:fill="C6EFCE"/>
            <w:noWrap/>
            <w:vAlign w:val="center"/>
            <w:hideMark/>
          </w:tcPr>
          <w:p w14:paraId="6C76A5B9" w14:textId="77777777" w:rsidR="00C972CB" w:rsidRDefault="002457F6">
            <w:pPr>
              <w:pStyle w:val="P68B1DB1-Normal11"/>
              <w:jc w:val="center"/>
              <w:rPr>
                <w:noProof/>
              </w:rPr>
            </w:pPr>
            <w:r>
              <w:rPr>
                <w:noProof/>
              </w:rPr>
              <w:t>1. CET.</w:t>
            </w:r>
          </w:p>
        </w:tc>
        <w:tc>
          <w:tcPr>
            <w:tcW w:w="755" w:type="dxa"/>
            <w:shd w:val="clear" w:color="auto" w:fill="C6EFCE"/>
            <w:noWrap/>
            <w:vAlign w:val="center"/>
            <w:hideMark/>
          </w:tcPr>
          <w:p w14:paraId="1EC09774" w14:textId="77777777" w:rsidR="00C972CB" w:rsidRDefault="002457F6">
            <w:pPr>
              <w:pStyle w:val="P68B1DB1-Normal11"/>
              <w:jc w:val="center"/>
              <w:rPr>
                <w:rFonts w:eastAsia="Calibri"/>
                <w:noProof/>
              </w:rPr>
            </w:pPr>
            <w:r>
              <w:rPr>
                <w:noProof/>
              </w:rPr>
              <w:t>2023</w:t>
            </w:r>
          </w:p>
        </w:tc>
        <w:tc>
          <w:tcPr>
            <w:tcW w:w="5046" w:type="dxa"/>
            <w:shd w:val="clear" w:color="auto" w:fill="C6EFCE"/>
            <w:noWrap/>
            <w:vAlign w:val="center"/>
            <w:hideMark/>
          </w:tcPr>
          <w:p w14:paraId="5D7F10AF" w14:textId="77777777" w:rsidR="00C972CB" w:rsidRDefault="002457F6">
            <w:pPr>
              <w:pStyle w:val="P68B1DB1-Normal11"/>
              <w:rPr>
                <w:noProof/>
              </w:rPr>
            </w:pPr>
            <w:r>
              <w:rPr>
                <w:noProof/>
              </w:rPr>
              <w:t>Valdības ierosinātais pamatlikums s</w:t>
            </w:r>
            <w:r>
              <w:rPr>
                <w:noProof/>
              </w:rPr>
              <w:t xml:space="preserve">tiprina pasākumus par labu vecāka gadagājuma cilvēkiem, kas nav pašpietiekami. Likums vienkāršo un nodrošina vienotos kontaktpunktus sociālo un veselības aprūpes pakalpojumu jomā, pārskata procedūras vecāka gadagājuma cilvēku stāvokļa novērtēšanai, kā arī </w:t>
            </w:r>
            <w:r>
              <w:rPr>
                <w:noProof/>
              </w:rPr>
              <w:t>palielina to sociālo un veselības aprūpes pakalpojumu klāstu, kurus var sniegt mājās. Likumā nosaka arī nepieciešamos finanšu resursus.</w:t>
            </w:r>
          </w:p>
        </w:tc>
      </w:tr>
      <w:tr w:rsidR="00C972CB" w14:paraId="2D812A08" w14:textId="77777777">
        <w:trPr>
          <w:trHeight w:val="309"/>
          <w:jc w:val="center"/>
        </w:trPr>
        <w:tc>
          <w:tcPr>
            <w:tcW w:w="1648" w:type="dxa"/>
            <w:shd w:val="clear" w:color="auto" w:fill="C6EFCE"/>
            <w:noWrap/>
            <w:vAlign w:val="center"/>
            <w:hideMark/>
          </w:tcPr>
          <w:p w14:paraId="6FBF2821" w14:textId="77777777" w:rsidR="00C972CB" w:rsidRDefault="002457F6">
            <w:pPr>
              <w:pStyle w:val="P68B1DB1-Normal11"/>
              <w:jc w:val="center"/>
              <w:rPr>
                <w:rFonts w:eastAsia="Calibri"/>
                <w:noProof/>
              </w:rPr>
            </w:pPr>
            <w:r>
              <w:rPr>
                <w:noProof/>
              </w:rPr>
              <w:t>M5C2–4</w:t>
            </w:r>
          </w:p>
        </w:tc>
        <w:tc>
          <w:tcPr>
            <w:tcW w:w="1908" w:type="dxa"/>
            <w:shd w:val="clear" w:color="auto" w:fill="C6EFCE"/>
            <w:noWrap/>
            <w:vAlign w:val="center"/>
            <w:hideMark/>
          </w:tcPr>
          <w:p w14:paraId="1373758C" w14:textId="77777777" w:rsidR="00C972CB" w:rsidRDefault="002457F6">
            <w:pPr>
              <w:pStyle w:val="P68B1DB1-Normal11"/>
              <w:jc w:val="center"/>
              <w:rPr>
                <w:noProof/>
              </w:rPr>
            </w:pPr>
            <w:r>
              <w:rPr>
                <w:noProof/>
              </w:rPr>
              <w:t>Reforma attiecībā uz vecāka gadagājuma cilvēkiem, kas nav pašpietiekami</w:t>
            </w:r>
          </w:p>
        </w:tc>
        <w:tc>
          <w:tcPr>
            <w:tcW w:w="1322" w:type="dxa"/>
            <w:shd w:val="clear" w:color="auto" w:fill="C6EFCE"/>
            <w:noWrap/>
            <w:vAlign w:val="center"/>
            <w:hideMark/>
          </w:tcPr>
          <w:p w14:paraId="4F714391" w14:textId="77777777" w:rsidR="00C972CB" w:rsidRDefault="002457F6">
            <w:pPr>
              <w:pStyle w:val="P68B1DB1-Normal11"/>
              <w:jc w:val="center"/>
              <w:rPr>
                <w:rFonts w:eastAsia="Calibri"/>
                <w:noProof/>
              </w:rPr>
            </w:pPr>
            <w:r>
              <w:rPr>
                <w:noProof/>
              </w:rPr>
              <w:t>Starpposma mērķis</w:t>
            </w:r>
          </w:p>
        </w:tc>
        <w:tc>
          <w:tcPr>
            <w:tcW w:w="1395" w:type="dxa"/>
            <w:shd w:val="clear" w:color="auto" w:fill="C6EFCE"/>
            <w:noWrap/>
            <w:vAlign w:val="center"/>
            <w:hideMark/>
          </w:tcPr>
          <w:p w14:paraId="4739E4FF" w14:textId="77777777" w:rsidR="00C972CB" w:rsidRDefault="002457F6">
            <w:pPr>
              <w:pStyle w:val="P68B1DB1-Normal11"/>
              <w:jc w:val="center"/>
              <w:rPr>
                <w:noProof/>
              </w:rPr>
            </w:pPr>
            <w:r>
              <w:rPr>
                <w:noProof/>
              </w:rPr>
              <w:t xml:space="preserve">Stājas spēkā </w:t>
            </w:r>
            <w:r>
              <w:rPr>
                <w:noProof/>
              </w:rPr>
              <w:t>likumdošanas dekrēti, ar kuriem tiek izstrādāti Pamatlikumā paredzētie noteikumi, lai stiprinātu pasākumus vecāka gadagājuma cilvēku, kuriem nav pašpietiekamības, labā</w:t>
            </w:r>
          </w:p>
        </w:tc>
        <w:tc>
          <w:tcPr>
            <w:tcW w:w="1476" w:type="dxa"/>
            <w:shd w:val="clear" w:color="auto" w:fill="C6EFCE"/>
            <w:noWrap/>
            <w:vAlign w:val="center"/>
            <w:hideMark/>
          </w:tcPr>
          <w:p w14:paraId="1312E3E1" w14:textId="77777777" w:rsidR="00C972CB" w:rsidRDefault="002457F6">
            <w:pPr>
              <w:pStyle w:val="P68B1DB1-Normal11"/>
              <w:jc w:val="center"/>
              <w:rPr>
                <w:noProof/>
              </w:rPr>
            </w:pPr>
            <w:r>
              <w:rPr>
                <w:noProof/>
              </w:rPr>
              <w:t>Likuma normas, kas norāda uz likumdošanas dekrētu stāšanos spēkā</w:t>
            </w:r>
          </w:p>
        </w:tc>
        <w:tc>
          <w:tcPr>
            <w:tcW w:w="1474" w:type="dxa"/>
            <w:shd w:val="clear" w:color="auto" w:fill="C6EFCE"/>
            <w:noWrap/>
            <w:vAlign w:val="center"/>
            <w:hideMark/>
          </w:tcPr>
          <w:p w14:paraId="56BCEF07" w14:textId="77777777" w:rsidR="00C972CB" w:rsidRDefault="002457F6">
            <w:pPr>
              <w:pStyle w:val="P68B1DB1-Normal11"/>
              <w:jc w:val="center"/>
              <w:rPr>
                <w:rFonts w:eastAsia="Calibri"/>
                <w:noProof/>
              </w:rPr>
            </w:pPr>
            <w:r>
              <w:rPr>
                <w:noProof/>
              </w:rPr>
              <w:t>NEPIEMĒRO</w:t>
            </w:r>
          </w:p>
        </w:tc>
        <w:tc>
          <w:tcPr>
            <w:tcW w:w="1092" w:type="dxa"/>
            <w:shd w:val="clear" w:color="auto" w:fill="C6EFCE"/>
            <w:noWrap/>
            <w:vAlign w:val="center"/>
            <w:hideMark/>
          </w:tcPr>
          <w:p w14:paraId="292AB38A" w14:textId="77777777" w:rsidR="00C972CB" w:rsidRDefault="002457F6">
            <w:pPr>
              <w:pStyle w:val="P68B1DB1-Normal11"/>
              <w:jc w:val="center"/>
              <w:rPr>
                <w:rFonts w:eastAsia="Calibri"/>
                <w:noProof/>
              </w:rPr>
            </w:pPr>
            <w:r>
              <w:rPr>
                <w:noProof/>
              </w:rPr>
              <w:t>NEPIEMĒRO</w:t>
            </w:r>
          </w:p>
        </w:tc>
        <w:tc>
          <w:tcPr>
            <w:tcW w:w="775" w:type="dxa"/>
            <w:shd w:val="clear" w:color="auto" w:fill="C6EFCE"/>
            <w:noWrap/>
            <w:vAlign w:val="center"/>
            <w:hideMark/>
          </w:tcPr>
          <w:p w14:paraId="6636805C" w14:textId="77777777" w:rsidR="00C972CB" w:rsidRDefault="002457F6">
            <w:pPr>
              <w:pStyle w:val="P68B1DB1-Normal11"/>
              <w:jc w:val="center"/>
              <w:rPr>
                <w:rFonts w:eastAsia="Calibri"/>
                <w:noProof/>
              </w:rPr>
            </w:pPr>
            <w:r>
              <w:rPr>
                <w:noProof/>
              </w:rPr>
              <w:t>NEPIEMĒRO</w:t>
            </w:r>
          </w:p>
        </w:tc>
        <w:tc>
          <w:tcPr>
            <w:tcW w:w="1078" w:type="dxa"/>
            <w:shd w:val="clear" w:color="auto" w:fill="C6EFCE"/>
            <w:noWrap/>
            <w:vAlign w:val="center"/>
            <w:hideMark/>
          </w:tcPr>
          <w:p w14:paraId="53E73159" w14:textId="77777777" w:rsidR="00C972CB" w:rsidRDefault="002457F6">
            <w:pPr>
              <w:pStyle w:val="P68B1DB1-Normal11"/>
              <w:jc w:val="center"/>
              <w:rPr>
                <w:noProof/>
              </w:rPr>
            </w:pPr>
            <w:r>
              <w:rPr>
                <w:noProof/>
              </w:rPr>
              <w:t>1. CET.</w:t>
            </w:r>
          </w:p>
        </w:tc>
        <w:tc>
          <w:tcPr>
            <w:tcW w:w="755" w:type="dxa"/>
            <w:shd w:val="clear" w:color="auto" w:fill="C6EFCE"/>
            <w:noWrap/>
            <w:vAlign w:val="center"/>
            <w:hideMark/>
          </w:tcPr>
          <w:p w14:paraId="675CFAB2" w14:textId="77777777" w:rsidR="00C972CB" w:rsidRDefault="002457F6">
            <w:pPr>
              <w:pStyle w:val="P68B1DB1-Normal11"/>
              <w:jc w:val="center"/>
              <w:rPr>
                <w:noProof/>
              </w:rPr>
            </w:pPr>
            <w:r>
              <w:rPr>
                <w:noProof/>
              </w:rPr>
              <w:t>2024</w:t>
            </w:r>
          </w:p>
        </w:tc>
        <w:tc>
          <w:tcPr>
            <w:tcW w:w="5046" w:type="dxa"/>
            <w:shd w:val="clear" w:color="auto" w:fill="C6EFCE"/>
            <w:noWrap/>
            <w:vAlign w:val="center"/>
            <w:hideMark/>
          </w:tcPr>
          <w:p w14:paraId="750A76EC" w14:textId="77777777" w:rsidR="00C972CB" w:rsidRDefault="002457F6">
            <w:pPr>
              <w:pStyle w:val="P68B1DB1-Normal11"/>
              <w:rPr>
                <w:noProof/>
              </w:rPr>
            </w:pPr>
            <w:r>
              <w:rPr>
                <w:noProof/>
              </w:rPr>
              <w:t>Leģislatīvajos dekrētos precizē Pamatlikumā paredzētos noteikumus, lai stiprinātu pasākumus par labu vecāka gadagājuma cilvēkiem, kas nav pašpietiekami, īstenojot dažādus pasākumus.</w:t>
            </w:r>
          </w:p>
        </w:tc>
      </w:tr>
      <w:tr w:rsidR="00C972CB" w14:paraId="3244C784" w14:textId="77777777">
        <w:trPr>
          <w:trHeight w:val="309"/>
          <w:jc w:val="center"/>
        </w:trPr>
        <w:tc>
          <w:tcPr>
            <w:tcW w:w="1648" w:type="dxa"/>
            <w:shd w:val="clear" w:color="auto" w:fill="C6EFCE"/>
            <w:noWrap/>
            <w:vAlign w:val="center"/>
            <w:hideMark/>
          </w:tcPr>
          <w:p w14:paraId="4F3636C5" w14:textId="77777777" w:rsidR="00C972CB" w:rsidRDefault="002457F6">
            <w:pPr>
              <w:pStyle w:val="P68B1DB1-Normal11"/>
              <w:jc w:val="center"/>
              <w:rPr>
                <w:noProof/>
              </w:rPr>
            </w:pPr>
            <w:r>
              <w:rPr>
                <w:noProof/>
              </w:rPr>
              <w:t>M5C2–5</w:t>
            </w:r>
          </w:p>
        </w:tc>
        <w:tc>
          <w:tcPr>
            <w:tcW w:w="1908" w:type="dxa"/>
            <w:shd w:val="clear" w:color="auto" w:fill="C6EFCE"/>
            <w:noWrap/>
            <w:vAlign w:val="center"/>
            <w:hideMark/>
          </w:tcPr>
          <w:p w14:paraId="6DDFF071" w14:textId="77777777" w:rsidR="00C972CB" w:rsidRDefault="002457F6">
            <w:pPr>
              <w:pStyle w:val="P68B1DB1-Normal11"/>
              <w:jc w:val="center"/>
              <w:rPr>
                <w:noProof/>
              </w:rPr>
            </w:pPr>
            <w:r>
              <w:rPr>
                <w:noProof/>
              </w:rPr>
              <w:t xml:space="preserve">Ieguldījums 1 — Atbalsts neaizsargātām </w:t>
            </w:r>
            <w:r>
              <w:rPr>
                <w:noProof/>
              </w:rPr>
              <w:t>personām un institucionalizācijas novēršana</w:t>
            </w:r>
          </w:p>
        </w:tc>
        <w:tc>
          <w:tcPr>
            <w:tcW w:w="1322" w:type="dxa"/>
            <w:shd w:val="clear" w:color="auto" w:fill="C6EFCE"/>
            <w:noWrap/>
            <w:vAlign w:val="center"/>
            <w:hideMark/>
          </w:tcPr>
          <w:p w14:paraId="431806D4" w14:textId="77777777" w:rsidR="00C972CB" w:rsidRDefault="002457F6">
            <w:pPr>
              <w:pStyle w:val="P68B1DB1-Normal11"/>
              <w:jc w:val="center"/>
              <w:rPr>
                <w:noProof/>
              </w:rPr>
            </w:pPr>
            <w:r>
              <w:rPr>
                <w:noProof/>
              </w:rPr>
              <w:t>Starpposma mērķis</w:t>
            </w:r>
          </w:p>
        </w:tc>
        <w:tc>
          <w:tcPr>
            <w:tcW w:w="1395" w:type="dxa"/>
            <w:shd w:val="clear" w:color="auto" w:fill="C6EFCE"/>
            <w:noWrap/>
            <w:vAlign w:val="center"/>
            <w:hideMark/>
          </w:tcPr>
          <w:p w14:paraId="0BCABC86" w14:textId="77777777" w:rsidR="00C972CB" w:rsidRDefault="002457F6">
            <w:pPr>
              <w:pStyle w:val="P68B1DB1-Normal11"/>
              <w:jc w:val="center"/>
              <w:rPr>
                <w:noProof/>
              </w:rPr>
            </w:pPr>
            <w:r>
              <w:rPr>
                <w:noProof/>
              </w:rPr>
              <w:t>Darbības plāna stāšanās spēkā</w:t>
            </w:r>
          </w:p>
        </w:tc>
        <w:tc>
          <w:tcPr>
            <w:tcW w:w="1476" w:type="dxa"/>
            <w:shd w:val="clear" w:color="auto" w:fill="C6EFCE"/>
            <w:noWrap/>
            <w:vAlign w:val="center"/>
            <w:hideMark/>
          </w:tcPr>
          <w:p w14:paraId="7BAF1B6C" w14:textId="77777777" w:rsidR="00C972CB" w:rsidRDefault="002457F6">
            <w:pPr>
              <w:pStyle w:val="P68B1DB1-Normal11"/>
              <w:jc w:val="center"/>
              <w:rPr>
                <w:noProof/>
              </w:rPr>
            </w:pPr>
            <w:r>
              <w:rPr>
                <w:noProof/>
              </w:rPr>
              <w:t>Likuma noteikumi, kas norāda, ka stājas spēkā intervences operatīvais plāns</w:t>
            </w:r>
          </w:p>
        </w:tc>
        <w:tc>
          <w:tcPr>
            <w:tcW w:w="1474" w:type="dxa"/>
            <w:shd w:val="clear" w:color="auto" w:fill="C6EFCE"/>
            <w:noWrap/>
            <w:vAlign w:val="center"/>
            <w:hideMark/>
          </w:tcPr>
          <w:p w14:paraId="07BBE7AA" w14:textId="77777777" w:rsidR="00C972CB" w:rsidRDefault="002457F6">
            <w:pPr>
              <w:pStyle w:val="P68B1DB1-Normal11"/>
              <w:jc w:val="center"/>
              <w:rPr>
                <w:rFonts w:eastAsia="Calibri"/>
                <w:noProof/>
              </w:rPr>
            </w:pPr>
            <w:r>
              <w:rPr>
                <w:noProof/>
              </w:rPr>
              <w:t>NEPIEMĒRO</w:t>
            </w:r>
          </w:p>
        </w:tc>
        <w:tc>
          <w:tcPr>
            <w:tcW w:w="1092" w:type="dxa"/>
            <w:shd w:val="clear" w:color="auto" w:fill="C6EFCE"/>
            <w:noWrap/>
            <w:vAlign w:val="center"/>
            <w:hideMark/>
          </w:tcPr>
          <w:p w14:paraId="4EB307C0" w14:textId="77777777" w:rsidR="00C972CB" w:rsidRDefault="002457F6">
            <w:pPr>
              <w:pStyle w:val="P68B1DB1-Normal11"/>
              <w:jc w:val="center"/>
              <w:rPr>
                <w:rFonts w:eastAsia="Calibri"/>
                <w:noProof/>
              </w:rPr>
            </w:pPr>
            <w:r>
              <w:rPr>
                <w:noProof/>
              </w:rPr>
              <w:t>NEPIEMĒRO</w:t>
            </w:r>
          </w:p>
        </w:tc>
        <w:tc>
          <w:tcPr>
            <w:tcW w:w="775" w:type="dxa"/>
            <w:shd w:val="clear" w:color="auto" w:fill="C6EFCE"/>
            <w:noWrap/>
            <w:vAlign w:val="center"/>
            <w:hideMark/>
          </w:tcPr>
          <w:p w14:paraId="453D23EC" w14:textId="77777777" w:rsidR="00C972CB" w:rsidRDefault="002457F6">
            <w:pPr>
              <w:pStyle w:val="P68B1DB1-Normal11"/>
              <w:jc w:val="center"/>
              <w:rPr>
                <w:rFonts w:eastAsia="Calibri"/>
                <w:noProof/>
              </w:rPr>
            </w:pPr>
            <w:r>
              <w:rPr>
                <w:noProof/>
              </w:rPr>
              <w:t>NEPIEMĒRO</w:t>
            </w:r>
          </w:p>
        </w:tc>
        <w:tc>
          <w:tcPr>
            <w:tcW w:w="1078" w:type="dxa"/>
            <w:shd w:val="clear" w:color="auto" w:fill="C6EFCE"/>
            <w:noWrap/>
            <w:vAlign w:val="center"/>
            <w:hideMark/>
          </w:tcPr>
          <w:p w14:paraId="5597E009" w14:textId="77777777" w:rsidR="00C972CB" w:rsidRDefault="002457F6">
            <w:pPr>
              <w:pStyle w:val="P68B1DB1-Normal11"/>
              <w:jc w:val="center"/>
              <w:rPr>
                <w:rFonts w:eastAsia="Calibri"/>
                <w:noProof/>
              </w:rPr>
            </w:pPr>
            <w:r>
              <w:rPr>
                <w:noProof/>
              </w:rPr>
              <w:t>4. CET.</w:t>
            </w:r>
          </w:p>
        </w:tc>
        <w:tc>
          <w:tcPr>
            <w:tcW w:w="755" w:type="dxa"/>
            <w:shd w:val="clear" w:color="auto" w:fill="C6EFCE"/>
            <w:noWrap/>
            <w:vAlign w:val="center"/>
            <w:hideMark/>
          </w:tcPr>
          <w:p w14:paraId="3E7AA82A" w14:textId="77777777" w:rsidR="00C972CB" w:rsidRDefault="002457F6">
            <w:pPr>
              <w:pStyle w:val="P68B1DB1-Normal11"/>
              <w:jc w:val="center"/>
              <w:rPr>
                <w:rFonts w:eastAsia="Calibri"/>
                <w:noProof/>
              </w:rPr>
            </w:pPr>
            <w:r>
              <w:rPr>
                <w:noProof/>
              </w:rPr>
              <w:t>2021</w:t>
            </w:r>
          </w:p>
        </w:tc>
        <w:tc>
          <w:tcPr>
            <w:tcW w:w="5046" w:type="dxa"/>
            <w:shd w:val="clear" w:color="auto" w:fill="C6EFCE"/>
            <w:noWrap/>
            <w:vAlign w:val="center"/>
            <w:hideMark/>
          </w:tcPr>
          <w:p w14:paraId="02922682" w14:textId="77777777" w:rsidR="00C972CB" w:rsidRDefault="002457F6">
            <w:pPr>
              <w:pStyle w:val="P68B1DB1-Normal11"/>
              <w:rPr>
                <w:noProof/>
              </w:rPr>
            </w:pPr>
            <w:r>
              <w:rPr>
                <w:noProof/>
              </w:rPr>
              <w:t xml:space="preserve">Darbības plānā nosaka prasības projektiem, </w:t>
            </w:r>
            <w:r>
              <w:rPr>
                <w:noProof/>
              </w:rPr>
              <w:t>kurus var iesniegt vietējās struktūras un kuri attiecas uz četrām dimensijām: atbalsts vecākiem, kuru bērni ir vecumā no 0 līdz 17 gadiem, ii) atbalsts vecāka gadagājuma cilvēku autonomijai, iii) mājas pakalpojumi vecāka gadagājuma cilvēkiem un iv) atbalst</w:t>
            </w:r>
            <w:r>
              <w:rPr>
                <w:noProof/>
              </w:rPr>
              <w:t>s sociālajiem darbiniekiem.</w:t>
            </w:r>
          </w:p>
          <w:p w14:paraId="3BDBF523" w14:textId="77777777" w:rsidR="00C972CB" w:rsidRDefault="00C972CB">
            <w:pPr>
              <w:rPr>
                <w:rFonts w:ascii="Arial Narrow" w:eastAsia="Calibri" w:hAnsi="Arial Narrow"/>
                <w:noProof/>
                <w:color w:val="006100"/>
                <w:sz w:val="20"/>
              </w:rPr>
            </w:pPr>
          </w:p>
          <w:p w14:paraId="00580422" w14:textId="77777777" w:rsidR="00C972CB" w:rsidRDefault="002457F6">
            <w:pPr>
              <w:pStyle w:val="P68B1DB1-Normal11"/>
              <w:rPr>
                <w:noProof/>
              </w:rPr>
            </w:pPr>
            <w:r>
              <w:rPr>
                <w:noProof/>
              </w:rPr>
              <w:t xml:space="preserve">Darbība “Atbalsts vecākiem” ietver vismaz atbalsta sniegšanu saņēmējām ģimenēm vismaz 18 mēnešus, i) veicot ģimenes vides un bērnu stāvokļa iepriekšēju novērtējumu, ii) situācijas novērtējumu veica kvalificētu speciālistu </w:t>
            </w:r>
            <w:r>
              <w:rPr>
                <w:noProof/>
              </w:rPr>
              <w:t>daudzdisciplīnu komanda un iii) sniedz vismaz vienu no šādiem pakalpojumiem: mājas pakalpojumi, līdzdalība vecāku un bērnu atbalsta grupās; sadarbība starp skolām, ģimenēm un sociālajiem dienestiem un/vai kopīgi ģimenes aprūpes pakalpojumi.</w:t>
            </w:r>
          </w:p>
          <w:p w14:paraId="4BA32A3F" w14:textId="77777777" w:rsidR="00C972CB" w:rsidRDefault="002457F6">
            <w:pPr>
              <w:pStyle w:val="P68B1DB1-Normal11"/>
              <w:rPr>
                <w:rFonts w:eastAsia="Calibri"/>
                <w:noProof/>
              </w:rPr>
            </w:pPr>
            <w:r>
              <w:rPr>
                <w:noProof/>
              </w:rPr>
              <w:t>Darbība “vecāka</w:t>
            </w:r>
            <w:r>
              <w:rPr>
                <w:noProof/>
              </w:rPr>
              <w:t xml:space="preserve"> gadagājuma cilvēku autonomija” ietver vismaz veco ļaužu pansionātu rekonstrukciju autonomo dzīvokļu grupās, kas aprīkotas ar visām nepieciešamajām iekārtām un pakalpojumiem, tostarp mājas automatizāciju, telemedicīnu un tālvadību.</w:t>
            </w:r>
          </w:p>
          <w:p w14:paraId="4D989EEF" w14:textId="77777777" w:rsidR="00C972CB" w:rsidRDefault="002457F6">
            <w:pPr>
              <w:pStyle w:val="P68B1DB1-Normal11"/>
              <w:rPr>
                <w:rFonts w:eastAsia="Calibri"/>
                <w:noProof/>
              </w:rPr>
            </w:pPr>
            <w:r>
              <w:rPr>
                <w:noProof/>
              </w:rPr>
              <w:t>Pasākuma “Vecāka gadagāj</w:t>
            </w:r>
            <w:r>
              <w:rPr>
                <w:noProof/>
              </w:rPr>
              <w:t>uma cilvēku mājas pakalpojumi” mērķis ir nodrošināt īpašu apmācību profesionāļiem mājas pakalpojumu sniegšanai vecāka gadagājuma cilvēkiem.</w:t>
            </w:r>
          </w:p>
          <w:p w14:paraId="73161C33" w14:textId="77777777" w:rsidR="00C972CB" w:rsidRDefault="002457F6">
            <w:pPr>
              <w:pStyle w:val="P68B1DB1-Normal11"/>
              <w:rPr>
                <w:rFonts w:eastAsia="Calibri"/>
                <w:noProof/>
              </w:rPr>
            </w:pPr>
            <w:r>
              <w:rPr>
                <w:noProof/>
              </w:rPr>
              <w:t>Darbība “atbalsts sociālajiem darbiniekiem” ietver atbalstu sociālajiem operatoriem un viņu profesionalitātes stipri</w:t>
            </w:r>
            <w:r>
              <w:rPr>
                <w:noProof/>
              </w:rPr>
              <w:t>nāšanu un kompetenču sadali, galvenokārt ieviešot instrumentus kompetenču sadalei un uzraudzības pakalpojumu sniegšanai operatoriem, lai atbalstītu operatoru darbu.</w:t>
            </w:r>
          </w:p>
        </w:tc>
      </w:tr>
      <w:tr w:rsidR="00C972CB" w14:paraId="6CB376E6" w14:textId="77777777">
        <w:trPr>
          <w:trHeight w:val="309"/>
          <w:jc w:val="center"/>
        </w:trPr>
        <w:tc>
          <w:tcPr>
            <w:tcW w:w="1648" w:type="dxa"/>
            <w:shd w:val="clear" w:color="auto" w:fill="C6EFCE"/>
            <w:noWrap/>
            <w:vAlign w:val="center"/>
            <w:hideMark/>
          </w:tcPr>
          <w:p w14:paraId="02A69E27" w14:textId="10E12C17" w:rsidR="00C972CB" w:rsidRDefault="002457F6">
            <w:pPr>
              <w:pStyle w:val="P68B1DB1-Normal11"/>
              <w:spacing w:before="120"/>
              <w:jc w:val="center"/>
              <w:rPr>
                <w:rFonts w:eastAsia="Calibri"/>
                <w:noProof/>
              </w:rPr>
            </w:pPr>
            <w:r>
              <w:rPr>
                <w:noProof/>
              </w:rPr>
              <w:t>M5C2–6</w:t>
            </w:r>
          </w:p>
        </w:tc>
        <w:tc>
          <w:tcPr>
            <w:tcW w:w="1908" w:type="dxa"/>
            <w:shd w:val="clear" w:color="auto" w:fill="C6EFCE"/>
            <w:noWrap/>
            <w:vAlign w:val="center"/>
            <w:hideMark/>
          </w:tcPr>
          <w:p w14:paraId="4D0DDE50" w14:textId="77777777" w:rsidR="00C972CB" w:rsidRDefault="002457F6">
            <w:pPr>
              <w:pStyle w:val="P68B1DB1-Normal11"/>
              <w:spacing w:before="120" w:after="120"/>
              <w:jc w:val="center"/>
              <w:rPr>
                <w:noProof/>
              </w:rPr>
            </w:pPr>
            <w:r>
              <w:rPr>
                <w:noProof/>
              </w:rPr>
              <w:t>Ieguldījums 1 — Atbalsts neaizsargātām personām un institucionalizācijas novēršana</w:t>
            </w:r>
          </w:p>
        </w:tc>
        <w:tc>
          <w:tcPr>
            <w:tcW w:w="1322" w:type="dxa"/>
            <w:shd w:val="clear" w:color="auto" w:fill="C6EFCE"/>
            <w:noWrap/>
            <w:vAlign w:val="center"/>
            <w:hideMark/>
          </w:tcPr>
          <w:p w14:paraId="281679FC" w14:textId="77777777" w:rsidR="00C972CB" w:rsidRDefault="002457F6">
            <w:pPr>
              <w:pStyle w:val="P68B1DB1-Normal11"/>
              <w:spacing w:before="120" w:after="120"/>
              <w:jc w:val="center"/>
              <w:rPr>
                <w:rFonts w:eastAsia="Calibri"/>
                <w:noProof/>
              </w:rPr>
            </w:pPr>
            <w:r>
              <w:rPr>
                <w:noProof/>
              </w:rPr>
              <w:t>Mērķa</w:t>
            </w:r>
          </w:p>
        </w:tc>
        <w:tc>
          <w:tcPr>
            <w:tcW w:w="1395" w:type="dxa"/>
            <w:shd w:val="clear" w:color="auto" w:fill="C6EFCE"/>
            <w:noWrap/>
            <w:vAlign w:val="center"/>
            <w:hideMark/>
          </w:tcPr>
          <w:p w14:paraId="015277A4" w14:textId="77777777" w:rsidR="00C972CB" w:rsidRDefault="002457F6">
            <w:pPr>
              <w:pStyle w:val="P68B1DB1-Normal11"/>
              <w:spacing w:before="120" w:after="120"/>
              <w:jc w:val="center"/>
              <w:rPr>
                <w:rFonts w:eastAsia="Calibri"/>
                <w:noProof/>
              </w:rPr>
            </w:pPr>
            <w:r>
              <w:rPr>
                <w:noProof/>
              </w:rPr>
              <w:t>Sociālie rajoni sasniedz vismaz vienu no šādiem rezultātiem: atbalsts vecākiem, ii) vecāka gadagājuma cilvēku autonomija, iii) mājas pakalpojumi veciem cilvēkiem vai iv) sociālie darbinieki, lai novērstu izdegšanu</w:t>
            </w:r>
          </w:p>
        </w:tc>
        <w:tc>
          <w:tcPr>
            <w:tcW w:w="1476" w:type="dxa"/>
            <w:shd w:val="clear" w:color="auto" w:fill="C6EFCE"/>
            <w:noWrap/>
            <w:vAlign w:val="center"/>
            <w:hideMark/>
          </w:tcPr>
          <w:p w14:paraId="53C47FCE" w14:textId="77777777" w:rsidR="00C972CB" w:rsidRDefault="002457F6">
            <w:pPr>
              <w:pStyle w:val="P68B1DB1-Normal11"/>
              <w:spacing w:before="120" w:after="120"/>
              <w:jc w:val="center"/>
              <w:rPr>
                <w:rFonts w:eastAsia="Calibri"/>
                <w:noProof/>
              </w:rPr>
            </w:pPr>
            <w:r>
              <w:rPr>
                <w:noProof/>
              </w:rPr>
              <w:t>NEPIEMĒRO</w:t>
            </w:r>
          </w:p>
        </w:tc>
        <w:tc>
          <w:tcPr>
            <w:tcW w:w="1474" w:type="dxa"/>
            <w:shd w:val="clear" w:color="auto" w:fill="C6EFCE"/>
            <w:noWrap/>
            <w:vAlign w:val="center"/>
            <w:hideMark/>
          </w:tcPr>
          <w:p w14:paraId="1154A29D" w14:textId="0E146BFA" w:rsidR="00C972CB" w:rsidRDefault="002457F6">
            <w:pPr>
              <w:pStyle w:val="P68B1DB1-Normal11"/>
              <w:spacing w:before="120" w:after="120"/>
              <w:jc w:val="center"/>
              <w:rPr>
                <w:rFonts w:eastAsia="Calibri"/>
                <w:noProof/>
              </w:rPr>
            </w:pPr>
            <w:r>
              <w:rPr>
                <w:noProof/>
              </w:rPr>
              <w:t>Procentuālā daļa</w:t>
            </w:r>
          </w:p>
        </w:tc>
        <w:tc>
          <w:tcPr>
            <w:tcW w:w="1092" w:type="dxa"/>
            <w:shd w:val="clear" w:color="auto" w:fill="C6EFCE"/>
            <w:noWrap/>
            <w:vAlign w:val="center"/>
            <w:hideMark/>
          </w:tcPr>
          <w:p w14:paraId="76EF1C00" w14:textId="77777777" w:rsidR="00C972CB" w:rsidRDefault="002457F6">
            <w:pPr>
              <w:pStyle w:val="P68B1DB1-Normal11"/>
              <w:spacing w:before="120" w:after="120"/>
              <w:jc w:val="center"/>
              <w:rPr>
                <w:rFonts w:eastAsia="Calibri"/>
                <w:noProof/>
              </w:rPr>
            </w:pPr>
            <w:r>
              <w:rPr>
                <w:noProof/>
              </w:rPr>
              <w:t>0</w:t>
            </w:r>
          </w:p>
        </w:tc>
        <w:tc>
          <w:tcPr>
            <w:tcW w:w="775" w:type="dxa"/>
            <w:shd w:val="clear" w:color="auto" w:fill="C6EFCE"/>
            <w:noWrap/>
            <w:vAlign w:val="center"/>
            <w:hideMark/>
          </w:tcPr>
          <w:p w14:paraId="4E122A54" w14:textId="77777777" w:rsidR="00C972CB" w:rsidRDefault="002457F6">
            <w:pPr>
              <w:pStyle w:val="P68B1DB1-Normal11"/>
              <w:spacing w:before="120" w:after="120"/>
              <w:jc w:val="center"/>
              <w:rPr>
                <w:rFonts w:eastAsia="Calibri"/>
                <w:noProof/>
              </w:rPr>
            </w:pPr>
            <w:r>
              <w:rPr>
                <w:noProof/>
              </w:rPr>
              <w:t>85</w:t>
            </w:r>
          </w:p>
        </w:tc>
        <w:tc>
          <w:tcPr>
            <w:tcW w:w="1078" w:type="dxa"/>
            <w:shd w:val="clear" w:color="auto" w:fill="C6EFCE"/>
            <w:noWrap/>
            <w:vAlign w:val="center"/>
            <w:hideMark/>
          </w:tcPr>
          <w:p w14:paraId="29EEBBF2" w14:textId="77777777" w:rsidR="00C972CB" w:rsidRDefault="002457F6">
            <w:pPr>
              <w:pStyle w:val="P68B1DB1-Normal11"/>
              <w:spacing w:before="120" w:after="120"/>
              <w:jc w:val="center"/>
              <w:rPr>
                <w:rFonts w:eastAsia="Calibri"/>
                <w:noProof/>
              </w:rPr>
            </w:pPr>
            <w:r>
              <w:rPr>
                <w:noProof/>
              </w:rPr>
              <w:t>1. C</w:t>
            </w:r>
            <w:r>
              <w:rPr>
                <w:noProof/>
              </w:rPr>
              <w:t>ET.</w:t>
            </w:r>
          </w:p>
        </w:tc>
        <w:tc>
          <w:tcPr>
            <w:tcW w:w="755" w:type="dxa"/>
            <w:shd w:val="clear" w:color="auto" w:fill="C6EFCE"/>
            <w:noWrap/>
            <w:vAlign w:val="center"/>
            <w:hideMark/>
          </w:tcPr>
          <w:p w14:paraId="46AD0E2D" w14:textId="77777777" w:rsidR="00C972CB" w:rsidRDefault="002457F6">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7805B753" w14:textId="77777777" w:rsidR="00C972CB" w:rsidRDefault="002457F6">
            <w:pPr>
              <w:pStyle w:val="P68B1DB1-Normal11"/>
              <w:spacing w:before="120" w:after="120"/>
              <w:rPr>
                <w:rFonts w:eastAsia="Calibri"/>
                <w:noProof/>
              </w:rPr>
            </w:pPr>
            <w:r>
              <w:rPr>
                <w:noProof/>
              </w:rPr>
              <w:t>Vismaz 85 % sociālo rajonu sasniedz vismaz vienu no šādiem rezultātiem: atbalsts vecākiem, kuru bērni ir vecumā no 0 līdz 17 gadiem, ii) vecāka gadagājuma cilvēku autonomija, iii) mājas pakalpojumi vecāka gadagājuma cilvēkiem vai iv) atbalsts soci</w:t>
            </w:r>
            <w:r>
              <w:rPr>
                <w:noProof/>
              </w:rPr>
              <w:t>ālajiem darbiniekiem, lai novērstu izdegšanu.</w:t>
            </w:r>
          </w:p>
          <w:p w14:paraId="0E56E956" w14:textId="77777777" w:rsidR="00C972CB" w:rsidRDefault="002457F6">
            <w:pPr>
              <w:pStyle w:val="P68B1DB1-Normal11"/>
              <w:spacing w:before="120" w:after="120"/>
              <w:rPr>
                <w:rFonts w:eastAsia="Calibri"/>
                <w:noProof/>
              </w:rPr>
            </w:pPr>
            <w:r>
              <w:rPr>
                <w:noProof/>
              </w:rPr>
              <w:t>Projektā ir iesaistīti 85 % Itālijas sociālo rajonu.</w:t>
            </w:r>
          </w:p>
          <w:p w14:paraId="37423739" w14:textId="77777777" w:rsidR="00C972CB" w:rsidRDefault="002457F6">
            <w:pPr>
              <w:pStyle w:val="P68B1DB1-Normal11"/>
              <w:spacing w:before="120" w:after="120"/>
              <w:rPr>
                <w:rFonts w:eastAsia="Calibri"/>
                <w:noProof/>
              </w:rPr>
            </w:pPr>
            <w:r>
              <w:rPr>
                <w:noProof/>
              </w:rPr>
              <w:t>Četrās dimensijās un attiecīgajās prasībās paredzētās darbības ir tās, kas noteiktas operatīvajā plānā attiecībā uz tādu neaizsargātu iedzīvotāju grupu aktīv</w:t>
            </w:r>
            <w:r>
              <w:rPr>
                <w:noProof/>
              </w:rPr>
              <w:t>u iekļaušanu, kuru situācija Covid-19 epidemioloģiskās ārkārtas situācijas dēļ ir pasliktinājusies.</w:t>
            </w:r>
          </w:p>
          <w:p w14:paraId="024D5B47" w14:textId="35B0E227" w:rsidR="00C972CB" w:rsidRDefault="002457F6">
            <w:pPr>
              <w:pStyle w:val="P68B1DB1-Normal11"/>
              <w:spacing w:before="120" w:after="120"/>
              <w:rPr>
                <w:rFonts w:eastAsia="Calibri"/>
                <w:noProof/>
              </w:rPr>
            </w:pPr>
            <w:r>
              <w:rPr>
                <w:noProof/>
              </w:rPr>
              <w:t>Darbība attiecas uz visu valsts teritoriju. Paredzams, ka tajā piedalīsies visi sociālie rajoni, un stratēģija paredz, ka šādi projekti paver ceļu pakalpoju</w:t>
            </w:r>
            <w:r>
              <w:rPr>
                <w:noProof/>
              </w:rPr>
              <w:t>mu stabilizēšanai, oficiāli atzīstot visā teritorijā piešķiramās sociālās palīdzības būtisku līmeni.</w:t>
            </w:r>
          </w:p>
        </w:tc>
      </w:tr>
      <w:tr w:rsidR="00C972CB" w14:paraId="51111E47" w14:textId="77777777">
        <w:trPr>
          <w:trHeight w:val="309"/>
          <w:jc w:val="center"/>
        </w:trPr>
        <w:tc>
          <w:tcPr>
            <w:tcW w:w="1648" w:type="dxa"/>
            <w:shd w:val="clear" w:color="auto" w:fill="C6EFCE"/>
            <w:noWrap/>
            <w:vAlign w:val="center"/>
            <w:hideMark/>
          </w:tcPr>
          <w:p w14:paraId="3BE55A08" w14:textId="77777777" w:rsidR="00C972CB" w:rsidRDefault="002457F6">
            <w:pPr>
              <w:pStyle w:val="P68B1DB1-Normal11"/>
              <w:spacing w:before="120"/>
              <w:jc w:val="center"/>
              <w:rPr>
                <w:rFonts w:eastAsia="Calibri"/>
                <w:noProof/>
              </w:rPr>
            </w:pPr>
            <w:r>
              <w:rPr>
                <w:noProof/>
              </w:rPr>
              <w:t>M5C2–7</w:t>
            </w:r>
          </w:p>
        </w:tc>
        <w:tc>
          <w:tcPr>
            <w:tcW w:w="1908" w:type="dxa"/>
            <w:shd w:val="clear" w:color="auto" w:fill="C6EFCE"/>
            <w:noWrap/>
            <w:vAlign w:val="center"/>
            <w:hideMark/>
          </w:tcPr>
          <w:p w14:paraId="04160822" w14:textId="5FA5D401" w:rsidR="00C972CB" w:rsidRDefault="002457F6">
            <w:pPr>
              <w:pStyle w:val="P68B1DB1-Normal11"/>
              <w:spacing w:before="120"/>
              <w:jc w:val="center"/>
              <w:rPr>
                <w:rFonts w:eastAsia="Calibri"/>
                <w:noProof/>
              </w:rPr>
            </w:pPr>
            <w:r>
              <w:rPr>
                <w:noProof/>
              </w:rPr>
              <w:t>Ieguldījums. Personu ar invaliditāti autonomijas modeļi</w:t>
            </w:r>
          </w:p>
        </w:tc>
        <w:tc>
          <w:tcPr>
            <w:tcW w:w="1322" w:type="dxa"/>
            <w:shd w:val="clear" w:color="auto" w:fill="C6EFCE"/>
            <w:noWrap/>
            <w:vAlign w:val="center"/>
            <w:hideMark/>
          </w:tcPr>
          <w:p w14:paraId="5C42BA45" w14:textId="77777777" w:rsidR="00C972CB" w:rsidRDefault="002457F6">
            <w:pPr>
              <w:pStyle w:val="P68B1DB1-Normal11"/>
              <w:spacing w:before="120" w:after="120"/>
              <w:jc w:val="center"/>
              <w:rPr>
                <w:rFonts w:eastAsia="Calibri"/>
                <w:noProof/>
              </w:rPr>
            </w:pPr>
            <w:r>
              <w:rPr>
                <w:noProof/>
              </w:rPr>
              <w:t>Mērķa</w:t>
            </w:r>
          </w:p>
        </w:tc>
        <w:tc>
          <w:tcPr>
            <w:tcW w:w="1395" w:type="dxa"/>
            <w:shd w:val="clear" w:color="auto" w:fill="C6EFCE"/>
            <w:noWrap/>
            <w:vAlign w:val="center"/>
            <w:hideMark/>
          </w:tcPr>
          <w:p w14:paraId="06F0D292" w14:textId="77777777" w:rsidR="00C972CB" w:rsidRDefault="002457F6">
            <w:pPr>
              <w:pStyle w:val="P68B1DB1-Normal11"/>
              <w:spacing w:before="120" w:after="120"/>
              <w:jc w:val="center"/>
              <w:rPr>
                <w:rFonts w:eastAsia="Calibri"/>
                <w:noProof/>
              </w:rPr>
            </w:pPr>
            <w:r>
              <w:rPr>
                <w:noProof/>
              </w:rPr>
              <w:t xml:space="preserve">Sociālie rajoni ir īstenojuši vismaz vienu projektu saistībā ar dzīvojamo telpu </w:t>
            </w:r>
            <w:r>
              <w:rPr>
                <w:noProof/>
              </w:rPr>
              <w:t>renovāciju un/vai IKT ierīču nodrošināšanu personām ar invaliditāti, ko papildina digitālo prasmju apmācība.</w:t>
            </w:r>
          </w:p>
        </w:tc>
        <w:tc>
          <w:tcPr>
            <w:tcW w:w="1476" w:type="dxa"/>
            <w:shd w:val="clear" w:color="auto" w:fill="C6EFCE"/>
            <w:noWrap/>
            <w:vAlign w:val="center"/>
            <w:hideMark/>
          </w:tcPr>
          <w:p w14:paraId="5FCAD4EC" w14:textId="77777777" w:rsidR="00C972CB" w:rsidRDefault="002457F6">
            <w:pPr>
              <w:pStyle w:val="P68B1DB1-Normal11"/>
              <w:spacing w:before="120" w:after="120"/>
              <w:jc w:val="center"/>
              <w:rPr>
                <w:rFonts w:eastAsia="Calibri"/>
                <w:noProof/>
              </w:rPr>
            </w:pPr>
            <w:r>
              <w:rPr>
                <w:noProof/>
              </w:rPr>
              <w:t>NEPIEMĒRO</w:t>
            </w:r>
          </w:p>
        </w:tc>
        <w:tc>
          <w:tcPr>
            <w:tcW w:w="1474" w:type="dxa"/>
            <w:shd w:val="clear" w:color="auto" w:fill="C6EFCE"/>
            <w:noWrap/>
            <w:vAlign w:val="center"/>
            <w:hideMark/>
          </w:tcPr>
          <w:p w14:paraId="0357502F" w14:textId="77777777" w:rsidR="00C972CB" w:rsidRDefault="002457F6">
            <w:pPr>
              <w:pStyle w:val="P68B1DB1-Normal11"/>
              <w:spacing w:before="120" w:after="120"/>
              <w:jc w:val="center"/>
              <w:rPr>
                <w:rFonts w:eastAsia="Calibri"/>
                <w:noProof/>
              </w:rPr>
            </w:pPr>
            <w:r>
              <w:rPr>
                <w:noProof/>
              </w:rPr>
              <w:t>Skaits</w:t>
            </w:r>
          </w:p>
        </w:tc>
        <w:tc>
          <w:tcPr>
            <w:tcW w:w="1092" w:type="dxa"/>
            <w:shd w:val="clear" w:color="auto" w:fill="C6EFCE"/>
            <w:noWrap/>
            <w:vAlign w:val="center"/>
            <w:hideMark/>
          </w:tcPr>
          <w:p w14:paraId="47ABC482" w14:textId="77777777" w:rsidR="00C972CB" w:rsidRDefault="002457F6">
            <w:pPr>
              <w:pStyle w:val="P68B1DB1-Normal11"/>
              <w:spacing w:before="120" w:after="120"/>
              <w:jc w:val="center"/>
              <w:rPr>
                <w:rFonts w:eastAsia="Calibri"/>
                <w:noProof/>
              </w:rPr>
            </w:pPr>
            <w:r>
              <w:rPr>
                <w:noProof/>
              </w:rPr>
              <w:t>0</w:t>
            </w:r>
          </w:p>
        </w:tc>
        <w:tc>
          <w:tcPr>
            <w:tcW w:w="775" w:type="dxa"/>
            <w:shd w:val="clear" w:color="auto" w:fill="C6EFCE"/>
            <w:noWrap/>
            <w:vAlign w:val="center"/>
            <w:hideMark/>
          </w:tcPr>
          <w:p w14:paraId="239E9A3A" w14:textId="77777777" w:rsidR="00C972CB" w:rsidRDefault="002457F6">
            <w:pPr>
              <w:pStyle w:val="P68B1DB1-Normal11"/>
              <w:spacing w:before="120" w:after="120"/>
              <w:jc w:val="center"/>
              <w:rPr>
                <w:rFonts w:eastAsia="Calibri"/>
                <w:noProof/>
              </w:rPr>
            </w:pPr>
            <w:r>
              <w:rPr>
                <w:noProof/>
              </w:rPr>
              <w:t>500</w:t>
            </w:r>
          </w:p>
        </w:tc>
        <w:tc>
          <w:tcPr>
            <w:tcW w:w="1078" w:type="dxa"/>
            <w:shd w:val="clear" w:color="auto" w:fill="C6EFCE"/>
            <w:noWrap/>
            <w:vAlign w:val="center"/>
            <w:hideMark/>
          </w:tcPr>
          <w:p w14:paraId="168F653C" w14:textId="77777777" w:rsidR="00C972CB" w:rsidRDefault="002457F6">
            <w:pPr>
              <w:pStyle w:val="P68B1DB1-Normal11"/>
              <w:spacing w:before="120" w:after="120"/>
              <w:jc w:val="center"/>
              <w:rPr>
                <w:rFonts w:eastAsia="Calibri"/>
                <w:noProof/>
              </w:rPr>
            </w:pPr>
            <w:r>
              <w:rPr>
                <w:noProof/>
              </w:rPr>
              <w:t>4. CET.</w:t>
            </w:r>
          </w:p>
        </w:tc>
        <w:tc>
          <w:tcPr>
            <w:tcW w:w="755" w:type="dxa"/>
            <w:shd w:val="clear" w:color="auto" w:fill="C6EFCE"/>
            <w:noWrap/>
            <w:vAlign w:val="center"/>
            <w:hideMark/>
          </w:tcPr>
          <w:p w14:paraId="162B7130" w14:textId="77777777" w:rsidR="00C972CB" w:rsidRDefault="002457F6">
            <w:pPr>
              <w:pStyle w:val="P68B1DB1-Normal11"/>
              <w:spacing w:before="120" w:after="120"/>
              <w:jc w:val="center"/>
              <w:rPr>
                <w:rFonts w:eastAsia="Calibri"/>
                <w:noProof/>
              </w:rPr>
            </w:pPr>
            <w:r>
              <w:rPr>
                <w:noProof/>
              </w:rPr>
              <w:t>2022</w:t>
            </w:r>
          </w:p>
        </w:tc>
        <w:tc>
          <w:tcPr>
            <w:tcW w:w="5046" w:type="dxa"/>
            <w:shd w:val="clear" w:color="auto" w:fill="C6EFCE"/>
            <w:noWrap/>
            <w:vAlign w:val="center"/>
            <w:hideMark/>
          </w:tcPr>
          <w:p w14:paraId="1BA1EF5E" w14:textId="77777777" w:rsidR="00C972CB" w:rsidRDefault="002457F6">
            <w:pPr>
              <w:pStyle w:val="P68B1DB1-Normal11"/>
              <w:spacing w:before="120" w:after="120"/>
              <w:rPr>
                <w:rFonts w:eastAsia="Calibri"/>
                <w:noProof/>
              </w:rPr>
            </w:pPr>
            <w:r>
              <w:rPr>
                <w:noProof/>
              </w:rPr>
              <w:t xml:space="preserve">Sociālie rajoni īsteno vismaz 500 projektus saistībā ar mājas telpu renovāciju un/vai IKT ierīču nodrošināšanu </w:t>
            </w:r>
            <w:r>
              <w:rPr>
                <w:noProof/>
              </w:rPr>
              <w:t xml:space="preserve">cilvēkiem ar invaliditāti, ko papildina apmācība par digitālajām prasmēm. </w:t>
            </w:r>
          </w:p>
          <w:p w14:paraId="2E68B414" w14:textId="77777777" w:rsidR="00C972CB" w:rsidRDefault="002457F6">
            <w:pPr>
              <w:pStyle w:val="P68B1DB1-Normal11"/>
              <w:spacing w:before="120" w:after="120"/>
              <w:rPr>
                <w:rFonts w:eastAsia="Calibri"/>
                <w:noProof/>
              </w:rPr>
            </w:pPr>
            <w:r>
              <w:rPr>
                <w:noProof/>
              </w:rPr>
              <w:t>Mērķrādītāja apmierinoša sasniegšana ir atkarīga arī no tā, vai tiks apmierinoši sasniegts sekundārais mērķis: vismaz 500 sociālie rajoni ir īstenojuši vismaz vienu projektu saistīb</w:t>
            </w:r>
            <w:r>
              <w:rPr>
                <w:noProof/>
              </w:rPr>
              <w:t>ā ar mājas telpu renovāciju un/vai IKT ierīču nodrošināšanu personām ar invaliditāti, ko papildina digitālo prasmju apmācība.</w:t>
            </w:r>
          </w:p>
          <w:p w14:paraId="01D12F52" w14:textId="77777777" w:rsidR="00C972CB" w:rsidRDefault="002457F6">
            <w:pPr>
              <w:pStyle w:val="P68B1DB1-Normal11"/>
              <w:spacing w:before="120" w:after="120"/>
              <w:rPr>
                <w:rFonts w:eastAsia="Calibri"/>
                <w:noProof/>
              </w:rPr>
            </w:pPr>
            <w:r>
              <w:rPr>
                <w:noProof/>
              </w:rPr>
              <w:t>Vismaz viena projekta īstenošana no vismaz 500 sociālajiem rajoniem, kas piedalījušies ar konkurenci nesaistītajā procedūrā.</w:t>
            </w:r>
          </w:p>
        </w:tc>
      </w:tr>
      <w:tr w:rsidR="00C972CB" w14:paraId="2EB13AC9" w14:textId="77777777">
        <w:trPr>
          <w:trHeight w:val="309"/>
          <w:jc w:val="center"/>
        </w:trPr>
        <w:tc>
          <w:tcPr>
            <w:tcW w:w="1648" w:type="dxa"/>
            <w:shd w:val="clear" w:color="auto" w:fill="C6EFCE"/>
            <w:noWrap/>
            <w:vAlign w:val="center"/>
            <w:hideMark/>
          </w:tcPr>
          <w:p w14:paraId="1967F6D3" w14:textId="32749780" w:rsidR="00C972CB" w:rsidRDefault="002457F6">
            <w:pPr>
              <w:pStyle w:val="P68B1DB1-Normal11"/>
              <w:spacing w:before="120"/>
              <w:jc w:val="center"/>
              <w:rPr>
                <w:rFonts w:eastAsia="Calibri"/>
                <w:noProof/>
              </w:rPr>
            </w:pPr>
            <w:r>
              <w:rPr>
                <w:noProof/>
              </w:rPr>
              <w:t>M5C2–8</w:t>
            </w:r>
          </w:p>
        </w:tc>
        <w:tc>
          <w:tcPr>
            <w:tcW w:w="1908" w:type="dxa"/>
            <w:shd w:val="clear" w:color="auto" w:fill="C6EFCE"/>
            <w:noWrap/>
            <w:vAlign w:val="center"/>
            <w:hideMark/>
          </w:tcPr>
          <w:p w14:paraId="4474BB25" w14:textId="77777777" w:rsidR="00C972CB" w:rsidRDefault="002457F6">
            <w:pPr>
              <w:pStyle w:val="P68B1DB1-Normal11"/>
              <w:spacing w:before="120" w:after="120"/>
              <w:jc w:val="center"/>
              <w:rPr>
                <w:rFonts w:eastAsia="Calibri"/>
                <w:noProof/>
              </w:rPr>
            </w:pPr>
            <w:r>
              <w:rPr>
                <w:noProof/>
              </w:rPr>
              <w:t>Ieguldījums. Personu ar invaliditāti autonomijas modeļi</w:t>
            </w:r>
          </w:p>
        </w:tc>
        <w:tc>
          <w:tcPr>
            <w:tcW w:w="1322" w:type="dxa"/>
            <w:shd w:val="clear" w:color="auto" w:fill="C6EFCE"/>
            <w:noWrap/>
            <w:vAlign w:val="center"/>
            <w:hideMark/>
          </w:tcPr>
          <w:p w14:paraId="4D3C40A6" w14:textId="77777777" w:rsidR="00C972CB" w:rsidRDefault="002457F6">
            <w:pPr>
              <w:pStyle w:val="P68B1DB1-Normal11"/>
              <w:spacing w:before="120" w:after="120"/>
              <w:jc w:val="center"/>
              <w:rPr>
                <w:rFonts w:eastAsia="Calibri"/>
                <w:noProof/>
              </w:rPr>
            </w:pPr>
            <w:r>
              <w:rPr>
                <w:noProof/>
              </w:rPr>
              <w:t>Mērķa</w:t>
            </w:r>
          </w:p>
        </w:tc>
        <w:tc>
          <w:tcPr>
            <w:tcW w:w="1395" w:type="dxa"/>
            <w:shd w:val="clear" w:color="auto" w:fill="C6EFCE"/>
            <w:noWrap/>
            <w:vAlign w:val="center"/>
            <w:hideMark/>
          </w:tcPr>
          <w:p w14:paraId="1B8901B7" w14:textId="77777777" w:rsidR="00C972CB" w:rsidRDefault="002457F6">
            <w:pPr>
              <w:pStyle w:val="P68B1DB1-Normal11"/>
              <w:spacing w:before="120" w:after="120"/>
              <w:jc w:val="center"/>
              <w:rPr>
                <w:rFonts w:eastAsia="Calibri"/>
                <w:noProof/>
              </w:rPr>
            </w:pPr>
            <w:r>
              <w:rPr>
                <w:noProof/>
              </w:rPr>
              <w:t>Invalīdi ir saņēmuši mājas telpas atjaunošanu un/vai IKT ierīču nodrošināšanu. Pakalpojumus papildina apmācība par digitālajām prasmēm.</w:t>
            </w:r>
          </w:p>
        </w:tc>
        <w:tc>
          <w:tcPr>
            <w:tcW w:w="1476" w:type="dxa"/>
            <w:shd w:val="clear" w:color="auto" w:fill="C6EFCE"/>
            <w:noWrap/>
            <w:vAlign w:val="center"/>
            <w:hideMark/>
          </w:tcPr>
          <w:p w14:paraId="7213820C" w14:textId="77777777" w:rsidR="00C972CB" w:rsidRDefault="002457F6">
            <w:pPr>
              <w:pStyle w:val="P68B1DB1-Normal11"/>
              <w:spacing w:before="120" w:after="120"/>
              <w:jc w:val="center"/>
              <w:rPr>
                <w:rFonts w:eastAsia="Calibri"/>
                <w:noProof/>
              </w:rPr>
            </w:pPr>
            <w:r>
              <w:rPr>
                <w:noProof/>
              </w:rPr>
              <w:t>NEPIEMĒRO</w:t>
            </w:r>
          </w:p>
        </w:tc>
        <w:tc>
          <w:tcPr>
            <w:tcW w:w="1474" w:type="dxa"/>
            <w:shd w:val="clear" w:color="auto" w:fill="C6EFCE"/>
            <w:noWrap/>
            <w:vAlign w:val="center"/>
            <w:hideMark/>
          </w:tcPr>
          <w:p w14:paraId="71710BE1" w14:textId="77777777" w:rsidR="00C972CB" w:rsidRDefault="002457F6">
            <w:pPr>
              <w:pStyle w:val="P68B1DB1-Normal11"/>
              <w:spacing w:before="120" w:after="120"/>
              <w:jc w:val="center"/>
              <w:rPr>
                <w:rFonts w:eastAsia="Calibri"/>
                <w:noProof/>
              </w:rPr>
            </w:pPr>
            <w:r>
              <w:rPr>
                <w:noProof/>
              </w:rPr>
              <w:t>Skaits</w:t>
            </w:r>
          </w:p>
        </w:tc>
        <w:tc>
          <w:tcPr>
            <w:tcW w:w="1092" w:type="dxa"/>
            <w:shd w:val="clear" w:color="auto" w:fill="C6EFCE"/>
            <w:noWrap/>
            <w:vAlign w:val="center"/>
            <w:hideMark/>
          </w:tcPr>
          <w:p w14:paraId="18E1AAF4" w14:textId="63A412B9" w:rsidR="00C972CB" w:rsidRDefault="002457F6">
            <w:pPr>
              <w:pStyle w:val="P68B1DB1-Normal11"/>
              <w:spacing w:before="120" w:after="120"/>
              <w:jc w:val="center"/>
              <w:rPr>
                <w:rFonts w:eastAsia="Calibri"/>
                <w:noProof/>
              </w:rPr>
            </w:pPr>
            <w:r>
              <w:rPr>
                <w:noProof/>
              </w:rPr>
              <w:t>1 000</w:t>
            </w:r>
          </w:p>
        </w:tc>
        <w:tc>
          <w:tcPr>
            <w:tcW w:w="775" w:type="dxa"/>
            <w:shd w:val="clear" w:color="auto" w:fill="C6EFCE"/>
            <w:noWrap/>
            <w:vAlign w:val="center"/>
            <w:hideMark/>
          </w:tcPr>
          <w:p w14:paraId="246821FE" w14:textId="4BD68EB8" w:rsidR="00C972CB" w:rsidRDefault="002457F6">
            <w:pPr>
              <w:pStyle w:val="P68B1DB1-Normal11"/>
              <w:spacing w:before="120" w:after="120"/>
              <w:jc w:val="center"/>
              <w:rPr>
                <w:rFonts w:eastAsia="Calibri"/>
                <w:noProof/>
              </w:rPr>
            </w:pPr>
            <w:r>
              <w:rPr>
                <w:noProof/>
              </w:rPr>
              <w:t>5 000</w:t>
            </w:r>
          </w:p>
        </w:tc>
        <w:tc>
          <w:tcPr>
            <w:tcW w:w="1078" w:type="dxa"/>
            <w:shd w:val="clear" w:color="auto" w:fill="C6EFCE"/>
            <w:noWrap/>
            <w:vAlign w:val="center"/>
            <w:hideMark/>
          </w:tcPr>
          <w:p w14:paraId="49ECCE76" w14:textId="77777777" w:rsidR="00C972CB" w:rsidRDefault="002457F6">
            <w:pPr>
              <w:pStyle w:val="P68B1DB1-Normal11"/>
              <w:spacing w:before="120" w:after="120"/>
              <w:jc w:val="center"/>
              <w:rPr>
                <w:rFonts w:eastAsia="Calibri"/>
                <w:noProof/>
              </w:rPr>
            </w:pPr>
            <w:r>
              <w:rPr>
                <w:noProof/>
              </w:rPr>
              <w:t>1. CET.</w:t>
            </w:r>
          </w:p>
        </w:tc>
        <w:tc>
          <w:tcPr>
            <w:tcW w:w="755" w:type="dxa"/>
            <w:shd w:val="clear" w:color="auto" w:fill="C6EFCE"/>
            <w:noWrap/>
            <w:vAlign w:val="center"/>
            <w:hideMark/>
          </w:tcPr>
          <w:p w14:paraId="1CB95FC2" w14:textId="77777777" w:rsidR="00C972CB" w:rsidRDefault="002457F6">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0E9B559E" w14:textId="524B0A4C" w:rsidR="00C972CB" w:rsidRDefault="002457F6">
            <w:pPr>
              <w:pStyle w:val="P68B1DB1-Normal11"/>
              <w:spacing w:before="120" w:after="120"/>
              <w:rPr>
                <w:rFonts w:eastAsia="Calibri"/>
                <w:noProof/>
              </w:rPr>
            </w:pPr>
            <w:r>
              <w:rPr>
                <w:noProof/>
              </w:rPr>
              <w:t xml:space="preserve">Vismaz </w:t>
            </w:r>
            <w:r>
              <w:rPr>
                <w:noProof/>
              </w:rPr>
              <w:t>5000 cilvēku ar invaliditāti ir saņēmuši mājas telpas atjaunošanu un/vai IKT ierīču nodrošināšanu. Pakalpojumus papildina apmācība par digitālajām prasmēm.</w:t>
            </w:r>
          </w:p>
          <w:p w14:paraId="78305474" w14:textId="6C2F69A7" w:rsidR="00C972CB" w:rsidRDefault="002457F6">
            <w:pPr>
              <w:pStyle w:val="P68B1DB1-Normal11"/>
              <w:spacing w:before="120" w:after="120"/>
              <w:rPr>
                <w:rFonts w:eastAsia="Calibri"/>
                <w:noProof/>
              </w:rPr>
            </w:pPr>
            <w:r>
              <w:rPr>
                <w:noProof/>
              </w:rPr>
              <w:t>Vismaz 5000 cilvēku (1000 esošo un 4000 jaunu) ar invaliditāti kā tehniskās palīdzības pasākumu saņē</w:t>
            </w:r>
            <w:r>
              <w:rPr>
                <w:noProof/>
              </w:rPr>
              <w:t>mēji.</w:t>
            </w:r>
          </w:p>
          <w:p w14:paraId="7124DFF9" w14:textId="77777777" w:rsidR="00C972CB" w:rsidRDefault="002457F6">
            <w:pPr>
              <w:pStyle w:val="P68B1DB1-Normal11"/>
              <w:spacing w:before="120" w:after="120"/>
              <w:rPr>
                <w:rFonts w:eastAsia="Calibri"/>
                <w:noProof/>
              </w:rPr>
            </w:pPr>
            <w:r>
              <w:rPr>
                <w:noProof/>
              </w:rPr>
              <w:t xml:space="preserve">Personu ar invaliditāti definīcija (pamatojoties uz ICF) ir izklāstīta 2019. gada valsts plānā attiecībā uz cilvēkiem, kas nav pašpietiekami. Pamatnostādnes personu ar invaliditāti autonomijas projektam jau ir izstrādātas iepriekšējo projektu </w:t>
            </w:r>
            <w:r>
              <w:rPr>
                <w:noProof/>
              </w:rPr>
              <w:t>rezultātā. Īpaša likuma Nr. 112/2016 apstiprināšana un īpaša valsts fonda izveide darbībai attiecas uz visu valsts teritoriju. Visi sociālie rajoni tiek aicināti piedalīties, un stratēģija paredz, ka šādi projekti paver ceļu pakalpojumu stabilizēšanai, ofi</w:t>
            </w:r>
            <w:r>
              <w:rPr>
                <w:noProof/>
              </w:rPr>
              <w:t>ciāli atzīstot visā teritorijā piešķiramās sociālās palīdzības būtisku līmeni.</w:t>
            </w:r>
          </w:p>
        </w:tc>
      </w:tr>
      <w:tr w:rsidR="00C972CB" w14:paraId="724EC830" w14:textId="77777777">
        <w:trPr>
          <w:trHeight w:val="309"/>
          <w:jc w:val="center"/>
        </w:trPr>
        <w:tc>
          <w:tcPr>
            <w:tcW w:w="1648" w:type="dxa"/>
            <w:shd w:val="clear" w:color="auto" w:fill="C6EFCE"/>
            <w:noWrap/>
            <w:vAlign w:val="center"/>
            <w:hideMark/>
          </w:tcPr>
          <w:p w14:paraId="1E9B8DBD" w14:textId="120B912F" w:rsidR="00C972CB" w:rsidRDefault="002457F6">
            <w:pPr>
              <w:pStyle w:val="P68B1DB1-Normal11"/>
              <w:spacing w:before="120"/>
              <w:jc w:val="center"/>
              <w:rPr>
                <w:rFonts w:eastAsia="Calibri"/>
                <w:noProof/>
              </w:rPr>
            </w:pPr>
            <w:r>
              <w:rPr>
                <w:noProof/>
              </w:rPr>
              <w:t>M5C2–9</w:t>
            </w:r>
          </w:p>
        </w:tc>
        <w:tc>
          <w:tcPr>
            <w:tcW w:w="1908" w:type="dxa"/>
            <w:shd w:val="clear" w:color="auto" w:fill="C6EFCE"/>
            <w:noWrap/>
            <w:vAlign w:val="center"/>
            <w:hideMark/>
          </w:tcPr>
          <w:p w14:paraId="50994C79" w14:textId="77777777" w:rsidR="00C972CB" w:rsidRDefault="002457F6">
            <w:pPr>
              <w:pStyle w:val="P68B1DB1-Normal11"/>
              <w:spacing w:before="120" w:after="120"/>
              <w:jc w:val="center"/>
              <w:rPr>
                <w:rFonts w:eastAsia="Calibri"/>
                <w:noProof/>
              </w:rPr>
            </w:pPr>
            <w:r>
              <w:rPr>
                <w:noProof/>
              </w:rPr>
              <w:t>Ieguldījums — Mājokļu pirmās un pēcsta stacijas</w:t>
            </w:r>
          </w:p>
        </w:tc>
        <w:tc>
          <w:tcPr>
            <w:tcW w:w="1322" w:type="dxa"/>
            <w:shd w:val="clear" w:color="auto" w:fill="C6EFCE"/>
            <w:noWrap/>
            <w:vAlign w:val="center"/>
            <w:hideMark/>
          </w:tcPr>
          <w:p w14:paraId="24179C5E" w14:textId="77777777" w:rsidR="00C972CB" w:rsidRDefault="002457F6">
            <w:pPr>
              <w:pStyle w:val="P68B1DB1-Normal11"/>
              <w:spacing w:before="120" w:after="120"/>
              <w:jc w:val="center"/>
              <w:rPr>
                <w:rFonts w:eastAsia="Calibri"/>
                <w:noProof/>
              </w:rPr>
            </w:pPr>
            <w:r>
              <w:rPr>
                <w:noProof/>
              </w:rPr>
              <w:t>Starpposma mērķis</w:t>
            </w:r>
          </w:p>
        </w:tc>
        <w:tc>
          <w:tcPr>
            <w:tcW w:w="1395" w:type="dxa"/>
            <w:shd w:val="clear" w:color="auto" w:fill="C6EFCE"/>
            <w:noWrap/>
            <w:vAlign w:val="center"/>
            <w:hideMark/>
          </w:tcPr>
          <w:p w14:paraId="38D696E5" w14:textId="77777777" w:rsidR="00C972CB" w:rsidRDefault="002457F6">
            <w:pPr>
              <w:pStyle w:val="P68B1DB1-Normal11"/>
              <w:spacing w:before="120" w:after="120"/>
              <w:jc w:val="center"/>
              <w:rPr>
                <w:rFonts w:eastAsia="Calibri"/>
                <w:noProof/>
              </w:rPr>
            </w:pPr>
            <w:r>
              <w:rPr>
                <w:noProof/>
              </w:rPr>
              <w:t xml:space="preserve">Darbības plāna stāšanās spēkā attiecībā uz projektiem “Mājokļi pirmajās un pēcsta stacijās”, ar ko </w:t>
            </w:r>
            <w:r>
              <w:rPr>
                <w:noProof/>
              </w:rPr>
              <w:t>nosaka prasības projektiem, kurus var iesniegt vietējās struktūras, un izsludināt uzaicinājumu iesniegt priekšlikumus</w:t>
            </w:r>
          </w:p>
        </w:tc>
        <w:tc>
          <w:tcPr>
            <w:tcW w:w="1476" w:type="dxa"/>
            <w:shd w:val="clear" w:color="auto" w:fill="C6EFCE"/>
            <w:noWrap/>
            <w:vAlign w:val="center"/>
            <w:hideMark/>
          </w:tcPr>
          <w:p w14:paraId="1B679361" w14:textId="77777777" w:rsidR="00C972CB" w:rsidRDefault="002457F6">
            <w:pPr>
              <w:pStyle w:val="P68B1DB1-Normal11"/>
              <w:spacing w:before="120" w:after="120"/>
              <w:jc w:val="center"/>
              <w:rPr>
                <w:rFonts w:eastAsia="Calibri"/>
                <w:noProof/>
              </w:rPr>
            </w:pPr>
            <w:r>
              <w:rPr>
                <w:noProof/>
              </w:rPr>
              <w:t>Likuma noteikumi, kas norāda, ka stājas spēkā intervences operatīvais plāns</w:t>
            </w:r>
          </w:p>
        </w:tc>
        <w:tc>
          <w:tcPr>
            <w:tcW w:w="1474" w:type="dxa"/>
            <w:shd w:val="clear" w:color="auto" w:fill="C6EFCE"/>
            <w:noWrap/>
            <w:vAlign w:val="center"/>
            <w:hideMark/>
          </w:tcPr>
          <w:p w14:paraId="6F8DAEF3" w14:textId="77777777" w:rsidR="00C972CB" w:rsidRDefault="002457F6">
            <w:pPr>
              <w:pStyle w:val="P68B1DB1-Normal11"/>
              <w:spacing w:before="120" w:after="120"/>
              <w:jc w:val="center"/>
              <w:rPr>
                <w:rFonts w:eastAsia="Calibri"/>
                <w:noProof/>
              </w:rPr>
            </w:pPr>
            <w:r>
              <w:rPr>
                <w:noProof/>
              </w:rPr>
              <w:t>NEPIEMĒRO</w:t>
            </w:r>
          </w:p>
        </w:tc>
        <w:tc>
          <w:tcPr>
            <w:tcW w:w="1092" w:type="dxa"/>
            <w:shd w:val="clear" w:color="auto" w:fill="C6EFCE"/>
            <w:noWrap/>
            <w:vAlign w:val="center"/>
            <w:hideMark/>
          </w:tcPr>
          <w:p w14:paraId="297DA1C1" w14:textId="77777777" w:rsidR="00C972CB" w:rsidRDefault="002457F6">
            <w:pPr>
              <w:pStyle w:val="P68B1DB1-Normal11"/>
              <w:spacing w:before="120" w:after="120"/>
              <w:jc w:val="center"/>
              <w:rPr>
                <w:rFonts w:eastAsia="Calibri"/>
                <w:noProof/>
              </w:rPr>
            </w:pPr>
            <w:r>
              <w:rPr>
                <w:noProof/>
              </w:rPr>
              <w:t>NEPIEMĒRO</w:t>
            </w:r>
          </w:p>
        </w:tc>
        <w:tc>
          <w:tcPr>
            <w:tcW w:w="775" w:type="dxa"/>
            <w:shd w:val="clear" w:color="auto" w:fill="C6EFCE"/>
            <w:noWrap/>
            <w:vAlign w:val="center"/>
            <w:hideMark/>
          </w:tcPr>
          <w:p w14:paraId="53B33E28" w14:textId="77777777" w:rsidR="00C972CB" w:rsidRDefault="002457F6">
            <w:pPr>
              <w:pStyle w:val="P68B1DB1-Normal11"/>
              <w:spacing w:before="120" w:after="120"/>
              <w:jc w:val="center"/>
              <w:rPr>
                <w:rFonts w:eastAsia="Calibri"/>
                <w:noProof/>
              </w:rPr>
            </w:pPr>
            <w:r>
              <w:rPr>
                <w:noProof/>
              </w:rPr>
              <w:t>NEPIEMĒRO</w:t>
            </w:r>
          </w:p>
        </w:tc>
        <w:tc>
          <w:tcPr>
            <w:tcW w:w="1078" w:type="dxa"/>
            <w:shd w:val="clear" w:color="auto" w:fill="C6EFCE"/>
            <w:noWrap/>
            <w:vAlign w:val="center"/>
            <w:hideMark/>
          </w:tcPr>
          <w:p w14:paraId="1E646497" w14:textId="77777777" w:rsidR="00C972CB" w:rsidRDefault="002457F6">
            <w:pPr>
              <w:pStyle w:val="P68B1DB1-Normal11"/>
              <w:spacing w:before="120" w:after="120"/>
              <w:jc w:val="center"/>
              <w:rPr>
                <w:rFonts w:eastAsia="Calibri"/>
                <w:noProof/>
              </w:rPr>
            </w:pPr>
            <w:r>
              <w:rPr>
                <w:noProof/>
              </w:rPr>
              <w:t>1. CET.</w:t>
            </w:r>
          </w:p>
        </w:tc>
        <w:tc>
          <w:tcPr>
            <w:tcW w:w="755" w:type="dxa"/>
            <w:shd w:val="clear" w:color="auto" w:fill="C6EFCE"/>
            <w:noWrap/>
            <w:vAlign w:val="center"/>
            <w:hideMark/>
          </w:tcPr>
          <w:p w14:paraId="0C73C974" w14:textId="77777777" w:rsidR="00C972CB" w:rsidRDefault="002457F6">
            <w:pPr>
              <w:pStyle w:val="P68B1DB1-Normal11"/>
              <w:spacing w:before="120" w:after="120"/>
              <w:jc w:val="center"/>
              <w:rPr>
                <w:rFonts w:eastAsia="Calibri"/>
                <w:noProof/>
              </w:rPr>
            </w:pPr>
            <w:r>
              <w:rPr>
                <w:noProof/>
              </w:rPr>
              <w:t>2022</w:t>
            </w:r>
          </w:p>
        </w:tc>
        <w:tc>
          <w:tcPr>
            <w:tcW w:w="5046" w:type="dxa"/>
            <w:shd w:val="clear" w:color="auto" w:fill="C6EFCE"/>
            <w:noWrap/>
            <w:vAlign w:val="center"/>
            <w:hideMark/>
          </w:tcPr>
          <w:p w14:paraId="51041D63" w14:textId="77777777" w:rsidR="00C972CB" w:rsidRDefault="002457F6">
            <w:pPr>
              <w:pStyle w:val="P68B1DB1-Normal11"/>
              <w:spacing w:before="120" w:after="120"/>
              <w:rPr>
                <w:rFonts w:eastAsia="Calibri"/>
                <w:noProof/>
              </w:rPr>
            </w:pPr>
            <w:r>
              <w:rPr>
                <w:noProof/>
              </w:rPr>
              <w:t>Darbības plānā atti</w:t>
            </w:r>
            <w:r>
              <w:rPr>
                <w:noProof/>
              </w:rPr>
              <w:t>ecībā uz projektiem “Mājokļi pirmajās un pēcsta stacijās” nosaka prasības projektiem, kurus var iesniegt vietējās struktūras, un izsludināt uzaicinājumu iesniegt priekšlikumus.</w:t>
            </w:r>
          </w:p>
          <w:p w14:paraId="25E84C4A" w14:textId="77777777" w:rsidR="00C972CB" w:rsidRDefault="002457F6">
            <w:pPr>
              <w:pStyle w:val="P68B1DB1-Normal11"/>
              <w:spacing w:before="120" w:after="120"/>
              <w:rPr>
                <w:rFonts w:eastAsia="Calibri"/>
                <w:noProof/>
              </w:rPr>
            </w:pPr>
            <w:r>
              <w:rPr>
                <w:noProof/>
              </w:rPr>
              <w:t>Projekti “Mājokļi vispirms” paredz, ka vietējās struktūras nodrošina dzīvokļu p</w:t>
            </w:r>
            <w:r>
              <w:rPr>
                <w:noProof/>
              </w:rPr>
              <w:t>ieejamību atsevišķām personām, mazām grupām vai ģimenēm līdz 24 mēnešiem, vēlams, veicot ēku atjaunošanu un valsts īpašuma atjaunošanu. To papildina attīstības un autonomijas programmas.</w:t>
            </w:r>
          </w:p>
          <w:p w14:paraId="5BC366E2" w14:textId="77777777" w:rsidR="00C972CB" w:rsidRDefault="002457F6">
            <w:pPr>
              <w:pStyle w:val="P68B1DB1-Normal11"/>
              <w:spacing w:before="120" w:after="120"/>
              <w:rPr>
                <w:rFonts w:eastAsia="Calibri"/>
                <w:noProof/>
              </w:rPr>
            </w:pPr>
            <w:r>
              <w:rPr>
                <w:noProof/>
              </w:rPr>
              <w:t>Projekti par pēcstacijām paredz bezpajumtniekiem paredzētu pakalpojum</w:t>
            </w:r>
            <w:r>
              <w:rPr>
                <w:noProof/>
              </w:rPr>
              <w:t>u un iekļaušanas centru izveidi. To papildina darbā iekārtošanas programmas sadarbībā ar nodarbinātības centriem.</w:t>
            </w:r>
          </w:p>
        </w:tc>
      </w:tr>
      <w:tr w:rsidR="00C972CB" w14:paraId="4B9D7946" w14:textId="77777777">
        <w:trPr>
          <w:trHeight w:val="309"/>
          <w:jc w:val="center"/>
        </w:trPr>
        <w:tc>
          <w:tcPr>
            <w:tcW w:w="1648" w:type="dxa"/>
            <w:shd w:val="clear" w:color="auto" w:fill="C6EFCE"/>
            <w:noWrap/>
            <w:vAlign w:val="center"/>
            <w:hideMark/>
          </w:tcPr>
          <w:p w14:paraId="0DE04CD2" w14:textId="525818FB" w:rsidR="00C972CB" w:rsidRDefault="002457F6">
            <w:pPr>
              <w:pStyle w:val="P68B1DB1-Normal11"/>
              <w:spacing w:before="120"/>
              <w:jc w:val="center"/>
              <w:rPr>
                <w:rFonts w:eastAsia="Calibri"/>
                <w:noProof/>
              </w:rPr>
            </w:pPr>
            <w:r>
              <w:rPr>
                <w:noProof/>
              </w:rPr>
              <w:t>M5C2–10</w:t>
            </w:r>
          </w:p>
        </w:tc>
        <w:tc>
          <w:tcPr>
            <w:tcW w:w="1908" w:type="dxa"/>
            <w:shd w:val="clear" w:color="auto" w:fill="C6EFCE"/>
            <w:noWrap/>
            <w:vAlign w:val="center"/>
            <w:hideMark/>
          </w:tcPr>
          <w:p w14:paraId="70EFC763" w14:textId="77777777" w:rsidR="00C972CB" w:rsidRDefault="002457F6">
            <w:pPr>
              <w:pStyle w:val="P68B1DB1-Normal11"/>
              <w:spacing w:before="120" w:after="120"/>
              <w:jc w:val="center"/>
              <w:rPr>
                <w:rFonts w:eastAsia="Calibri"/>
                <w:noProof/>
              </w:rPr>
            </w:pPr>
            <w:r>
              <w:rPr>
                <w:noProof/>
              </w:rPr>
              <w:t>Ieguldījums — Mājokļu pirmās un pēcsta stacijas</w:t>
            </w:r>
          </w:p>
        </w:tc>
        <w:tc>
          <w:tcPr>
            <w:tcW w:w="1322" w:type="dxa"/>
            <w:shd w:val="clear" w:color="auto" w:fill="C6EFCE"/>
            <w:noWrap/>
            <w:vAlign w:val="center"/>
            <w:hideMark/>
          </w:tcPr>
          <w:p w14:paraId="39C11C86" w14:textId="77777777" w:rsidR="00C972CB" w:rsidRDefault="002457F6">
            <w:pPr>
              <w:pStyle w:val="P68B1DB1-Normal11"/>
              <w:spacing w:before="120" w:after="120"/>
              <w:jc w:val="center"/>
              <w:rPr>
                <w:rFonts w:eastAsia="Calibri"/>
                <w:noProof/>
              </w:rPr>
            </w:pPr>
            <w:r>
              <w:rPr>
                <w:noProof/>
              </w:rPr>
              <w:t>Mērķa</w:t>
            </w:r>
          </w:p>
        </w:tc>
        <w:tc>
          <w:tcPr>
            <w:tcW w:w="1395" w:type="dxa"/>
            <w:shd w:val="clear" w:color="auto" w:fill="C6EFCE"/>
            <w:noWrap/>
            <w:vAlign w:val="center"/>
            <w:hideMark/>
          </w:tcPr>
          <w:p w14:paraId="40700863" w14:textId="77777777" w:rsidR="00C972CB" w:rsidRDefault="002457F6">
            <w:pPr>
              <w:pStyle w:val="P68B1DB1-Normal11"/>
              <w:spacing w:before="120" w:after="120"/>
              <w:jc w:val="center"/>
              <w:rPr>
                <w:rFonts w:eastAsia="Calibri"/>
                <w:noProof/>
              </w:rPr>
            </w:pPr>
            <w:r>
              <w:rPr>
                <w:noProof/>
              </w:rPr>
              <w:t xml:space="preserve">Cilvēki, kuri dzīvo smagas materiālās nenodrošinātības apstākļos un kurus </w:t>
            </w:r>
            <w:r>
              <w:rPr>
                <w:noProof/>
              </w:rPr>
              <w:t>vismaz sešus mēnešus ir uzņēmušies atbildīgie projekti “Mājokļi vispirms” un “Pasta stacijas”</w:t>
            </w:r>
          </w:p>
        </w:tc>
        <w:tc>
          <w:tcPr>
            <w:tcW w:w="1476" w:type="dxa"/>
            <w:shd w:val="clear" w:color="auto" w:fill="C6EFCE"/>
            <w:noWrap/>
            <w:vAlign w:val="center"/>
            <w:hideMark/>
          </w:tcPr>
          <w:p w14:paraId="24FE9149" w14:textId="77777777" w:rsidR="00C972CB" w:rsidRDefault="002457F6">
            <w:pPr>
              <w:pStyle w:val="P68B1DB1-Normal11"/>
              <w:spacing w:before="120" w:after="120"/>
              <w:jc w:val="center"/>
              <w:rPr>
                <w:rFonts w:eastAsia="Calibri"/>
                <w:noProof/>
              </w:rPr>
            </w:pPr>
            <w:r>
              <w:rPr>
                <w:noProof/>
              </w:rPr>
              <w:t>NEPIEMĒRO</w:t>
            </w:r>
          </w:p>
        </w:tc>
        <w:tc>
          <w:tcPr>
            <w:tcW w:w="1474" w:type="dxa"/>
            <w:shd w:val="clear" w:color="auto" w:fill="C6EFCE"/>
            <w:noWrap/>
            <w:vAlign w:val="center"/>
            <w:hideMark/>
          </w:tcPr>
          <w:p w14:paraId="551876C2" w14:textId="77777777" w:rsidR="00C972CB" w:rsidRDefault="002457F6">
            <w:pPr>
              <w:pStyle w:val="P68B1DB1-Normal11"/>
              <w:spacing w:before="120" w:after="120"/>
              <w:jc w:val="center"/>
              <w:rPr>
                <w:rFonts w:eastAsia="Calibri"/>
                <w:noProof/>
              </w:rPr>
            </w:pPr>
            <w:r>
              <w:rPr>
                <w:noProof/>
              </w:rPr>
              <w:t>Skaits</w:t>
            </w:r>
          </w:p>
        </w:tc>
        <w:tc>
          <w:tcPr>
            <w:tcW w:w="1092" w:type="dxa"/>
            <w:shd w:val="clear" w:color="auto" w:fill="C6EFCE"/>
            <w:noWrap/>
            <w:vAlign w:val="center"/>
            <w:hideMark/>
          </w:tcPr>
          <w:p w14:paraId="2690D721" w14:textId="77777777" w:rsidR="00C972CB" w:rsidRDefault="002457F6">
            <w:pPr>
              <w:pStyle w:val="P68B1DB1-Normal11"/>
              <w:spacing w:before="120" w:after="120"/>
              <w:jc w:val="center"/>
              <w:rPr>
                <w:rFonts w:eastAsia="Calibri"/>
                <w:noProof/>
              </w:rPr>
            </w:pPr>
            <w:r>
              <w:rPr>
                <w:noProof/>
              </w:rPr>
              <w:t>0</w:t>
            </w:r>
          </w:p>
        </w:tc>
        <w:tc>
          <w:tcPr>
            <w:tcW w:w="775" w:type="dxa"/>
            <w:shd w:val="clear" w:color="auto" w:fill="C6EFCE"/>
            <w:noWrap/>
            <w:vAlign w:val="center"/>
            <w:hideMark/>
          </w:tcPr>
          <w:p w14:paraId="1D99E0FC" w14:textId="5ACFD6FD" w:rsidR="00C972CB" w:rsidRDefault="002457F6">
            <w:pPr>
              <w:pStyle w:val="P68B1DB1-Normal11"/>
              <w:spacing w:before="120" w:after="120"/>
              <w:jc w:val="center"/>
              <w:rPr>
                <w:rFonts w:eastAsia="Calibri"/>
                <w:noProof/>
              </w:rPr>
            </w:pPr>
            <w:r>
              <w:rPr>
                <w:noProof/>
              </w:rPr>
              <w:t>25 000</w:t>
            </w:r>
          </w:p>
        </w:tc>
        <w:tc>
          <w:tcPr>
            <w:tcW w:w="1078" w:type="dxa"/>
            <w:shd w:val="clear" w:color="auto" w:fill="C6EFCE"/>
            <w:noWrap/>
            <w:vAlign w:val="center"/>
            <w:hideMark/>
          </w:tcPr>
          <w:p w14:paraId="3358EEC7" w14:textId="77777777" w:rsidR="00C972CB" w:rsidRDefault="002457F6">
            <w:pPr>
              <w:pStyle w:val="P68B1DB1-Normal11"/>
              <w:spacing w:before="120" w:after="120"/>
              <w:jc w:val="center"/>
              <w:rPr>
                <w:rFonts w:eastAsia="Calibri"/>
                <w:noProof/>
              </w:rPr>
            </w:pPr>
            <w:r>
              <w:rPr>
                <w:noProof/>
              </w:rPr>
              <w:t>1. CET.</w:t>
            </w:r>
          </w:p>
        </w:tc>
        <w:tc>
          <w:tcPr>
            <w:tcW w:w="755" w:type="dxa"/>
            <w:shd w:val="clear" w:color="auto" w:fill="C6EFCE"/>
            <w:noWrap/>
            <w:vAlign w:val="center"/>
            <w:hideMark/>
          </w:tcPr>
          <w:p w14:paraId="75CD09DA" w14:textId="77777777" w:rsidR="00C972CB" w:rsidRDefault="002457F6">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55FFEDED" w14:textId="5BF912F4" w:rsidR="00C972CB" w:rsidRDefault="002457F6">
            <w:pPr>
              <w:pStyle w:val="P68B1DB1-Normal11"/>
              <w:spacing w:before="120" w:after="120"/>
              <w:rPr>
                <w:rFonts w:eastAsia="Calibri"/>
                <w:noProof/>
              </w:rPr>
            </w:pPr>
            <w:r>
              <w:rPr>
                <w:noProof/>
              </w:rPr>
              <w:t>Rūpēties par vismaz 25000 cilvēku, kuri dzīvo smagas materiālās nenodrošinātības apstākļos, jo viņi saņem intervences pasāk</w:t>
            </w:r>
            <w:r>
              <w:rPr>
                <w:noProof/>
              </w:rPr>
              <w:t>umus “Mājokļi pirmajā vietā” un “Pasta stacijās”.</w:t>
            </w:r>
          </w:p>
          <w:p w14:paraId="56576F25" w14:textId="68FF9463" w:rsidR="00C972CB" w:rsidRDefault="002457F6">
            <w:pPr>
              <w:pStyle w:val="P68B1DB1-Normal11"/>
              <w:spacing w:before="120" w:after="120"/>
              <w:rPr>
                <w:rFonts w:eastAsia="Calibri"/>
                <w:noProof/>
              </w:rPr>
            </w:pPr>
            <w:r>
              <w:rPr>
                <w:noProof/>
              </w:rPr>
              <w:t>Mērķrādītāja apmierinoša sasniegšana ir atkarīga arī no tā, vai tiks apmierinoši sasniegts sekundārais mērķis: vismaz 3000 cilvēku nodrošina pagaidu izmitināšanu vismaz sešus mēnešus saskaņā ar projektiem “</w:t>
            </w:r>
            <w:r>
              <w:rPr>
                <w:noProof/>
              </w:rPr>
              <w:t>Mājokļi vispirms”, un vismaz 22000 cilvēku izmanto pakalpojumus, ko piedāvā sociālā rajona īstenotie pēcsta staciju projekti.</w:t>
            </w:r>
          </w:p>
          <w:p w14:paraId="734FB44E" w14:textId="77777777" w:rsidR="00C972CB" w:rsidRDefault="002457F6">
            <w:pPr>
              <w:pStyle w:val="P68B1DB1-Normal11"/>
              <w:spacing w:before="120" w:after="120"/>
              <w:rPr>
                <w:rFonts w:eastAsia="Calibri"/>
                <w:noProof/>
              </w:rPr>
            </w:pPr>
            <w:r>
              <w:rPr>
                <w:noProof/>
              </w:rPr>
              <w:t>Cilvēkus smagas nenodrošinātības apstākļos definē šādi: sk. Linee di indirizzo per il contrasto alla grave emarginazione in Italia</w:t>
            </w:r>
            <w:r>
              <w:rPr>
                <w:noProof/>
              </w:rPr>
              <w:t xml:space="preserve">, kas apstiprināts ar Conferenza Unificata il 11.05.2015., un 5. pantu 2018. gada dekrētā par Nabadzības fondu, kur (5. pants) šajā nolūkā ir identificētas kā a) dzīvojošas uz ielas vai nestabilās patversmēs; b) izmantojot publisku krēslu; C) tiek uzņemti </w:t>
            </w:r>
            <w:r>
              <w:rPr>
                <w:noProof/>
              </w:rPr>
              <w:t>trūcīgo personu viesmītnēs; d) iziet no konstrukcijām (tostarp cietumiem), un tām nav vietas, kur dzīvot.</w:t>
            </w:r>
          </w:p>
          <w:p w14:paraId="53C51AAE" w14:textId="77777777" w:rsidR="00C972CB" w:rsidRDefault="002457F6">
            <w:pPr>
              <w:pStyle w:val="P68B1DB1-Normal11"/>
              <w:spacing w:before="120" w:after="120"/>
              <w:rPr>
                <w:rFonts w:eastAsia="Calibri"/>
                <w:noProof/>
              </w:rPr>
            </w:pPr>
            <w:r>
              <w:rPr>
                <w:noProof/>
              </w:rPr>
              <w:t xml:space="preserve">Darbība aptver visu valsts teritoriju, tomēr priekšroka tiek dota teritorijām, kurās bezpajumtniecības un smagas nabadzības problēmas ir steidzamākas </w:t>
            </w:r>
            <w:r>
              <w:rPr>
                <w:noProof/>
              </w:rPr>
              <w:t>(lielpilsētu teritorijas, kā arī daži lauku apvidi ar lielu skaitu sezonas darbinieku, no kuriem daudzi ir ārvalstnieki).</w:t>
            </w:r>
          </w:p>
        </w:tc>
      </w:tr>
    </w:tbl>
    <w:p w14:paraId="73425A21" w14:textId="77777777" w:rsidR="00C972CB" w:rsidRDefault="00C972CB">
      <w:pPr>
        <w:spacing w:before="120" w:after="120"/>
        <w:ind w:left="709"/>
        <w:jc w:val="both"/>
        <w:rPr>
          <w:noProof/>
        </w:rPr>
      </w:pPr>
    </w:p>
    <w:p w14:paraId="53888CD0" w14:textId="77777777" w:rsidR="00C972CB" w:rsidRDefault="00C972CB">
      <w:pPr>
        <w:spacing w:before="120" w:after="120"/>
        <w:ind w:left="709"/>
        <w:jc w:val="both"/>
        <w:rPr>
          <w:noProof/>
        </w:rPr>
      </w:pPr>
    </w:p>
    <w:p w14:paraId="388EE5E6" w14:textId="77777777" w:rsidR="00C972CB" w:rsidRDefault="00C972CB">
      <w:pPr>
        <w:spacing w:before="120" w:after="120"/>
        <w:ind w:left="709"/>
        <w:jc w:val="both"/>
        <w:rPr>
          <w:noProof/>
        </w:rPr>
      </w:pPr>
    </w:p>
    <w:p w14:paraId="5D167654" w14:textId="77777777" w:rsidR="00C972CB" w:rsidRDefault="00C972CB">
      <w:pPr>
        <w:framePr w:w="19845" w:wrap="auto" w:hAnchor="text"/>
        <w:spacing w:before="120" w:after="120"/>
        <w:ind w:left="709"/>
        <w:jc w:val="both"/>
        <w:rPr>
          <w:noProof/>
        </w:rPr>
        <w:sectPr w:rsidR="00C972CB" w:rsidSect="000D3774">
          <w:headerReference w:type="even" r:id="rId308"/>
          <w:headerReference w:type="default" r:id="rId309"/>
          <w:footerReference w:type="even" r:id="rId310"/>
          <w:footerReference w:type="default" r:id="rId311"/>
          <w:headerReference w:type="first" r:id="rId312"/>
          <w:footerReference w:type="first" r:id="rId313"/>
          <w:pgSz w:w="19051" w:h="11907" w:orient="landscape" w:code="9"/>
          <w:pgMar w:top="720" w:right="720" w:bottom="426" w:left="720" w:header="709" w:footer="709" w:gutter="0"/>
          <w:cols w:space="720"/>
          <w:docGrid w:linePitch="360"/>
        </w:sectPr>
      </w:pPr>
    </w:p>
    <w:p w14:paraId="41C6632F" w14:textId="77777777" w:rsidR="00C972CB" w:rsidRDefault="002457F6">
      <w:pPr>
        <w:pStyle w:val="Heading3"/>
        <w:numPr>
          <w:ilvl w:val="2"/>
          <w:numId w:val="0"/>
        </w:numPr>
        <w:ind w:left="850" w:hanging="850"/>
        <w:rPr>
          <w:b/>
          <w:i w:val="0"/>
          <w:noProof/>
          <w:color w:val="4F81BD" w:themeColor="accent1"/>
          <w:u w:val="single"/>
        </w:rPr>
      </w:pPr>
      <w:r>
        <w:rPr>
          <w:b/>
          <w:i w:val="0"/>
          <w:noProof/>
          <w:u w:val="single"/>
        </w:rPr>
        <w:t xml:space="preserve">M.3. </w:t>
      </w:r>
      <w:r>
        <w:rPr>
          <w:noProof/>
        </w:rPr>
        <w:tab/>
      </w:r>
      <w:r>
        <w:rPr>
          <w:b/>
          <w:i w:val="0"/>
          <w:noProof/>
          <w:u w:val="single"/>
        </w:rPr>
        <w:t>Aizdevumam pieteikto reformu un investīciju apraksts</w:t>
      </w:r>
    </w:p>
    <w:p w14:paraId="5FBD3EED" w14:textId="77777777" w:rsidR="00C972CB" w:rsidRDefault="002457F6">
      <w:pPr>
        <w:pStyle w:val="P68B1DB1-Normal2"/>
        <w:spacing w:before="120" w:after="120"/>
        <w:jc w:val="both"/>
        <w:rPr>
          <w:noProof/>
          <w:u w:val="single"/>
        </w:rPr>
      </w:pPr>
      <w:r>
        <w:rPr>
          <w:noProof/>
        </w:rPr>
        <w:t>Ieguldījums. Ieguldījumi pilsētvides atjaunošanas projektos, kuru mērķis ir mazināt marginalizācijas un sociālās degradācijas situācijas</w:t>
      </w:r>
    </w:p>
    <w:p w14:paraId="7A23F3D1" w14:textId="45D7765C" w:rsidR="00C972CB" w:rsidRDefault="002457F6">
      <w:pPr>
        <w:spacing w:before="120" w:after="120"/>
        <w:jc w:val="both"/>
        <w:rPr>
          <w:rFonts w:eastAsia="Calibri"/>
          <w:noProof/>
        </w:rPr>
      </w:pPr>
      <w:r>
        <w:rPr>
          <w:noProof/>
        </w:rPr>
        <w:t xml:space="preserve">Šā pasākuma mērķis ir piešķirt pašvaldībām dotācijas ieguldījumiem pilsētvides atjaunošanā, mazināt marginalizāciju un </w:t>
      </w:r>
      <w:r>
        <w:rPr>
          <w:noProof/>
        </w:rPr>
        <w:t>sociālo degradāciju, kā arī uzlabot pilsētu centru sociālo un vides kontekstu, pilnībā ievērojot principu “nenodarīt būtisku kaitējumu”. Pasākuma mērķis ir atbalstīt publisko teritoriju un esošo publisko ēku struktūru atkalizmantošanu un pārfunkcionalizāci</w:t>
      </w:r>
      <w:r>
        <w:rPr>
          <w:noProof/>
        </w:rPr>
        <w:t xml:space="preserve">ju sabiedrības interešu nolūkos un uzlabot pilsētu ainavu, renovējot publiskās ēkas, īpašu uzmanību pievēršot sociālo, kultūras, izglītības un didaktisko pakalpojumu, tostarp sporta aktivitāšu, attīstībai. </w:t>
      </w:r>
    </w:p>
    <w:p w14:paraId="504DA471" w14:textId="5EC99154" w:rsidR="00C972CB" w:rsidRDefault="002457F6">
      <w:pPr>
        <w:spacing w:before="120" w:after="120"/>
        <w:jc w:val="both"/>
        <w:rPr>
          <w:rFonts w:eastAsia="Calibri"/>
          <w:noProof/>
        </w:rPr>
      </w:pPr>
      <w:r>
        <w:rPr>
          <w:noProof/>
        </w:rPr>
        <w:t>Pasākums nenodara būtisku kaitējumu vides mērķiem</w:t>
      </w:r>
      <w:r>
        <w:rPr>
          <w:noProof/>
        </w:rPr>
        <w:t xml:space="preserve"> Regulas (ES) 2020/852 17. panta nozīmē, ņemot vērā pasākuma aprakstu un mazināšanas pasākumus, kas izklāstīti atveseļošanas un noturības plānā saskaņā ar NBK tehniskajiem norādījumiem (2021/C58/01). Tas ietver gāzes kondensācijas katlus, kas nav tiesīgi p</w:t>
      </w:r>
      <w:r>
        <w:rPr>
          <w:noProof/>
        </w:rPr>
        <w:t>retendēt uz intervencēm saskaņā ar šo pasākumu.</w:t>
      </w:r>
    </w:p>
    <w:p w14:paraId="1CFC5A05" w14:textId="77777777" w:rsidR="00C972CB" w:rsidRDefault="002457F6">
      <w:pPr>
        <w:pStyle w:val="P68B1DB1-Normal2"/>
        <w:spacing w:before="120" w:after="120"/>
        <w:jc w:val="both"/>
        <w:rPr>
          <w:rFonts w:eastAsia="Calibri"/>
          <w:noProof/>
        </w:rPr>
      </w:pPr>
      <w:r>
        <w:rPr>
          <w:noProof/>
        </w:rPr>
        <w:t>Ieguldījums Nr. 5 — Pilsētu integrācijas plāni (vispārīgi projekti un nelikumīgu apmetņu pārvarēšana darbaspēka ekspluatācijas apkarošanai lauksaimniecībā)</w:t>
      </w:r>
    </w:p>
    <w:p w14:paraId="181623A6" w14:textId="4AA32F57" w:rsidR="00C972CB" w:rsidRDefault="002457F6">
      <w:pPr>
        <w:spacing w:before="120" w:after="120"/>
        <w:jc w:val="both"/>
        <w:rPr>
          <w:rFonts w:eastAsiaTheme="minorEastAsia"/>
          <w:noProof/>
        </w:rPr>
      </w:pPr>
      <w:r>
        <w:rPr>
          <w:noProof/>
        </w:rPr>
        <w:t xml:space="preserve">Šā pasākuma mērķis ir atjaunot, atdzīvināt un </w:t>
      </w:r>
      <w:r>
        <w:rPr>
          <w:noProof/>
        </w:rPr>
        <w:t>uzlabot lielas degradētas pilsētu teritorijas, īpašu uzmanību pievēršot jaunu pakalpojumu radīšanai personai un pieejamības un intermodālo infrastruktūru pārkvalificēšanai, ļaujot neaizsargātas teritorijas pārveidot par viedām un ilgtspējīgām pilsētām. Šīs</w:t>
      </w:r>
      <w:r>
        <w:rPr>
          <w:noProof/>
        </w:rPr>
        <w:t xml:space="preserve"> investīcijas ietver divus intervences pasākumus: Atbalsts vispārējiem projektiem, kuru mērķis ir īstenot un īstenot integrētus pilsētu plānus, piemēram, publisko teritoriju un ēku uzturēšana un atkārtota izmantošana, nepietiekami izmantotu vai neizmantotu</w:t>
      </w:r>
      <w:r>
        <w:rPr>
          <w:noProof/>
        </w:rPr>
        <w:t xml:space="preserve"> pilsētu teritoriju atjaunošana un valorizācija u. c. (II) īpaši projekti nelikumīgu apmetņu pārvarēšanai lauksaimniecībā. Vietējās pārvaldes iestādes tiek atbalstītas rīcības plānu izstrādē, lai pārvarētu nelikumīgas apmetnes un nodrošinātu pienācīgus māj</w:t>
      </w:r>
      <w:r>
        <w:rPr>
          <w:noProof/>
        </w:rPr>
        <w:t>okļu risinājumus lauksaimniecības nozares darbiniekiem. Turklāt saskaņā ar šo ieguldījumu sadarbībā ar EIB izveido tematisku fondu (fondu fondu), kura mērķis ir atbalstīt privātu intervenci pilsētvides atjaunošanas iniciatīvās. Šo fondu izmanto, lai atbals</w:t>
      </w:r>
      <w:r>
        <w:rPr>
          <w:noProof/>
        </w:rPr>
        <w:t>tītu pilsētu teritoriju klimatisko un digitālo pārkārtošanos.</w:t>
      </w:r>
    </w:p>
    <w:p w14:paraId="246242C4" w14:textId="2E744A00" w:rsidR="00C972CB" w:rsidRDefault="002457F6">
      <w:pPr>
        <w:spacing w:before="120" w:after="120"/>
        <w:jc w:val="both"/>
        <w:rPr>
          <w:rFonts w:eastAsia="Calibri"/>
          <w:noProof/>
        </w:rPr>
      </w:pPr>
      <w:r>
        <w:rPr>
          <w:noProof/>
        </w:rPr>
        <w:t>Pasākums nenodara būtisku kaitējumu vides mērķiem Regulas (ES) 2020/852 17. panta nozīmē, ņemot vērā pasākuma aprakstu un mazināšanas pasākumus, kas izklāstīti atveseļošanas un noturības plānā s</w:t>
      </w:r>
      <w:r>
        <w:rPr>
          <w:noProof/>
        </w:rPr>
        <w:t>askaņā ar NBK tehniskajiem norādījumiem (2021/C58/01). Tas ietver gāzes kondensācijas katlus, kas nav tiesīgi pretendēt uz intervencēm saskaņā ar šo pasākumu.</w:t>
      </w:r>
    </w:p>
    <w:p w14:paraId="1400A99B" w14:textId="77777777" w:rsidR="00C972CB" w:rsidRDefault="002457F6">
      <w:pPr>
        <w:pStyle w:val="P68B1DB1-Normal2"/>
        <w:spacing w:before="120" w:after="120"/>
        <w:jc w:val="both"/>
        <w:rPr>
          <w:rFonts w:eastAsia="Calibri"/>
          <w:noProof/>
        </w:rPr>
      </w:pPr>
      <w:r>
        <w:rPr>
          <w:noProof/>
        </w:rPr>
        <w:t>Ieguldījums — Novatorisks mājokļu kvalitātes plāns</w:t>
      </w:r>
    </w:p>
    <w:p w14:paraId="78776BCF" w14:textId="77777777" w:rsidR="00C972CB" w:rsidRDefault="002457F6">
      <w:pPr>
        <w:spacing w:before="120" w:after="120"/>
        <w:jc w:val="both"/>
        <w:rPr>
          <w:rFonts w:eastAsiaTheme="minorEastAsia"/>
          <w:noProof/>
        </w:rPr>
      </w:pPr>
      <w:r>
        <w:rPr>
          <w:noProof/>
        </w:rPr>
        <w:t xml:space="preserve">Šā pasākuma mērķis ir būvēt jaunas dzīvojamās </w:t>
      </w:r>
      <w:r>
        <w:rPr>
          <w:noProof/>
        </w:rPr>
        <w:t>mājas un atjaunot degradētās teritorijas, galveno uzmanību pievēršot zaļajai inovācijai un ilgtspējai. Investīcijas sniedz atbalstu: Rekonstruēt, reorganizēt un palielināt publisko mājokļu piedāvājumu; Reģenerēt teritorijas, telpas un publiskos un privātos</w:t>
      </w:r>
      <w:r>
        <w:rPr>
          <w:noProof/>
        </w:rPr>
        <w:t xml:space="preserve"> īpašumus; Uzlabot pilsētu teritoriju pieejamību un drošību, kā arī pakalpojumu sniegšanu; Izstrādāt līdzdalības un inovatīvus pārvaldības modeļus, lai atbalstītu sociālo un pilsētu labklājību. </w:t>
      </w:r>
    </w:p>
    <w:p w14:paraId="1478192D" w14:textId="77777777" w:rsidR="00C972CB" w:rsidRDefault="002457F6">
      <w:pPr>
        <w:pStyle w:val="P68B1DB1-Normal2"/>
        <w:spacing w:before="120" w:after="120"/>
        <w:jc w:val="both"/>
        <w:rPr>
          <w:rFonts w:eastAsia="Calibri"/>
          <w:noProof/>
        </w:rPr>
      </w:pPr>
      <w:r>
        <w:rPr>
          <w:noProof/>
        </w:rPr>
        <w:t>Ieguldījums Nr. 7 — Sports un sociālā iekļaušana</w:t>
      </w:r>
    </w:p>
    <w:p w14:paraId="47A87FD6" w14:textId="5DF483B6" w:rsidR="00C972CB" w:rsidRDefault="002457F6">
      <w:pPr>
        <w:spacing w:before="120" w:after="120"/>
        <w:jc w:val="both"/>
        <w:rPr>
          <w:rFonts w:eastAsia="Calibri"/>
          <w:noProof/>
        </w:rPr>
      </w:pPr>
      <w:r>
        <w:rPr>
          <w:noProof/>
        </w:rPr>
        <w:t xml:space="preserve">Šā pasākuma </w:t>
      </w:r>
      <w:r>
        <w:rPr>
          <w:noProof/>
        </w:rPr>
        <w:t>mērķis ir atjaunot pilsētu teritorijas, galveno uzmanību pievēršot sporta objektiem, lai veicinātu sociālo iekļaušanu un integrāciju, jo īpaši vistrūcīgākajos Itālijas reģionos. Finansētie projekti atbalsta: Sporta objektu būvniecība un atjaunošana, kas at</w:t>
      </w:r>
      <w:r>
        <w:rPr>
          <w:noProof/>
        </w:rPr>
        <w:t>rodas valsts mazāk labvēlīgos apgabalos, tostarp lielpilsētu piepilsētās; (II) sporta aprīkojuma izplatīšana mazāk attīstītiem apgabaliem; Tādu esošo sporta objektu pabeigšana un pielāgošana kā (piemēram: funkcionālā atveseļošana, pārstrukturēšana, ārkārta</w:t>
      </w:r>
      <w:r>
        <w:rPr>
          <w:noProof/>
        </w:rPr>
        <w:t xml:space="preserve">s uzturēšana, arhitektūras šķēršļu likvidēšana un energoefektivitāte). </w:t>
      </w:r>
    </w:p>
    <w:p w14:paraId="263D2177" w14:textId="77777777" w:rsidR="00C972CB" w:rsidRDefault="002457F6">
      <w:pPr>
        <w:pStyle w:val="Heading3"/>
        <w:numPr>
          <w:ilvl w:val="2"/>
          <w:numId w:val="0"/>
        </w:numPr>
        <w:ind w:left="850" w:hanging="850"/>
        <w:rPr>
          <w:b/>
          <w:i w:val="0"/>
          <w:noProof/>
          <w:u w:val="single"/>
        </w:rPr>
      </w:pPr>
      <w:r>
        <w:rPr>
          <w:b/>
          <w:i w:val="0"/>
          <w:noProof/>
          <w:u w:val="single"/>
        </w:rPr>
        <w:t xml:space="preserve">M.4. </w:t>
      </w:r>
      <w:r>
        <w:rPr>
          <w:noProof/>
        </w:rPr>
        <w:tab/>
      </w:r>
      <w:r>
        <w:rPr>
          <w:b/>
          <w:i w:val="0"/>
          <w:noProof/>
          <w:u w:val="single"/>
        </w:rPr>
        <w:t>Atskaites punkti, mērķrādītāji, citi rādītāji un aizdevuma uzraudzības un īstenošanas grafiks</w:t>
      </w:r>
    </w:p>
    <w:p w14:paraId="12399B37" w14:textId="77777777" w:rsidR="00C972CB" w:rsidRDefault="002457F6">
      <w:pPr>
        <w:pStyle w:val="P68B1DB1-Normal34"/>
        <w:spacing w:before="120" w:after="120"/>
        <w:ind w:left="709"/>
        <w:jc w:val="both"/>
        <w:rPr>
          <w:noProof/>
        </w:rPr>
      </w:pPr>
      <w:r>
        <w:rPr>
          <w:noProof/>
        </w:rPr>
        <w:t xml:space="preserve"> </w:t>
      </w:r>
    </w:p>
    <w:p w14:paraId="47043D4F" w14:textId="77777777" w:rsidR="00C972CB" w:rsidRDefault="00C972CB">
      <w:pPr>
        <w:spacing w:before="120" w:after="120"/>
        <w:ind w:left="709"/>
        <w:contextualSpacing/>
        <w:jc w:val="both"/>
        <w:rPr>
          <w:noProof/>
        </w:rPr>
        <w:sectPr w:rsidR="00C972CB" w:rsidSect="000D3774">
          <w:headerReference w:type="even" r:id="rId314"/>
          <w:headerReference w:type="default" r:id="rId315"/>
          <w:footerReference w:type="even" r:id="rId316"/>
          <w:footerReference w:type="default" r:id="rId317"/>
          <w:headerReference w:type="first" r:id="rId318"/>
          <w:footerReference w:type="first" r:id="rId319"/>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697"/>
        <w:gridCol w:w="1775"/>
        <w:gridCol w:w="1684"/>
        <w:gridCol w:w="1684"/>
        <w:gridCol w:w="1589"/>
        <w:gridCol w:w="1420"/>
        <w:gridCol w:w="1256"/>
        <w:gridCol w:w="1027"/>
        <w:gridCol w:w="627"/>
        <w:gridCol w:w="3702"/>
      </w:tblGrid>
      <w:tr w:rsidR="00C972CB" w14:paraId="009C2F92" w14:textId="77777777">
        <w:trPr>
          <w:trHeight w:val="1190"/>
          <w:tblHeader/>
          <w:jc w:val="center"/>
        </w:trPr>
        <w:tc>
          <w:tcPr>
            <w:tcW w:w="384" w:type="pct"/>
            <w:vMerge w:val="restart"/>
            <w:shd w:val="clear" w:color="auto" w:fill="BDD7EE"/>
            <w:vAlign w:val="center"/>
            <w:hideMark/>
          </w:tcPr>
          <w:p w14:paraId="047F2A55" w14:textId="77777777" w:rsidR="00C972CB" w:rsidRDefault="002457F6">
            <w:pPr>
              <w:pStyle w:val="P68B1DB1-Normal33"/>
              <w:jc w:val="center"/>
              <w:rPr>
                <w:noProof/>
              </w:rPr>
            </w:pPr>
            <w:r>
              <w:rPr>
                <w:noProof/>
              </w:rPr>
              <w:t>Kārtas numurs</w:t>
            </w:r>
          </w:p>
        </w:tc>
        <w:tc>
          <w:tcPr>
            <w:tcW w:w="509" w:type="pct"/>
            <w:vMerge w:val="restart"/>
            <w:shd w:val="clear" w:color="auto" w:fill="BDD7EE"/>
            <w:vAlign w:val="center"/>
            <w:hideMark/>
          </w:tcPr>
          <w:p w14:paraId="1D87BD5F" w14:textId="77777777" w:rsidR="00C972CB" w:rsidRDefault="002457F6">
            <w:pPr>
              <w:pStyle w:val="P68B1DB1-Normal33"/>
              <w:jc w:val="center"/>
              <w:rPr>
                <w:noProof/>
              </w:rPr>
            </w:pPr>
            <w:r>
              <w:rPr>
                <w:noProof/>
              </w:rPr>
              <w:t xml:space="preserve">Pasākums </w:t>
            </w:r>
            <w:r>
              <w:rPr>
                <w:noProof/>
              </w:rPr>
              <w:t>(reforma vai investīcija)</w:t>
            </w:r>
          </w:p>
        </w:tc>
        <w:tc>
          <w:tcPr>
            <w:tcW w:w="361" w:type="pct"/>
            <w:vMerge w:val="restart"/>
            <w:shd w:val="clear" w:color="auto" w:fill="BDD7EE"/>
            <w:vAlign w:val="center"/>
            <w:hideMark/>
          </w:tcPr>
          <w:p w14:paraId="7B78ABB7" w14:textId="77777777" w:rsidR="00C972CB" w:rsidRDefault="002457F6">
            <w:pPr>
              <w:pStyle w:val="P68B1DB1-Normal33"/>
              <w:jc w:val="center"/>
              <w:rPr>
                <w:noProof/>
              </w:rPr>
            </w:pPr>
            <w:r>
              <w:rPr>
                <w:noProof/>
              </w:rPr>
              <w:t>Atskaites punkts/mērķrādītājs</w:t>
            </w:r>
          </w:p>
        </w:tc>
        <w:tc>
          <w:tcPr>
            <w:tcW w:w="505" w:type="pct"/>
            <w:vMerge w:val="restart"/>
            <w:shd w:val="clear" w:color="auto" w:fill="BDD7EE"/>
            <w:vAlign w:val="center"/>
            <w:hideMark/>
          </w:tcPr>
          <w:p w14:paraId="5F609340" w14:textId="77777777" w:rsidR="00C972CB" w:rsidRDefault="002457F6">
            <w:pPr>
              <w:pStyle w:val="P68B1DB1-Normal33"/>
              <w:jc w:val="center"/>
              <w:rPr>
                <w:noProof/>
              </w:rPr>
            </w:pPr>
            <w:r>
              <w:rPr>
                <w:noProof/>
              </w:rPr>
              <w:t>Uzvārds</w:t>
            </w:r>
          </w:p>
        </w:tc>
        <w:tc>
          <w:tcPr>
            <w:tcW w:w="505" w:type="pct"/>
            <w:vMerge w:val="restart"/>
            <w:shd w:val="clear" w:color="auto" w:fill="BDD7EE"/>
            <w:vAlign w:val="center"/>
            <w:hideMark/>
          </w:tcPr>
          <w:p w14:paraId="16FDDD30" w14:textId="77777777" w:rsidR="00C972CB" w:rsidRDefault="002457F6">
            <w:pPr>
              <w:pStyle w:val="P68B1DB1-Normal35"/>
              <w:jc w:val="center"/>
              <w:rPr>
                <w:b/>
                <w:noProof/>
              </w:rPr>
            </w:pPr>
            <w:r>
              <w:rPr>
                <w:b/>
                <w:noProof/>
              </w:rPr>
              <w:t xml:space="preserve">Kvalitatīvie rādītāji </w:t>
            </w:r>
            <w:r>
              <w:rPr>
                <w:noProof/>
              </w:rPr>
              <w:t xml:space="preserve"> </w:t>
            </w:r>
            <w:r>
              <w:rPr>
                <w:b/>
                <w:noProof/>
              </w:rPr>
              <w:t>(atskaites punktiem)</w:t>
            </w:r>
          </w:p>
        </w:tc>
        <w:tc>
          <w:tcPr>
            <w:tcW w:w="1180" w:type="pct"/>
            <w:gridSpan w:val="3"/>
            <w:shd w:val="clear" w:color="auto" w:fill="BDD7EE"/>
            <w:vAlign w:val="center"/>
            <w:hideMark/>
          </w:tcPr>
          <w:p w14:paraId="241B333C" w14:textId="77777777" w:rsidR="00C972CB" w:rsidRDefault="002457F6">
            <w:pPr>
              <w:pStyle w:val="P68B1DB1-Normal35"/>
              <w:jc w:val="center"/>
              <w:rPr>
                <w:b/>
                <w:noProof/>
              </w:rPr>
            </w:pPr>
            <w:r>
              <w:rPr>
                <w:b/>
                <w:noProof/>
              </w:rPr>
              <w:t xml:space="preserve">Kvantitatīvie rādītāji </w:t>
            </w:r>
            <w:r>
              <w:rPr>
                <w:noProof/>
              </w:rPr>
              <w:t xml:space="preserve"> </w:t>
            </w:r>
            <w:r>
              <w:rPr>
                <w:b/>
                <w:noProof/>
              </w:rPr>
              <w:t>(mērķrādītājiem)</w:t>
            </w:r>
          </w:p>
        </w:tc>
        <w:tc>
          <w:tcPr>
            <w:tcW w:w="475" w:type="pct"/>
            <w:gridSpan w:val="2"/>
            <w:shd w:val="clear" w:color="auto" w:fill="BDD7EE"/>
            <w:vAlign w:val="center"/>
            <w:hideMark/>
          </w:tcPr>
          <w:p w14:paraId="4289527F" w14:textId="77777777" w:rsidR="00C972CB" w:rsidRDefault="002457F6">
            <w:pPr>
              <w:pStyle w:val="P68B1DB1-Normal33"/>
              <w:jc w:val="center"/>
              <w:rPr>
                <w:noProof/>
              </w:rPr>
            </w:pPr>
            <w:r>
              <w:rPr>
                <w:noProof/>
              </w:rPr>
              <w:t>Orientējošs pabeigšanas termiņš</w:t>
            </w:r>
          </w:p>
        </w:tc>
        <w:tc>
          <w:tcPr>
            <w:tcW w:w="1081" w:type="pct"/>
            <w:vMerge w:val="restart"/>
            <w:shd w:val="clear" w:color="auto" w:fill="BDD7EE"/>
            <w:vAlign w:val="center"/>
            <w:hideMark/>
          </w:tcPr>
          <w:p w14:paraId="292EB9D7" w14:textId="6C7B00FE" w:rsidR="00C972CB" w:rsidRDefault="002457F6">
            <w:pPr>
              <w:pStyle w:val="P68B1DB1-Normal33"/>
              <w:jc w:val="center"/>
              <w:rPr>
                <w:noProof/>
              </w:rPr>
            </w:pPr>
            <w:r>
              <w:rPr>
                <w:noProof/>
              </w:rPr>
              <w:t>Apraksts par katru atskaites punktu un mērķrādītāju</w:t>
            </w:r>
          </w:p>
        </w:tc>
      </w:tr>
      <w:tr w:rsidR="00C972CB" w14:paraId="1C2DF2E4" w14:textId="77777777">
        <w:trPr>
          <w:trHeight w:val="610"/>
          <w:jc w:val="center"/>
        </w:trPr>
        <w:tc>
          <w:tcPr>
            <w:tcW w:w="384" w:type="pct"/>
            <w:vMerge/>
            <w:vAlign w:val="center"/>
            <w:hideMark/>
          </w:tcPr>
          <w:p w14:paraId="02D9ABF1" w14:textId="77777777" w:rsidR="00C972CB" w:rsidRDefault="00C972CB">
            <w:pPr>
              <w:jc w:val="center"/>
              <w:rPr>
                <w:rFonts w:ascii="Arial Narrow" w:hAnsi="Arial Narrow"/>
                <w:b/>
                <w:noProof/>
                <w:color w:val="000000"/>
                <w:sz w:val="20"/>
              </w:rPr>
            </w:pPr>
          </w:p>
        </w:tc>
        <w:tc>
          <w:tcPr>
            <w:tcW w:w="509" w:type="pct"/>
            <w:vMerge/>
            <w:vAlign w:val="center"/>
            <w:hideMark/>
          </w:tcPr>
          <w:p w14:paraId="73A5DCFE" w14:textId="77777777" w:rsidR="00C972CB" w:rsidRDefault="00C972CB">
            <w:pPr>
              <w:jc w:val="center"/>
              <w:rPr>
                <w:rFonts w:ascii="Arial Narrow" w:hAnsi="Arial Narrow"/>
                <w:b/>
                <w:noProof/>
                <w:color w:val="000000"/>
                <w:sz w:val="20"/>
              </w:rPr>
            </w:pPr>
          </w:p>
        </w:tc>
        <w:tc>
          <w:tcPr>
            <w:tcW w:w="361" w:type="pct"/>
            <w:vMerge/>
            <w:vAlign w:val="center"/>
            <w:hideMark/>
          </w:tcPr>
          <w:p w14:paraId="3D1BFA90" w14:textId="77777777" w:rsidR="00C972CB" w:rsidRDefault="00C972CB">
            <w:pPr>
              <w:jc w:val="center"/>
              <w:rPr>
                <w:rFonts w:ascii="Arial Narrow" w:hAnsi="Arial Narrow"/>
                <w:b/>
                <w:noProof/>
                <w:color w:val="000000"/>
                <w:sz w:val="20"/>
              </w:rPr>
            </w:pPr>
          </w:p>
        </w:tc>
        <w:tc>
          <w:tcPr>
            <w:tcW w:w="505" w:type="pct"/>
            <w:vMerge/>
            <w:vAlign w:val="center"/>
            <w:hideMark/>
          </w:tcPr>
          <w:p w14:paraId="75684265" w14:textId="77777777" w:rsidR="00C972CB" w:rsidRDefault="00C972CB">
            <w:pPr>
              <w:jc w:val="center"/>
              <w:rPr>
                <w:rFonts w:ascii="Arial Narrow" w:hAnsi="Arial Narrow"/>
                <w:b/>
                <w:noProof/>
                <w:color w:val="000000"/>
                <w:sz w:val="20"/>
              </w:rPr>
            </w:pPr>
          </w:p>
        </w:tc>
        <w:tc>
          <w:tcPr>
            <w:tcW w:w="505" w:type="pct"/>
            <w:vMerge/>
            <w:vAlign w:val="center"/>
            <w:hideMark/>
          </w:tcPr>
          <w:p w14:paraId="3BC825F6" w14:textId="77777777" w:rsidR="00C972CB" w:rsidRDefault="00C972CB">
            <w:pPr>
              <w:jc w:val="center"/>
              <w:rPr>
                <w:rFonts w:ascii="Arial Narrow" w:hAnsi="Arial Narrow"/>
                <w:b/>
                <w:noProof/>
                <w:color w:val="000000"/>
                <w:sz w:val="20"/>
              </w:rPr>
            </w:pPr>
          </w:p>
        </w:tc>
        <w:tc>
          <w:tcPr>
            <w:tcW w:w="478" w:type="pct"/>
            <w:shd w:val="clear" w:color="auto" w:fill="BDD7EE"/>
            <w:vAlign w:val="center"/>
            <w:hideMark/>
          </w:tcPr>
          <w:p w14:paraId="08651F38" w14:textId="77777777" w:rsidR="00C972CB" w:rsidRDefault="002457F6">
            <w:pPr>
              <w:pStyle w:val="P68B1DB1-Normal33"/>
              <w:jc w:val="center"/>
              <w:rPr>
                <w:noProof/>
              </w:rPr>
            </w:pPr>
            <w:r>
              <w:rPr>
                <w:noProof/>
              </w:rPr>
              <w:t>Mēra vienība</w:t>
            </w:r>
          </w:p>
        </w:tc>
        <w:tc>
          <w:tcPr>
            <w:tcW w:w="318" w:type="pct"/>
            <w:shd w:val="clear" w:color="auto" w:fill="BDD7EE"/>
            <w:vAlign w:val="center"/>
            <w:hideMark/>
          </w:tcPr>
          <w:p w14:paraId="2A6B5A72" w14:textId="77777777" w:rsidR="00C972CB" w:rsidRDefault="002457F6">
            <w:pPr>
              <w:pStyle w:val="P68B1DB1-Normal33"/>
              <w:jc w:val="center"/>
              <w:rPr>
                <w:noProof/>
              </w:rPr>
            </w:pPr>
            <w:r>
              <w:rPr>
                <w:noProof/>
              </w:rPr>
              <w:t>Pamatscenārijs</w:t>
            </w:r>
          </w:p>
        </w:tc>
        <w:tc>
          <w:tcPr>
            <w:tcW w:w="384" w:type="pct"/>
            <w:shd w:val="clear" w:color="auto" w:fill="BDD7EE"/>
            <w:vAlign w:val="center"/>
            <w:hideMark/>
          </w:tcPr>
          <w:p w14:paraId="73799C9B" w14:textId="77777777" w:rsidR="00C972CB" w:rsidRDefault="002457F6">
            <w:pPr>
              <w:pStyle w:val="P68B1DB1-Normal33"/>
              <w:jc w:val="center"/>
              <w:rPr>
                <w:noProof/>
              </w:rPr>
            </w:pPr>
            <w:r>
              <w:rPr>
                <w:noProof/>
              </w:rPr>
              <w:t>Mērķis</w:t>
            </w:r>
          </w:p>
        </w:tc>
        <w:tc>
          <w:tcPr>
            <w:tcW w:w="275" w:type="pct"/>
            <w:shd w:val="clear" w:color="auto" w:fill="BDD7EE"/>
            <w:vAlign w:val="center"/>
            <w:hideMark/>
          </w:tcPr>
          <w:p w14:paraId="1B79D44E" w14:textId="77777777" w:rsidR="00C972CB" w:rsidRDefault="002457F6">
            <w:pPr>
              <w:pStyle w:val="P68B1DB1-Normal33"/>
              <w:jc w:val="center"/>
              <w:rPr>
                <w:noProof/>
              </w:rPr>
            </w:pPr>
            <w:r>
              <w:rPr>
                <w:noProof/>
              </w:rPr>
              <w:t>Ceturtdaļa</w:t>
            </w:r>
          </w:p>
        </w:tc>
        <w:tc>
          <w:tcPr>
            <w:tcW w:w="200" w:type="pct"/>
            <w:shd w:val="clear" w:color="auto" w:fill="BDD7EE"/>
            <w:vAlign w:val="center"/>
            <w:hideMark/>
          </w:tcPr>
          <w:p w14:paraId="2BD280B0" w14:textId="77777777" w:rsidR="00C972CB" w:rsidRDefault="002457F6">
            <w:pPr>
              <w:pStyle w:val="P68B1DB1-Normal33"/>
              <w:jc w:val="center"/>
              <w:rPr>
                <w:noProof/>
              </w:rPr>
            </w:pPr>
            <w:r>
              <w:rPr>
                <w:noProof/>
              </w:rPr>
              <w:t>Gadā</w:t>
            </w:r>
          </w:p>
        </w:tc>
        <w:tc>
          <w:tcPr>
            <w:tcW w:w="1081" w:type="pct"/>
            <w:vMerge/>
            <w:shd w:val="clear" w:color="auto" w:fill="BDD7EE"/>
            <w:vAlign w:val="center"/>
            <w:hideMark/>
          </w:tcPr>
          <w:p w14:paraId="459FBD4C" w14:textId="0CDF16D9" w:rsidR="00C972CB" w:rsidRDefault="00C972CB">
            <w:pPr>
              <w:rPr>
                <w:rFonts w:ascii="Arial Narrow" w:hAnsi="Arial Narrow"/>
                <w:b/>
                <w:noProof/>
                <w:color w:val="000000"/>
                <w:sz w:val="20"/>
              </w:rPr>
            </w:pPr>
          </w:p>
        </w:tc>
      </w:tr>
      <w:tr w:rsidR="00C972CB" w14:paraId="1053F80E" w14:textId="77777777">
        <w:trPr>
          <w:trHeight w:val="20"/>
          <w:jc w:val="center"/>
        </w:trPr>
        <w:tc>
          <w:tcPr>
            <w:tcW w:w="384" w:type="pct"/>
            <w:shd w:val="clear" w:color="auto" w:fill="C6EFCE"/>
            <w:vAlign w:val="center"/>
            <w:hideMark/>
          </w:tcPr>
          <w:p w14:paraId="29CBC5FC" w14:textId="77777777" w:rsidR="00C972CB" w:rsidRDefault="002457F6">
            <w:pPr>
              <w:pStyle w:val="P68B1DB1-Normal11"/>
              <w:spacing w:before="120" w:after="120"/>
              <w:jc w:val="center"/>
              <w:rPr>
                <w:rFonts w:eastAsia="Calibri"/>
                <w:noProof/>
              </w:rPr>
            </w:pPr>
            <w:r>
              <w:rPr>
                <w:noProof/>
              </w:rPr>
              <w:t>M5C2–11</w:t>
            </w:r>
          </w:p>
        </w:tc>
        <w:tc>
          <w:tcPr>
            <w:tcW w:w="509" w:type="pct"/>
            <w:shd w:val="clear" w:color="auto" w:fill="C6EFCE"/>
            <w:vAlign w:val="center"/>
            <w:hideMark/>
          </w:tcPr>
          <w:p w14:paraId="09770E05" w14:textId="77777777" w:rsidR="00C972CB" w:rsidRDefault="002457F6">
            <w:pPr>
              <w:pStyle w:val="P68B1DB1-Normal11"/>
              <w:spacing w:before="120" w:after="120"/>
              <w:jc w:val="center"/>
              <w:rPr>
                <w:rFonts w:eastAsia="Calibri"/>
                <w:noProof/>
              </w:rPr>
            </w:pPr>
            <w:r>
              <w:rPr>
                <w:noProof/>
              </w:rPr>
              <w:t>Ieguldījums. Ieguldījumi pilsētvides atjaunošanas projektos, kuru mērķis ir mazināt marginalizācijas un sociālās degradācijas situācijas</w:t>
            </w:r>
          </w:p>
        </w:tc>
        <w:tc>
          <w:tcPr>
            <w:tcW w:w="361" w:type="pct"/>
            <w:shd w:val="clear" w:color="auto" w:fill="C6EFCE"/>
            <w:vAlign w:val="center"/>
            <w:hideMark/>
          </w:tcPr>
          <w:p w14:paraId="37619582" w14:textId="77777777" w:rsidR="00C972CB" w:rsidRDefault="002457F6">
            <w:pPr>
              <w:pStyle w:val="P68B1DB1-Normal11"/>
              <w:spacing w:before="120" w:after="120"/>
              <w:jc w:val="center"/>
              <w:rPr>
                <w:rFonts w:eastAsia="Calibri"/>
                <w:noProof/>
              </w:rPr>
            </w:pPr>
            <w:r>
              <w:rPr>
                <w:noProof/>
              </w:rPr>
              <w:t>Starpposma mērķis</w:t>
            </w:r>
          </w:p>
        </w:tc>
        <w:tc>
          <w:tcPr>
            <w:tcW w:w="505" w:type="pct"/>
            <w:shd w:val="clear" w:color="auto" w:fill="C6EFCE"/>
            <w:vAlign w:val="center"/>
            <w:hideMark/>
          </w:tcPr>
          <w:p w14:paraId="35B15ED7" w14:textId="77777777" w:rsidR="00C972CB" w:rsidRDefault="002457F6">
            <w:pPr>
              <w:pStyle w:val="P68B1DB1-Normal11"/>
              <w:spacing w:before="120" w:after="120"/>
              <w:jc w:val="center"/>
              <w:rPr>
                <w:rFonts w:eastAsia="Calibri"/>
                <w:noProof/>
              </w:rPr>
            </w:pPr>
            <w:r>
              <w:rPr>
                <w:noProof/>
              </w:rPr>
              <w:t xml:space="preserve">Visu publiskā iepirkuma līgumu slēgšanas tiesību </w:t>
            </w:r>
            <w:r>
              <w:rPr>
                <w:noProof/>
              </w:rPr>
              <w:t>piešķiršana investīcijām pilsētvides atjaunošanā, lai mazinātu marginalizācijas un sociālās degradācijas situācijas, ar projektiem, kas atbilst ANM mērķiem, tostarp principam “nenodarīt būtisku kaitējumu”</w:t>
            </w:r>
          </w:p>
        </w:tc>
        <w:tc>
          <w:tcPr>
            <w:tcW w:w="505" w:type="pct"/>
            <w:shd w:val="clear" w:color="auto" w:fill="C6EFCE"/>
            <w:vAlign w:val="center"/>
            <w:hideMark/>
          </w:tcPr>
          <w:p w14:paraId="709023F0" w14:textId="77777777" w:rsidR="00C972CB" w:rsidRDefault="002457F6">
            <w:pPr>
              <w:pStyle w:val="P68B1DB1-Normal11"/>
              <w:spacing w:before="120" w:after="120"/>
              <w:jc w:val="center"/>
              <w:rPr>
                <w:rFonts w:eastAsia="Calibri"/>
                <w:noProof/>
              </w:rPr>
            </w:pPr>
            <w:r>
              <w:rPr>
                <w:noProof/>
              </w:rPr>
              <w:t>Paziņošana par visiem publiskajiem līgumiem investī</w:t>
            </w:r>
            <w:r>
              <w:rPr>
                <w:noProof/>
              </w:rPr>
              <w:t>cijām pilsētvides atjaunošanā, lai mazinātu marginalizācijas un sociālās degradācijas situācijas, ar projektiem, kas atbilst ANM mērķiem, tostarp principam “nenodarīt būtisku kaitējumu”</w:t>
            </w:r>
          </w:p>
        </w:tc>
        <w:tc>
          <w:tcPr>
            <w:tcW w:w="478" w:type="pct"/>
            <w:shd w:val="clear" w:color="auto" w:fill="C6EFCE"/>
            <w:vAlign w:val="center"/>
            <w:hideMark/>
          </w:tcPr>
          <w:p w14:paraId="64BF931D" w14:textId="77777777" w:rsidR="00C972CB" w:rsidRDefault="002457F6">
            <w:pPr>
              <w:pStyle w:val="P68B1DB1-Normal11"/>
              <w:spacing w:before="120" w:after="120"/>
              <w:jc w:val="center"/>
              <w:rPr>
                <w:rFonts w:eastAsia="Calibri"/>
                <w:noProof/>
              </w:rPr>
            </w:pPr>
            <w:r>
              <w:rPr>
                <w:noProof/>
              </w:rPr>
              <w:t>NEPIEMĒRO</w:t>
            </w:r>
          </w:p>
        </w:tc>
        <w:tc>
          <w:tcPr>
            <w:tcW w:w="318" w:type="pct"/>
            <w:shd w:val="clear" w:color="auto" w:fill="C6EFCE"/>
            <w:vAlign w:val="center"/>
            <w:hideMark/>
          </w:tcPr>
          <w:p w14:paraId="247BB327" w14:textId="77777777" w:rsidR="00C972CB" w:rsidRDefault="002457F6">
            <w:pPr>
              <w:pStyle w:val="P68B1DB1-Normal11"/>
              <w:spacing w:before="120" w:after="120"/>
              <w:jc w:val="center"/>
              <w:rPr>
                <w:rFonts w:eastAsia="Calibri"/>
                <w:noProof/>
              </w:rPr>
            </w:pPr>
            <w:r>
              <w:rPr>
                <w:noProof/>
              </w:rPr>
              <w:t>NEPIEMĒRO</w:t>
            </w:r>
          </w:p>
        </w:tc>
        <w:tc>
          <w:tcPr>
            <w:tcW w:w="384" w:type="pct"/>
            <w:shd w:val="clear" w:color="auto" w:fill="C6EFCE"/>
            <w:vAlign w:val="center"/>
            <w:hideMark/>
          </w:tcPr>
          <w:p w14:paraId="38949D0F" w14:textId="77777777" w:rsidR="00C972CB" w:rsidRDefault="002457F6">
            <w:pPr>
              <w:pStyle w:val="P68B1DB1-Normal11"/>
              <w:spacing w:before="120" w:after="120"/>
              <w:jc w:val="center"/>
              <w:rPr>
                <w:rFonts w:eastAsia="Calibri"/>
                <w:noProof/>
              </w:rPr>
            </w:pPr>
            <w:r>
              <w:rPr>
                <w:noProof/>
              </w:rPr>
              <w:t>NEPIEMĒRO</w:t>
            </w:r>
          </w:p>
        </w:tc>
        <w:tc>
          <w:tcPr>
            <w:tcW w:w="275" w:type="pct"/>
            <w:shd w:val="clear" w:color="auto" w:fill="C6EFCE"/>
            <w:vAlign w:val="center"/>
            <w:hideMark/>
          </w:tcPr>
          <w:p w14:paraId="385A23A3" w14:textId="77777777" w:rsidR="00C972CB" w:rsidRDefault="002457F6">
            <w:pPr>
              <w:pStyle w:val="P68B1DB1-Normal11"/>
              <w:spacing w:before="120" w:after="120"/>
              <w:jc w:val="center"/>
              <w:rPr>
                <w:rFonts w:eastAsia="Calibri"/>
                <w:noProof/>
              </w:rPr>
            </w:pPr>
            <w:r>
              <w:rPr>
                <w:noProof/>
              </w:rPr>
              <w:t>1. CET.</w:t>
            </w:r>
          </w:p>
        </w:tc>
        <w:tc>
          <w:tcPr>
            <w:tcW w:w="200" w:type="pct"/>
            <w:shd w:val="clear" w:color="auto" w:fill="C6EFCE"/>
            <w:vAlign w:val="center"/>
            <w:hideMark/>
          </w:tcPr>
          <w:p w14:paraId="75160039" w14:textId="77777777" w:rsidR="00C972CB" w:rsidRDefault="002457F6">
            <w:pPr>
              <w:pStyle w:val="P68B1DB1-Normal11"/>
              <w:spacing w:before="120" w:after="120"/>
              <w:jc w:val="center"/>
              <w:rPr>
                <w:rFonts w:eastAsia="Calibri"/>
                <w:noProof/>
              </w:rPr>
            </w:pPr>
            <w:r>
              <w:rPr>
                <w:noProof/>
              </w:rPr>
              <w:t>2022</w:t>
            </w:r>
          </w:p>
        </w:tc>
        <w:tc>
          <w:tcPr>
            <w:tcW w:w="1081" w:type="pct"/>
            <w:shd w:val="clear" w:color="auto" w:fill="C6EFCE"/>
            <w:vAlign w:val="center"/>
            <w:hideMark/>
          </w:tcPr>
          <w:p w14:paraId="68138D01" w14:textId="6DE4323F" w:rsidR="00C972CB" w:rsidRDefault="002457F6">
            <w:pPr>
              <w:pStyle w:val="P68B1DB1-Normal11"/>
              <w:spacing w:before="120" w:after="120"/>
              <w:rPr>
                <w:rFonts w:eastAsia="Calibri"/>
                <w:noProof/>
              </w:rPr>
            </w:pPr>
            <w:r>
              <w:rPr>
                <w:noProof/>
              </w:rPr>
              <w:t xml:space="preserve">Paziņošana par visiem </w:t>
            </w:r>
            <w:r>
              <w:rPr>
                <w:noProof/>
              </w:rPr>
              <w:t>publiskajiem līgumiem, kas piešķirti vismaz 300 pašvaldībām, kurās ir vairāk nekā 15000 iedzīvotāju, investīcijām pilsētvides atjaunošanā, lai mazinātu marginalizācijas un sociālās degradācijas situācijas, ar projektiem, kas atbilst ANM mērķiem, tostarp pr</w:t>
            </w:r>
            <w:r>
              <w:rPr>
                <w:noProof/>
              </w:rPr>
              <w:t>incipam “nenodarīt būtisku kaitējumu”.</w:t>
            </w:r>
          </w:p>
          <w:p w14:paraId="51155AC5" w14:textId="54522747" w:rsidR="00C972CB" w:rsidRDefault="002457F6">
            <w:pPr>
              <w:pStyle w:val="P68B1DB1-Normal11"/>
              <w:spacing w:before="120" w:after="120"/>
              <w:rPr>
                <w:rFonts w:eastAsia="Calibri"/>
                <w:noProof/>
              </w:rPr>
            </w:pPr>
            <w:r>
              <w:rPr>
                <w:noProof/>
              </w:rPr>
              <w:t>Dotācijas piešķir pašvaldībām, kurās ir vairāk nekā 15000 iedzīvotāju un kuras nav provinces galvaspilsētas, provinces galvaspilsētas pašvaldības vai metropoles galvenā mītne.</w:t>
            </w:r>
          </w:p>
          <w:p w14:paraId="3B4817A0" w14:textId="77777777" w:rsidR="00C972CB" w:rsidRDefault="002457F6">
            <w:pPr>
              <w:pStyle w:val="P68B1DB1-Normal11"/>
              <w:spacing w:before="120" w:after="120"/>
              <w:rPr>
                <w:rFonts w:eastAsia="Calibri"/>
                <w:noProof/>
              </w:rPr>
            </w:pPr>
            <w:r>
              <w:rPr>
                <w:noProof/>
              </w:rPr>
              <w:t xml:space="preserve">Pilsētu ražošanas projekti ietver vismaz </w:t>
            </w:r>
            <w:r>
              <w:rPr>
                <w:noProof/>
              </w:rPr>
              <w:t>vienu no šādām intervencēm:</w:t>
            </w:r>
          </w:p>
          <w:p w14:paraId="57BF29B8" w14:textId="77777777" w:rsidR="00C972CB" w:rsidRDefault="002457F6">
            <w:pPr>
              <w:pStyle w:val="P68B1DB1-ListParagraph13"/>
              <w:numPr>
                <w:ilvl w:val="6"/>
                <w:numId w:val="7"/>
              </w:numPr>
              <w:ind w:left="506" w:hanging="237"/>
              <w:jc w:val="left"/>
              <w:rPr>
                <w:rFonts w:eastAsia="Calibri"/>
                <w:noProof/>
              </w:rPr>
            </w:pPr>
            <w:r>
              <w:rPr>
                <w:noProof/>
              </w:rPr>
              <w:t>Sabiedrisko teritoriju un esošo publisko ēku būvju atkalizmantošana un pārfunkcionalizācija sabiedrības interešu nolūkos, tostarp tādu ļaunprātīgu darbu nojaukšana, ko veic privātpersonas, ja nav būvatļaujas un attiecīgo teritor</w:t>
            </w:r>
            <w:r>
              <w:rPr>
                <w:noProof/>
              </w:rPr>
              <w:t>iju struktūras vai ja tās pilnībā neatbilst tām;</w:t>
            </w:r>
          </w:p>
          <w:p w14:paraId="5BB05474" w14:textId="77777777" w:rsidR="00C972CB" w:rsidRDefault="002457F6">
            <w:pPr>
              <w:pStyle w:val="P68B1DB1-ListParagraph13"/>
              <w:numPr>
                <w:ilvl w:val="6"/>
                <w:numId w:val="7"/>
              </w:numPr>
              <w:ind w:left="506" w:hanging="237"/>
              <w:jc w:val="left"/>
              <w:rPr>
                <w:rFonts w:eastAsia="Calibri"/>
                <w:noProof/>
              </w:rPr>
            </w:pPr>
            <w:r>
              <w:rPr>
                <w:noProof/>
              </w:rPr>
              <w:t>Uzlabot pilsētas ainavas un sociālās un vides struktūras kvalitāti, tostarp atjaunojot sabiedriskās ēkas, jo īpaši attiecībā uz sociālo un kultūras, izglītības un didaktisko pakalpojumu attīstību;</w:t>
            </w:r>
          </w:p>
          <w:p w14:paraId="16A4D377" w14:textId="77777777" w:rsidR="00C972CB" w:rsidRDefault="002457F6">
            <w:pPr>
              <w:pStyle w:val="P68B1DB1-ListParagraph13"/>
              <w:numPr>
                <w:ilvl w:val="6"/>
                <w:numId w:val="7"/>
              </w:numPr>
              <w:ind w:left="506" w:hanging="237"/>
              <w:jc w:val="left"/>
              <w:rPr>
                <w:rFonts w:eastAsia="Calibri"/>
                <w:noProof/>
              </w:rPr>
            </w:pPr>
            <w:r>
              <w:rPr>
                <w:noProof/>
              </w:rPr>
              <w:t>Videi drau</w:t>
            </w:r>
            <w:r>
              <w:rPr>
                <w:noProof/>
              </w:rPr>
              <w:t>dzīgi, ilgtspējīgi un viedi transporta projekti.</w:t>
            </w:r>
          </w:p>
          <w:p w14:paraId="4C51303B" w14:textId="77777777" w:rsidR="00C972CB" w:rsidRDefault="002457F6">
            <w:pPr>
              <w:pStyle w:val="P68B1DB1-Normal11"/>
              <w:spacing w:before="120" w:after="120"/>
              <w:rPr>
                <w:rFonts w:eastAsia="Calibri"/>
                <w:noProof/>
              </w:rPr>
            </w:pPr>
            <w:r>
              <w:rPr>
                <w:noProof/>
              </w:rPr>
              <w:t>Maksimālās summas katrai pašvaldībai ir šādas:</w:t>
            </w:r>
          </w:p>
          <w:p w14:paraId="61B42385" w14:textId="6C574572" w:rsidR="00C972CB" w:rsidRDefault="002457F6">
            <w:pPr>
              <w:pStyle w:val="P68B1DB1-Normal11"/>
              <w:spacing w:before="120" w:after="120"/>
              <w:rPr>
                <w:rFonts w:eastAsia="Calibri"/>
                <w:noProof/>
              </w:rPr>
            </w:pPr>
            <w:r>
              <w:rPr>
                <w:noProof/>
              </w:rPr>
              <w:t>5 000 000 EUR pašvaldībām, kurās iedzīvotāju skaits ir no 15000 līdz 49999;</w:t>
            </w:r>
          </w:p>
          <w:p w14:paraId="56C38838" w14:textId="1CDCA4CE" w:rsidR="00C972CB" w:rsidRDefault="002457F6">
            <w:pPr>
              <w:pStyle w:val="P68B1DB1-Normal11"/>
              <w:spacing w:before="120" w:after="120"/>
              <w:rPr>
                <w:rFonts w:eastAsia="Calibri"/>
                <w:noProof/>
              </w:rPr>
            </w:pPr>
            <w:r>
              <w:rPr>
                <w:noProof/>
              </w:rPr>
              <w:t>EUR 10000000 pašvaldībām, kurās iedzīvotāju skaits ir no 50000 līdz 100000;</w:t>
            </w:r>
          </w:p>
          <w:p w14:paraId="264DC38E" w14:textId="0EC4C96F" w:rsidR="00C972CB" w:rsidRDefault="002457F6">
            <w:pPr>
              <w:pStyle w:val="P68B1DB1-Normal11"/>
              <w:spacing w:before="120" w:after="120"/>
              <w:rPr>
                <w:rFonts w:eastAsia="Calibri"/>
                <w:noProof/>
              </w:rPr>
            </w:pPr>
            <w:r>
              <w:rPr>
                <w:noProof/>
              </w:rPr>
              <w:t>EUR 2000</w:t>
            </w:r>
            <w:r>
              <w:rPr>
                <w:noProof/>
              </w:rPr>
              <w:t>0000 pašvaldībām, kurās iedzīvotāju skaits pārsniedz 100000, un pašvaldībām, kas ir provinces galvaspilsētas vai lielpilsētas.</w:t>
            </w:r>
          </w:p>
        </w:tc>
      </w:tr>
      <w:tr w:rsidR="00C972CB" w14:paraId="64F345F1" w14:textId="77777777">
        <w:trPr>
          <w:trHeight w:val="3113"/>
          <w:jc w:val="center"/>
        </w:trPr>
        <w:tc>
          <w:tcPr>
            <w:tcW w:w="384" w:type="pct"/>
            <w:shd w:val="clear" w:color="auto" w:fill="C6EFCE"/>
            <w:vAlign w:val="center"/>
            <w:hideMark/>
          </w:tcPr>
          <w:p w14:paraId="005FDFEC" w14:textId="77777777" w:rsidR="00C972CB" w:rsidRDefault="002457F6">
            <w:pPr>
              <w:pStyle w:val="P68B1DB1-Normal11"/>
              <w:jc w:val="center"/>
              <w:rPr>
                <w:noProof/>
              </w:rPr>
            </w:pPr>
            <w:r>
              <w:rPr>
                <w:noProof/>
              </w:rPr>
              <w:t>M5C2–12</w:t>
            </w:r>
          </w:p>
        </w:tc>
        <w:tc>
          <w:tcPr>
            <w:tcW w:w="509" w:type="pct"/>
            <w:shd w:val="clear" w:color="auto" w:fill="C6EFCE"/>
            <w:vAlign w:val="center"/>
            <w:hideMark/>
          </w:tcPr>
          <w:p w14:paraId="791E0200" w14:textId="77777777" w:rsidR="00C972CB" w:rsidRDefault="002457F6">
            <w:pPr>
              <w:pStyle w:val="P68B1DB1-Normal11"/>
              <w:jc w:val="center"/>
              <w:rPr>
                <w:noProof/>
              </w:rPr>
            </w:pPr>
            <w:r>
              <w:rPr>
                <w:noProof/>
              </w:rPr>
              <w:t xml:space="preserve">Ieguldījums. Ieguldījumi pilsētvides atjaunošanas projektos, kuru mērķis ir mazināt marginalizācijas un sociālās </w:t>
            </w:r>
            <w:r>
              <w:rPr>
                <w:noProof/>
              </w:rPr>
              <w:t>degradācijas situācijas</w:t>
            </w:r>
          </w:p>
        </w:tc>
        <w:tc>
          <w:tcPr>
            <w:tcW w:w="361" w:type="pct"/>
            <w:shd w:val="clear" w:color="auto" w:fill="C6EFCE"/>
            <w:vAlign w:val="center"/>
            <w:hideMark/>
          </w:tcPr>
          <w:p w14:paraId="0F3FACB8" w14:textId="77777777" w:rsidR="00C972CB" w:rsidRDefault="002457F6">
            <w:pPr>
              <w:pStyle w:val="P68B1DB1-Normal11"/>
              <w:jc w:val="center"/>
              <w:rPr>
                <w:noProof/>
              </w:rPr>
            </w:pPr>
            <w:r>
              <w:rPr>
                <w:noProof/>
              </w:rPr>
              <w:t>Mērķa</w:t>
            </w:r>
          </w:p>
        </w:tc>
        <w:tc>
          <w:tcPr>
            <w:tcW w:w="505" w:type="pct"/>
            <w:shd w:val="clear" w:color="auto" w:fill="C6EFCE"/>
            <w:vAlign w:val="center"/>
            <w:hideMark/>
          </w:tcPr>
          <w:p w14:paraId="18D1D44E" w14:textId="631249C9" w:rsidR="00C972CB" w:rsidRDefault="002457F6">
            <w:pPr>
              <w:pStyle w:val="P68B1DB1-Normal11"/>
              <w:jc w:val="center"/>
              <w:rPr>
                <w:noProof/>
              </w:rPr>
            </w:pPr>
            <w:r>
              <w:rPr>
                <w:noProof/>
              </w:rPr>
              <w:t>Pilsētu atjaunošanas intervences projekti, kas aptver pašvaldības</w:t>
            </w:r>
          </w:p>
        </w:tc>
        <w:tc>
          <w:tcPr>
            <w:tcW w:w="505" w:type="pct"/>
            <w:shd w:val="clear" w:color="auto" w:fill="C6EFCE"/>
            <w:vAlign w:val="center"/>
            <w:hideMark/>
          </w:tcPr>
          <w:p w14:paraId="44CA766C" w14:textId="77777777" w:rsidR="00C972CB" w:rsidRDefault="002457F6">
            <w:pPr>
              <w:pStyle w:val="P68B1DB1-Normal11"/>
              <w:jc w:val="center"/>
              <w:rPr>
                <w:noProof/>
              </w:rPr>
            </w:pPr>
            <w:r>
              <w:rPr>
                <w:noProof/>
              </w:rPr>
              <w:t>NEPIEMĒRO</w:t>
            </w:r>
          </w:p>
        </w:tc>
        <w:tc>
          <w:tcPr>
            <w:tcW w:w="478" w:type="pct"/>
            <w:shd w:val="clear" w:color="auto" w:fill="C6EFCE"/>
            <w:vAlign w:val="center"/>
            <w:hideMark/>
          </w:tcPr>
          <w:p w14:paraId="262DEF05" w14:textId="77777777" w:rsidR="00C972CB" w:rsidRDefault="002457F6">
            <w:pPr>
              <w:pStyle w:val="P68B1DB1-Normal11"/>
              <w:jc w:val="center"/>
              <w:rPr>
                <w:noProof/>
              </w:rPr>
            </w:pPr>
            <w:r>
              <w:rPr>
                <w:noProof/>
              </w:rPr>
              <w:t>Skaits</w:t>
            </w:r>
          </w:p>
        </w:tc>
        <w:tc>
          <w:tcPr>
            <w:tcW w:w="318" w:type="pct"/>
            <w:shd w:val="clear" w:color="auto" w:fill="C6EFCE"/>
            <w:vAlign w:val="center"/>
            <w:hideMark/>
          </w:tcPr>
          <w:p w14:paraId="4B3747DE" w14:textId="77777777" w:rsidR="00C972CB" w:rsidRDefault="002457F6">
            <w:pPr>
              <w:pStyle w:val="P68B1DB1-Normal11"/>
              <w:jc w:val="center"/>
              <w:rPr>
                <w:noProof/>
              </w:rPr>
            </w:pPr>
            <w:r>
              <w:rPr>
                <w:noProof/>
              </w:rPr>
              <w:t>0</w:t>
            </w:r>
          </w:p>
        </w:tc>
        <w:tc>
          <w:tcPr>
            <w:tcW w:w="384" w:type="pct"/>
            <w:shd w:val="clear" w:color="auto" w:fill="C6EFCE"/>
            <w:vAlign w:val="center"/>
            <w:hideMark/>
          </w:tcPr>
          <w:p w14:paraId="22CCDA34" w14:textId="0D72CA53" w:rsidR="00C972CB" w:rsidRDefault="002457F6">
            <w:pPr>
              <w:pStyle w:val="P68B1DB1-Normal11"/>
              <w:jc w:val="center"/>
              <w:rPr>
                <w:noProof/>
              </w:rPr>
            </w:pPr>
            <w:r>
              <w:rPr>
                <w:noProof/>
              </w:rPr>
              <w:t>1 080</w:t>
            </w:r>
          </w:p>
        </w:tc>
        <w:tc>
          <w:tcPr>
            <w:tcW w:w="275" w:type="pct"/>
            <w:shd w:val="clear" w:color="auto" w:fill="C6EFCE"/>
            <w:vAlign w:val="center"/>
            <w:hideMark/>
          </w:tcPr>
          <w:p w14:paraId="27DBCC77" w14:textId="77777777" w:rsidR="00C972CB" w:rsidRDefault="002457F6">
            <w:pPr>
              <w:pStyle w:val="P68B1DB1-Normal11"/>
              <w:jc w:val="center"/>
              <w:rPr>
                <w:noProof/>
              </w:rPr>
            </w:pPr>
            <w:r>
              <w:rPr>
                <w:noProof/>
              </w:rPr>
              <w:t>2. CET.</w:t>
            </w:r>
          </w:p>
        </w:tc>
        <w:tc>
          <w:tcPr>
            <w:tcW w:w="200" w:type="pct"/>
            <w:shd w:val="clear" w:color="auto" w:fill="C6EFCE"/>
            <w:vAlign w:val="center"/>
            <w:hideMark/>
          </w:tcPr>
          <w:p w14:paraId="363FC753" w14:textId="77777777" w:rsidR="00C972CB" w:rsidRDefault="002457F6">
            <w:pPr>
              <w:pStyle w:val="P68B1DB1-Normal11"/>
              <w:jc w:val="center"/>
              <w:rPr>
                <w:noProof/>
              </w:rPr>
            </w:pPr>
            <w:r>
              <w:rPr>
                <w:noProof/>
              </w:rPr>
              <w:t>2026</w:t>
            </w:r>
          </w:p>
        </w:tc>
        <w:tc>
          <w:tcPr>
            <w:tcW w:w="1081" w:type="pct"/>
            <w:shd w:val="clear" w:color="auto" w:fill="C6EFCE"/>
            <w:vAlign w:val="center"/>
            <w:hideMark/>
          </w:tcPr>
          <w:p w14:paraId="47CE89AD" w14:textId="5E9F5AA1" w:rsidR="00C972CB" w:rsidRDefault="002457F6">
            <w:pPr>
              <w:pStyle w:val="P68B1DB1-Normal19"/>
              <w:rPr>
                <w:noProof/>
                <w:color w:val="006100"/>
              </w:rPr>
            </w:pPr>
            <w:r>
              <w:rPr>
                <w:noProof/>
                <w:color w:val="006100"/>
              </w:rPr>
              <w:t>Vismaz 1080 pabeigti projekti, ko nosūtījušas pašvaldības, kuru sastāvā ir vairāk nekā</w:t>
            </w:r>
            <w:r>
              <w:rPr>
                <w:noProof/>
              </w:rPr>
              <w:t xml:space="preserve"> </w:t>
            </w:r>
            <w:r>
              <w:rPr>
                <w:noProof/>
              </w:rPr>
              <w:br/>
            </w:r>
            <w:r>
              <w:rPr>
                <w:noProof/>
                <w:color w:val="006100"/>
              </w:rPr>
              <w:t xml:space="preserve">15000 iedzīvotāju, kas aptver </w:t>
            </w:r>
            <w:r>
              <w:rPr>
                <w:noProof/>
                <w:color w:val="006100"/>
              </w:rPr>
              <w:t>vismaz 1000000 kvadrātmetrus.</w:t>
            </w:r>
          </w:p>
          <w:p w14:paraId="59849979" w14:textId="77777777" w:rsidR="00C972CB" w:rsidRDefault="00C972CB">
            <w:pPr>
              <w:rPr>
                <w:rFonts w:ascii="Arial Narrow" w:hAnsi="Arial Narrow"/>
                <w:noProof/>
                <w:color w:val="006100"/>
                <w:sz w:val="20"/>
              </w:rPr>
            </w:pPr>
          </w:p>
          <w:p w14:paraId="4F0098D0" w14:textId="77777777" w:rsidR="00C972CB" w:rsidRDefault="002457F6">
            <w:pPr>
              <w:pStyle w:val="P68B1DB1-Normal11"/>
              <w:rPr>
                <w:noProof/>
              </w:rPr>
            </w:pPr>
            <w:r>
              <w:rPr>
                <w:noProof/>
              </w:rPr>
              <w:t>Intervences ir tās, kas definētas attiecīgajā pilsētu reģenerācijas intervenču stūrakmens.</w:t>
            </w:r>
          </w:p>
        </w:tc>
      </w:tr>
      <w:tr w:rsidR="00C972CB" w14:paraId="35C02A07" w14:textId="77777777">
        <w:trPr>
          <w:trHeight w:val="4126"/>
          <w:jc w:val="center"/>
        </w:trPr>
        <w:tc>
          <w:tcPr>
            <w:tcW w:w="384" w:type="pct"/>
            <w:shd w:val="clear" w:color="auto" w:fill="C6EFCE"/>
            <w:vAlign w:val="center"/>
            <w:hideMark/>
          </w:tcPr>
          <w:p w14:paraId="63CF1B58" w14:textId="77777777" w:rsidR="00C972CB" w:rsidRDefault="002457F6">
            <w:pPr>
              <w:pStyle w:val="P68B1DB1-Normal11"/>
              <w:jc w:val="center"/>
              <w:rPr>
                <w:noProof/>
              </w:rPr>
            </w:pPr>
            <w:r>
              <w:rPr>
                <w:noProof/>
              </w:rPr>
              <w:t>M5C2–13</w:t>
            </w:r>
          </w:p>
        </w:tc>
        <w:tc>
          <w:tcPr>
            <w:tcW w:w="509" w:type="pct"/>
            <w:shd w:val="clear" w:color="auto" w:fill="C6EFCE"/>
            <w:vAlign w:val="center"/>
            <w:hideMark/>
          </w:tcPr>
          <w:p w14:paraId="1B58F548" w14:textId="77777777" w:rsidR="00C972CB" w:rsidRDefault="002457F6">
            <w:pPr>
              <w:pStyle w:val="P68B1DB1-Normal11"/>
              <w:jc w:val="center"/>
              <w:rPr>
                <w:noProof/>
              </w:rPr>
            </w:pPr>
            <w:r>
              <w:rPr>
                <w:noProof/>
              </w:rPr>
              <w:t>Ieguldījums Nr. 5 — Pilsētvides integrētie plāni — vispārīgi projekti</w:t>
            </w:r>
          </w:p>
        </w:tc>
        <w:tc>
          <w:tcPr>
            <w:tcW w:w="361" w:type="pct"/>
            <w:shd w:val="clear" w:color="auto" w:fill="C6EFCE"/>
            <w:vAlign w:val="center"/>
            <w:hideMark/>
          </w:tcPr>
          <w:p w14:paraId="3EC69DBA" w14:textId="77777777" w:rsidR="00C972CB" w:rsidRDefault="002457F6">
            <w:pPr>
              <w:pStyle w:val="P68B1DB1-Normal11"/>
              <w:jc w:val="center"/>
              <w:rPr>
                <w:noProof/>
              </w:rPr>
            </w:pPr>
            <w:r>
              <w:rPr>
                <w:noProof/>
              </w:rPr>
              <w:t>Starpposma mērķis</w:t>
            </w:r>
          </w:p>
        </w:tc>
        <w:tc>
          <w:tcPr>
            <w:tcW w:w="505" w:type="pct"/>
            <w:shd w:val="clear" w:color="auto" w:fill="C6EFCE"/>
            <w:vAlign w:val="center"/>
            <w:hideMark/>
          </w:tcPr>
          <w:p w14:paraId="649DC8DA" w14:textId="77777777" w:rsidR="00C972CB" w:rsidRDefault="002457F6">
            <w:pPr>
              <w:pStyle w:val="P68B1DB1-Normal11"/>
              <w:jc w:val="center"/>
              <w:rPr>
                <w:noProof/>
              </w:rPr>
            </w:pPr>
            <w:r>
              <w:rPr>
                <w:noProof/>
              </w:rPr>
              <w:t xml:space="preserve">Investīciju plāna stāšanās spēkā </w:t>
            </w:r>
            <w:r>
              <w:rPr>
                <w:noProof/>
              </w:rPr>
              <w:t>pilsētu atjaunošanas projektiem lielpilsētu teritorijās</w:t>
            </w:r>
          </w:p>
        </w:tc>
        <w:tc>
          <w:tcPr>
            <w:tcW w:w="505" w:type="pct"/>
            <w:shd w:val="clear" w:color="auto" w:fill="C6EFCE"/>
            <w:vAlign w:val="center"/>
            <w:hideMark/>
          </w:tcPr>
          <w:p w14:paraId="142F3CB3" w14:textId="77777777" w:rsidR="00C972CB" w:rsidRDefault="002457F6">
            <w:pPr>
              <w:pStyle w:val="P68B1DB1-Normal11"/>
              <w:jc w:val="center"/>
              <w:rPr>
                <w:noProof/>
              </w:rPr>
            </w:pPr>
            <w:r>
              <w:rPr>
                <w:noProof/>
              </w:rPr>
              <w:t>Likuma norma, kurā norādīts, ka stājas spēkā Plāns pilsētu atjaunošanas projektiem lielpilsētu teritorijās</w:t>
            </w:r>
          </w:p>
        </w:tc>
        <w:tc>
          <w:tcPr>
            <w:tcW w:w="478" w:type="pct"/>
            <w:shd w:val="clear" w:color="auto" w:fill="C6EFCE"/>
            <w:vAlign w:val="center"/>
            <w:hideMark/>
          </w:tcPr>
          <w:p w14:paraId="733848E9" w14:textId="77777777" w:rsidR="00C972CB" w:rsidRDefault="002457F6">
            <w:pPr>
              <w:pStyle w:val="P68B1DB1-Normal11"/>
              <w:jc w:val="center"/>
              <w:rPr>
                <w:noProof/>
              </w:rPr>
            </w:pPr>
            <w:r>
              <w:rPr>
                <w:noProof/>
              </w:rPr>
              <w:t>NEPIEMĒRO</w:t>
            </w:r>
          </w:p>
        </w:tc>
        <w:tc>
          <w:tcPr>
            <w:tcW w:w="318" w:type="pct"/>
            <w:shd w:val="clear" w:color="auto" w:fill="C6EFCE"/>
            <w:vAlign w:val="center"/>
            <w:hideMark/>
          </w:tcPr>
          <w:p w14:paraId="51520117" w14:textId="77777777" w:rsidR="00C972CB" w:rsidRDefault="002457F6">
            <w:pPr>
              <w:pStyle w:val="P68B1DB1-Normal11"/>
              <w:jc w:val="center"/>
              <w:rPr>
                <w:noProof/>
              </w:rPr>
            </w:pPr>
            <w:r>
              <w:rPr>
                <w:noProof/>
              </w:rPr>
              <w:t>NEPIEMĒRO</w:t>
            </w:r>
          </w:p>
        </w:tc>
        <w:tc>
          <w:tcPr>
            <w:tcW w:w="384" w:type="pct"/>
            <w:shd w:val="clear" w:color="auto" w:fill="C6EFCE"/>
            <w:vAlign w:val="center"/>
            <w:hideMark/>
          </w:tcPr>
          <w:p w14:paraId="52009F4E" w14:textId="77777777" w:rsidR="00C972CB" w:rsidRDefault="002457F6">
            <w:pPr>
              <w:pStyle w:val="P68B1DB1-Normal11"/>
              <w:jc w:val="center"/>
              <w:rPr>
                <w:noProof/>
              </w:rPr>
            </w:pPr>
            <w:r>
              <w:rPr>
                <w:noProof/>
              </w:rPr>
              <w:t>NEPIEMĒRO</w:t>
            </w:r>
          </w:p>
        </w:tc>
        <w:tc>
          <w:tcPr>
            <w:tcW w:w="275" w:type="pct"/>
            <w:shd w:val="clear" w:color="auto" w:fill="C6EFCE"/>
            <w:vAlign w:val="center"/>
            <w:hideMark/>
          </w:tcPr>
          <w:p w14:paraId="7CEC45E7" w14:textId="77777777" w:rsidR="00C972CB" w:rsidRDefault="002457F6">
            <w:pPr>
              <w:pStyle w:val="P68B1DB1-Normal11"/>
              <w:jc w:val="center"/>
              <w:rPr>
                <w:noProof/>
              </w:rPr>
            </w:pPr>
            <w:r>
              <w:rPr>
                <w:noProof/>
              </w:rPr>
              <w:t>4. CET.</w:t>
            </w:r>
          </w:p>
        </w:tc>
        <w:tc>
          <w:tcPr>
            <w:tcW w:w="200" w:type="pct"/>
            <w:shd w:val="clear" w:color="auto" w:fill="C6EFCE"/>
            <w:vAlign w:val="center"/>
            <w:hideMark/>
          </w:tcPr>
          <w:p w14:paraId="0F42B591" w14:textId="77777777" w:rsidR="00C972CB" w:rsidRDefault="002457F6">
            <w:pPr>
              <w:pStyle w:val="P68B1DB1-Normal11"/>
              <w:jc w:val="center"/>
              <w:rPr>
                <w:noProof/>
              </w:rPr>
            </w:pPr>
            <w:r>
              <w:rPr>
                <w:noProof/>
              </w:rPr>
              <w:t>2022</w:t>
            </w:r>
          </w:p>
        </w:tc>
        <w:tc>
          <w:tcPr>
            <w:tcW w:w="1081" w:type="pct"/>
            <w:shd w:val="clear" w:color="auto" w:fill="C6EFCE"/>
            <w:vAlign w:val="center"/>
          </w:tcPr>
          <w:p w14:paraId="0D3C3EE4" w14:textId="77777777" w:rsidR="00C972CB" w:rsidRDefault="002457F6">
            <w:pPr>
              <w:pStyle w:val="P68B1DB1-Normal11"/>
              <w:rPr>
                <w:noProof/>
              </w:rPr>
            </w:pPr>
            <w:r>
              <w:rPr>
                <w:noProof/>
              </w:rPr>
              <w:t xml:space="preserve">Investīciju plānā nosaka kritēriju kopumu saskaņā </w:t>
            </w:r>
            <w:r>
              <w:rPr>
                <w:noProof/>
              </w:rPr>
              <w:t>ar ANM mērķiem, tostarp principu “nenodarīt būtisku kaitējumu”. Projekti attiecas uz šāda veida intervencēm:</w:t>
            </w:r>
          </w:p>
          <w:p w14:paraId="5B4561AE" w14:textId="77777777" w:rsidR="00C972CB" w:rsidRDefault="002457F6">
            <w:pPr>
              <w:pStyle w:val="P68B1DB1-Normal11"/>
              <w:rPr>
                <w:noProof/>
              </w:rPr>
            </w:pPr>
            <w:r>
              <w:rPr>
                <w:noProof/>
              </w:rPr>
              <w:t>a) Publisko teritoriju atkārtotas izmantošanas un darbības uzturēšana.</w:t>
            </w:r>
          </w:p>
          <w:p w14:paraId="0FC13A8A" w14:textId="77777777" w:rsidR="00C972CB" w:rsidRDefault="002457F6">
            <w:pPr>
              <w:pStyle w:val="P68B1DB1-Normal11"/>
              <w:rPr>
                <w:noProof/>
              </w:rPr>
            </w:pPr>
            <w:r>
              <w:rPr>
                <w:noProof/>
              </w:rPr>
              <w:t>b) pilsētas décor un sociālās un vides struktūras kvalitātes uzlabošana.</w:t>
            </w:r>
          </w:p>
          <w:p w14:paraId="02EF69F2" w14:textId="77777777" w:rsidR="00C972CB" w:rsidRDefault="002457F6">
            <w:pPr>
              <w:pStyle w:val="P68B1DB1-Normal11"/>
              <w:rPr>
                <w:noProof/>
              </w:rPr>
            </w:pPr>
            <w:r>
              <w:rPr>
                <w:noProof/>
              </w:rPr>
              <w:t xml:space="preserve">C) </w:t>
            </w:r>
            <w:r>
              <w:rPr>
                <w:noProof/>
              </w:rPr>
              <w:t>pilsētu teritoriju vides kvalitātes un digitālā profila uzlabošana.</w:t>
            </w:r>
          </w:p>
        </w:tc>
      </w:tr>
      <w:tr w:rsidR="00C972CB" w14:paraId="12A17A35" w14:textId="77777777">
        <w:trPr>
          <w:trHeight w:val="20"/>
          <w:jc w:val="center"/>
        </w:trPr>
        <w:tc>
          <w:tcPr>
            <w:tcW w:w="384" w:type="pct"/>
            <w:shd w:val="clear" w:color="auto" w:fill="C6EFCE"/>
            <w:vAlign w:val="center"/>
          </w:tcPr>
          <w:p w14:paraId="28192277" w14:textId="77777777" w:rsidR="00C972CB" w:rsidRDefault="002457F6">
            <w:pPr>
              <w:pStyle w:val="P68B1DB1-Normal11"/>
              <w:jc w:val="center"/>
              <w:rPr>
                <w:noProof/>
              </w:rPr>
            </w:pPr>
            <w:r>
              <w:rPr>
                <w:noProof/>
              </w:rPr>
              <w:t>M5C2–14</w:t>
            </w:r>
          </w:p>
        </w:tc>
        <w:tc>
          <w:tcPr>
            <w:tcW w:w="509" w:type="pct"/>
            <w:shd w:val="clear" w:color="auto" w:fill="C6EFCE"/>
            <w:vAlign w:val="center"/>
          </w:tcPr>
          <w:p w14:paraId="674C0A7E" w14:textId="77777777" w:rsidR="00C972CB" w:rsidRDefault="002457F6">
            <w:pPr>
              <w:pStyle w:val="P68B1DB1-Normal11"/>
              <w:jc w:val="center"/>
              <w:rPr>
                <w:noProof/>
              </w:rPr>
            </w:pPr>
            <w:r>
              <w:rPr>
                <w:noProof/>
              </w:rPr>
              <w:t>Ieguldījums Nr. 5 — Pilsētvides integrētie plāni — vispārīgi projekti</w:t>
            </w:r>
          </w:p>
        </w:tc>
        <w:tc>
          <w:tcPr>
            <w:tcW w:w="361" w:type="pct"/>
            <w:shd w:val="clear" w:color="auto" w:fill="C6EFCE"/>
            <w:vAlign w:val="center"/>
          </w:tcPr>
          <w:p w14:paraId="6B3B66C0" w14:textId="77777777" w:rsidR="00C972CB" w:rsidRDefault="002457F6">
            <w:pPr>
              <w:pStyle w:val="P68B1DB1-Normal11"/>
              <w:jc w:val="center"/>
              <w:rPr>
                <w:noProof/>
              </w:rPr>
            </w:pPr>
            <w:r>
              <w:rPr>
                <w:noProof/>
              </w:rPr>
              <w:t>Mērķa</w:t>
            </w:r>
          </w:p>
        </w:tc>
        <w:tc>
          <w:tcPr>
            <w:tcW w:w="505" w:type="pct"/>
            <w:shd w:val="clear" w:color="auto" w:fill="C6EFCE"/>
            <w:vAlign w:val="center"/>
          </w:tcPr>
          <w:p w14:paraId="60E1D1ED" w14:textId="7C7C5F74" w:rsidR="00C972CB" w:rsidRDefault="002457F6">
            <w:pPr>
              <w:pStyle w:val="P68B1DB1-Normal11"/>
              <w:jc w:val="center"/>
              <w:rPr>
                <w:noProof/>
              </w:rPr>
            </w:pPr>
            <w:r>
              <w:rPr>
                <w:noProof/>
              </w:rPr>
              <w:t>Pabeigt integrētas plānošanas projektus lielpilsētās</w:t>
            </w:r>
          </w:p>
        </w:tc>
        <w:tc>
          <w:tcPr>
            <w:tcW w:w="505" w:type="pct"/>
            <w:shd w:val="clear" w:color="auto" w:fill="C6EFCE"/>
            <w:vAlign w:val="center"/>
          </w:tcPr>
          <w:p w14:paraId="523F6CCE" w14:textId="77777777" w:rsidR="00C972CB" w:rsidRDefault="002457F6">
            <w:pPr>
              <w:pStyle w:val="P68B1DB1-Normal11"/>
              <w:jc w:val="center"/>
              <w:rPr>
                <w:noProof/>
              </w:rPr>
            </w:pPr>
            <w:r>
              <w:rPr>
                <w:noProof/>
              </w:rPr>
              <w:t>NEPIEMĒRO</w:t>
            </w:r>
          </w:p>
        </w:tc>
        <w:tc>
          <w:tcPr>
            <w:tcW w:w="478" w:type="pct"/>
            <w:shd w:val="clear" w:color="auto" w:fill="C6EFCE"/>
            <w:vAlign w:val="center"/>
          </w:tcPr>
          <w:p w14:paraId="663DF067" w14:textId="77777777" w:rsidR="00C972CB" w:rsidRDefault="002457F6">
            <w:pPr>
              <w:pStyle w:val="P68B1DB1-Normal11"/>
              <w:jc w:val="center"/>
              <w:rPr>
                <w:noProof/>
              </w:rPr>
            </w:pPr>
            <w:r>
              <w:rPr>
                <w:noProof/>
              </w:rPr>
              <w:t xml:space="preserve">Skaits </w:t>
            </w:r>
          </w:p>
        </w:tc>
        <w:tc>
          <w:tcPr>
            <w:tcW w:w="318" w:type="pct"/>
            <w:shd w:val="clear" w:color="auto" w:fill="C6EFCE"/>
            <w:vAlign w:val="center"/>
          </w:tcPr>
          <w:p w14:paraId="713C89E3" w14:textId="3A242A38" w:rsidR="00C972CB" w:rsidRDefault="002457F6">
            <w:pPr>
              <w:pStyle w:val="P68B1DB1-Normal11"/>
              <w:jc w:val="center"/>
              <w:rPr>
                <w:noProof/>
              </w:rPr>
            </w:pPr>
            <w:r>
              <w:rPr>
                <w:noProof/>
              </w:rPr>
              <w:t>0</w:t>
            </w:r>
          </w:p>
        </w:tc>
        <w:tc>
          <w:tcPr>
            <w:tcW w:w="384" w:type="pct"/>
            <w:shd w:val="clear" w:color="auto" w:fill="C6EFCE"/>
            <w:vAlign w:val="center"/>
          </w:tcPr>
          <w:p w14:paraId="3A82CDF0" w14:textId="5D059E54" w:rsidR="00C972CB" w:rsidRDefault="002457F6">
            <w:pPr>
              <w:pStyle w:val="P68B1DB1-Normal11"/>
              <w:jc w:val="center"/>
              <w:rPr>
                <w:noProof/>
              </w:rPr>
            </w:pPr>
            <w:r>
              <w:rPr>
                <w:noProof/>
              </w:rPr>
              <w:t>300</w:t>
            </w:r>
          </w:p>
        </w:tc>
        <w:tc>
          <w:tcPr>
            <w:tcW w:w="275" w:type="pct"/>
            <w:shd w:val="clear" w:color="auto" w:fill="C6EFCE"/>
            <w:vAlign w:val="center"/>
          </w:tcPr>
          <w:p w14:paraId="47234F6C" w14:textId="77777777" w:rsidR="00C972CB" w:rsidRDefault="002457F6">
            <w:pPr>
              <w:pStyle w:val="P68B1DB1-Normal11"/>
              <w:jc w:val="center"/>
              <w:rPr>
                <w:noProof/>
              </w:rPr>
            </w:pPr>
            <w:r>
              <w:rPr>
                <w:noProof/>
              </w:rPr>
              <w:t>2. CET.</w:t>
            </w:r>
          </w:p>
        </w:tc>
        <w:tc>
          <w:tcPr>
            <w:tcW w:w="200" w:type="pct"/>
            <w:shd w:val="clear" w:color="auto" w:fill="C6EFCE"/>
            <w:vAlign w:val="center"/>
          </w:tcPr>
          <w:p w14:paraId="30AAB6E8" w14:textId="77777777" w:rsidR="00C972CB" w:rsidRDefault="002457F6">
            <w:pPr>
              <w:pStyle w:val="P68B1DB1-Normal11"/>
              <w:jc w:val="center"/>
              <w:rPr>
                <w:noProof/>
              </w:rPr>
            </w:pPr>
            <w:r>
              <w:rPr>
                <w:noProof/>
              </w:rPr>
              <w:t>2026</w:t>
            </w:r>
          </w:p>
        </w:tc>
        <w:tc>
          <w:tcPr>
            <w:tcW w:w="1081" w:type="pct"/>
            <w:shd w:val="clear" w:color="auto" w:fill="C6EFCE"/>
            <w:vAlign w:val="center"/>
          </w:tcPr>
          <w:p w14:paraId="20379F80" w14:textId="1D47B969" w:rsidR="00C972CB" w:rsidRDefault="002457F6">
            <w:pPr>
              <w:pStyle w:val="P68B1DB1-Normal11"/>
              <w:rPr>
                <w:noProof/>
              </w:rPr>
            </w:pPr>
            <w:r>
              <w:rPr>
                <w:noProof/>
              </w:rPr>
              <w:t xml:space="preserve">Visās 14 </w:t>
            </w:r>
            <w:r>
              <w:rPr>
                <w:noProof/>
              </w:rPr>
              <w:t>lielpilsētās ir pabeigti vismaz 300 integrētas plānošanas projekti vismaz vienā no šādām trim dimensijām:</w:t>
            </w:r>
          </w:p>
          <w:p w14:paraId="10EEB457" w14:textId="77777777" w:rsidR="00C972CB" w:rsidRDefault="002457F6">
            <w:pPr>
              <w:pStyle w:val="P68B1DB1-Normal11"/>
              <w:rPr>
                <w:noProof/>
              </w:rPr>
            </w:pPr>
            <w:r>
              <w:rPr>
                <w:noProof/>
              </w:rPr>
              <w:t xml:space="preserve"> </w:t>
            </w:r>
          </w:p>
          <w:p w14:paraId="308921FB" w14:textId="77777777" w:rsidR="00C972CB" w:rsidRDefault="002457F6">
            <w:pPr>
              <w:pStyle w:val="P68B1DB1-Normal11"/>
              <w:rPr>
                <w:noProof/>
              </w:rPr>
            </w:pPr>
            <w:r>
              <w:rPr>
                <w:noProof/>
              </w:rPr>
              <w:t>Sabiedrisko teritoriju un esošo publisko ēku struktūru uzturēšana atkalizmantošanai un atkalizmantošanai;</w:t>
            </w:r>
          </w:p>
          <w:p w14:paraId="17E972C0" w14:textId="77777777" w:rsidR="00C972CB" w:rsidRDefault="002457F6">
            <w:pPr>
              <w:pStyle w:val="P68B1DB1-Normal11"/>
              <w:rPr>
                <w:noProof/>
              </w:rPr>
            </w:pPr>
            <w:r>
              <w:rPr>
                <w:noProof/>
              </w:rPr>
              <w:t xml:space="preserve"> </w:t>
            </w:r>
          </w:p>
          <w:p w14:paraId="71E3FE0C" w14:textId="77777777" w:rsidR="00C972CB" w:rsidRDefault="002457F6">
            <w:pPr>
              <w:pStyle w:val="P68B1DB1-Normal11"/>
              <w:rPr>
                <w:noProof/>
              </w:rPr>
            </w:pPr>
            <w:r>
              <w:rPr>
                <w:noProof/>
              </w:rPr>
              <w:t>Pilsētas décor un sociālās un vides stru</w:t>
            </w:r>
            <w:r>
              <w:rPr>
                <w:noProof/>
              </w:rPr>
              <w:t>ktūras kvalitātes uzlabošana, tostarp atjaunojot sabiedriskās ēkas;</w:t>
            </w:r>
          </w:p>
          <w:p w14:paraId="52960B71" w14:textId="77777777" w:rsidR="00C972CB" w:rsidRDefault="002457F6">
            <w:pPr>
              <w:pStyle w:val="P68B1DB1-Normal11"/>
              <w:rPr>
                <w:noProof/>
              </w:rPr>
            </w:pPr>
            <w:r>
              <w:rPr>
                <w:noProof/>
              </w:rPr>
              <w:t xml:space="preserve"> </w:t>
            </w:r>
          </w:p>
          <w:p w14:paraId="6141DC45" w14:textId="77777777" w:rsidR="00C972CB" w:rsidRDefault="002457F6">
            <w:pPr>
              <w:pStyle w:val="P68B1DB1-Normal11"/>
              <w:rPr>
                <w:noProof/>
              </w:rPr>
            </w:pPr>
            <w:r>
              <w:rPr>
                <w:noProof/>
              </w:rPr>
              <w:t>Pilsētu vides kvalitātes un digitālā profila uzlabošana rūpīgi atbalsta digitālās tehnoloģijas un tehnoloģijas ar zemākām CO</w:t>
            </w:r>
            <w:r>
              <w:rPr>
                <w:noProof/>
                <w:vertAlign w:val="superscript"/>
              </w:rPr>
              <w:t>2</w:t>
            </w:r>
            <w:r>
              <w:rPr>
                <w:noProof/>
              </w:rPr>
              <w:t xml:space="preserve"> emisijām.</w:t>
            </w:r>
          </w:p>
          <w:p w14:paraId="36AC2453" w14:textId="77777777" w:rsidR="00C972CB" w:rsidRDefault="002457F6">
            <w:pPr>
              <w:pStyle w:val="P68B1DB1-Normal11"/>
              <w:rPr>
                <w:noProof/>
              </w:rPr>
            </w:pPr>
            <w:r>
              <w:rPr>
                <w:noProof/>
              </w:rPr>
              <w:t xml:space="preserve"> </w:t>
            </w:r>
          </w:p>
          <w:p w14:paraId="04FA5527" w14:textId="2819740F" w:rsidR="00C972CB" w:rsidRDefault="002457F6">
            <w:pPr>
              <w:pStyle w:val="P68B1DB1-Normal11"/>
              <w:rPr>
                <w:noProof/>
              </w:rPr>
            </w:pPr>
            <w:r>
              <w:rPr>
                <w:noProof/>
              </w:rPr>
              <w:t>Mērķrādītāja apmierinoša sasniegšana ir atkarīga</w:t>
            </w:r>
            <w:r>
              <w:rPr>
                <w:noProof/>
              </w:rPr>
              <w:t xml:space="preserve"> arī no tā, vai tiks apmierinoši sasniegts sekundārais mērķis: visās 14 lielpilsētu pilsētās pabeigt integrētas plānošanas darbības vismaz 3000000 kvadrātmetru platībā.</w:t>
            </w:r>
          </w:p>
        </w:tc>
      </w:tr>
      <w:tr w:rsidR="00C972CB" w14:paraId="649BA9AE" w14:textId="77777777">
        <w:trPr>
          <w:trHeight w:val="20"/>
          <w:jc w:val="center"/>
        </w:trPr>
        <w:tc>
          <w:tcPr>
            <w:tcW w:w="384" w:type="pct"/>
            <w:shd w:val="clear" w:color="auto" w:fill="C6EFCE"/>
            <w:vAlign w:val="center"/>
            <w:hideMark/>
          </w:tcPr>
          <w:p w14:paraId="57DA1034" w14:textId="77777777" w:rsidR="00C972CB" w:rsidRDefault="002457F6">
            <w:pPr>
              <w:pStyle w:val="P68B1DB1-Normal11"/>
              <w:jc w:val="center"/>
              <w:rPr>
                <w:noProof/>
              </w:rPr>
            </w:pPr>
            <w:r>
              <w:rPr>
                <w:noProof/>
              </w:rPr>
              <w:t>M5C2–15</w:t>
            </w:r>
          </w:p>
        </w:tc>
        <w:tc>
          <w:tcPr>
            <w:tcW w:w="509" w:type="pct"/>
            <w:shd w:val="clear" w:color="auto" w:fill="C6EFCE"/>
            <w:vAlign w:val="center"/>
            <w:hideMark/>
          </w:tcPr>
          <w:p w14:paraId="63AC89A2" w14:textId="77777777" w:rsidR="00C972CB" w:rsidRDefault="002457F6">
            <w:pPr>
              <w:pStyle w:val="P68B1DB1-Normal11"/>
              <w:jc w:val="center"/>
              <w:rPr>
                <w:noProof/>
              </w:rPr>
            </w:pPr>
            <w:r>
              <w:rPr>
                <w:noProof/>
              </w:rPr>
              <w:t>Ieguldījums Nr. 5 — Pilsētu integrētie plāni — Nelikumīgu apmetņu pārvarēšana,</w:t>
            </w:r>
            <w:r>
              <w:rPr>
                <w:noProof/>
              </w:rPr>
              <w:t xml:space="preserve"> lai cīnītos pret darbaspēka ekspluatāciju lauksaimniecībā</w:t>
            </w:r>
          </w:p>
        </w:tc>
        <w:tc>
          <w:tcPr>
            <w:tcW w:w="361" w:type="pct"/>
            <w:shd w:val="clear" w:color="auto" w:fill="C6EFCE"/>
            <w:vAlign w:val="center"/>
            <w:hideMark/>
          </w:tcPr>
          <w:p w14:paraId="6D28F785" w14:textId="77777777" w:rsidR="00C972CB" w:rsidRDefault="002457F6">
            <w:pPr>
              <w:pStyle w:val="P68B1DB1-Normal11"/>
              <w:jc w:val="center"/>
              <w:rPr>
                <w:noProof/>
              </w:rPr>
            </w:pPr>
            <w:r>
              <w:rPr>
                <w:noProof/>
              </w:rPr>
              <w:t>Starpposma mērķis</w:t>
            </w:r>
          </w:p>
        </w:tc>
        <w:tc>
          <w:tcPr>
            <w:tcW w:w="505" w:type="pct"/>
            <w:shd w:val="clear" w:color="auto" w:fill="C6EFCE"/>
            <w:vAlign w:val="center"/>
            <w:hideMark/>
          </w:tcPr>
          <w:p w14:paraId="57ACAA31" w14:textId="77777777" w:rsidR="00C972CB" w:rsidRDefault="002457F6">
            <w:pPr>
              <w:pStyle w:val="P68B1DB1-Normal11"/>
              <w:jc w:val="center"/>
              <w:rPr>
                <w:noProof/>
              </w:rPr>
            </w:pPr>
            <w:r>
              <w:rPr>
                <w:noProof/>
              </w:rPr>
              <w:t>Ar “Tavolo di contrasto sfruttamento lavorativo in agricoltura” pieņemto ministrijas dekrētu, ar ko nosaka nelikumīgu apmetņu kartēšanu, stājas spēkā, un tiek pieņemts ministrijas</w:t>
            </w:r>
            <w:r>
              <w:rPr>
                <w:noProof/>
              </w:rPr>
              <w:t xml:space="preserve"> dekrēts par resursu piešķiršanu.</w:t>
            </w:r>
          </w:p>
        </w:tc>
        <w:tc>
          <w:tcPr>
            <w:tcW w:w="505" w:type="pct"/>
            <w:shd w:val="clear" w:color="auto" w:fill="C6EFCE"/>
            <w:vAlign w:val="center"/>
            <w:hideMark/>
          </w:tcPr>
          <w:p w14:paraId="160A03D4" w14:textId="77777777" w:rsidR="00C972CB" w:rsidRDefault="002457F6">
            <w:pPr>
              <w:pStyle w:val="P68B1DB1-Normal11"/>
              <w:jc w:val="center"/>
              <w:rPr>
                <w:noProof/>
              </w:rPr>
            </w:pPr>
            <w:r>
              <w:rPr>
                <w:noProof/>
              </w:rPr>
              <w:t>Likuma norma, kas norāda uz Ministrijas dekrēta stāšanos spēkā</w:t>
            </w:r>
          </w:p>
        </w:tc>
        <w:tc>
          <w:tcPr>
            <w:tcW w:w="478" w:type="pct"/>
            <w:shd w:val="clear" w:color="auto" w:fill="C6EFCE"/>
            <w:vAlign w:val="center"/>
            <w:hideMark/>
          </w:tcPr>
          <w:p w14:paraId="19419051" w14:textId="77777777" w:rsidR="00C972CB" w:rsidRDefault="002457F6">
            <w:pPr>
              <w:pStyle w:val="P68B1DB1-Normal11"/>
              <w:jc w:val="center"/>
              <w:rPr>
                <w:noProof/>
              </w:rPr>
            </w:pPr>
            <w:r>
              <w:rPr>
                <w:noProof/>
              </w:rPr>
              <w:t>NEPIEMĒRO</w:t>
            </w:r>
          </w:p>
        </w:tc>
        <w:tc>
          <w:tcPr>
            <w:tcW w:w="318" w:type="pct"/>
            <w:shd w:val="clear" w:color="auto" w:fill="C6EFCE"/>
            <w:vAlign w:val="center"/>
            <w:hideMark/>
          </w:tcPr>
          <w:p w14:paraId="034A4507" w14:textId="77777777" w:rsidR="00C972CB" w:rsidRDefault="002457F6">
            <w:pPr>
              <w:pStyle w:val="P68B1DB1-Normal11"/>
              <w:jc w:val="center"/>
              <w:rPr>
                <w:noProof/>
              </w:rPr>
            </w:pPr>
            <w:r>
              <w:rPr>
                <w:noProof/>
              </w:rPr>
              <w:t>NEPIEMĒRO</w:t>
            </w:r>
          </w:p>
        </w:tc>
        <w:tc>
          <w:tcPr>
            <w:tcW w:w="384" w:type="pct"/>
            <w:shd w:val="clear" w:color="auto" w:fill="C6EFCE"/>
            <w:vAlign w:val="center"/>
            <w:hideMark/>
          </w:tcPr>
          <w:p w14:paraId="5346C99A" w14:textId="77777777" w:rsidR="00C972CB" w:rsidRDefault="002457F6">
            <w:pPr>
              <w:pStyle w:val="P68B1DB1-Normal11"/>
              <w:jc w:val="center"/>
              <w:rPr>
                <w:noProof/>
              </w:rPr>
            </w:pPr>
            <w:r>
              <w:rPr>
                <w:noProof/>
              </w:rPr>
              <w:t>NEPIEMĒRO</w:t>
            </w:r>
          </w:p>
        </w:tc>
        <w:tc>
          <w:tcPr>
            <w:tcW w:w="275" w:type="pct"/>
            <w:shd w:val="clear" w:color="auto" w:fill="C6EFCE"/>
            <w:vAlign w:val="center"/>
            <w:hideMark/>
          </w:tcPr>
          <w:p w14:paraId="5DB0EB4B" w14:textId="77777777" w:rsidR="00C972CB" w:rsidRDefault="002457F6">
            <w:pPr>
              <w:pStyle w:val="P68B1DB1-Normal11"/>
              <w:jc w:val="center"/>
              <w:rPr>
                <w:noProof/>
              </w:rPr>
            </w:pPr>
            <w:r>
              <w:rPr>
                <w:noProof/>
              </w:rPr>
              <w:t>1. CET.</w:t>
            </w:r>
          </w:p>
        </w:tc>
        <w:tc>
          <w:tcPr>
            <w:tcW w:w="200" w:type="pct"/>
            <w:shd w:val="clear" w:color="auto" w:fill="C6EFCE"/>
            <w:vAlign w:val="center"/>
            <w:hideMark/>
          </w:tcPr>
          <w:p w14:paraId="673F7EA0" w14:textId="77777777" w:rsidR="00C972CB" w:rsidRDefault="002457F6">
            <w:pPr>
              <w:pStyle w:val="P68B1DB1-Normal11"/>
              <w:jc w:val="center"/>
              <w:rPr>
                <w:noProof/>
              </w:rPr>
            </w:pPr>
            <w:r>
              <w:rPr>
                <w:noProof/>
              </w:rPr>
              <w:t>2022</w:t>
            </w:r>
          </w:p>
        </w:tc>
        <w:tc>
          <w:tcPr>
            <w:tcW w:w="1081" w:type="pct"/>
            <w:shd w:val="clear" w:color="auto" w:fill="C6EFCE"/>
            <w:vAlign w:val="center"/>
            <w:hideMark/>
          </w:tcPr>
          <w:p w14:paraId="09E9ACED" w14:textId="77777777" w:rsidR="00C972CB" w:rsidRDefault="002457F6">
            <w:pPr>
              <w:pStyle w:val="P68B1DB1-Normal11"/>
              <w:rPr>
                <w:noProof/>
              </w:rPr>
            </w:pPr>
            <w:r>
              <w:rPr>
                <w:noProof/>
              </w:rPr>
              <w:t xml:space="preserve">Ar ministrijas dekrētu līdzekļus piešķir, pamatojoties uz “Tavolo di contrasto sfruttamento lavorativo in </w:t>
            </w:r>
            <w:r>
              <w:rPr>
                <w:noProof/>
              </w:rPr>
              <w:t>agricoltura” veikto nelikumīgo apmetņu kartēšanu. Nosaka pagaidu un ilgtermiņa mājokļu risinājumu standartu.</w:t>
            </w:r>
          </w:p>
        </w:tc>
      </w:tr>
      <w:tr w:rsidR="00C972CB" w14:paraId="148AECC9" w14:textId="77777777">
        <w:trPr>
          <w:trHeight w:val="3046"/>
          <w:jc w:val="center"/>
        </w:trPr>
        <w:tc>
          <w:tcPr>
            <w:tcW w:w="384" w:type="pct"/>
            <w:shd w:val="clear" w:color="auto" w:fill="C6EFCE"/>
            <w:vAlign w:val="center"/>
            <w:hideMark/>
          </w:tcPr>
          <w:p w14:paraId="42C97125" w14:textId="77777777" w:rsidR="00C972CB" w:rsidRDefault="002457F6">
            <w:pPr>
              <w:pStyle w:val="P68B1DB1-Normal11"/>
              <w:jc w:val="center"/>
              <w:rPr>
                <w:noProof/>
              </w:rPr>
            </w:pPr>
            <w:r>
              <w:rPr>
                <w:noProof/>
              </w:rPr>
              <w:t>M5C2–16</w:t>
            </w:r>
          </w:p>
        </w:tc>
        <w:tc>
          <w:tcPr>
            <w:tcW w:w="509" w:type="pct"/>
            <w:shd w:val="clear" w:color="auto" w:fill="C6EFCE"/>
            <w:vAlign w:val="center"/>
            <w:hideMark/>
          </w:tcPr>
          <w:p w14:paraId="450678B9" w14:textId="77777777" w:rsidR="00C972CB" w:rsidRDefault="002457F6">
            <w:pPr>
              <w:pStyle w:val="P68B1DB1-Normal11"/>
              <w:jc w:val="center"/>
              <w:rPr>
                <w:noProof/>
              </w:rPr>
            </w:pPr>
            <w:r>
              <w:rPr>
                <w:noProof/>
              </w:rPr>
              <w:t>Ieguldījums Nr. 5 — Pilsētu integrētie plāni — Nelikumīgu apmetņu pārvarēšana, lai cīnītos pret darbaspēka ekspluatāciju lauksaimniecībā</w:t>
            </w:r>
          </w:p>
        </w:tc>
        <w:tc>
          <w:tcPr>
            <w:tcW w:w="361" w:type="pct"/>
            <w:shd w:val="clear" w:color="auto" w:fill="C6EFCE"/>
            <w:vAlign w:val="center"/>
            <w:hideMark/>
          </w:tcPr>
          <w:p w14:paraId="24523AB5" w14:textId="77777777" w:rsidR="00C972CB" w:rsidRDefault="002457F6">
            <w:pPr>
              <w:pStyle w:val="P68B1DB1-Normal11"/>
              <w:jc w:val="center"/>
              <w:rPr>
                <w:noProof/>
              </w:rPr>
            </w:pPr>
            <w:r>
              <w:rPr>
                <w:noProof/>
              </w:rPr>
              <w:t>Mērķa</w:t>
            </w:r>
          </w:p>
        </w:tc>
        <w:tc>
          <w:tcPr>
            <w:tcW w:w="505" w:type="pct"/>
            <w:shd w:val="clear" w:color="auto" w:fill="C6EFCE"/>
            <w:vAlign w:val="center"/>
            <w:hideMark/>
          </w:tcPr>
          <w:p w14:paraId="01A30202" w14:textId="77777777" w:rsidR="00C972CB" w:rsidRDefault="002457F6">
            <w:pPr>
              <w:pStyle w:val="P68B1DB1-Normal11"/>
              <w:jc w:val="center"/>
              <w:rPr>
                <w:noProof/>
              </w:rPr>
            </w:pPr>
            <w:r>
              <w:rPr>
                <w:noProof/>
              </w:rPr>
              <w:t>Projekta darbības ir pabeigtas teritorijās, kas vietējos plānos identificētas kā nelikumīgas apmetnes</w:t>
            </w:r>
          </w:p>
        </w:tc>
        <w:tc>
          <w:tcPr>
            <w:tcW w:w="505" w:type="pct"/>
            <w:shd w:val="clear" w:color="auto" w:fill="C6EFCE"/>
            <w:vAlign w:val="center"/>
            <w:hideMark/>
          </w:tcPr>
          <w:p w14:paraId="6590A871" w14:textId="77777777" w:rsidR="00C972CB" w:rsidRDefault="002457F6">
            <w:pPr>
              <w:pStyle w:val="P68B1DB1-Normal11"/>
              <w:jc w:val="center"/>
              <w:rPr>
                <w:noProof/>
              </w:rPr>
            </w:pPr>
            <w:r>
              <w:rPr>
                <w:noProof/>
              </w:rPr>
              <w:t>NEPIEMĒRO</w:t>
            </w:r>
          </w:p>
        </w:tc>
        <w:tc>
          <w:tcPr>
            <w:tcW w:w="478" w:type="pct"/>
            <w:shd w:val="clear" w:color="auto" w:fill="C6EFCE"/>
            <w:vAlign w:val="center"/>
            <w:hideMark/>
          </w:tcPr>
          <w:p w14:paraId="799AED36" w14:textId="77777777" w:rsidR="00C972CB" w:rsidRDefault="002457F6">
            <w:pPr>
              <w:pStyle w:val="P68B1DB1-Normal11"/>
              <w:jc w:val="center"/>
              <w:rPr>
                <w:noProof/>
              </w:rPr>
            </w:pPr>
            <w:r>
              <w:rPr>
                <w:noProof/>
              </w:rPr>
              <w:t>Procentuālā daļa</w:t>
            </w:r>
          </w:p>
        </w:tc>
        <w:tc>
          <w:tcPr>
            <w:tcW w:w="318" w:type="pct"/>
            <w:shd w:val="clear" w:color="auto" w:fill="C6EFCE"/>
            <w:vAlign w:val="center"/>
            <w:hideMark/>
          </w:tcPr>
          <w:p w14:paraId="478B2714" w14:textId="77777777" w:rsidR="00C972CB" w:rsidRDefault="002457F6">
            <w:pPr>
              <w:pStyle w:val="P68B1DB1-Normal11"/>
              <w:jc w:val="center"/>
              <w:rPr>
                <w:noProof/>
              </w:rPr>
            </w:pPr>
            <w:r>
              <w:rPr>
                <w:noProof/>
              </w:rPr>
              <w:t>0</w:t>
            </w:r>
          </w:p>
        </w:tc>
        <w:tc>
          <w:tcPr>
            <w:tcW w:w="384" w:type="pct"/>
            <w:shd w:val="clear" w:color="auto" w:fill="C6EFCE"/>
            <w:vAlign w:val="center"/>
            <w:hideMark/>
          </w:tcPr>
          <w:p w14:paraId="40670AD9" w14:textId="77777777" w:rsidR="00C972CB" w:rsidRDefault="002457F6">
            <w:pPr>
              <w:pStyle w:val="P68B1DB1-Normal11"/>
              <w:jc w:val="center"/>
              <w:rPr>
                <w:noProof/>
              </w:rPr>
            </w:pPr>
            <w:r>
              <w:rPr>
                <w:noProof/>
              </w:rPr>
              <w:t>90</w:t>
            </w:r>
          </w:p>
        </w:tc>
        <w:tc>
          <w:tcPr>
            <w:tcW w:w="275" w:type="pct"/>
            <w:shd w:val="clear" w:color="auto" w:fill="C6EFCE"/>
            <w:vAlign w:val="center"/>
            <w:hideMark/>
          </w:tcPr>
          <w:p w14:paraId="4C1805D7" w14:textId="77777777" w:rsidR="00C972CB" w:rsidRDefault="002457F6">
            <w:pPr>
              <w:pStyle w:val="P68B1DB1-Normal11"/>
              <w:jc w:val="center"/>
              <w:rPr>
                <w:noProof/>
              </w:rPr>
            </w:pPr>
            <w:r>
              <w:rPr>
                <w:noProof/>
              </w:rPr>
              <w:t>1. CET.</w:t>
            </w:r>
          </w:p>
        </w:tc>
        <w:tc>
          <w:tcPr>
            <w:tcW w:w="200" w:type="pct"/>
            <w:shd w:val="clear" w:color="auto" w:fill="C6EFCE"/>
            <w:vAlign w:val="center"/>
            <w:hideMark/>
          </w:tcPr>
          <w:p w14:paraId="50A4EF3B" w14:textId="77777777" w:rsidR="00C972CB" w:rsidRDefault="002457F6">
            <w:pPr>
              <w:pStyle w:val="P68B1DB1-Normal11"/>
              <w:jc w:val="center"/>
              <w:rPr>
                <w:noProof/>
              </w:rPr>
            </w:pPr>
            <w:r>
              <w:rPr>
                <w:noProof/>
              </w:rPr>
              <w:t>2025</w:t>
            </w:r>
          </w:p>
        </w:tc>
        <w:tc>
          <w:tcPr>
            <w:tcW w:w="1081" w:type="pct"/>
            <w:shd w:val="clear" w:color="auto" w:fill="C6EFCE"/>
            <w:vAlign w:val="center"/>
            <w:hideMark/>
          </w:tcPr>
          <w:p w14:paraId="627A9A60" w14:textId="77777777" w:rsidR="00C972CB" w:rsidRDefault="002457F6">
            <w:pPr>
              <w:pStyle w:val="P68B1DB1-Normal11"/>
              <w:rPr>
                <w:rFonts w:eastAsia="Calibri"/>
                <w:noProof/>
              </w:rPr>
            </w:pPr>
            <w:r>
              <w:rPr>
                <w:noProof/>
              </w:rPr>
              <w:t xml:space="preserve">Projekta aktivitātes ir pabeigtas vismaz 90 % teritoriju, kas vietējos plānos identificētas kā </w:t>
            </w:r>
            <w:r>
              <w:rPr>
                <w:noProof/>
              </w:rPr>
              <w:t>nelikumīgas apmetnes.</w:t>
            </w:r>
          </w:p>
          <w:p w14:paraId="14813CF4" w14:textId="77777777" w:rsidR="00C972CB" w:rsidRDefault="00C972CB">
            <w:pPr>
              <w:rPr>
                <w:rFonts w:ascii="Arial Narrow" w:hAnsi="Arial Narrow"/>
                <w:noProof/>
                <w:color w:val="006100"/>
                <w:sz w:val="20"/>
              </w:rPr>
            </w:pPr>
          </w:p>
          <w:p w14:paraId="3D0C1B95" w14:textId="77777777" w:rsidR="00C972CB" w:rsidRDefault="002457F6">
            <w:pPr>
              <w:pStyle w:val="P68B1DB1-Normal11"/>
              <w:rPr>
                <w:noProof/>
              </w:rPr>
            </w:pPr>
            <w:r>
              <w:rPr>
                <w:noProof/>
              </w:rPr>
              <w:t>Pēc resursu piešķiršanas attiecīgā administrācija iesniedz “vietējo rīcības plānu” par katru konstatēto nelikumīgo apmetni.</w:t>
            </w:r>
          </w:p>
        </w:tc>
      </w:tr>
      <w:tr w:rsidR="00C972CB" w14:paraId="4927ED30" w14:textId="77777777">
        <w:trPr>
          <w:trHeight w:val="20"/>
          <w:jc w:val="center"/>
        </w:trPr>
        <w:tc>
          <w:tcPr>
            <w:tcW w:w="384" w:type="pct"/>
            <w:shd w:val="clear" w:color="auto" w:fill="C6EFCE"/>
            <w:vAlign w:val="center"/>
            <w:hideMark/>
          </w:tcPr>
          <w:p w14:paraId="30AAA3B4" w14:textId="77777777" w:rsidR="00C972CB" w:rsidRDefault="002457F6">
            <w:pPr>
              <w:pStyle w:val="P68B1DB1-Normal11"/>
              <w:jc w:val="center"/>
              <w:rPr>
                <w:noProof/>
              </w:rPr>
            </w:pPr>
            <w:r>
              <w:rPr>
                <w:noProof/>
              </w:rPr>
              <w:t>M5C2–17</w:t>
            </w:r>
          </w:p>
        </w:tc>
        <w:tc>
          <w:tcPr>
            <w:tcW w:w="509" w:type="pct"/>
            <w:shd w:val="clear" w:color="auto" w:fill="C6EFCE"/>
            <w:vAlign w:val="center"/>
            <w:hideMark/>
          </w:tcPr>
          <w:p w14:paraId="1D56EB36" w14:textId="77777777" w:rsidR="00C972CB" w:rsidRDefault="002457F6">
            <w:pPr>
              <w:pStyle w:val="P68B1DB1-Normal11"/>
              <w:jc w:val="center"/>
              <w:rPr>
                <w:noProof/>
              </w:rPr>
            </w:pPr>
            <w:r>
              <w:rPr>
                <w:noProof/>
              </w:rPr>
              <w:t>Ieguldījums Nr. 5 — Pilsētvides integrētie plāni — EIB fonds — fonds</w:t>
            </w:r>
          </w:p>
        </w:tc>
        <w:tc>
          <w:tcPr>
            <w:tcW w:w="361" w:type="pct"/>
            <w:shd w:val="clear" w:color="auto" w:fill="C6EFCE"/>
            <w:vAlign w:val="center"/>
            <w:hideMark/>
          </w:tcPr>
          <w:p w14:paraId="2A8A40A6" w14:textId="77777777" w:rsidR="00C972CB" w:rsidRDefault="002457F6">
            <w:pPr>
              <w:pStyle w:val="P68B1DB1-Normal11"/>
              <w:jc w:val="center"/>
              <w:rPr>
                <w:noProof/>
              </w:rPr>
            </w:pPr>
            <w:r>
              <w:rPr>
                <w:noProof/>
              </w:rPr>
              <w:t>Starpposma mērķis</w:t>
            </w:r>
          </w:p>
        </w:tc>
        <w:tc>
          <w:tcPr>
            <w:tcW w:w="505" w:type="pct"/>
            <w:shd w:val="clear" w:color="auto" w:fill="C6EFCE"/>
            <w:vAlign w:val="center"/>
            <w:hideMark/>
          </w:tcPr>
          <w:p w14:paraId="14DEE577" w14:textId="77777777" w:rsidR="00C972CB" w:rsidRDefault="002457F6">
            <w:pPr>
              <w:pStyle w:val="P68B1DB1-Normal11"/>
              <w:jc w:val="center"/>
              <w:rPr>
                <w:noProof/>
              </w:rPr>
            </w:pPr>
            <w:r>
              <w:rPr>
                <w:noProof/>
              </w:rPr>
              <w:t xml:space="preserve">Fonda </w:t>
            </w:r>
            <w:r>
              <w:rPr>
                <w:noProof/>
              </w:rPr>
              <w:t>ieguldījumu stratēģiju apstiprina Finanšu ministrija (MEF).</w:t>
            </w:r>
          </w:p>
        </w:tc>
        <w:tc>
          <w:tcPr>
            <w:tcW w:w="505" w:type="pct"/>
            <w:shd w:val="clear" w:color="auto" w:fill="C6EFCE"/>
            <w:vAlign w:val="center"/>
            <w:hideMark/>
          </w:tcPr>
          <w:p w14:paraId="4615D2CF" w14:textId="77777777" w:rsidR="00C972CB" w:rsidRDefault="002457F6">
            <w:pPr>
              <w:pStyle w:val="P68B1DB1-Normal11"/>
              <w:jc w:val="center"/>
              <w:rPr>
                <w:noProof/>
              </w:rPr>
            </w:pPr>
            <w:r>
              <w:rPr>
                <w:noProof/>
              </w:rPr>
              <w:t>Fonda investīciju stratēģiju apstiprina Finanšu ministrija (MEF).</w:t>
            </w:r>
          </w:p>
        </w:tc>
        <w:tc>
          <w:tcPr>
            <w:tcW w:w="478" w:type="pct"/>
            <w:shd w:val="clear" w:color="auto" w:fill="C6EFCE"/>
            <w:vAlign w:val="center"/>
            <w:hideMark/>
          </w:tcPr>
          <w:p w14:paraId="4E451B1A" w14:textId="77777777" w:rsidR="00C972CB" w:rsidRDefault="002457F6">
            <w:pPr>
              <w:pStyle w:val="P68B1DB1-Normal11"/>
              <w:jc w:val="center"/>
              <w:rPr>
                <w:noProof/>
              </w:rPr>
            </w:pPr>
            <w:r>
              <w:rPr>
                <w:noProof/>
              </w:rPr>
              <w:t>NEPIEMĒRO</w:t>
            </w:r>
          </w:p>
        </w:tc>
        <w:tc>
          <w:tcPr>
            <w:tcW w:w="318" w:type="pct"/>
            <w:shd w:val="clear" w:color="auto" w:fill="C6EFCE"/>
            <w:vAlign w:val="center"/>
            <w:hideMark/>
          </w:tcPr>
          <w:p w14:paraId="4C2D8E5C" w14:textId="77777777" w:rsidR="00C972CB" w:rsidRDefault="002457F6">
            <w:pPr>
              <w:pStyle w:val="P68B1DB1-Normal11"/>
              <w:jc w:val="center"/>
              <w:rPr>
                <w:noProof/>
              </w:rPr>
            </w:pPr>
            <w:r>
              <w:rPr>
                <w:noProof/>
              </w:rPr>
              <w:t>NEPIEMĒRO</w:t>
            </w:r>
          </w:p>
        </w:tc>
        <w:tc>
          <w:tcPr>
            <w:tcW w:w="384" w:type="pct"/>
            <w:shd w:val="clear" w:color="auto" w:fill="C6EFCE"/>
            <w:vAlign w:val="center"/>
            <w:hideMark/>
          </w:tcPr>
          <w:p w14:paraId="0ABB3811" w14:textId="77777777" w:rsidR="00C972CB" w:rsidRDefault="002457F6">
            <w:pPr>
              <w:pStyle w:val="P68B1DB1-Normal11"/>
              <w:jc w:val="center"/>
              <w:rPr>
                <w:noProof/>
              </w:rPr>
            </w:pPr>
            <w:r>
              <w:rPr>
                <w:noProof/>
              </w:rPr>
              <w:t>NEPIEMĒRO</w:t>
            </w:r>
          </w:p>
        </w:tc>
        <w:tc>
          <w:tcPr>
            <w:tcW w:w="275" w:type="pct"/>
            <w:shd w:val="clear" w:color="auto" w:fill="C6EFCE"/>
            <w:vAlign w:val="center"/>
            <w:hideMark/>
          </w:tcPr>
          <w:p w14:paraId="4B629315" w14:textId="77777777" w:rsidR="00C972CB" w:rsidRDefault="002457F6">
            <w:pPr>
              <w:pStyle w:val="P68B1DB1-Normal11"/>
              <w:jc w:val="center"/>
              <w:rPr>
                <w:noProof/>
              </w:rPr>
            </w:pPr>
            <w:r>
              <w:rPr>
                <w:noProof/>
              </w:rPr>
              <w:t>3. CET.</w:t>
            </w:r>
          </w:p>
        </w:tc>
        <w:tc>
          <w:tcPr>
            <w:tcW w:w="200" w:type="pct"/>
            <w:shd w:val="clear" w:color="auto" w:fill="C6EFCE"/>
            <w:vAlign w:val="center"/>
            <w:hideMark/>
          </w:tcPr>
          <w:p w14:paraId="1FB15B3B" w14:textId="77777777" w:rsidR="00C972CB" w:rsidRDefault="002457F6">
            <w:pPr>
              <w:pStyle w:val="P68B1DB1-Normal11"/>
              <w:jc w:val="center"/>
              <w:rPr>
                <w:noProof/>
              </w:rPr>
            </w:pPr>
            <w:r>
              <w:rPr>
                <w:noProof/>
              </w:rPr>
              <w:t>2022</w:t>
            </w:r>
          </w:p>
        </w:tc>
        <w:tc>
          <w:tcPr>
            <w:tcW w:w="1081" w:type="pct"/>
            <w:shd w:val="clear" w:color="auto" w:fill="C6EFCE"/>
            <w:vAlign w:val="center"/>
            <w:hideMark/>
          </w:tcPr>
          <w:p w14:paraId="7205AEA9" w14:textId="73863B7D" w:rsidR="00C972CB" w:rsidRDefault="002457F6">
            <w:pPr>
              <w:pStyle w:val="P68B1DB1-Normal11"/>
              <w:rPr>
                <w:rFonts w:eastAsia="Calibri"/>
                <w:noProof/>
              </w:rPr>
            </w:pPr>
            <w:r>
              <w:rPr>
                <w:noProof/>
              </w:rPr>
              <w:t xml:space="preserve">Fonda ieguldījumu stratēģijā nosaka vismaz: atbalstīto investīciju veids un tvērums, </w:t>
            </w:r>
            <w:r>
              <w:rPr>
                <w:noProof/>
              </w:rPr>
              <w:t>kas veicina ilgtspējīgus pilsētvides atjaunošanas un attīstības projektus un atbilst ANM mērķiem, tostarp attiecībā uz atbilstību principam “nenodari būtisku kaitējumu”, kā sīkāk precizēts Komisijas 2021. gada 12. februāra norādījumos, ii) atbalstītās darb</w:t>
            </w:r>
            <w:r>
              <w:rPr>
                <w:noProof/>
              </w:rPr>
              <w:t>ības, iii) paredzētie atbalsta saņēmēji, kas ir privāti pašpietiekamu projektu virzītāji, kuriem publiskais atbalsts ir pamatots ar tirgus nepilnību vai riska profilu, un to atbilstības kritēriji, iv) finanšu atbalsta saņēmēju atbilstības kritēriji un to a</w:t>
            </w:r>
            <w:r>
              <w:rPr>
                <w:noProof/>
              </w:rPr>
              <w:t>tlase atklātā uzaicinājumā; īpašas pozīcijas iekļaušana attiecībā uz pienācīgiem mājokļu risinājumiem lauksaimniecības un rūpniecības nozarē strādājošajiem un vi) noteikumi par to, kā no jauna ieguldīt potenciālos atmaksājumus tiem pašiem politikas mērķiem</w:t>
            </w:r>
            <w:r>
              <w:rPr>
                <w:noProof/>
              </w:rPr>
              <w:t>, arī pēc 2026. gada.</w:t>
            </w:r>
          </w:p>
          <w:p w14:paraId="5F0A8D7E" w14:textId="77777777" w:rsidR="00C972CB" w:rsidRDefault="00C972CB">
            <w:pPr>
              <w:rPr>
                <w:rFonts w:ascii="Arial Narrow" w:eastAsia="Calibri" w:hAnsi="Arial Narrow"/>
                <w:noProof/>
                <w:color w:val="006100"/>
                <w:sz w:val="20"/>
              </w:rPr>
            </w:pPr>
          </w:p>
          <w:p w14:paraId="32E2FD9B" w14:textId="77777777" w:rsidR="00C972CB" w:rsidRDefault="002457F6">
            <w:pPr>
              <w:pStyle w:val="P68B1DB1-Normal11"/>
              <w:rPr>
                <w:noProof/>
              </w:rPr>
            </w:pPr>
            <w:r>
              <w:rPr>
                <w:noProof/>
              </w:rPr>
              <w:t>Līgumā ar pilnvaroto struktūru, kas pieprasa, ir jāizmanto norādījumi par NBK.</w:t>
            </w:r>
          </w:p>
        </w:tc>
      </w:tr>
      <w:tr w:rsidR="00C972CB" w14:paraId="717502E7" w14:textId="77777777">
        <w:trPr>
          <w:trHeight w:val="20"/>
          <w:jc w:val="center"/>
        </w:trPr>
        <w:tc>
          <w:tcPr>
            <w:tcW w:w="384" w:type="pct"/>
            <w:shd w:val="clear" w:color="auto" w:fill="C6EFCE"/>
            <w:vAlign w:val="center"/>
          </w:tcPr>
          <w:p w14:paraId="1BC32807" w14:textId="77777777" w:rsidR="00C972CB" w:rsidRDefault="002457F6">
            <w:pPr>
              <w:pStyle w:val="P68B1DB1-Normal11"/>
              <w:jc w:val="center"/>
              <w:rPr>
                <w:noProof/>
              </w:rPr>
            </w:pPr>
            <w:r>
              <w:rPr>
                <w:noProof/>
              </w:rPr>
              <w:t>M5C2–18</w:t>
            </w:r>
          </w:p>
        </w:tc>
        <w:tc>
          <w:tcPr>
            <w:tcW w:w="509" w:type="pct"/>
            <w:shd w:val="clear" w:color="auto" w:fill="C6EFCE"/>
            <w:vAlign w:val="center"/>
          </w:tcPr>
          <w:p w14:paraId="28E34300" w14:textId="77777777" w:rsidR="00C972CB" w:rsidRDefault="002457F6">
            <w:pPr>
              <w:pStyle w:val="P68B1DB1-Normal11"/>
              <w:jc w:val="center"/>
              <w:rPr>
                <w:rFonts w:eastAsia="Calibri"/>
                <w:noProof/>
              </w:rPr>
            </w:pPr>
            <w:r>
              <w:rPr>
                <w:noProof/>
              </w:rPr>
              <w:t>Ieguldījums Nr. 5 — Pilsētvides integrētie plāni — EIB fonds — fonds</w:t>
            </w:r>
          </w:p>
        </w:tc>
        <w:tc>
          <w:tcPr>
            <w:tcW w:w="361" w:type="pct"/>
            <w:shd w:val="clear" w:color="auto" w:fill="C6EFCE"/>
            <w:vAlign w:val="center"/>
          </w:tcPr>
          <w:p w14:paraId="318E2227" w14:textId="77777777" w:rsidR="00C972CB" w:rsidRDefault="002457F6">
            <w:pPr>
              <w:pStyle w:val="P68B1DB1-Normal11"/>
              <w:jc w:val="center"/>
              <w:rPr>
                <w:rFonts w:eastAsia="Calibri"/>
                <w:noProof/>
              </w:rPr>
            </w:pPr>
            <w:r>
              <w:rPr>
                <w:noProof/>
              </w:rPr>
              <w:t>Mērķa</w:t>
            </w:r>
          </w:p>
        </w:tc>
        <w:tc>
          <w:tcPr>
            <w:tcW w:w="505" w:type="pct"/>
            <w:shd w:val="clear" w:color="auto" w:fill="C6EFCE"/>
            <w:vAlign w:val="center"/>
          </w:tcPr>
          <w:p w14:paraId="34C11320" w14:textId="77777777" w:rsidR="00C972CB" w:rsidRDefault="002457F6">
            <w:pPr>
              <w:pStyle w:val="P68B1DB1-Normal11"/>
              <w:jc w:val="center"/>
              <w:rPr>
                <w:rFonts w:eastAsia="Calibri"/>
                <w:noProof/>
              </w:rPr>
            </w:pPr>
            <w:r>
              <w:rPr>
                <w:noProof/>
              </w:rPr>
              <w:t xml:space="preserve">Tematiskā fonda ieguldījuma monetārā vērtība un pilsētu projektu </w:t>
            </w:r>
            <w:r>
              <w:rPr>
                <w:noProof/>
              </w:rPr>
              <w:t>atbalsts</w:t>
            </w:r>
          </w:p>
        </w:tc>
        <w:tc>
          <w:tcPr>
            <w:tcW w:w="505" w:type="pct"/>
            <w:shd w:val="clear" w:color="auto" w:fill="C6EFCE"/>
            <w:vAlign w:val="center"/>
          </w:tcPr>
          <w:p w14:paraId="6E078E1C" w14:textId="77777777" w:rsidR="00C972CB" w:rsidRDefault="002457F6">
            <w:pPr>
              <w:pStyle w:val="P68B1DB1-Normal11"/>
              <w:jc w:val="center"/>
              <w:rPr>
                <w:noProof/>
              </w:rPr>
            </w:pPr>
            <w:r>
              <w:rPr>
                <w:noProof/>
              </w:rPr>
              <w:t>NEPIEMĒRO</w:t>
            </w:r>
          </w:p>
        </w:tc>
        <w:tc>
          <w:tcPr>
            <w:tcW w:w="478" w:type="pct"/>
            <w:shd w:val="clear" w:color="auto" w:fill="C6EFCE"/>
            <w:vAlign w:val="center"/>
          </w:tcPr>
          <w:p w14:paraId="32E3C00F" w14:textId="77777777" w:rsidR="00C972CB" w:rsidRDefault="002457F6">
            <w:pPr>
              <w:pStyle w:val="P68B1DB1-Normal11"/>
              <w:jc w:val="center"/>
              <w:rPr>
                <w:rFonts w:eastAsia="Calibri"/>
                <w:noProof/>
              </w:rPr>
            </w:pPr>
            <w:r>
              <w:rPr>
                <w:noProof/>
              </w:rPr>
              <w:t>EUR</w:t>
            </w:r>
          </w:p>
        </w:tc>
        <w:tc>
          <w:tcPr>
            <w:tcW w:w="318" w:type="pct"/>
            <w:shd w:val="clear" w:color="auto" w:fill="C6EFCE"/>
            <w:vAlign w:val="center"/>
          </w:tcPr>
          <w:p w14:paraId="664BCAE6" w14:textId="77777777" w:rsidR="00C972CB" w:rsidRDefault="002457F6">
            <w:pPr>
              <w:pStyle w:val="P68B1DB1-Normal11"/>
              <w:jc w:val="center"/>
              <w:rPr>
                <w:rFonts w:eastAsia="Calibri"/>
                <w:noProof/>
              </w:rPr>
            </w:pPr>
            <w:r>
              <w:rPr>
                <w:noProof/>
              </w:rPr>
              <w:t>0</w:t>
            </w:r>
          </w:p>
        </w:tc>
        <w:tc>
          <w:tcPr>
            <w:tcW w:w="384" w:type="pct"/>
            <w:shd w:val="clear" w:color="auto" w:fill="C6EFCE"/>
            <w:vAlign w:val="center"/>
          </w:tcPr>
          <w:p w14:paraId="04B3D664" w14:textId="76EFBA2E" w:rsidR="00C972CB" w:rsidRDefault="002457F6">
            <w:pPr>
              <w:pStyle w:val="P68B1DB1-Normal11"/>
              <w:jc w:val="center"/>
              <w:rPr>
                <w:rFonts w:eastAsia="Calibri"/>
                <w:noProof/>
              </w:rPr>
            </w:pPr>
            <w:r>
              <w:rPr>
                <w:noProof/>
              </w:rPr>
              <w:t>545 000 000</w:t>
            </w:r>
          </w:p>
        </w:tc>
        <w:tc>
          <w:tcPr>
            <w:tcW w:w="275" w:type="pct"/>
            <w:shd w:val="clear" w:color="auto" w:fill="C6EFCE"/>
            <w:vAlign w:val="center"/>
          </w:tcPr>
          <w:p w14:paraId="02345EF9" w14:textId="77777777" w:rsidR="00C972CB" w:rsidRDefault="002457F6">
            <w:pPr>
              <w:pStyle w:val="P68B1DB1-Normal11"/>
              <w:jc w:val="center"/>
              <w:rPr>
                <w:rFonts w:eastAsia="Calibri"/>
                <w:noProof/>
              </w:rPr>
            </w:pPr>
            <w:r>
              <w:rPr>
                <w:noProof/>
              </w:rPr>
              <w:t>2. CET.</w:t>
            </w:r>
          </w:p>
        </w:tc>
        <w:tc>
          <w:tcPr>
            <w:tcW w:w="200" w:type="pct"/>
            <w:shd w:val="clear" w:color="auto" w:fill="C6EFCE"/>
            <w:vAlign w:val="center"/>
          </w:tcPr>
          <w:p w14:paraId="2E2C231E" w14:textId="77777777" w:rsidR="00C972CB" w:rsidRDefault="002457F6">
            <w:pPr>
              <w:pStyle w:val="P68B1DB1-Normal11"/>
              <w:jc w:val="center"/>
              <w:rPr>
                <w:rFonts w:eastAsia="Calibri"/>
                <w:noProof/>
              </w:rPr>
            </w:pPr>
            <w:r>
              <w:rPr>
                <w:noProof/>
              </w:rPr>
              <w:t>2026</w:t>
            </w:r>
          </w:p>
        </w:tc>
        <w:tc>
          <w:tcPr>
            <w:tcW w:w="1081" w:type="pct"/>
            <w:shd w:val="clear" w:color="auto" w:fill="C6EFCE"/>
            <w:vAlign w:val="center"/>
          </w:tcPr>
          <w:p w14:paraId="6E4BF344" w14:textId="6F50A0FB" w:rsidR="00C972CB" w:rsidRDefault="002457F6">
            <w:pPr>
              <w:pStyle w:val="P68B1DB1-Normal11"/>
              <w:rPr>
                <w:rFonts w:eastAsia="Calibri"/>
                <w:noProof/>
              </w:rPr>
            </w:pPr>
            <w:r>
              <w:rPr>
                <w:noProof/>
              </w:rPr>
              <w:t>Tematiskajā fondā tika ieguldīti vismaz EUR 545000000.</w:t>
            </w:r>
          </w:p>
          <w:p w14:paraId="72C05F7A" w14:textId="77777777" w:rsidR="00C972CB" w:rsidRDefault="00C972CB">
            <w:pPr>
              <w:rPr>
                <w:rFonts w:ascii="Arial Narrow" w:hAnsi="Arial Narrow"/>
                <w:noProof/>
                <w:color w:val="006100"/>
                <w:sz w:val="20"/>
              </w:rPr>
            </w:pPr>
          </w:p>
          <w:p w14:paraId="591BBB30" w14:textId="77777777" w:rsidR="00C972CB" w:rsidRDefault="002457F6">
            <w:pPr>
              <w:pStyle w:val="P68B1DB1-Normal11"/>
              <w:rPr>
                <w:rFonts w:eastAsia="Calibri"/>
                <w:noProof/>
              </w:rPr>
            </w:pPr>
            <w:r>
              <w:rPr>
                <w:noProof/>
              </w:rPr>
              <w:t>Mērķrādītāja apmierinoša sasniegšana ir atkarīga arī no tā, vai tiks apmierinoši sasniegts sekundārais mērķis: atbalsts vismaz 10 pilsētu projektiem.</w:t>
            </w:r>
          </w:p>
          <w:p w14:paraId="17E9019F" w14:textId="77777777" w:rsidR="00C972CB" w:rsidRDefault="00C972CB">
            <w:pPr>
              <w:rPr>
                <w:rFonts w:ascii="Arial Narrow" w:hAnsi="Arial Narrow"/>
                <w:noProof/>
                <w:color w:val="006100"/>
                <w:sz w:val="20"/>
              </w:rPr>
            </w:pPr>
          </w:p>
          <w:p w14:paraId="60EFFACA" w14:textId="295E15DA" w:rsidR="00C972CB" w:rsidRDefault="002457F6">
            <w:pPr>
              <w:pStyle w:val="P68B1DB1-Normal11"/>
              <w:rPr>
                <w:rFonts w:eastAsia="Calibri"/>
                <w:noProof/>
              </w:rPr>
            </w:pPr>
            <w:r>
              <w:rPr>
                <w:noProof/>
              </w:rPr>
              <w:t>Fonda Investīciju padome (kurā ietilpst Finanšu ministrija) apstiprina projektus vismaz EUR 545000000 apmērā un vismaz 10 projektus apstiprina Fonda Investīciju padome (kurā ietilpst Finanšu ministrija).</w:t>
            </w:r>
          </w:p>
        </w:tc>
      </w:tr>
      <w:tr w:rsidR="00C972CB" w14:paraId="26366407" w14:textId="77777777">
        <w:trPr>
          <w:trHeight w:val="1291"/>
          <w:jc w:val="center"/>
        </w:trPr>
        <w:tc>
          <w:tcPr>
            <w:tcW w:w="384" w:type="pct"/>
            <w:shd w:val="clear" w:color="auto" w:fill="C6EFCE"/>
            <w:vAlign w:val="center"/>
            <w:hideMark/>
          </w:tcPr>
          <w:p w14:paraId="30FD4ADC" w14:textId="77777777" w:rsidR="00C972CB" w:rsidRDefault="002457F6">
            <w:pPr>
              <w:pStyle w:val="P68B1DB1-Normal11"/>
              <w:jc w:val="center"/>
              <w:rPr>
                <w:noProof/>
              </w:rPr>
            </w:pPr>
            <w:r>
              <w:rPr>
                <w:noProof/>
              </w:rPr>
              <w:t>M5C2–19</w:t>
            </w:r>
          </w:p>
        </w:tc>
        <w:tc>
          <w:tcPr>
            <w:tcW w:w="509" w:type="pct"/>
            <w:shd w:val="clear" w:color="auto" w:fill="C6EFCE"/>
            <w:vAlign w:val="center"/>
            <w:hideMark/>
          </w:tcPr>
          <w:p w14:paraId="002DA5FA" w14:textId="77777777" w:rsidR="00C972CB" w:rsidRDefault="002457F6">
            <w:pPr>
              <w:pStyle w:val="P68B1DB1-Normal11"/>
              <w:jc w:val="center"/>
              <w:rPr>
                <w:noProof/>
              </w:rPr>
            </w:pPr>
            <w:r>
              <w:rPr>
                <w:noProof/>
              </w:rPr>
              <w:t>Ieguldījums — Inovācijas programma mājokļu</w:t>
            </w:r>
            <w:r>
              <w:rPr>
                <w:noProof/>
              </w:rPr>
              <w:t xml:space="preserve"> kvalitātei</w:t>
            </w:r>
          </w:p>
        </w:tc>
        <w:tc>
          <w:tcPr>
            <w:tcW w:w="361" w:type="pct"/>
            <w:shd w:val="clear" w:color="auto" w:fill="C6EFCE"/>
            <w:vAlign w:val="center"/>
            <w:hideMark/>
          </w:tcPr>
          <w:p w14:paraId="7245294E" w14:textId="77777777" w:rsidR="00C972CB" w:rsidRDefault="002457F6">
            <w:pPr>
              <w:pStyle w:val="P68B1DB1-Normal11"/>
              <w:jc w:val="center"/>
              <w:rPr>
                <w:noProof/>
              </w:rPr>
            </w:pPr>
            <w:r>
              <w:rPr>
                <w:noProof/>
              </w:rPr>
              <w:t>Starpposma mērķis</w:t>
            </w:r>
          </w:p>
        </w:tc>
        <w:tc>
          <w:tcPr>
            <w:tcW w:w="505" w:type="pct"/>
            <w:shd w:val="clear" w:color="auto" w:fill="C6EFCE"/>
            <w:vAlign w:val="center"/>
            <w:hideMark/>
          </w:tcPr>
          <w:p w14:paraId="624E8C19" w14:textId="77777777" w:rsidR="00C972CB" w:rsidRDefault="002457F6">
            <w:pPr>
              <w:pStyle w:val="P68B1DB1-Normal11"/>
              <w:jc w:val="center"/>
              <w:rPr>
                <w:noProof/>
              </w:rPr>
            </w:pPr>
            <w:r>
              <w:rPr>
                <w:noProof/>
              </w:rPr>
              <w:t>Reģioni un autonomās provinces (tostarp pašvaldības un/vai lielpilsētas, kas atrodas šajās teritorijās) parakstīja nolīgumus par sociālo mājokļu atjaunošanu un palielināšanu</w:t>
            </w:r>
          </w:p>
        </w:tc>
        <w:tc>
          <w:tcPr>
            <w:tcW w:w="505" w:type="pct"/>
            <w:shd w:val="clear" w:color="auto" w:fill="C6EFCE"/>
            <w:vAlign w:val="center"/>
            <w:hideMark/>
          </w:tcPr>
          <w:p w14:paraId="7A617F8F" w14:textId="77777777" w:rsidR="00C972CB" w:rsidRDefault="002457F6">
            <w:pPr>
              <w:pStyle w:val="P68B1DB1-Normal11"/>
              <w:jc w:val="center"/>
              <w:rPr>
                <w:noProof/>
              </w:rPr>
            </w:pPr>
            <w:r>
              <w:rPr>
                <w:noProof/>
              </w:rPr>
              <w:t>Līgumi ar vietējām iestādēm ir parakstīti</w:t>
            </w:r>
          </w:p>
        </w:tc>
        <w:tc>
          <w:tcPr>
            <w:tcW w:w="478" w:type="pct"/>
            <w:shd w:val="clear" w:color="auto" w:fill="C6EFCE"/>
            <w:vAlign w:val="center"/>
            <w:hideMark/>
          </w:tcPr>
          <w:p w14:paraId="0967810C" w14:textId="77777777" w:rsidR="00C972CB" w:rsidRDefault="002457F6">
            <w:pPr>
              <w:pStyle w:val="P68B1DB1-Normal11"/>
              <w:jc w:val="center"/>
              <w:rPr>
                <w:noProof/>
              </w:rPr>
            </w:pPr>
            <w:r>
              <w:rPr>
                <w:noProof/>
              </w:rPr>
              <w:t>NEPIEMĒRO</w:t>
            </w:r>
          </w:p>
        </w:tc>
        <w:tc>
          <w:tcPr>
            <w:tcW w:w="318" w:type="pct"/>
            <w:shd w:val="clear" w:color="auto" w:fill="C6EFCE"/>
            <w:vAlign w:val="center"/>
            <w:hideMark/>
          </w:tcPr>
          <w:p w14:paraId="62CE52A5" w14:textId="77777777" w:rsidR="00C972CB" w:rsidRDefault="002457F6">
            <w:pPr>
              <w:pStyle w:val="P68B1DB1-Normal11"/>
              <w:jc w:val="center"/>
              <w:rPr>
                <w:noProof/>
              </w:rPr>
            </w:pPr>
            <w:r>
              <w:rPr>
                <w:noProof/>
              </w:rPr>
              <w:t>NEPIEMĒRO</w:t>
            </w:r>
          </w:p>
        </w:tc>
        <w:tc>
          <w:tcPr>
            <w:tcW w:w="384" w:type="pct"/>
            <w:shd w:val="clear" w:color="auto" w:fill="C6EFCE"/>
            <w:vAlign w:val="center"/>
            <w:hideMark/>
          </w:tcPr>
          <w:p w14:paraId="20456101" w14:textId="77777777" w:rsidR="00C972CB" w:rsidRDefault="002457F6">
            <w:pPr>
              <w:pStyle w:val="P68B1DB1-Normal11"/>
              <w:jc w:val="center"/>
              <w:rPr>
                <w:noProof/>
              </w:rPr>
            </w:pPr>
            <w:r>
              <w:rPr>
                <w:noProof/>
              </w:rPr>
              <w:t>NEPIEMĒRO</w:t>
            </w:r>
          </w:p>
        </w:tc>
        <w:tc>
          <w:tcPr>
            <w:tcW w:w="275" w:type="pct"/>
            <w:shd w:val="clear" w:color="auto" w:fill="C6EFCE"/>
            <w:vAlign w:val="center"/>
            <w:hideMark/>
          </w:tcPr>
          <w:p w14:paraId="20A72DC5" w14:textId="77777777" w:rsidR="00C972CB" w:rsidRDefault="002457F6">
            <w:pPr>
              <w:pStyle w:val="P68B1DB1-Normal11"/>
              <w:jc w:val="center"/>
              <w:rPr>
                <w:noProof/>
              </w:rPr>
            </w:pPr>
            <w:r>
              <w:rPr>
                <w:noProof/>
              </w:rPr>
              <w:t>1. CET.</w:t>
            </w:r>
          </w:p>
        </w:tc>
        <w:tc>
          <w:tcPr>
            <w:tcW w:w="200" w:type="pct"/>
            <w:shd w:val="clear" w:color="auto" w:fill="C6EFCE"/>
            <w:vAlign w:val="center"/>
            <w:hideMark/>
          </w:tcPr>
          <w:p w14:paraId="4893A034" w14:textId="77777777" w:rsidR="00C972CB" w:rsidRDefault="002457F6">
            <w:pPr>
              <w:pStyle w:val="P68B1DB1-Normal11"/>
              <w:jc w:val="center"/>
              <w:rPr>
                <w:noProof/>
              </w:rPr>
            </w:pPr>
            <w:r>
              <w:rPr>
                <w:noProof/>
              </w:rPr>
              <w:t>2022</w:t>
            </w:r>
          </w:p>
        </w:tc>
        <w:tc>
          <w:tcPr>
            <w:tcW w:w="1081" w:type="pct"/>
            <w:shd w:val="clear" w:color="auto" w:fill="C6EFCE"/>
            <w:vAlign w:val="center"/>
            <w:hideMark/>
          </w:tcPr>
          <w:p w14:paraId="6275C939" w14:textId="77777777" w:rsidR="00C972CB" w:rsidRDefault="002457F6">
            <w:pPr>
              <w:pStyle w:val="P68B1DB1-Normal11"/>
              <w:rPr>
                <w:noProof/>
              </w:rPr>
            </w:pPr>
            <w:r>
              <w:rPr>
                <w:noProof/>
              </w:rPr>
              <w:t>Vismaz 15 reģioni un autonomās provinces (tostarp pašvaldības un/vai lielpilsētas, kas atrodas šajās teritorijās) parakstīja nolīgumus par sociālo mājokļu atjaunošanu un palielināšanu.</w:t>
            </w:r>
          </w:p>
          <w:p w14:paraId="5BB583D8" w14:textId="77777777" w:rsidR="00C972CB" w:rsidRDefault="002457F6">
            <w:pPr>
              <w:pStyle w:val="P68B1DB1-Normal11"/>
              <w:rPr>
                <w:noProof/>
              </w:rPr>
            </w:pPr>
            <w:r>
              <w:rPr>
                <w:noProof/>
              </w:rPr>
              <w:t xml:space="preserve"> </w:t>
            </w:r>
          </w:p>
          <w:p w14:paraId="5D8FE423" w14:textId="77777777" w:rsidR="00C972CB" w:rsidRDefault="002457F6">
            <w:pPr>
              <w:pStyle w:val="P68B1DB1-Normal11"/>
              <w:rPr>
                <w:rFonts w:eastAsia="Calibri"/>
                <w:noProof/>
              </w:rPr>
            </w:pPr>
            <w:r>
              <w:rPr>
                <w:noProof/>
              </w:rPr>
              <w:t>Nolīgumi, kas parakstīti ar vismaz 1</w:t>
            </w:r>
            <w:r>
              <w:rPr>
                <w:noProof/>
              </w:rPr>
              <w:t>5 reģioniem un autonomajām provincēm, kuras iesaistītas projektos. </w:t>
            </w:r>
          </w:p>
          <w:p w14:paraId="742FF76A" w14:textId="77777777" w:rsidR="00C972CB" w:rsidRDefault="00C972CB">
            <w:pPr>
              <w:rPr>
                <w:rFonts w:ascii="Arial Narrow" w:eastAsia="Calibri" w:hAnsi="Arial Narrow"/>
                <w:noProof/>
                <w:color w:val="006100"/>
                <w:sz w:val="20"/>
              </w:rPr>
            </w:pPr>
          </w:p>
          <w:p w14:paraId="6F33A281" w14:textId="77777777" w:rsidR="00C972CB" w:rsidRDefault="002457F6">
            <w:pPr>
              <w:pStyle w:val="P68B1DB1-Normal11"/>
              <w:rPr>
                <w:rFonts w:eastAsia="Calibri"/>
                <w:noProof/>
              </w:rPr>
            </w:pPr>
            <w:r>
              <w:rPr>
                <w:noProof/>
              </w:rPr>
              <w:t>Celtniecība: jauni mājokļi valsts mājokļos:</w:t>
            </w:r>
          </w:p>
          <w:p w14:paraId="2AEE1897" w14:textId="77777777" w:rsidR="00C972CB" w:rsidRDefault="00C972CB">
            <w:pPr>
              <w:rPr>
                <w:rFonts w:ascii="Arial Narrow" w:eastAsia="Calibri" w:hAnsi="Arial Narrow"/>
                <w:noProof/>
                <w:color w:val="006100"/>
                <w:sz w:val="20"/>
              </w:rPr>
            </w:pPr>
          </w:p>
          <w:p w14:paraId="2BEA197E" w14:textId="77777777" w:rsidR="00C972CB" w:rsidRDefault="002457F6">
            <w:pPr>
              <w:pStyle w:val="P68B1DB1-Normal11"/>
              <w:rPr>
                <w:noProof/>
              </w:rPr>
            </w:pPr>
            <w:r>
              <w:rPr>
                <w:noProof/>
              </w:rPr>
              <w:t>rekonstruēt, reorganizēt un palielināt valsts mājokļiem paredzētos aktīvus;</w:t>
            </w:r>
          </w:p>
          <w:p w14:paraId="24BF0D85" w14:textId="77777777" w:rsidR="00C972CB" w:rsidRDefault="002457F6">
            <w:pPr>
              <w:pStyle w:val="P68B1DB1-Normal11"/>
              <w:rPr>
                <w:noProof/>
              </w:rPr>
            </w:pPr>
            <w:r>
              <w:rPr>
                <w:noProof/>
              </w:rPr>
              <w:t>pārveidot teritorijas, telpas un publiskos un privātos īpašumus, a</w:t>
            </w:r>
            <w:r>
              <w:rPr>
                <w:noProof/>
              </w:rPr>
              <w:t>rī atjaunojot pilsētu un sociālekonomisko struktūru;</w:t>
            </w:r>
          </w:p>
          <w:p w14:paraId="1BAD8E4D" w14:textId="77777777" w:rsidR="00C972CB" w:rsidRDefault="002457F6">
            <w:pPr>
              <w:pStyle w:val="P68B1DB1-Normal11"/>
              <w:rPr>
                <w:noProof/>
              </w:rPr>
            </w:pPr>
            <w:r>
              <w:rPr>
                <w:noProof/>
              </w:rPr>
              <w:t>uzlabot pilsētu teritoriju pieejamību un drošību, kā arī pakalpojumu un pilsētu un vietējo infrastruktūru nodrošināšanu;</w:t>
            </w:r>
          </w:p>
          <w:p w14:paraId="1509A799" w14:textId="77777777" w:rsidR="00C972CB" w:rsidRDefault="002457F6">
            <w:pPr>
              <w:pStyle w:val="P68B1DB1-Normal11"/>
              <w:rPr>
                <w:noProof/>
              </w:rPr>
            </w:pPr>
            <w:r>
              <w:rPr>
                <w:noProof/>
              </w:rPr>
              <w:t>atjaunot jau uzbūvētās teritorijas un telpas, uzlabojot vides kvalitāti un uzlaboj</w:t>
            </w:r>
            <w:r>
              <w:rPr>
                <w:noProof/>
              </w:rPr>
              <w:t>ot klimatnoturību pret klimata pārmaiņām, izmantojot arī darbības, kas ietekmē pilsētu sablīvēšanos;</w:t>
            </w:r>
          </w:p>
          <w:p w14:paraId="03C6732F" w14:textId="00D69554" w:rsidR="00C972CB" w:rsidRDefault="002457F6">
            <w:pPr>
              <w:pStyle w:val="P68B1DB1-Normal11"/>
              <w:rPr>
                <w:rFonts w:eastAsia="Calibri"/>
                <w:noProof/>
              </w:rPr>
            </w:pPr>
            <w:r>
              <w:rPr>
                <w:noProof/>
              </w:rPr>
              <w:t>apzināt un izmantot inovatīvus pārvaldības un iekļaušanas modeļus un instrumentus, sociālo un pilsētu labklājību, kā arī līdzdalības procesus.</w:t>
            </w:r>
          </w:p>
          <w:p w14:paraId="6F3D8579" w14:textId="77777777" w:rsidR="00C972CB" w:rsidRDefault="002457F6">
            <w:pPr>
              <w:pStyle w:val="P68B1DB1-Normal11"/>
              <w:rPr>
                <w:noProof/>
              </w:rPr>
            </w:pPr>
            <w:r>
              <w:rPr>
                <w:noProof/>
              </w:rPr>
              <w:t xml:space="preserve">Atbalstītās </w:t>
            </w:r>
            <w:r>
              <w:rPr>
                <w:noProof/>
              </w:rPr>
              <w:t>dzīvojamās vienības un sabiedriskās telpas ir paredzētas, lai gūtu labumu no darbībām, kas aprakstītas saistītajā starpposma mērķrādītājā.</w:t>
            </w:r>
          </w:p>
        </w:tc>
      </w:tr>
      <w:tr w:rsidR="00C972CB" w14:paraId="360892D4" w14:textId="77777777">
        <w:trPr>
          <w:trHeight w:val="20"/>
          <w:jc w:val="center"/>
        </w:trPr>
        <w:tc>
          <w:tcPr>
            <w:tcW w:w="384" w:type="pct"/>
            <w:shd w:val="clear" w:color="auto" w:fill="C6EFCE"/>
            <w:vAlign w:val="center"/>
            <w:hideMark/>
          </w:tcPr>
          <w:p w14:paraId="0FA817C5" w14:textId="77777777" w:rsidR="00C972CB" w:rsidRDefault="002457F6">
            <w:pPr>
              <w:pStyle w:val="P68B1DB1-Normal11"/>
              <w:jc w:val="center"/>
              <w:rPr>
                <w:noProof/>
              </w:rPr>
            </w:pPr>
            <w:r>
              <w:rPr>
                <w:noProof/>
              </w:rPr>
              <w:t>M5C2–20</w:t>
            </w:r>
          </w:p>
        </w:tc>
        <w:tc>
          <w:tcPr>
            <w:tcW w:w="509" w:type="pct"/>
            <w:shd w:val="clear" w:color="auto" w:fill="C6EFCE"/>
            <w:vAlign w:val="center"/>
            <w:hideMark/>
          </w:tcPr>
          <w:p w14:paraId="3EA48F06" w14:textId="77777777" w:rsidR="00C972CB" w:rsidRDefault="002457F6">
            <w:pPr>
              <w:pStyle w:val="P68B1DB1-Normal11"/>
              <w:jc w:val="center"/>
              <w:rPr>
                <w:noProof/>
              </w:rPr>
            </w:pPr>
            <w:r>
              <w:rPr>
                <w:noProof/>
              </w:rPr>
              <w:t>Ieguldījums — Inovācijas programma mājokļu kvalitātei</w:t>
            </w:r>
          </w:p>
        </w:tc>
        <w:tc>
          <w:tcPr>
            <w:tcW w:w="361" w:type="pct"/>
            <w:shd w:val="clear" w:color="auto" w:fill="C6EFCE"/>
            <w:vAlign w:val="center"/>
            <w:hideMark/>
          </w:tcPr>
          <w:p w14:paraId="4A0FA455" w14:textId="77777777" w:rsidR="00C972CB" w:rsidRDefault="002457F6">
            <w:pPr>
              <w:pStyle w:val="P68B1DB1-Normal11"/>
              <w:jc w:val="center"/>
              <w:rPr>
                <w:noProof/>
              </w:rPr>
            </w:pPr>
            <w:r>
              <w:rPr>
                <w:noProof/>
              </w:rPr>
              <w:t>Mērķa</w:t>
            </w:r>
          </w:p>
        </w:tc>
        <w:tc>
          <w:tcPr>
            <w:tcW w:w="505" w:type="pct"/>
            <w:shd w:val="clear" w:color="auto" w:fill="C6EFCE"/>
            <w:vAlign w:val="center"/>
            <w:hideMark/>
          </w:tcPr>
          <w:p w14:paraId="552031D6" w14:textId="77777777" w:rsidR="00C972CB" w:rsidRDefault="002457F6">
            <w:pPr>
              <w:pStyle w:val="P68B1DB1-Normal11"/>
              <w:jc w:val="center"/>
              <w:rPr>
                <w:noProof/>
              </w:rPr>
            </w:pPr>
            <w:r>
              <w:rPr>
                <w:noProof/>
              </w:rPr>
              <w:t xml:space="preserve">Atbalstīto dzīvojamo vienību skaits (gan </w:t>
            </w:r>
            <w:r>
              <w:rPr>
                <w:noProof/>
              </w:rPr>
              <w:t>būvniecības, gan rehabilitācijas ziņā) un atbalstīto sabiedrisko vietu kvadrātmetros</w:t>
            </w:r>
          </w:p>
        </w:tc>
        <w:tc>
          <w:tcPr>
            <w:tcW w:w="505" w:type="pct"/>
            <w:shd w:val="clear" w:color="auto" w:fill="C6EFCE"/>
            <w:vAlign w:val="center"/>
            <w:hideMark/>
          </w:tcPr>
          <w:p w14:paraId="4F24BA3B" w14:textId="77777777" w:rsidR="00C972CB" w:rsidRDefault="002457F6">
            <w:pPr>
              <w:pStyle w:val="P68B1DB1-Normal11"/>
              <w:jc w:val="center"/>
              <w:rPr>
                <w:noProof/>
              </w:rPr>
            </w:pPr>
            <w:r>
              <w:rPr>
                <w:noProof/>
              </w:rPr>
              <w:t>NEPIEMĒRO</w:t>
            </w:r>
          </w:p>
        </w:tc>
        <w:tc>
          <w:tcPr>
            <w:tcW w:w="478" w:type="pct"/>
            <w:shd w:val="clear" w:color="auto" w:fill="C6EFCE"/>
            <w:vAlign w:val="center"/>
            <w:hideMark/>
          </w:tcPr>
          <w:p w14:paraId="4F093AF4" w14:textId="77777777" w:rsidR="00C972CB" w:rsidRDefault="002457F6">
            <w:pPr>
              <w:pStyle w:val="P68B1DB1-Normal11"/>
              <w:jc w:val="center"/>
              <w:rPr>
                <w:noProof/>
              </w:rPr>
            </w:pPr>
            <w:r>
              <w:rPr>
                <w:noProof/>
              </w:rPr>
              <w:t>Skaits</w:t>
            </w:r>
          </w:p>
        </w:tc>
        <w:tc>
          <w:tcPr>
            <w:tcW w:w="318" w:type="pct"/>
            <w:shd w:val="clear" w:color="auto" w:fill="C6EFCE"/>
            <w:vAlign w:val="center"/>
            <w:hideMark/>
          </w:tcPr>
          <w:p w14:paraId="30279475" w14:textId="77777777" w:rsidR="00C972CB" w:rsidRDefault="002457F6">
            <w:pPr>
              <w:pStyle w:val="P68B1DB1-Normal11"/>
              <w:jc w:val="center"/>
              <w:rPr>
                <w:noProof/>
              </w:rPr>
            </w:pPr>
            <w:r>
              <w:rPr>
                <w:noProof/>
              </w:rPr>
              <w:t>0</w:t>
            </w:r>
          </w:p>
        </w:tc>
        <w:tc>
          <w:tcPr>
            <w:tcW w:w="384" w:type="pct"/>
            <w:shd w:val="clear" w:color="auto" w:fill="C6EFCE"/>
            <w:vAlign w:val="center"/>
            <w:hideMark/>
          </w:tcPr>
          <w:p w14:paraId="797722F8" w14:textId="544280A5" w:rsidR="00C972CB" w:rsidRDefault="002457F6">
            <w:pPr>
              <w:pStyle w:val="P68B1DB1-Normal11"/>
              <w:jc w:val="center"/>
              <w:rPr>
                <w:noProof/>
              </w:rPr>
            </w:pPr>
            <w:r>
              <w:rPr>
                <w:noProof/>
              </w:rPr>
              <w:t>10 000</w:t>
            </w:r>
          </w:p>
        </w:tc>
        <w:tc>
          <w:tcPr>
            <w:tcW w:w="275" w:type="pct"/>
            <w:shd w:val="clear" w:color="auto" w:fill="C6EFCE"/>
            <w:vAlign w:val="center"/>
            <w:hideMark/>
          </w:tcPr>
          <w:p w14:paraId="6A857575" w14:textId="77777777" w:rsidR="00C972CB" w:rsidRDefault="002457F6">
            <w:pPr>
              <w:pStyle w:val="P68B1DB1-Normal11"/>
              <w:jc w:val="center"/>
              <w:rPr>
                <w:noProof/>
              </w:rPr>
            </w:pPr>
            <w:r>
              <w:rPr>
                <w:noProof/>
              </w:rPr>
              <w:t>1. CET.</w:t>
            </w:r>
          </w:p>
        </w:tc>
        <w:tc>
          <w:tcPr>
            <w:tcW w:w="200" w:type="pct"/>
            <w:shd w:val="clear" w:color="auto" w:fill="C6EFCE"/>
            <w:vAlign w:val="center"/>
            <w:hideMark/>
          </w:tcPr>
          <w:p w14:paraId="1CF802F7" w14:textId="77777777" w:rsidR="00C972CB" w:rsidRDefault="002457F6">
            <w:pPr>
              <w:pStyle w:val="P68B1DB1-Normal11"/>
              <w:rPr>
                <w:noProof/>
              </w:rPr>
            </w:pPr>
            <w:r>
              <w:rPr>
                <w:noProof/>
              </w:rPr>
              <w:t>2026</w:t>
            </w:r>
          </w:p>
        </w:tc>
        <w:tc>
          <w:tcPr>
            <w:tcW w:w="1081" w:type="pct"/>
            <w:shd w:val="clear" w:color="auto" w:fill="C6EFCE"/>
            <w:vAlign w:val="center"/>
            <w:hideMark/>
          </w:tcPr>
          <w:p w14:paraId="71968210" w14:textId="3AEE8B0F" w:rsidR="00C972CB" w:rsidRDefault="002457F6">
            <w:pPr>
              <w:pStyle w:val="P68B1DB1-Normal11"/>
              <w:rPr>
                <w:noProof/>
              </w:rPr>
            </w:pPr>
            <w:r>
              <w:rPr>
                <w:noProof/>
              </w:rPr>
              <w:t>Atbalsts vismaz 10000 mājokļu vienībām (gan būvniecības, gan rehabilitācijas ziņā). Mērķrādītāja apmierinoša sasniegšana ir atkarīga</w:t>
            </w:r>
            <w:r>
              <w:rPr>
                <w:noProof/>
              </w:rPr>
              <w:t xml:space="preserve"> arī no tā, vai sekmīgi tiks sasniegts sekundārs mērķis, kas aptver vismaz 800000 kvadrātmetrus sabiedrisko vietu.</w:t>
            </w:r>
          </w:p>
        </w:tc>
      </w:tr>
      <w:tr w:rsidR="00C972CB" w14:paraId="0D32E2A1" w14:textId="77777777">
        <w:trPr>
          <w:trHeight w:val="6917"/>
          <w:jc w:val="center"/>
        </w:trPr>
        <w:tc>
          <w:tcPr>
            <w:tcW w:w="384" w:type="pct"/>
            <w:shd w:val="clear" w:color="auto" w:fill="C6EFCE"/>
            <w:vAlign w:val="center"/>
            <w:hideMark/>
          </w:tcPr>
          <w:p w14:paraId="01F5A1F7" w14:textId="77777777" w:rsidR="00C972CB" w:rsidRDefault="002457F6">
            <w:pPr>
              <w:pStyle w:val="P68B1DB1-Normal11"/>
              <w:jc w:val="center"/>
              <w:rPr>
                <w:noProof/>
              </w:rPr>
            </w:pPr>
            <w:r>
              <w:rPr>
                <w:noProof/>
              </w:rPr>
              <w:t>M5C2–21</w:t>
            </w:r>
          </w:p>
        </w:tc>
        <w:tc>
          <w:tcPr>
            <w:tcW w:w="509" w:type="pct"/>
            <w:shd w:val="clear" w:color="auto" w:fill="C6EFCE"/>
            <w:vAlign w:val="center"/>
            <w:hideMark/>
          </w:tcPr>
          <w:p w14:paraId="47533721" w14:textId="77777777" w:rsidR="00C972CB" w:rsidRDefault="002457F6">
            <w:pPr>
              <w:pStyle w:val="P68B1DB1-Normal11"/>
              <w:jc w:val="center"/>
              <w:rPr>
                <w:noProof/>
              </w:rPr>
            </w:pPr>
            <w:r>
              <w:rPr>
                <w:noProof/>
              </w:rPr>
              <w:t>Ieguldījums. Projekts “Sports un sociālā integrācija”</w:t>
            </w:r>
          </w:p>
        </w:tc>
        <w:tc>
          <w:tcPr>
            <w:tcW w:w="361" w:type="pct"/>
            <w:shd w:val="clear" w:color="auto" w:fill="C6EFCE"/>
            <w:vAlign w:val="center"/>
            <w:hideMark/>
          </w:tcPr>
          <w:p w14:paraId="5E76C1E2" w14:textId="77777777" w:rsidR="00C972CB" w:rsidRDefault="002457F6">
            <w:pPr>
              <w:pStyle w:val="P68B1DB1-Normal11"/>
              <w:jc w:val="center"/>
              <w:rPr>
                <w:noProof/>
              </w:rPr>
            </w:pPr>
            <w:r>
              <w:rPr>
                <w:noProof/>
              </w:rPr>
              <w:t>Starpposma mērķis</w:t>
            </w:r>
          </w:p>
        </w:tc>
        <w:tc>
          <w:tcPr>
            <w:tcW w:w="505" w:type="pct"/>
            <w:shd w:val="clear" w:color="auto" w:fill="C6EFCE"/>
            <w:vAlign w:val="center"/>
            <w:hideMark/>
          </w:tcPr>
          <w:p w14:paraId="0CF8E43B" w14:textId="77777777" w:rsidR="00C972CB" w:rsidRDefault="002457F6">
            <w:pPr>
              <w:pStyle w:val="P68B1DB1-Normal11"/>
              <w:jc w:val="center"/>
              <w:rPr>
                <w:noProof/>
              </w:rPr>
            </w:pPr>
            <w:r>
              <w:rPr>
                <w:noProof/>
              </w:rPr>
              <w:t>Visu publiskā iepirkuma līgumu slēgšanas tiesību piešķiršana</w:t>
            </w:r>
            <w:r>
              <w:rPr>
                <w:noProof/>
              </w:rPr>
              <w:t xml:space="preserve"> projektiem sporta un sociālās iekļaušanas jomā pēc publiska uzaicinājuma iesniegt priekšlikumus</w:t>
            </w:r>
          </w:p>
        </w:tc>
        <w:tc>
          <w:tcPr>
            <w:tcW w:w="505" w:type="pct"/>
            <w:shd w:val="clear" w:color="auto" w:fill="C6EFCE"/>
            <w:vAlign w:val="center"/>
            <w:hideMark/>
          </w:tcPr>
          <w:p w14:paraId="435858D7" w14:textId="77777777" w:rsidR="00C972CB" w:rsidRDefault="002457F6">
            <w:pPr>
              <w:pStyle w:val="P68B1DB1-Normal11"/>
              <w:jc w:val="center"/>
              <w:rPr>
                <w:noProof/>
              </w:rPr>
            </w:pPr>
            <w:r>
              <w:rPr>
                <w:noProof/>
              </w:rPr>
              <w:t>Paziņojums par visu publiskā iepirkuma līgumu slēgšanas tiesību piešķiršanu projektiem sporta un sociālās iekļaušanas jomā</w:t>
            </w:r>
          </w:p>
        </w:tc>
        <w:tc>
          <w:tcPr>
            <w:tcW w:w="478" w:type="pct"/>
            <w:shd w:val="clear" w:color="auto" w:fill="C6EFCE"/>
            <w:vAlign w:val="center"/>
            <w:hideMark/>
          </w:tcPr>
          <w:p w14:paraId="2F550CCB" w14:textId="77777777" w:rsidR="00C972CB" w:rsidRDefault="002457F6">
            <w:pPr>
              <w:pStyle w:val="P68B1DB1-Normal11"/>
              <w:jc w:val="center"/>
              <w:rPr>
                <w:noProof/>
              </w:rPr>
            </w:pPr>
            <w:r>
              <w:rPr>
                <w:noProof/>
              </w:rPr>
              <w:t>NEPIEMĒRO</w:t>
            </w:r>
          </w:p>
        </w:tc>
        <w:tc>
          <w:tcPr>
            <w:tcW w:w="318" w:type="pct"/>
            <w:shd w:val="clear" w:color="auto" w:fill="C6EFCE"/>
            <w:vAlign w:val="center"/>
            <w:hideMark/>
          </w:tcPr>
          <w:p w14:paraId="6CD895AB" w14:textId="77777777" w:rsidR="00C972CB" w:rsidRDefault="002457F6">
            <w:pPr>
              <w:pStyle w:val="P68B1DB1-Normal11"/>
              <w:jc w:val="center"/>
              <w:rPr>
                <w:noProof/>
              </w:rPr>
            </w:pPr>
            <w:r>
              <w:rPr>
                <w:noProof/>
              </w:rPr>
              <w:t>NEPIEMĒRO</w:t>
            </w:r>
          </w:p>
        </w:tc>
        <w:tc>
          <w:tcPr>
            <w:tcW w:w="384" w:type="pct"/>
            <w:shd w:val="clear" w:color="auto" w:fill="C6EFCE"/>
            <w:vAlign w:val="center"/>
            <w:hideMark/>
          </w:tcPr>
          <w:p w14:paraId="4BF2BDBA" w14:textId="77777777" w:rsidR="00C972CB" w:rsidRDefault="002457F6">
            <w:pPr>
              <w:pStyle w:val="P68B1DB1-Normal11"/>
              <w:jc w:val="center"/>
              <w:rPr>
                <w:noProof/>
              </w:rPr>
            </w:pPr>
            <w:r>
              <w:rPr>
                <w:noProof/>
              </w:rPr>
              <w:t>NEPIEMĒRO</w:t>
            </w:r>
          </w:p>
        </w:tc>
        <w:tc>
          <w:tcPr>
            <w:tcW w:w="275" w:type="pct"/>
            <w:shd w:val="clear" w:color="auto" w:fill="C6EFCE"/>
            <w:vAlign w:val="center"/>
            <w:hideMark/>
          </w:tcPr>
          <w:p w14:paraId="3A65651B" w14:textId="77777777" w:rsidR="00C972CB" w:rsidRDefault="002457F6">
            <w:pPr>
              <w:pStyle w:val="P68B1DB1-Normal11"/>
              <w:jc w:val="center"/>
              <w:rPr>
                <w:noProof/>
              </w:rPr>
            </w:pPr>
            <w:r>
              <w:rPr>
                <w:noProof/>
              </w:rPr>
              <w:t xml:space="preserve">1. </w:t>
            </w:r>
            <w:r>
              <w:rPr>
                <w:noProof/>
              </w:rPr>
              <w:t>CET.</w:t>
            </w:r>
          </w:p>
        </w:tc>
        <w:tc>
          <w:tcPr>
            <w:tcW w:w="200" w:type="pct"/>
            <w:shd w:val="clear" w:color="auto" w:fill="C6EFCE"/>
            <w:vAlign w:val="center"/>
            <w:hideMark/>
          </w:tcPr>
          <w:p w14:paraId="5EE4A329" w14:textId="77777777" w:rsidR="00C972CB" w:rsidRDefault="002457F6">
            <w:pPr>
              <w:pStyle w:val="P68B1DB1-Normal11"/>
              <w:jc w:val="center"/>
              <w:rPr>
                <w:noProof/>
              </w:rPr>
            </w:pPr>
            <w:r>
              <w:rPr>
                <w:noProof/>
              </w:rPr>
              <w:t>2023</w:t>
            </w:r>
          </w:p>
        </w:tc>
        <w:tc>
          <w:tcPr>
            <w:tcW w:w="1081" w:type="pct"/>
            <w:shd w:val="clear" w:color="auto" w:fill="C6EFCE"/>
            <w:vAlign w:val="center"/>
            <w:hideMark/>
          </w:tcPr>
          <w:p w14:paraId="04543A62" w14:textId="77777777" w:rsidR="00C972CB" w:rsidRDefault="002457F6">
            <w:pPr>
              <w:pStyle w:val="P68B1DB1-Normal11"/>
              <w:rPr>
                <w:rFonts w:eastAsia="Calibri"/>
                <w:noProof/>
              </w:rPr>
            </w:pPr>
            <w:r>
              <w:rPr>
                <w:noProof/>
              </w:rPr>
              <w:t>Paziņojums par valsts līgumu slēgšanas tiesību piešķiršanu, kas ietver vismaz vienu no šādiem elementiem:</w:t>
            </w:r>
          </w:p>
          <w:p w14:paraId="2E5076F4" w14:textId="77777777" w:rsidR="00C972CB" w:rsidRDefault="00C972CB">
            <w:pPr>
              <w:rPr>
                <w:rFonts w:ascii="Arial Narrow" w:hAnsi="Arial Narrow"/>
                <w:noProof/>
                <w:color w:val="006100"/>
                <w:sz w:val="20"/>
              </w:rPr>
            </w:pPr>
          </w:p>
          <w:p w14:paraId="5FF02EB4" w14:textId="77777777" w:rsidR="00C972CB" w:rsidRDefault="002457F6">
            <w:pPr>
              <w:pStyle w:val="P68B1DB1-Normal11"/>
              <w:rPr>
                <w:noProof/>
              </w:rPr>
            </w:pPr>
            <w:r>
              <w:rPr>
                <w:noProof/>
              </w:rPr>
              <w:t>Jaunu sporta objektu būvniecība valsts mazāk attīstītajos apgabalos;</w:t>
            </w:r>
          </w:p>
          <w:p w14:paraId="1C3C94D9" w14:textId="77777777" w:rsidR="00C972CB" w:rsidRDefault="002457F6">
            <w:pPr>
              <w:pStyle w:val="P68B1DB1-Normal11"/>
              <w:rPr>
                <w:noProof/>
              </w:rPr>
            </w:pPr>
            <w:r>
              <w:rPr>
                <w:noProof/>
              </w:rPr>
              <w:t>Sporta aprīkojuma nodrošināšana, tostarp tehnoloģiju izmantošana sport</w:t>
            </w:r>
            <w:r>
              <w:rPr>
                <w:noProof/>
              </w:rPr>
              <w:t>am);</w:t>
            </w:r>
          </w:p>
          <w:p w14:paraId="5B26FA0F" w14:textId="1832F17B" w:rsidR="00C972CB" w:rsidRDefault="002457F6">
            <w:pPr>
              <w:pStyle w:val="P68B1DB1-Normal11"/>
              <w:rPr>
                <w:rFonts w:eastAsia="Calibri"/>
                <w:noProof/>
              </w:rPr>
            </w:pPr>
            <w:r>
              <w:rPr>
                <w:noProof/>
              </w:rPr>
              <w:t>3. Pašreizējo sporta objektu pārkvalificēšana un pielāgošana (piemēram, arhitektūras šķēršļu likvidēšana, energoefektivitāte u. c.).</w:t>
            </w:r>
          </w:p>
          <w:p w14:paraId="0153F841" w14:textId="77777777" w:rsidR="00C972CB" w:rsidRDefault="00C972CB">
            <w:pPr>
              <w:rPr>
                <w:rFonts w:ascii="Arial Narrow" w:hAnsi="Arial Narrow"/>
                <w:noProof/>
                <w:color w:val="006100"/>
                <w:sz w:val="20"/>
              </w:rPr>
            </w:pPr>
          </w:p>
          <w:p w14:paraId="0D67912F" w14:textId="77777777" w:rsidR="00C972CB" w:rsidRDefault="002457F6">
            <w:pPr>
              <w:pStyle w:val="P68B1DB1-Normal11"/>
              <w:rPr>
                <w:noProof/>
              </w:rPr>
            </w:pPr>
            <w:r>
              <w:rPr>
                <w:noProof/>
              </w:rPr>
              <w:t>Projekta mērķis ir nodrošināt pilsētu teritoriju atjaunošanu, īpašu uzmanību pievēršot sporta objektiem, lai veicināt</w:t>
            </w:r>
            <w:r>
              <w:rPr>
                <w:noProof/>
              </w:rPr>
              <w:t>u sociālo iekļaušanu un integrāciju, jo īpaši vistrūcīgākajos Itālijas reģionos.</w:t>
            </w:r>
          </w:p>
          <w:p w14:paraId="59397B0F" w14:textId="77777777" w:rsidR="00C972CB" w:rsidRDefault="002457F6">
            <w:pPr>
              <w:pStyle w:val="P68B1DB1-Normal11"/>
              <w:rPr>
                <w:noProof/>
              </w:rPr>
            </w:pPr>
            <w:r>
              <w:rPr>
                <w:noProof/>
              </w:rPr>
              <w:t>Atlases kritēriji garantē, ka vismaz 50 % investīciju tiek piešķirti jaunām būvēm, kas atbilst attiecīgajām Regulas (ES) 2021/241 VI pielikuma 5. zemsvītras piezīmes prasībām.</w:t>
            </w:r>
          </w:p>
        </w:tc>
      </w:tr>
      <w:tr w:rsidR="00C972CB" w14:paraId="09693609" w14:textId="77777777">
        <w:trPr>
          <w:trHeight w:val="20"/>
          <w:jc w:val="center"/>
        </w:trPr>
        <w:tc>
          <w:tcPr>
            <w:tcW w:w="384" w:type="pct"/>
            <w:shd w:val="clear" w:color="auto" w:fill="C6EFCE"/>
            <w:vAlign w:val="center"/>
            <w:hideMark/>
          </w:tcPr>
          <w:p w14:paraId="742CF322" w14:textId="77777777" w:rsidR="00C972CB" w:rsidRDefault="002457F6">
            <w:pPr>
              <w:pStyle w:val="P68B1DB1-Normal11"/>
              <w:jc w:val="center"/>
              <w:rPr>
                <w:noProof/>
              </w:rPr>
            </w:pPr>
            <w:r>
              <w:rPr>
                <w:noProof/>
              </w:rPr>
              <w:t>M5C2–22</w:t>
            </w:r>
          </w:p>
        </w:tc>
        <w:tc>
          <w:tcPr>
            <w:tcW w:w="509" w:type="pct"/>
            <w:shd w:val="clear" w:color="auto" w:fill="C6EFCE"/>
            <w:vAlign w:val="center"/>
            <w:hideMark/>
          </w:tcPr>
          <w:p w14:paraId="7B78457A" w14:textId="77777777" w:rsidR="00C972CB" w:rsidRDefault="002457F6">
            <w:pPr>
              <w:pStyle w:val="P68B1DB1-Normal11"/>
              <w:jc w:val="center"/>
              <w:rPr>
                <w:noProof/>
              </w:rPr>
            </w:pPr>
            <w:r>
              <w:rPr>
                <w:noProof/>
              </w:rPr>
              <w:t>Ieguldījums. Projekts “Sports un sociālā integrācija”</w:t>
            </w:r>
          </w:p>
        </w:tc>
        <w:tc>
          <w:tcPr>
            <w:tcW w:w="361" w:type="pct"/>
            <w:shd w:val="clear" w:color="auto" w:fill="C6EFCE"/>
            <w:vAlign w:val="center"/>
            <w:hideMark/>
          </w:tcPr>
          <w:p w14:paraId="500E4956" w14:textId="77777777" w:rsidR="00C972CB" w:rsidRDefault="002457F6">
            <w:pPr>
              <w:pStyle w:val="P68B1DB1-Normal11"/>
              <w:jc w:val="center"/>
              <w:rPr>
                <w:noProof/>
              </w:rPr>
            </w:pPr>
            <w:r>
              <w:rPr>
                <w:noProof/>
              </w:rPr>
              <w:t>Mērķa</w:t>
            </w:r>
          </w:p>
        </w:tc>
        <w:tc>
          <w:tcPr>
            <w:tcW w:w="505" w:type="pct"/>
            <w:shd w:val="clear" w:color="auto" w:fill="C6EFCE"/>
            <w:vAlign w:val="center"/>
            <w:hideMark/>
          </w:tcPr>
          <w:p w14:paraId="4F20575C" w14:textId="77777777" w:rsidR="00C972CB" w:rsidRDefault="002457F6">
            <w:pPr>
              <w:pStyle w:val="P68B1DB1-Normal11"/>
              <w:jc w:val="center"/>
              <w:rPr>
                <w:noProof/>
              </w:rPr>
            </w:pPr>
            <w:r>
              <w:rPr>
                <w:noProof/>
              </w:rPr>
              <w:t>Intervences pasākumi, kas saistīti ar līgumiem par sporta inventāru</w:t>
            </w:r>
          </w:p>
        </w:tc>
        <w:tc>
          <w:tcPr>
            <w:tcW w:w="505" w:type="pct"/>
            <w:shd w:val="clear" w:color="auto" w:fill="C6EFCE"/>
            <w:vAlign w:val="center"/>
            <w:hideMark/>
          </w:tcPr>
          <w:p w14:paraId="26C44C93" w14:textId="77777777" w:rsidR="00C972CB" w:rsidRDefault="002457F6">
            <w:pPr>
              <w:pStyle w:val="P68B1DB1-Normal11"/>
              <w:jc w:val="center"/>
              <w:rPr>
                <w:noProof/>
              </w:rPr>
            </w:pPr>
            <w:r>
              <w:rPr>
                <w:noProof/>
              </w:rPr>
              <w:t>NEPIEMĒRO</w:t>
            </w:r>
          </w:p>
        </w:tc>
        <w:tc>
          <w:tcPr>
            <w:tcW w:w="478" w:type="pct"/>
            <w:shd w:val="clear" w:color="auto" w:fill="C6EFCE"/>
            <w:vAlign w:val="center"/>
            <w:hideMark/>
          </w:tcPr>
          <w:p w14:paraId="53BA694F" w14:textId="77777777" w:rsidR="00C972CB" w:rsidRDefault="002457F6">
            <w:pPr>
              <w:pStyle w:val="P68B1DB1-Normal11"/>
              <w:jc w:val="center"/>
              <w:rPr>
                <w:noProof/>
              </w:rPr>
            </w:pPr>
            <w:r>
              <w:rPr>
                <w:noProof/>
              </w:rPr>
              <w:t>Skaits</w:t>
            </w:r>
          </w:p>
        </w:tc>
        <w:tc>
          <w:tcPr>
            <w:tcW w:w="318" w:type="pct"/>
            <w:shd w:val="clear" w:color="auto" w:fill="C6EFCE"/>
            <w:vAlign w:val="center"/>
            <w:hideMark/>
          </w:tcPr>
          <w:p w14:paraId="3166E799" w14:textId="77777777" w:rsidR="00C972CB" w:rsidRDefault="002457F6">
            <w:pPr>
              <w:pStyle w:val="P68B1DB1-Normal11"/>
              <w:jc w:val="center"/>
              <w:rPr>
                <w:noProof/>
              </w:rPr>
            </w:pPr>
            <w:r>
              <w:rPr>
                <w:noProof/>
              </w:rPr>
              <w:t>0</w:t>
            </w:r>
          </w:p>
        </w:tc>
        <w:tc>
          <w:tcPr>
            <w:tcW w:w="384" w:type="pct"/>
            <w:shd w:val="clear" w:color="auto" w:fill="C6EFCE"/>
            <w:vAlign w:val="center"/>
            <w:hideMark/>
          </w:tcPr>
          <w:p w14:paraId="53CFA1A3" w14:textId="77777777" w:rsidR="00C972CB" w:rsidRDefault="002457F6">
            <w:pPr>
              <w:pStyle w:val="P68B1DB1-Normal11"/>
              <w:jc w:val="center"/>
              <w:rPr>
                <w:noProof/>
              </w:rPr>
            </w:pPr>
            <w:r>
              <w:rPr>
                <w:noProof/>
              </w:rPr>
              <w:t>100</w:t>
            </w:r>
          </w:p>
        </w:tc>
        <w:tc>
          <w:tcPr>
            <w:tcW w:w="275" w:type="pct"/>
            <w:shd w:val="clear" w:color="auto" w:fill="C6EFCE"/>
            <w:vAlign w:val="center"/>
            <w:hideMark/>
          </w:tcPr>
          <w:p w14:paraId="5F78C7E0" w14:textId="77777777" w:rsidR="00C972CB" w:rsidRDefault="002457F6">
            <w:pPr>
              <w:pStyle w:val="P68B1DB1-Normal11"/>
              <w:jc w:val="center"/>
              <w:rPr>
                <w:noProof/>
              </w:rPr>
            </w:pPr>
            <w:r>
              <w:rPr>
                <w:noProof/>
              </w:rPr>
              <w:t>2. CET.</w:t>
            </w:r>
          </w:p>
        </w:tc>
        <w:tc>
          <w:tcPr>
            <w:tcW w:w="200" w:type="pct"/>
            <w:shd w:val="clear" w:color="auto" w:fill="C6EFCE"/>
            <w:vAlign w:val="center"/>
            <w:hideMark/>
          </w:tcPr>
          <w:p w14:paraId="3798B82A" w14:textId="77777777" w:rsidR="00C972CB" w:rsidRDefault="002457F6">
            <w:pPr>
              <w:pStyle w:val="P68B1DB1-Normal11"/>
              <w:jc w:val="center"/>
              <w:rPr>
                <w:noProof/>
              </w:rPr>
            </w:pPr>
            <w:r>
              <w:rPr>
                <w:noProof/>
              </w:rPr>
              <w:t>2026</w:t>
            </w:r>
          </w:p>
        </w:tc>
        <w:tc>
          <w:tcPr>
            <w:tcW w:w="1081" w:type="pct"/>
            <w:shd w:val="clear" w:color="auto" w:fill="C6EFCE"/>
            <w:vAlign w:val="center"/>
            <w:hideMark/>
          </w:tcPr>
          <w:p w14:paraId="78DDEA49" w14:textId="77777777" w:rsidR="00C972CB" w:rsidRDefault="002457F6">
            <w:pPr>
              <w:pStyle w:val="P68B1DB1-Normal11"/>
              <w:rPr>
                <w:rFonts w:eastAsia="Calibri"/>
                <w:noProof/>
              </w:rPr>
            </w:pPr>
            <w:r>
              <w:rPr>
                <w:noProof/>
              </w:rPr>
              <w:t xml:space="preserve">Vismaz 100 intervences pasākumu saistībā ar līgumiem, kas attiecas uz sporta </w:t>
            </w:r>
            <w:r>
              <w:rPr>
                <w:noProof/>
              </w:rPr>
              <w:t>inventāru.</w:t>
            </w:r>
          </w:p>
          <w:p w14:paraId="7471FA36" w14:textId="77777777" w:rsidR="00C972CB" w:rsidRDefault="00C972CB">
            <w:pPr>
              <w:rPr>
                <w:rFonts w:ascii="Arial Narrow" w:hAnsi="Arial Narrow"/>
                <w:noProof/>
                <w:color w:val="006100"/>
                <w:sz w:val="20"/>
              </w:rPr>
            </w:pPr>
          </w:p>
          <w:p w14:paraId="5398E805" w14:textId="4550B3C0" w:rsidR="00C972CB" w:rsidRDefault="002457F6">
            <w:pPr>
              <w:pStyle w:val="P68B1DB1-Normal11"/>
              <w:rPr>
                <w:rFonts w:eastAsia="Calibri"/>
                <w:noProof/>
              </w:rPr>
            </w:pPr>
            <w:r>
              <w:rPr>
                <w:noProof/>
              </w:rPr>
              <w:t>Mērķrādītāja apmierinoša sasniegšana ir atkarīga arī no tā, vai tiks apmierinoši sasniegts sekundārais mērķis: pabeigtās intervences aptver platību, kas ir vismaz 200000 kvadrātmetru.</w:t>
            </w:r>
          </w:p>
          <w:p w14:paraId="2C09F224" w14:textId="77777777" w:rsidR="00C972CB" w:rsidRDefault="00C972CB">
            <w:pPr>
              <w:rPr>
                <w:rFonts w:ascii="Arial Narrow" w:hAnsi="Arial Narrow"/>
                <w:noProof/>
                <w:color w:val="006100"/>
                <w:sz w:val="20"/>
              </w:rPr>
            </w:pPr>
          </w:p>
          <w:p w14:paraId="149B1F41" w14:textId="77777777" w:rsidR="00C972CB" w:rsidRDefault="002457F6">
            <w:pPr>
              <w:pStyle w:val="P68B1DB1-Normal11"/>
              <w:rPr>
                <w:rFonts w:eastAsia="Calibri"/>
                <w:noProof/>
              </w:rPr>
            </w:pPr>
            <w:r>
              <w:rPr>
                <w:noProof/>
              </w:rPr>
              <w:t>Projektā pievēršas pilsētvides atjaunošanas jautājumiem sas</w:t>
            </w:r>
            <w:r>
              <w:rPr>
                <w:noProof/>
              </w:rPr>
              <w:t>kaņā ar ilgtspējas un noturības principiem, galveno uzmanību pievēršot sporta objektiem, lai veicinātu sociālo iekļaušanu un integrāciju, jo īpaši vistrūcīgākajos Itālijas reģionos.</w:t>
            </w:r>
          </w:p>
          <w:p w14:paraId="1E0AC1BA" w14:textId="77777777" w:rsidR="00C972CB" w:rsidRDefault="00C972CB">
            <w:pPr>
              <w:rPr>
                <w:rFonts w:ascii="Arial Narrow" w:eastAsia="Calibri" w:hAnsi="Arial Narrow"/>
                <w:noProof/>
                <w:color w:val="006100"/>
                <w:sz w:val="20"/>
              </w:rPr>
            </w:pPr>
          </w:p>
          <w:p w14:paraId="1DB6D07E" w14:textId="77777777" w:rsidR="00C972CB" w:rsidRDefault="002457F6">
            <w:pPr>
              <w:pStyle w:val="P68B1DB1-Normal19"/>
              <w:rPr>
                <w:noProof/>
                <w:color w:val="006100"/>
              </w:rPr>
            </w:pPr>
            <w:r>
              <w:rPr>
                <w:noProof/>
                <w:color w:val="006100"/>
              </w:rPr>
              <w:t xml:space="preserve">Vismaz 50 % investīciju atvēl jaunām būvēm, kas atbilst Regulas (ES) </w:t>
            </w:r>
            <w:r>
              <w:rPr>
                <w:noProof/>
                <w:color w:val="006100"/>
              </w:rPr>
              <w:t>2021/241 VI pielikuma 5. zemsvītras piezīmes attiecīgajām prasībām.</w:t>
            </w:r>
            <w:r>
              <w:rPr>
                <w:noProof/>
                <w:color w:val="000000"/>
              </w:rPr>
              <w:t xml:space="preserve"> </w:t>
            </w:r>
          </w:p>
        </w:tc>
      </w:tr>
    </w:tbl>
    <w:p w14:paraId="244ABCF4" w14:textId="77777777" w:rsidR="00C972CB" w:rsidRDefault="00C972CB">
      <w:pPr>
        <w:keepNext/>
        <w:tabs>
          <w:tab w:val="left" w:pos="4252"/>
        </w:tabs>
        <w:spacing w:before="720"/>
        <w:jc w:val="both"/>
        <w:rPr>
          <w:i/>
          <w:noProof/>
        </w:rPr>
        <w:sectPr w:rsidR="00C972CB" w:rsidSect="000D3774">
          <w:headerReference w:type="even" r:id="rId320"/>
          <w:headerReference w:type="default" r:id="rId321"/>
          <w:footerReference w:type="even" r:id="rId322"/>
          <w:footerReference w:type="default" r:id="rId323"/>
          <w:headerReference w:type="first" r:id="rId324"/>
          <w:footerReference w:type="first" r:id="rId325"/>
          <w:pgSz w:w="20160" w:h="12240" w:orient="landscape"/>
          <w:pgMar w:top="1440" w:right="1440" w:bottom="1440" w:left="1440" w:header="709" w:footer="709" w:gutter="0"/>
          <w:cols w:space="720"/>
          <w:docGrid w:linePitch="360"/>
        </w:sectPr>
      </w:pPr>
    </w:p>
    <w:p w14:paraId="1CB4C944" w14:textId="0AEC07E8" w:rsidR="00C972CB" w:rsidRDefault="002457F6">
      <w:pPr>
        <w:pStyle w:val="Heading2"/>
        <w:numPr>
          <w:ilvl w:val="0"/>
          <w:numId w:val="0"/>
        </w:numPr>
        <w:ind w:left="850" w:hanging="850"/>
        <w:rPr>
          <w:noProof/>
        </w:rPr>
      </w:pPr>
      <w:r>
        <w:rPr>
          <w:noProof/>
        </w:rPr>
        <w:t>N. 5. MISIJAS 3. KOMPONENTS: Īpaši pasākumi teritoriālajai kohēzijai</w:t>
      </w:r>
    </w:p>
    <w:p w14:paraId="5433FD1F" w14:textId="168CD809" w:rsidR="00C972CB" w:rsidRDefault="002457F6">
      <w:pPr>
        <w:tabs>
          <w:tab w:val="left" w:pos="1134"/>
        </w:tabs>
        <w:spacing w:before="120" w:after="120"/>
        <w:jc w:val="both"/>
        <w:rPr>
          <w:rFonts w:eastAsia="Calibri"/>
          <w:noProof/>
        </w:rPr>
      </w:pPr>
      <w:r>
        <w:rPr>
          <w:noProof/>
        </w:rPr>
        <w:t>Šis atveseļošanas un noturības plāna komponents ietver divas intervences jomas: I) Iekšējo, perifēro un kalnu apgabalu noturības plāns; II) Dienvidu attīstības projekti, tostarp ieguldījumi izglītības nabadzības novēršanai, lauku aptieku kā vietējo veselīb</w:t>
      </w:r>
      <w:r>
        <w:rPr>
          <w:noProof/>
        </w:rPr>
        <w:t>as aprūpes pakalpojumu konsolidēšanai, organizētās noziedzības rezultātā konfiscēto līdzekļu palielināšanai un ieguldījumiem infrastruktūrā speciālajās ekonomiskajās zonās.  Šo pasākumu mērķis ir novērst teritoriālo plaisu trīs jomās: demogrāfija un pakalp</w:t>
      </w:r>
      <w:r>
        <w:rPr>
          <w:noProof/>
        </w:rPr>
        <w:t xml:space="preserve">ojumi; prasmju attīstība; investīcijas. </w:t>
      </w:r>
    </w:p>
    <w:p w14:paraId="69826267" w14:textId="74D9C93D" w:rsidR="00C972CB" w:rsidRDefault="002457F6">
      <w:pPr>
        <w:tabs>
          <w:tab w:val="left" w:pos="1134"/>
        </w:tabs>
        <w:spacing w:before="120" w:after="120"/>
        <w:jc w:val="both"/>
        <w:rPr>
          <w:rFonts w:eastAsia="Calibri"/>
          <w:noProof/>
        </w:rPr>
      </w:pPr>
      <w:r>
        <w:rPr>
          <w:noProof/>
        </w:rPr>
        <w:t>Investīcijas un reformas saskaņā ar šo komponentu palīdz īstenot Itālijai 2019. un 2020. gadā adresētos konkrētai valstij adresētos ieteikumus par nepieciešamību “ar investīcijām saistīto ekonomikas politiku koncent</w:t>
      </w:r>
      <w:r>
        <w:rPr>
          <w:noProof/>
        </w:rPr>
        <w:t xml:space="preserve">rēt uz pētniecību un inovāciju un par infrastruktūras kvalitāti, ņemot vērā reģionālās atšķirības” (konkrētai valstij adresētais ieteikums 2019.3); </w:t>
      </w:r>
      <w:r>
        <w:rPr>
          <w:rStyle w:val="normaltextrun"/>
          <w:rFonts w:hAnsi="Calibri"/>
          <w:noProof/>
          <w:shd w:val="clear" w:color="auto" w:fill="FFFFFF"/>
        </w:rPr>
        <w:t>“</w:t>
      </w:r>
      <w:r>
        <w:rPr>
          <w:rStyle w:val="normaltextrun"/>
          <w:rFonts w:hAnsi="Calibri"/>
          <w:noProof/>
          <w:shd w:val="clear" w:color="auto" w:fill="FFFFFF"/>
        </w:rPr>
        <w:t>uzlabot izgl</w:t>
      </w:r>
      <w:r>
        <w:rPr>
          <w:rStyle w:val="normaltextrun"/>
          <w:rFonts w:hAnsi="Calibri"/>
          <w:noProof/>
          <w:shd w:val="clear" w:color="auto" w:fill="FFFFFF"/>
        </w:rPr>
        <w:t>ī</w:t>
      </w:r>
      <w:r>
        <w:rPr>
          <w:rStyle w:val="normaltextrun"/>
          <w:rFonts w:hAnsi="Calibri"/>
          <w:noProof/>
          <w:shd w:val="clear" w:color="auto" w:fill="FFFFFF"/>
        </w:rPr>
        <w:t>t</w:t>
      </w:r>
      <w:r>
        <w:rPr>
          <w:rStyle w:val="normaltextrun"/>
          <w:rFonts w:hAnsi="Calibri"/>
          <w:noProof/>
          <w:shd w:val="clear" w:color="auto" w:fill="FFFFFF"/>
        </w:rPr>
        <w:t>ī</w:t>
      </w:r>
      <w:r>
        <w:rPr>
          <w:rStyle w:val="normaltextrun"/>
          <w:rFonts w:hAnsi="Calibri"/>
          <w:noProof/>
          <w:shd w:val="clear" w:color="auto" w:fill="FFFFFF"/>
        </w:rPr>
        <w:t>bas rezult</w:t>
      </w:r>
      <w:r>
        <w:rPr>
          <w:rStyle w:val="normaltextrun"/>
          <w:rFonts w:hAnsi="Calibri"/>
          <w:noProof/>
          <w:shd w:val="clear" w:color="auto" w:fill="FFFFFF"/>
        </w:rPr>
        <w:t>ā</w:t>
      </w:r>
      <w:r>
        <w:rPr>
          <w:rStyle w:val="normaltextrun"/>
          <w:rFonts w:hAnsi="Calibri"/>
          <w:noProof/>
          <w:shd w:val="clear" w:color="auto" w:fill="FFFFFF"/>
        </w:rPr>
        <w:t>tus</w:t>
      </w:r>
      <w:r>
        <w:rPr>
          <w:rStyle w:val="normaltextrun"/>
          <w:rFonts w:hAnsi="Calibri"/>
          <w:noProof/>
          <w:shd w:val="clear" w:color="auto" w:fill="FFFFFF"/>
        </w:rPr>
        <w:t>”</w:t>
      </w:r>
      <w:r>
        <w:rPr>
          <w:rStyle w:val="normaltextrun"/>
          <w:rFonts w:hAnsi="Calibri"/>
          <w:noProof/>
          <w:shd w:val="clear" w:color="auto" w:fill="FFFFFF"/>
        </w:rPr>
        <w:t xml:space="preserve"> (konkr</w:t>
      </w:r>
      <w:r>
        <w:rPr>
          <w:rStyle w:val="normaltextrun"/>
          <w:rFonts w:hAnsi="Calibri"/>
          <w:noProof/>
          <w:shd w:val="clear" w:color="auto" w:fill="FFFFFF"/>
        </w:rPr>
        <w:t>ē</w:t>
      </w:r>
      <w:r>
        <w:rPr>
          <w:rStyle w:val="normaltextrun"/>
          <w:rFonts w:hAnsi="Calibri"/>
          <w:noProof/>
          <w:shd w:val="clear" w:color="auto" w:fill="FFFFFF"/>
        </w:rPr>
        <w:t>tai valstij adres</w:t>
      </w:r>
      <w:r>
        <w:rPr>
          <w:rStyle w:val="normaltextrun"/>
          <w:rFonts w:hAnsi="Calibri"/>
          <w:noProof/>
          <w:shd w:val="clear" w:color="auto" w:fill="FFFFFF"/>
        </w:rPr>
        <w:t>ē</w:t>
      </w:r>
      <w:r>
        <w:rPr>
          <w:rStyle w:val="normaltextrun"/>
          <w:rFonts w:hAnsi="Calibri"/>
          <w:noProof/>
          <w:shd w:val="clear" w:color="auto" w:fill="FFFFFF"/>
        </w:rPr>
        <w:t>tais ieteikums 2019.2);</w:t>
      </w:r>
      <w:r>
        <w:rPr>
          <w:rStyle w:val="normaltextrun"/>
          <w:rFonts w:hAnsi="Calibri"/>
          <w:noProof/>
          <w:shd w:val="clear" w:color="auto" w:fill="FFFFFF"/>
        </w:rPr>
        <w:t> “</w:t>
      </w:r>
      <w:r>
        <w:rPr>
          <w:rStyle w:val="normaltextrun"/>
          <w:rFonts w:hAnsi="Calibri"/>
          <w:noProof/>
          <w:shd w:val="clear" w:color="auto" w:fill="FFFFFF"/>
        </w:rPr>
        <w:t>Stiprin</w:t>
      </w:r>
      <w:r>
        <w:rPr>
          <w:rStyle w:val="normaltextrun"/>
          <w:rFonts w:hAnsi="Calibri"/>
          <w:noProof/>
          <w:shd w:val="clear" w:color="auto" w:fill="FFFFFF"/>
        </w:rPr>
        <w:t>ā</w:t>
      </w:r>
      <w:r>
        <w:rPr>
          <w:rStyle w:val="normaltextrun"/>
          <w:rFonts w:hAnsi="Calibri"/>
          <w:noProof/>
          <w:shd w:val="clear" w:color="auto" w:fill="FFFFFF"/>
        </w:rPr>
        <w:t>t vesel</w:t>
      </w:r>
      <w:r>
        <w:rPr>
          <w:rStyle w:val="normaltextrun"/>
          <w:rFonts w:hAnsi="Calibri"/>
          <w:noProof/>
          <w:shd w:val="clear" w:color="auto" w:fill="FFFFFF"/>
        </w:rPr>
        <w:t>ī</w:t>
      </w:r>
      <w:r>
        <w:rPr>
          <w:rStyle w:val="normaltextrun"/>
          <w:rFonts w:hAnsi="Calibri"/>
          <w:noProof/>
          <w:shd w:val="clear" w:color="auto" w:fill="FFFFFF"/>
        </w:rPr>
        <w:t>bas apr</w:t>
      </w:r>
      <w:r>
        <w:rPr>
          <w:rStyle w:val="normaltextrun"/>
          <w:rFonts w:hAnsi="Calibri"/>
          <w:noProof/>
          <w:shd w:val="clear" w:color="auto" w:fill="FFFFFF"/>
        </w:rPr>
        <w:t>ū</w:t>
      </w:r>
      <w:r>
        <w:rPr>
          <w:rStyle w:val="normaltextrun"/>
          <w:rFonts w:hAnsi="Calibri"/>
          <w:noProof/>
          <w:shd w:val="clear" w:color="auto" w:fill="FFFFFF"/>
        </w:rPr>
        <w:t>pe</w:t>
      </w:r>
      <w:r>
        <w:rPr>
          <w:rStyle w:val="normaltextrun"/>
          <w:rFonts w:hAnsi="Calibri"/>
          <w:noProof/>
          <w:shd w:val="clear" w:color="auto" w:fill="FFFFFF"/>
        </w:rPr>
        <w:t>s sist</w:t>
      </w:r>
      <w:r>
        <w:rPr>
          <w:rStyle w:val="normaltextrun"/>
          <w:rFonts w:hAnsi="Calibri"/>
          <w:noProof/>
          <w:shd w:val="clear" w:color="auto" w:fill="FFFFFF"/>
        </w:rPr>
        <w:t>ē</w:t>
      </w:r>
      <w:r>
        <w:rPr>
          <w:rStyle w:val="normaltextrun"/>
          <w:rFonts w:hAnsi="Calibri"/>
          <w:noProof/>
          <w:shd w:val="clear" w:color="auto" w:fill="FFFFFF"/>
        </w:rPr>
        <w:t>mas notur</w:t>
      </w:r>
      <w:r>
        <w:rPr>
          <w:rStyle w:val="normaltextrun"/>
          <w:rFonts w:hAnsi="Calibri"/>
          <w:noProof/>
          <w:shd w:val="clear" w:color="auto" w:fill="FFFFFF"/>
        </w:rPr>
        <w:t>ī</w:t>
      </w:r>
      <w:r>
        <w:rPr>
          <w:rStyle w:val="normaltextrun"/>
          <w:rFonts w:hAnsi="Calibri"/>
          <w:noProof/>
          <w:shd w:val="clear" w:color="auto" w:fill="FFFFFF"/>
        </w:rPr>
        <w:t>bu un kapacit</w:t>
      </w:r>
      <w:r>
        <w:rPr>
          <w:rStyle w:val="normaltextrun"/>
          <w:rFonts w:hAnsi="Calibri"/>
          <w:noProof/>
          <w:shd w:val="clear" w:color="auto" w:fill="FFFFFF"/>
        </w:rPr>
        <w:t>ā</w:t>
      </w:r>
      <w:r>
        <w:rPr>
          <w:rStyle w:val="normaltextrun"/>
          <w:rFonts w:hAnsi="Calibri"/>
          <w:noProof/>
          <w:shd w:val="clear" w:color="auto" w:fill="FFFFFF"/>
        </w:rPr>
        <w:t>ti (</w:t>
      </w:r>
      <w:r>
        <w:rPr>
          <w:rStyle w:val="normaltextrun"/>
          <w:rFonts w:ascii="Calibri" w:hAnsi="Calibri"/>
          <w:noProof/>
          <w:shd w:val="clear" w:color="auto" w:fill="FFFFFF"/>
        </w:rPr>
        <w:t>..)” (</w:t>
      </w:r>
      <w:r>
        <w:rPr>
          <w:rStyle w:val="normaltextrun"/>
          <w:noProof/>
          <w:shd w:val="clear" w:color="auto" w:fill="FFFFFF"/>
        </w:rPr>
        <w:t>konkrētai valstij adresētais ieteikums 2020.1)</w:t>
      </w:r>
      <w:r>
        <w:rPr>
          <w:rStyle w:val="normaltextrun"/>
          <w:rFonts w:ascii="Calibri" w:hAnsi="Calibri"/>
          <w:noProof/>
          <w:shd w:val="clear" w:color="auto" w:fill="FFFFFF"/>
        </w:rPr>
        <w:t>; </w:t>
      </w:r>
      <w:r>
        <w:rPr>
          <w:rStyle w:val="normaltextrun"/>
          <w:noProof/>
          <w:shd w:val="clear" w:color="auto" w:fill="FFFFFF"/>
        </w:rPr>
        <w:t>“nodrošināt adekvātu [...] un piekļuvi sociālajai aizsardzībai” (konkrētai valstij adresētais ieteikums 2020.2)</w:t>
      </w:r>
      <w:r>
        <w:rPr>
          <w:rStyle w:val="normaltextrun"/>
          <w:rFonts w:ascii="Calibri" w:hAnsi="Calibri"/>
          <w:noProof/>
          <w:shd w:val="clear" w:color="auto" w:fill="FFFFFF"/>
        </w:rPr>
        <w:t xml:space="preserve">. </w:t>
      </w:r>
    </w:p>
    <w:p w14:paraId="4A0608F2" w14:textId="77777777" w:rsidR="00C972CB" w:rsidRDefault="00C972CB">
      <w:pPr>
        <w:spacing w:before="120" w:after="120"/>
        <w:jc w:val="both"/>
        <w:rPr>
          <w:noProof/>
        </w:rPr>
      </w:pPr>
    </w:p>
    <w:p w14:paraId="64920B98"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N.1. </w:t>
      </w:r>
      <w:r>
        <w:rPr>
          <w:noProof/>
        </w:rPr>
        <w:tab/>
      </w:r>
      <w:r>
        <w:rPr>
          <w:b/>
          <w:i w:val="0"/>
          <w:noProof/>
          <w:u w:val="single"/>
        </w:rPr>
        <w:t>Neatmaksājamam finansiālajam atbalstam pieteik</w:t>
      </w:r>
      <w:r>
        <w:rPr>
          <w:b/>
          <w:i w:val="0"/>
          <w:noProof/>
          <w:u w:val="single"/>
        </w:rPr>
        <w:t>to reformu un investīciju apraksts</w:t>
      </w:r>
    </w:p>
    <w:p w14:paraId="442DD1E1" w14:textId="77777777" w:rsidR="00C972CB" w:rsidRDefault="002457F6">
      <w:pPr>
        <w:pStyle w:val="P68B1DB1-Normal2"/>
        <w:spacing w:before="120" w:after="120"/>
        <w:jc w:val="both"/>
        <w:rPr>
          <w:noProof/>
        </w:rPr>
      </w:pPr>
      <w:r>
        <w:rPr>
          <w:noProof/>
        </w:rPr>
        <w:t>Ieguldījums 1. Iekšējie apgabali — 1. Sabiedrisko pakalpojumu un infrastruktūru uzlabošana</w:t>
      </w:r>
    </w:p>
    <w:p w14:paraId="2CD99030" w14:textId="77777777" w:rsidR="00C972CB" w:rsidRDefault="002457F6">
      <w:pPr>
        <w:spacing w:before="120" w:after="120"/>
        <w:jc w:val="both"/>
        <w:rPr>
          <w:noProof/>
        </w:rPr>
      </w:pPr>
      <w:r>
        <w:rPr>
          <w:noProof/>
        </w:rPr>
        <w:t>Intervences mērķis ir risināt sociālās atstumtības un marginalizācijas jautājumus, pastiprinot pakalpojumu sniegšanu, palielinot l</w:t>
      </w:r>
      <w:r>
        <w:rPr>
          <w:noProof/>
        </w:rPr>
        <w:t>īdzekļus pašvaldību sniegtajiem sabiedriskajiem pakalpojumiem (īstenošanas mehānisms ietver dotāciju piešķiršanu pašvaldībām). Finansētie projekti var attiekties uz: veco ļaužu aprūpes pakalpojumi mājās; kopienas medmāsas un vecmātes; mazo slimnīcu (to, ku</w:t>
      </w:r>
      <w:r>
        <w:rPr>
          <w:noProof/>
        </w:rPr>
        <w:t>rām nav pirmās palīdzības) vai dažu pamatpakalpojumu (t. i., radioloģijas, kardioloģijas, ginekoloģijas) un ambulatoro centru stiprināšana; infrastruktūra helikoptera glābšanai; invalīdu centru stiprināšana; konsultāciju centri, kultūras pakalpojumi, sport</w:t>
      </w:r>
      <w:r>
        <w:rPr>
          <w:noProof/>
        </w:rPr>
        <w:t xml:space="preserve">a pakalpojumi un migrantu uzņemšana. Intervence paredz vai nu jaunu pakalpojumu un infrastruktūru izveidi, vai esošo pakalpojumu un infrastruktūru uzlabošanu, palielinot saņēmēju skaitu vai piegādes kvalitāti. </w:t>
      </w:r>
    </w:p>
    <w:p w14:paraId="317D470C" w14:textId="77777777" w:rsidR="00C972CB" w:rsidRDefault="002457F6">
      <w:pPr>
        <w:spacing w:before="120" w:after="120"/>
        <w:jc w:val="both"/>
        <w:rPr>
          <w:noProof/>
        </w:rPr>
      </w:pPr>
      <w:r>
        <w:rPr>
          <w:noProof/>
        </w:rPr>
        <w:t>Lai nodrošinātu, ka pasākums atbilst Tehniska</w:t>
      </w:r>
      <w:r>
        <w:rPr>
          <w:noProof/>
        </w:rPr>
        <w:t>jām vadlīnijām “Nenodari būtisku kaitējumu” (2021/C58/01), atbilstības kritērijos, kas ietverti darba uzdevumā turpmākajiem uzaicinājumiem iesniegt projektus, izslēdz šādu darbību sarakstu:</w:t>
      </w:r>
      <w:r>
        <w:rPr>
          <w:noProof/>
          <w:color w:val="FF0000"/>
        </w:rPr>
        <w:t xml:space="preserve"> darbības</w:t>
      </w:r>
      <w:r>
        <w:rPr>
          <w:noProof/>
        </w:rPr>
        <w:t>, kas saistītas ar fosilajiem kurināmajiem, tostarp pakārt</w:t>
      </w:r>
      <w:r>
        <w:rPr>
          <w:noProof/>
        </w:rPr>
        <w:t>ota izmantošana</w:t>
      </w:r>
      <w:r>
        <w:rPr>
          <w:rStyle w:val="FootnoteReference"/>
          <w:noProof/>
        </w:rPr>
        <w:footnoteReference w:id="115"/>
      </w:r>
      <w:r>
        <w:rPr>
          <w:noProof/>
        </w:rPr>
        <w:t>; darbības ES emisijas kvotu tirdzniecības sistēmas (ETS) ietvaros, lai sasniegtu prognozētās siltumnīcefekta gāzu emisijas, kas nav zemākas par attiecīgajām līmeņatzīmēm</w:t>
      </w:r>
      <w:r>
        <w:rPr>
          <w:rStyle w:val="FootnoteReference"/>
          <w:noProof/>
        </w:rPr>
        <w:footnoteReference w:id="116"/>
      </w:r>
      <w:r>
        <w:rPr>
          <w:noProof/>
        </w:rPr>
        <w:t>; III) darbības, kas saistītas ar atkritumu poligoniem, atkritumu sad</w:t>
      </w:r>
      <w:r>
        <w:rPr>
          <w:noProof/>
        </w:rPr>
        <w:t>edzināšanas iekārtām</w:t>
      </w:r>
      <w:r>
        <w:rPr>
          <w:rStyle w:val="FootnoteReference"/>
          <w:noProof/>
        </w:rPr>
        <w:footnoteReference w:id="117"/>
      </w:r>
      <w:r>
        <w:rPr>
          <w:noProof/>
        </w:rPr>
        <w:t xml:space="preserve"> un mehāniski bioloģiskās apstrādes iekārtām</w:t>
      </w:r>
      <w:r>
        <w:rPr>
          <w:rStyle w:val="FootnoteReference"/>
          <w:noProof/>
        </w:rPr>
        <w:footnoteReference w:id="118"/>
      </w:r>
      <w:r>
        <w:rPr>
          <w:noProof/>
        </w:rPr>
        <w:t>; un iv) darbības, kurās atkritumu ilgtermiņa apglabāšana var radīt kaitējumu videi. Darba uzdevumā papildus nosaka, ka var atlasīt tikai tās darbības, kas atbilst attiecīgajiem ES un valsts</w:t>
      </w:r>
      <w:r>
        <w:rPr>
          <w:noProof/>
        </w:rPr>
        <w:t xml:space="preserve"> tiesību aktiem vides jomā.</w:t>
      </w:r>
    </w:p>
    <w:p w14:paraId="689D069D" w14:textId="77777777" w:rsidR="00C972CB" w:rsidRDefault="00C972CB">
      <w:pPr>
        <w:spacing w:before="120" w:after="120"/>
        <w:jc w:val="both"/>
        <w:rPr>
          <w:b/>
          <w:noProof/>
        </w:rPr>
      </w:pPr>
    </w:p>
    <w:p w14:paraId="6C59F423" w14:textId="5E9931A9" w:rsidR="00C972CB" w:rsidRDefault="002457F6">
      <w:pPr>
        <w:pStyle w:val="P68B1DB1-Normal2"/>
        <w:spacing w:before="120" w:after="120"/>
        <w:jc w:val="both"/>
        <w:rPr>
          <w:noProof/>
        </w:rPr>
      </w:pPr>
      <w:r>
        <w:rPr>
          <w:noProof/>
        </w:rPr>
        <w:t xml:space="preserve">Ieguldījums Nr. 2: Teritoriālās tuvuma veselības aprūpes iestādes </w:t>
      </w:r>
    </w:p>
    <w:p w14:paraId="51F7E53D" w14:textId="77777777" w:rsidR="00C972CB" w:rsidRDefault="002457F6">
      <w:pPr>
        <w:spacing w:before="120" w:after="120"/>
        <w:jc w:val="both"/>
        <w:rPr>
          <w:noProof/>
        </w:rPr>
      </w:pPr>
      <w:r>
        <w:rPr>
          <w:noProof/>
        </w:rPr>
        <w:t>Intervences mērķis ir nostiprināt lauku aptiekas kā vietējos veselības aprūpes pakalpojumus (lauku aptiekas ir definētas, pamatojoties uz 1968. gada 27. marta L. 221. lpp.). Šis pasākums sniedz tūlītēju atbalstu lauku aptiekām, kas Covid-19 ārkārtas situāc</w:t>
      </w:r>
      <w:r>
        <w:rPr>
          <w:noProof/>
        </w:rPr>
        <w:t>ijas laikā ir bijušas būtisks atskaites punkts vietējiem iedzīvotājiem. Nostiprinot savu lomu veselības aprūpes iestāžu nodrošināšanā, aptiekas arī turpmāk var būt galvenais sabiedrības dzīves elements, nodrošinot pēc iespējas tuvāku veselības aprūpi iedzī</w:t>
      </w:r>
      <w:r>
        <w:rPr>
          <w:noProof/>
        </w:rPr>
        <w:t>votājiem. Konkrētāk, paredzams, ka šīs aptiekas nostiprinās savu lomu: dalība integrētajā mājas palīdzības dienestā; II) sniedz otrā līmeņa pakalpojumus saskaņā ar diagnostiskajiem terapeitiskajiem ceļiem, kas paredzēti konkrētām patoloģijām; (III) tādu zā</w:t>
      </w:r>
      <w:r>
        <w:rPr>
          <w:noProof/>
        </w:rPr>
        <w:t xml:space="preserve">ļu izsniegšana, kuras pacients tagad ir spiests savākt slimnīcā; pacienta uzraudzība, izmantojot elektronisko veselības karti un farmaceitisko dokumentāciju. </w:t>
      </w:r>
    </w:p>
    <w:p w14:paraId="5CA2F3A7" w14:textId="77777777" w:rsidR="00C972CB" w:rsidRDefault="00C972CB">
      <w:pPr>
        <w:spacing w:before="120" w:after="120"/>
        <w:jc w:val="both"/>
        <w:rPr>
          <w:b/>
          <w:noProof/>
        </w:rPr>
      </w:pPr>
    </w:p>
    <w:p w14:paraId="241455B0" w14:textId="77777777" w:rsidR="00C972CB" w:rsidRDefault="002457F6">
      <w:pPr>
        <w:pStyle w:val="P68B1DB1-Normal2"/>
        <w:spacing w:before="120" w:after="120"/>
        <w:jc w:val="both"/>
        <w:rPr>
          <w:noProof/>
        </w:rPr>
      </w:pPr>
      <w:r>
        <w:rPr>
          <w:noProof/>
        </w:rPr>
        <w:t xml:space="preserve">Ieguldījums 3: Strukturēti sociālizglītības pasākumi cīņai pret izglītības nabadzību dienvidos, </w:t>
      </w:r>
      <w:r>
        <w:rPr>
          <w:noProof/>
        </w:rPr>
        <w:t>atbalstot trešo sektoru</w:t>
      </w:r>
    </w:p>
    <w:p w14:paraId="3B2810D0" w14:textId="77777777" w:rsidR="00C972CB" w:rsidRDefault="002457F6">
      <w:pPr>
        <w:spacing w:before="120" w:after="120"/>
        <w:jc w:val="both"/>
        <w:rPr>
          <w:noProof/>
        </w:rPr>
      </w:pPr>
      <w:r>
        <w:rPr>
          <w:noProof/>
        </w:rPr>
        <w:t>Pasākuma mērķis ir veicināt trešo sektoru dienvidu reģionos (Abruco, Bazilikatā, Kampānijā, Kalabrijā, Molizē, Apūlijā, Sardīnijā un Sicīlijā) un sniegt sociāli izglītojošus pakalpojumus nepilngadīgajiem saistībā ar Eiropas kohēzija</w:t>
      </w:r>
      <w:r>
        <w:rPr>
          <w:noProof/>
        </w:rPr>
        <w:t xml:space="preserve">s politikas 2021.–2027. gada plānošanas perioda partnerības nolīguma noteikumiem. </w:t>
      </w:r>
    </w:p>
    <w:p w14:paraId="0B19DE2C" w14:textId="77777777" w:rsidR="00C972CB" w:rsidRDefault="002457F6">
      <w:pPr>
        <w:spacing w:before="120" w:after="120"/>
        <w:jc w:val="both"/>
        <w:rPr>
          <w:noProof/>
        </w:rPr>
      </w:pPr>
      <w:r>
        <w:rPr>
          <w:noProof/>
        </w:rPr>
        <w:t>Paredzams, ka sociālizglītības pasākumi, kuru mērķis ir apkarot izglītības nabadzību un atbalstīt trešo nozari, notiks vienā no šādām jomām:</w:t>
      </w:r>
    </w:p>
    <w:p w14:paraId="7A6CF2F5" w14:textId="77777777" w:rsidR="00C972CB" w:rsidRDefault="002457F6">
      <w:pPr>
        <w:pStyle w:val="ListParagraph"/>
        <w:numPr>
          <w:ilvl w:val="0"/>
          <w:numId w:val="48"/>
        </w:numPr>
        <w:ind w:left="360"/>
        <w:rPr>
          <w:noProof/>
        </w:rPr>
      </w:pPr>
      <w:r>
        <w:rPr>
          <w:noProof/>
        </w:rPr>
        <w:t xml:space="preserve"> Intervences pasākumi bērniem ve</w:t>
      </w:r>
      <w:r>
        <w:rPr>
          <w:noProof/>
        </w:rPr>
        <w:t>cumā no nulles līdz sešiem gadiem, kuru mērķis ir stiprināt bērnudārzu un bērnudārzu pieejamības nosacījumus un atbalstīt vecāku stāvokli;</w:t>
      </w:r>
    </w:p>
    <w:p w14:paraId="40B18AF4" w14:textId="77777777" w:rsidR="00C972CB" w:rsidRDefault="002457F6">
      <w:pPr>
        <w:pStyle w:val="ListParagraph"/>
        <w:numPr>
          <w:ilvl w:val="0"/>
          <w:numId w:val="48"/>
        </w:numPr>
        <w:ind w:left="360"/>
        <w:rPr>
          <w:noProof/>
        </w:rPr>
      </w:pPr>
      <w:r>
        <w:rPr>
          <w:noProof/>
        </w:rPr>
        <w:t>Pasākumi bērniem vecumā no pieciem līdz desmit gadiem, kuru mērķis ir nodrošināt efektīvas izglītības iespējas un pri</w:t>
      </w:r>
      <w:r>
        <w:rPr>
          <w:noProof/>
        </w:rPr>
        <w:t xml:space="preserve">ekšlaicīgi novērst mācību pārtraukšanu, iebiedēšanu un citas briesmas; </w:t>
      </w:r>
    </w:p>
    <w:p w14:paraId="762C867B" w14:textId="77777777" w:rsidR="00C972CB" w:rsidRDefault="002457F6">
      <w:pPr>
        <w:pStyle w:val="ListParagraph"/>
        <w:numPr>
          <w:ilvl w:val="0"/>
          <w:numId w:val="48"/>
        </w:numPr>
        <w:ind w:left="360"/>
        <w:rPr>
          <w:noProof/>
        </w:rPr>
      </w:pPr>
      <w:r>
        <w:rPr>
          <w:noProof/>
        </w:rPr>
        <w:t>Pasākumi 11–17 gadus veciem bērniem, kuru mērķis ir uzlabot izglītības piedāvājumu un novērst priekšlaicīgu mācību pārtraukšanu.</w:t>
      </w:r>
    </w:p>
    <w:p w14:paraId="253026B4" w14:textId="77777777" w:rsidR="00C972CB" w:rsidRDefault="002457F6">
      <w:pPr>
        <w:spacing w:before="120" w:after="120"/>
        <w:jc w:val="both"/>
        <w:rPr>
          <w:noProof/>
        </w:rPr>
      </w:pPr>
      <w:r>
        <w:rPr>
          <w:noProof/>
        </w:rPr>
        <w:t xml:space="preserve">Intervences nodrošina šādus piedāvājuma galvenos </w:t>
      </w:r>
      <w:r>
        <w:rPr>
          <w:noProof/>
        </w:rPr>
        <w:t>elementus:</w:t>
      </w:r>
    </w:p>
    <w:p w14:paraId="43499158" w14:textId="71CE32F1" w:rsidR="00C972CB" w:rsidRDefault="002457F6">
      <w:pPr>
        <w:pStyle w:val="ListParagraph"/>
        <w:numPr>
          <w:ilvl w:val="0"/>
          <w:numId w:val="48"/>
        </w:numPr>
        <w:ind w:left="360"/>
        <w:rPr>
          <w:noProof/>
        </w:rPr>
      </w:pPr>
      <w:r>
        <w:rPr>
          <w:noProof/>
        </w:rPr>
        <w:t>Publisko paziņojumu summa ir vismaz EUR</w:t>
      </w:r>
      <w:r>
        <w:rPr>
          <w:rFonts w:ascii="Arial Narrow" w:hAnsi="Arial Narrow"/>
          <w:noProof/>
          <w:color w:val="006100"/>
          <w:sz w:val="20"/>
        </w:rPr>
        <w:t xml:space="preserve">  </w:t>
      </w:r>
      <w:r>
        <w:rPr>
          <w:noProof/>
        </w:rPr>
        <w:t xml:space="preserve">50000000. </w:t>
      </w:r>
    </w:p>
    <w:p w14:paraId="06EF2195" w14:textId="6B480491" w:rsidR="00C972CB" w:rsidRDefault="002457F6">
      <w:pPr>
        <w:pStyle w:val="ListParagraph"/>
        <w:numPr>
          <w:ilvl w:val="0"/>
          <w:numId w:val="48"/>
        </w:numPr>
        <w:ind w:left="360"/>
        <w:rPr>
          <w:noProof/>
        </w:rPr>
      </w:pPr>
      <w:r>
        <w:rPr>
          <w:noProof/>
        </w:rPr>
        <w:t>Trešā sektora sabiedrību projektu ilgums ir vismaz viens gads, bet ne vairāk kā divi gadi.</w:t>
      </w:r>
    </w:p>
    <w:p w14:paraId="7E6BFC23" w14:textId="6598CAE8" w:rsidR="00C972CB" w:rsidRDefault="00C972CB">
      <w:pPr>
        <w:rPr>
          <w:noProof/>
        </w:rPr>
      </w:pPr>
    </w:p>
    <w:p w14:paraId="730C9644" w14:textId="2FC46B26" w:rsidR="00C972CB" w:rsidRDefault="00C972CB">
      <w:pPr>
        <w:rPr>
          <w:noProof/>
        </w:rPr>
      </w:pPr>
    </w:p>
    <w:p w14:paraId="7F003281" w14:textId="77777777" w:rsidR="00C972CB" w:rsidRDefault="002457F6">
      <w:pPr>
        <w:pStyle w:val="Heading3"/>
        <w:numPr>
          <w:ilvl w:val="0"/>
          <w:numId w:val="0"/>
        </w:numPr>
        <w:ind w:left="850" w:hanging="850"/>
        <w:rPr>
          <w:b/>
          <w:i w:val="0"/>
          <w:noProof/>
        </w:rPr>
      </w:pPr>
      <w:r>
        <w:rPr>
          <w:b/>
          <w:i w:val="0"/>
          <w:noProof/>
        </w:rPr>
        <w:t xml:space="preserve">N.2. </w:t>
      </w:r>
      <w:r>
        <w:rPr>
          <w:noProof/>
        </w:rPr>
        <w:tab/>
      </w:r>
      <w:r>
        <w:rPr>
          <w:b/>
          <w:i w:val="0"/>
          <w:noProof/>
        </w:rPr>
        <w:t>Atskaites punkti, mērķrādītāji, citi rādītāji un neatmaksājamā finansiālā atbalsta uzraudzības</w:t>
      </w:r>
      <w:r>
        <w:rPr>
          <w:b/>
          <w:i w:val="0"/>
          <w:noProof/>
        </w:rPr>
        <w:t xml:space="preserve"> un īstenošanas grafiks</w:t>
      </w:r>
    </w:p>
    <w:p w14:paraId="459E8E5A" w14:textId="77777777" w:rsidR="00C972CB" w:rsidRDefault="00C972CB">
      <w:pPr>
        <w:spacing w:before="120" w:after="120"/>
        <w:ind w:left="709"/>
        <w:jc w:val="both"/>
        <w:rPr>
          <w:noProof/>
        </w:rPr>
        <w:sectPr w:rsidR="00C972CB">
          <w:headerReference w:type="even" r:id="rId326"/>
          <w:headerReference w:type="default" r:id="rId327"/>
          <w:footerReference w:type="even" r:id="rId328"/>
          <w:footerReference w:type="default" r:id="rId329"/>
          <w:headerReference w:type="first" r:id="rId330"/>
          <w:footerReference w:type="first" r:id="rId331"/>
          <w:pgSz w:w="11907" w:h="16839"/>
          <w:pgMar w:top="1440" w:right="1440" w:bottom="1440" w:left="1440" w:header="567" w:footer="567" w:gutter="0"/>
          <w:cols w:space="720"/>
          <w:docGrid w:linePitch="360"/>
        </w:sectPr>
      </w:pPr>
    </w:p>
    <w:tbl>
      <w:tblPr>
        <w:tblW w:w="157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772"/>
        <w:gridCol w:w="1775"/>
        <w:gridCol w:w="1559"/>
        <w:gridCol w:w="1560"/>
        <w:gridCol w:w="1201"/>
        <w:gridCol w:w="1420"/>
        <w:gridCol w:w="1201"/>
        <w:gridCol w:w="1027"/>
        <w:gridCol w:w="812"/>
        <w:gridCol w:w="3271"/>
      </w:tblGrid>
      <w:tr w:rsidR="00C972CB" w14:paraId="751CCF10" w14:textId="77777777">
        <w:trPr>
          <w:trHeight w:val="927"/>
          <w:tblHeader/>
        </w:trPr>
        <w:tc>
          <w:tcPr>
            <w:tcW w:w="1207" w:type="dxa"/>
            <w:vMerge w:val="restart"/>
            <w:shd w:val="clear" w:color="auto" w:fill="BDD7EE"/>
            <w:vAlign w:val="center"/>
            <w:hideMark/>
          </w:tcPr>
          <w:p w14:paraId="6EC7E68A" w14:textId="77777777" w:rsidR="00C972CB" w:rsidRDefault="002457F6">
            <w:pPr>
              <w:pStyle w:val="P68B1DB1-Normal9"/>
              <w:jc w:val="center"/>
              <w:rPr>
                <w:noProof/>
              </w:rPr>
            </w:pPr>
            <w:r>
              <w:rPr>
                <w:noProof/>
              </w:rPr>
              <w:t>Kārtas numurs</w:t>
            </w:r>
          </w:p>
        </w:tc>
        <w:tc>
          <w:tcPr>
            <w:tcW w:w="1772" w:type="dxa"/>
            <w:vMerge w:val="restart"/>
            <w:shd w:val="clear" w:color="auto" w:fill="BDD7EE"/>
            <w:vAlign w:val="center"/>
            <w:hideMark/>
          </w:tcPr>
          <w:p w14:paraId="05E41FCB" w14:textId="77777777" w:rsidR="00C972CB" w:rsidRDefault="002457F6">
            <w:pPr>
              <w:pStyle w:val="P68B1DB1-Normal9"/>
              <w:jc w:val="center"/>
              <w:rPr>
                <w:noProof/>
              </w:rPr>
            </w:pPr>
            <w:r>
              <w:rPr>
                <w:noProof/>
              </w:rPr>
              <w:t>Pasākums (reforma vai investīcija)</w:t>
            </w:r>
          </w:p>
        </w:tc>
        <w:tc>
          <w:tcPr>
            <w:tcW w:w="1412" w:type="dxa"/>
            <w:vMerge w:val="restart"/>
            <w:shd w:val="clear" w:color="auto" w:fill="BDD7EE"/>
            <w:vAlign w:val="center"/>
            <w:hideMark/>
          </w:tcPr>
          <w:p w14:paraId="1BA45257" w14:textId="77777777" w:rsidR="00C972CB" w:rsidRDefault="002457F6">
            <w:pPr>
              <w:pStyle w:val="P68B1DB1-Normal9"/>
              <w:jc w:val="center"/>
              <w:rPr>
                <w:noProof/>
              </w:rPr>
            </w:pPr>
            <w:r>
              <w:rPr>
                <w:noProof/>
              </w:rPr>
              <w:t>Atskaites punkts/mērķrādītājs</w:t>
            </w:r>
          </w:p>
        </w:tc>
        <w:tc>
          <w:tcPr>
            <w:tcW w:w="1559" w:type="dxa"/>
            <w:vMerge w:val="restart"/>
            <w:shd w:val="clear" w:color="auto" w:fill="BDD7EE"/>
            <w:vAlign w:val="center"/>
            <w:hideMark/>
          </w:tcPr>
          <w:p w14:paraId="09F791CD" w14:textId="77777777" w:rsidR="00C972CB" w:rsidRDefault="002457F6">
            <w:pPr>
              <w:pStyle w:val="P68B1DB1-Normal9"/>
              <w:jc w:val="center"/>
              <w:rPr>
                <w:noProof/>
              </w:rPr>
            </w:pPr>
            <w:r>
              <w:rPr>
                <w:noProof/>
              </w:rPr>
              <w:t>Uzvārds</w:t>
            </w:r>
          </w:p>
        </w:tc>
        <w:tc>
          <w:tcPr>
            <w:tcW w:w="1560" w:type="dxa"/>
            <w:vMerge w:val="restart"/>
            <w:shd w:val="clear" w:color="auto" w:fill="BDD7EE"/>
            <w:vAlign w:val="center"/>
            <w:hideMark/>
          </w:tcPr>
          <w:p w14:paraId="79A10FCE" w14:textId="77777777" w:rsidR="00C972CB" w:rsidRDefault="002457F6">
            <w:pPr>
              <w:pStyle w:val="P68B1DB1-Normal19"/>
              <w:jc w:val="center"/>
              <w:rPr>
                <w:b/>
                <w:noProof/>
              </w:rPr>
            </w:pPr>
            <w:r>
              <w:rPr>
                <w:b/>
                <w:noProof/>
              </w:rPr>
              <w:t>Kvalitātes rādītāji</w:t>
            </w:r>
            <w:r>
              <w:rPr>
                <w:noProof/>
              </w:rPr>
              <w:t xml:space="preserve"> </w:t>
            </w:r>
            <w:r>
              <w:rPr>
                <w:noProof/>
              </w:rPr>
              <w:br/>
            </w:r>
            <w:r>
              <w:rPr>
                <w:b/>
                <w:noProof/>
              </w:rPr>
              <w:t>(attiecībā uz starpposma mērķiem)</w:t>
            </w:r>
          </w:p>
        </w:tc>
        <w:tc>
          <w:tcPr>
            <w:tcW w:w="3260" w:type="dxa"/>
            <w:gridSpan w:val="3"/>
            <w:shd w:val="clear" w:color="auto" w:fill="BDD7EE"/>
            <w:vAlign w:val="center"/>
            <w:hideMark/>
          </w:tcPr>
          <w:p w14:paraId="32E843BA" w14:textId="77777777" w:rsidR="00C972CB" w:rsidRDefault="002457F6">
            <w:pPr>
              <w:pStyle w:val="P68B1DB1-Normal19"/>
              <w:jc w:val="center"/>
              <w:rPr>
                <w:b/>
                <w:noProof/>
              </w:rPr>
            </w:pPr>
            <w:r>
              <w:rPr>
                <w:b/>
                <w:noProof/>
              </w:rPr>
              <w:t>Kvantitatīvie rādītāji</w:t>
            </w:r>
            <w:r>
              <w:rPr>
                <w:noProof/>
              </w:rPr>
              <w:t xml:space="preserve"> </w:t>
            </w:r>
            <w:r>
              <w:rPr>
                <w:noProof/>
              </w:rPr>
              <w:br/>
            </w:r>
            <w:r>
              <w:rPr>
                <w:b/>
                <w:noProof/>
              </w:rPr>
              <w:t>(mērķiem)</w:t>
            </w:r>
          </w:p>
        </w:tc>
        <w:tc>
          <w:tcPr>
            <w:tcW w:w="1728" w:type="dxa"/>
            <w:gridSpan w:val="2"/>
            <w:shd w:val="clear" w:color="auto" w:fill="BDD7EE"/>
            <w:vAlign w:val="center"/>
            <w:hideMark/>
          </w:tcPr>
          <w:p w14:paraId="137B1402" w14:textId="77777777" w:rsidR="00C972CB" w:rsidRDefault="002457F6">
            <w:pPr>
              <w:pStyle w:val="P68B1DB1-Normal9"/>
              <w:jc w:val="center"/>
              <w:rPr>
                <w:noProof/>
              </w:rPr>
            </w:pPr>
            <w:r>
              <w:rPr>
                <w:noProof/>
              </w:rPr>
              <w:t>Orientējošs pabeigšanas termiņš</w:t>
            </w:r>
          </w:p>
        </w:tc>
        <w:tc>
          <w:tcPr>
            <w:tcW w:w="3271" w:type="dxa"/>
            <w:vMerge w:val="restart"/>
            <w:shd w:val="clear" w:color="auto" w:fill="BDD7EE"/>
            <w:vAlign w:val="center"/>
            <w:hideMark/>
          </w:tcPr>
          <w:p w14:paraId="73BB579B" w14:textId="77777777" w:rsidR="00C972CB" w:rsidRDefault="002457F6">
            <w:pPr>
              <w:pStyle w:val="P68B1DB1-Normal9"/>
              <w:jc w:val="center"/>
              <w:rPr>
                <w:noProof/>
              </w:rPr>
            </w:pPr>
            <w:r>
              <w:rPr>
                <w:noProof/>
              </w:rPr>
              <w:t>Apraksts par katru atskaites punktu un mērķrādītāju</w:t>
            </w:r>
          </w:p>
        </w:tc>
      </w:tr>
      <w:tr w:rsidR="00C972CB" w14:paraId="16AE7983" w14:textId="77777777">
        <w:trPr>
          <w:trHeight w:val="1013"/>
        </w:trPr>
        <w:tc>
          <w:tcPr>
            <w:tcW w:w="1207" w:type="dxa"/>
            <w:vMerge/>
            <w:vAlign w:val="center"/>
            <w:hideMark/>
          </w:tcPr>
          <w:p w14:paraId="6D409F75" w14:textId="77777777" w:rsidR="00C972CB" w:rsidRDefault="00C972CB">
            <w:pPr>
              <w:jc w:val="center"/>
              <w:rPr>
                <w:rFonts w:ascii="Arial Narrow" w:hAnsi="Arial Narrow"/>
                <w:b/>
                <w:noProof/>
                <w:sz w:val="20"/>
              </w:rPr>
            </w:pPr>
          </w:p>
        </w:tc>
        <w:tc>
          <w:tcPr>
            <w:tcW w:w="1772" w:type="dxa"/>
            <w:vMerge/>
            <w:vAlign w:val="center"/>
            <w:hideMark/>
          </w:tcPr>
          <w:p w14:paraId="63323513" w14:textId="77777777" w:rsidR="00C972CB" w:rsidRDefault="00C972CB">
            <w:pPr>
              <w:jc w:val="center"/>
              <w:rPr>
                <w:rFonts w:ascii="Arial Narrow" w:hAnsi="Arial Narrow"/>
                <w:b/>
                <w:noProof/>
                <w:sz w:val="20"/>
              </w:rPr>
            </w:pPr>
          </w:p>
        </w:tc>
        <w:tc>
          <w:tcPr>
            <w:tcW w:w="1412" w:type="dxa"/>
            <w:vMerge/>
            <w:vAlign w:val="center"/>
            <w:hideMark/>
          </w:tcPr>
          <w:p w14:paraId="182B178F" w14:textId="77777777" w:rsidR="00C972CB" w:rsidRDefault="00C972CB">
            <w:pPr>
              <w:jc w:val="center"/>
              <w:rPr>
                <w:rFonts w:ascii="Arial Narrow" w:hAnsi="Arial Narrow"/>
                <w:b/>
                <w:noProof/>
                <w:sz w:val="20"/>
              </w:rPr>
            </w:pPr>
          </w:p>
        </w:tc>
        <w:tc>
          <w:tcPr>
            <w:tcW w:w="1559" w:type="dxa"/>
            <w:vMerge/>
            <w:vAlign w:val="center"/>
            <w:hideMark/>
          </w:tcPr>
          <w:p w14:paraId="483393E1" w14:textId="77777777" w:rsidR="00C972CB" w:rsidRDefault="00C972CB">
            <w:pPr>
              <w:jc w:val="center"/>
              <w:rPr>
                <w:rFonts w:ascii="Arial Narrow" w:hAnsi="Arial Narrow"/>
                <w:b/>
                <w:noProof/>
                <w:sz w:val="20"/>
              </w:rPr>
            </w:pPr>
          </w:p>
        </w:tc>
        <w:tc>
          <w:tcPr>
            <w:tcW w:w="1560" w:type="dxa"/>
            <w:vMerge/>
            <w:vAlign w:val="center"/>
            <w:hideMark/>
          </w:tcPr>
          <w:p w14:paraId="7DBCEAC9" w14:textId="77777777" w:rsidR="00C972CB" w:rsidRDefault="00C972CB">
            <w:pPr>
              <w:jc w:val="center"/>
              <w:rPr>
                <w:rFonts w:ascii="Arial Narrow" w:hAnsi="Arial Narrow"/>
                <w:b/>
                <w:noProof/>
                <w:sz w:val="20"/>
              </w:rPr>
            </w:pPr>
          </w:p>
        </w:tc>
        <w:tc>
          <w:tcPr>
            <w:tcW w:w="1134" w:type="dxa"/>
            <w:shd w:val="clear" w:color="auto" w:fill="BDD7EE"/>
            <w:vAlign w:val="center"/>
            <w:hideMark/>
          </w:tcPr>
          <w:p w14:paraId="53882F3C" w14:textId="77777777" w:rsidR="00C972CB" w:rsidRDefault="002457F6">
            <w:pPr>
              <w:pStyle w:val="P68B1DB1-Normal9"/>
              <w:jc w:val="center"/>
              <w:rPr>
                <w:noProof/>
              </w:rPr>
            </w:pPr>
            <w:r>
              <w:rPr>
                <w:noProof/>
              </w:rPr>
              <w:t>Mēra vienība</w:t>
            </w:r>
          </w:p>
        </w:tc>
        <w:tc>
          <w:tcPr>
            <w:tcW w:w="1134" w:type="dxa"/>
            <w:shd w:val="clear" w:color="auto" w:fill="BDD7EE"/>
            <w:vAlign w:val="center"/>
            <w:hideMark/>
          </w:tcPr>
          <w:p w14:paraId="2A88E159" w14:textId="77777777" w:rsidR="00C972CB" w:rsidRDefault="002457F6">
            <w:pPr>
              <w:pStyle w:val="P68B1DB1-Normal9"/>
              <w:jc w:val="center"/>
              <w:rPr>
                <w:noProof/>
              </w:rPr>
            </w:pPr>
            <w:r>
              <w:rPr>
                <w:noProof/>
              </w:rPr>
              <w:t>Pamatscenārijs</w:t>
            </w:r>
          </w:p>
        </w:tc>
        <w:tc>
          <w:tcPr>
            <w:tcW w:w="992" w:type="dxa"/>
            <w:shd w:val="clear" w:color="auto" w:fill="BDD7EE"/>
            <w:vAlign w:val="center"/>
            <w:hideMark/>
          </w:tcPr>
          <w:p w14:paraId="6039D0EC" w14:textId="77777777" w:rsidR="00C972CB" w:rsidRDefault="002457F6">
            <w:pPr>
              <w:pStyle w:val="P68B1DB1-Normal9"/>
              <w:jc w:val="center"/>
              <w:rPr>
                <w:noProof/>
              </w:rPr>
            </w:pPr>
            <w:r>
              <w:rPr>
                <w:noProof/>
              </w:rPr>
              <w:t>Mērķis</w:t>
            </w:r>
          </w:p>
        </w:tc>
        <w:tc>
          <w:tcPr>
            <w:tcW w:w="916" w:type="dxa"/>
            <w:shd w:val="clear" w:color="auto" w:fill="BDD7EE"/>
            <w:vAlign w:val="center"/>
            <w:hideMark/>
          </w:tcPr>
          <w:p w14:paraId="2510D36A" w14:textId="77777777" w:rsidR="00C972CB" w:rsidRDefault="002457F6">
            <w:pPr>
              <w:pStyle w:val="P68B1DB1-Normal9"/>
              <w:jc w:val="center"/>
              <w:rPr>
                <w:noProof/>
              </w:rPr>
            </w:pPr>
            <w:r>
              <w:rPr>
                <w:noProof/>
              </w:rPr>
              <w:t>Ceturtdaļa</w:t>
            </w:r>
          </w:p>
        </w:tc>
        <w:tc>
          <w:tcPr>
            <w:tcW w:w="812" w:type="dxa"/>
            <w:shd w:val="clear" w:color="auto" w:fill="BDD7EE"/>
            <w:vAlign w:val="center"/>
            <w:hideMark/>
          </w:tcPr>
          <w:p w14:paraId="118B4FA5" w14:textId="77777777" w:rsidR="00C972CB" w:rsidRDefault="002457F6">
            <w:pPr>
              <w:pStyle w:val="P68B1DB1-Normal9"/>
              <w:jc w:val="center"/>
              <w:rPr>
                <w:noProof/>
              </w:rPr>
            </w:pPr>
            <w:r>
              <w:rPr>
                <w:noProof/>
              </w:rPr>
              <w:t>Gadā</w:t>
            </w:r>
          </w:p>
        </w:tc>
        <w:tc>
          <w:tcPr>
            <w:tcW w:w="3271" w:type="dxa"/>
            <w:vMerge/>
            <w:vAlign w:val="center"/>
            <w:hideMark/>
          </w:tcPr>
          <w:p w14:paraId="287B2105" w14:textId="77777777" w:rsidR="00C972CB" w:rsidRDefault="00C972CB">
            <w:pPr>
              <w:jc w:val="center"/>
              <w:rPr>
                <w:rFonts w:ascii="Arial Narrow" w:hAnsi="Arial Narrow"/>
                <w:b/>
                <w:noProof/>
                <w:sz w:val="20"/>
              </w:rPr>
            </w:pPr>
          </w:p>
        </w:tc>
      </w:tr>
      <w:tr w:rsidR="00C972CB" w14:paraId="2EB57450" w14:textId="77777777">
        <w:trPr>
          <w:trHeight w:val="309"/>
        </w:trPr>
        <w:tc>
          <w:tcPr>
            <w:tcW w:w="1207" w:type="dxa"/>
            <w:shd w:val="clear" w:color="auto" w:fill="C6EFCE"/>
            <w:noWrap/>
            <w:vAlign w:val="center"/>
            <w:hideMark/>
          </w:tcPr>
          <w:p w14:paraId="3E784F03" w14:textId="77777777" w:rsidR="00C972CB" w:rsidRDefault="002457F6">
            <w:pPr>
              <w:pStyle w:val="P68B1DB1-Normal11"/>
              <w:jc w:val="center"/>
              <w:rPr>
                <w:noProof/>
              </w:rPr>
            </w:pPr>
            <w:r>
              <w:rPr>
                <w:noProof/>
              </w:rPr>
              <w:t>M5C3–1</w:t>
            </w:r>
          </w:p>
        </w:tc>
        <w:tc>
          <w:tcPr>
            <w:tcW w:w="1772" w:type="dxa"/>
            <w:shd w:val="clear" w:color="auto" w:fill="C6EFCE"/>
            <w:noWrap/>
            <w:vAlign w:val="center"/>
            <w:hideMark/>
          </w:tcPr>
          <w:p w14:paraId="287BF750" w14:textId="77777777" w:rsidR="00C972CB" w:rsidRDefault="002457F6">
            <w:pPr>
              <w:pStyle w:val="P68B1DB1-Normal11"/>
              <w:jc w:val="center"/>
              <w:rPr>
                <w:noProof/>
              </w:rPr>
            </w:pPr>
            <w:r>
              <w:rPr>
                <w:noProof/>
              </w:rPr>
              <w:t>Ieguldījums 1.1.1.: Iekšējās teritorijas — kopienas sociālo pakalpojumu un infrastruktūru uzlabošana</w:t>
            </w:r>
          </w:p>
        </w:tc>
        <w:tc>
          <w:tcPr>
            <w:tcW w:w="1412" w:type="dxa"/>
            <w:shd w:val="clear" w:color="auto" w:fill="C6EFCE"/>
            <w:noWrap/>
            <w:vAlign w:val="center"/>
            <w:hideMark/>
          </w:tcPr>
          <w:p w14:paraId="36CB8E02" w14:textId="77777777" w:rsidR="00C972CB" w:rsidRDefault="002457F6">
            <w:pPr>
              <w:pStyle w:val="P68B1DB1-Normal11"/>
              <w:jc w:val="center"/>
              <w:rPr>
                <w:noProof/>
              </w:rPr>
            </w:pPr>
            <w:r>
              <w:rPr>
                <w:noProof/>
              </w:rPr>
              <w:t>Starpposma mērķis</w:t>
            </w:r>
          </w:p>
        </w:tc>
        <w:tc>
          <w:tcPr>
            <w:tcW w:w="1559" w:type="dxa"/>
            <w:shd w:val="clear" w:color="auto" w:fill="C6EFCE"/>
            <w:noWrap/>
            <w:vAlign w:val="center"/>
            <w:hideMark/>
          </w:tcPr>
          <w:p w14:paraId="3A13A351" w14:textId="0CD975B4" w:rsidR="00C972CB" w:rsidRDefault="002457F6">
            <w:pPr>
              <w:pStyle w:val="P68B1DB1-Normal11"/>
              <w:jc w:val="center"/>
              <w:rPr>
                <w:noProof/>
              </w:rPr>
            </w:pPr>
            <w:r>
              <w:rPr>
                <w:noProof/>
              </w:rPr>
              <w:t>Līguma slēgšanas tiesību piešķiršana par intervencēm, kuru mērķis ir uzlabot sociālos pakalpojumus un infrastruktūru iekšējos apgabalos, un par atbalstu aptiekām pašvaldībās, kurās ir mazāk nekā 3000 iedzīvotāju</w:t>
            </w:r>
          </w:p>
        </w:tc>
        <w:tc>
          <w:tcPr>
            <w:tcW w:w="1560" w:type="dxa"/>
            <w:shd w:val="clear" w:color="auto" w:fill="C6EFCE"/>
            <w:noWrap/>
            <w:vAlign w:val="center"/>
            <w:hideMark/>
          </w:tcPr>
          <w:p w14:paraId="1E6D23EF" w14:textId="77777777" w:rsidR="00C972CB" w:rsidRDefault="002457F6">
            <w:pPr>
              <w:pStyle w:val="P68B1DB1-Normal11"/>
              <w:jc w:val="center"/>
              <w:rPr>
                <w:noProof/>
              </w:rPr>
            </w:pPr>
            <w:r>
              <w:rPr>
                <w:noProof/>
              </w:rPr>
              <w:t xml:space="preserve">Paziņojums par visu </w:t>
            </w:r>
            <w:r>
              <w:rPr>
                <w:noProof/>
              </w:rPr>
              <w:t>publiskā iepirkuma līgumu slēgšanas tiesību piešķiršanu attiecībā uz intervencēm</w:t>
            </w:r>
          </w:p>
        </w:tc>
        <w:tc>
          <w:tcPr>
            <w:tcW w:w="1134" w:type="dxa"/>
            <w:shd w:val="clear" w:color="auto" w:fill="C6EFCE"/>
            <w:noWrap/>
            <w:vAlign w:val="center"/>
            <w:hideMark/>
          </w:tcPr>
          <w:p w14:paraId="5C084291" w14:textId="77777777"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43EE9E1A" w14:textId="77777777" w:rsidR="00C972CB" w:rsidRDefault="002457F6">
            <w:pPr>
              <w:pStyle w:val="P68B1DB1-Normal11"/>
              <w:jc w:val="center"/>
              <w:rPr>
                <w:noProof/>
              </w:rPr>
            </w:pPr>
            <w:r>
              <w:rPr>
                <w:noProof/>
              </w:rPr>
              <w:t>NEPIEMĒRO</w:t>
            </w:r>
          </w:p>
        </w:tc>
        <w:tc>
          <w:tcPr>
            <w:tcW w:w="992" w:type="dxa"/>
            <w:shd w:val="clear" w:color="auto" w:fill="C6EFCE"/>
            <w:noWrap/>
            <w:vAlign w:val="center"/>
            <w:hideMark/>
          </w:tcPr>
          <w:p w14:paraId="343414BA" w14:textId="77777777" w:rsidR="00C972CB" w:rsidRDefault="002457F6">
            <w:pPr>
              <w:pStyle w:val="P68B1DB1-Normal11"/>
              <w:jc w:val="center"/>
              <w:rPr>
                <w:noProof/>
              </w:rPr>
            </w:pPr>
            <w:r>
              <w:rPr>
                <w:noProof/>
              </w:rPr>
              <w:t>NEPIEMĒRO</w:t>
            </w:r>
          </w:p>
        </w:tc>
        <w:tc>
          <w:tcPr>
            <w:tcW w:w="916" w:type="dxa"/>
            <w:shd w:val="clear" w:color="auto" w:fill="C6EFCE"/>
            <w:noWrap/>
            <w:vAlign w:val="center"/>
            <w:hideMark/>
          </w:tcPr>
          <w:p w14:paraId="4D0BEFC6" w14:textId="77777777" w:rsidR="00C972CB" w:rsidRDefault="002457F6">
            <w:pPr>
              <w:pStyle w:val="P68B1DB1-Normal11"/>
              <w:jc w:val="center"/>
              <w:rPr>
                <w:noProof/>
              </w:rPr>
            </w:pPr>
            <w:r>
              <w:rPr>
                <w:noProof/>
              </w:rPr>
              <w:t>4. CET.</w:t>
            </w:r>
          </w:p>
        </w:tc>
        <w:tc>
          <w:tcPr>
            <w:tcW w:w="812" w:type="dxa"/>
            <w:shd w:val="clear" w:color="auto" w:fill="C6EFCE"/>
            <w:noWrap/>
            <w:vAlign w:val="center"/>
            <w:hideMark/>
          </w:tcPr>
          <w:p w14:paraId="5DFA4E5A" w14:textId="77777777" w:rsidR="00C972CB" w:rsidRDefault="002457F6">
            <w:pPr>
              <w:pStyle w:val="P68B1DB1-Normal11"/>
              <w:jc w:val="center"/>
              <w:rPr>
                <w:noProof/>
              </w:rPr>
            </w:pPr>
            <w:r>
              <w:rPr>
                <w:noProof/>
              </w:rPr>
              <w:t>2022</w:t>
            </w:r>
          </w:p>
        </w:tc>
        <w:tc>
          <w:tcPr>
            <w:tcW w:w="3271" w:type="dxa"/>
            <w:shd w:val="clear" w:color="auto" w:fill="C6EFCE"/>
            <w:noWrap/>
            <w:vAlign w:val="center"/>
            <w:hideMark/>
          </w:tcPr>
          <w:p w14:paraId="669CC136" w14:textId="77777777" w:rsidR="00C972CB" w:rsidRDefault="00C972CB">
            <w:pPr>
              <w:jc w:val="center"/>
              <w:rPr>
                <w:rFonts w:ascii="Arial Narrow" w:hAnsi="Arial Narrow"/>
                <w:noProof/>
                <w:sz w:val="20"/>
              </w:rPr>
            </w:pPr>
          </w:p>
          <w:p w14:paraId="26AD31C0" w14:textId="77777777" w:rsidR="00C972CB" w:rsidRDefault="002457F6">
            <w:pPr>
              <w:pStyle w:val="P68B1DB1-Normal11"/>
              <w:rPr>
                <w:noProof/>
              </w:rPr>
            </w:pPr>
            <w:r>
              <w:rPr>
                <w:noProof/>
              </w:rPr>
              <w:t>Intervence rada jaunus pakalpojumus un infrastruktūras vai uzlabo esošos pakalpojumus un infrastruktūras, palielinot saņēmēju skait</w:t>
            </w:r>
            <w:r>
              <w:rPr>
                <w:noProof/>
              </w:rPr>
              <w:t>u vai piegādes kvalitāti.</w:t>
            </w:r>
          </w:p>
          <w:p w14:paraId="5D5A5343" w14:textId="77777777" w:rsidR="00C972CB" w:rsidRDefault="00C972CB">
            <w:pPr>
              <w:rPr>
                <w:rFonts w:ascii="Arial Narrow" w:hAnsi="Arial Narrow"/>
                <w:noProof/>
                <w:sz w:val="20"/>
              </w:rPr>
            </w:pPr>
          </w:p>
          <w:p w14:paraId="6D391A3D" w14:textId="77777777" w:rsidR="00C972CB" w:rsidRDefault="002457F6">
            <w:pPr>
              <w:pStyle w:val="P68B1DB1-Normal11"/>
              <w:rPr>
                <w:noProof/>
              </w:rPr>
            </w:pPr>
            <w:r>
              <w:rPr>
                <w:noProof/>
              </w:rPr>
              <w:t>Visus konkursus izsludina ar darba uzdevumiem, tostarp atbilstības kritērijiem, kas nodrošina, ka atlasītie projekti atbilst Tehniskajiem norādījumiem “nenodari būtisku kaitējumu” (2021/C58/01), izmantojot izslēgšanas sarakstu un</w:t>
            </w:r>
            <w:r>
              <w:rPr>
                <w:noProof/>
              </w:rPr>
              <w:t xml:space="preserve"> prasību par atbilstību attiecīgajiem ES un valstu tiesību aktiem vides jomā.</w:t>
            </w:r>
          </w:p>
          <w:p w14:paraId="42B07B63" w14:textId="77777777" w:rsidR="00C972CB" w:rsidRDefault="00C972CB">
            <w:pPr>
              <w:rPr>
                <w:rFonts w:ascii="Arial Narrow" w:hAnsi="Arial Narrow"/>
                <w:noProof/>
                <w:color w:val="006100"/>
                <w:sz w:val="20"/>
              </w:rPr>
            </w:pPr>
          </w:p>
          <w:p w14:paraId="077A6E18" w14:textId="77777777" w:rsidR="00C972CB" w:rsidRDefault="002457F6">
            <w:pPr>
              <w:pStyle w:val="P68B1DB1-Normal11"/>
              <w:rPr>
                <w:noProof/>
              </w:rPr>
            </w:pPr>
            <w:r>
              <w:rPr>
                <w:noProof/>
              </w:rPr>
              <w:t>Iekšējie apgabali ir tie, kas noteikti Strategia Nazionale Aree Interne; Lauku aptiekas definē, pamatojoties uz likumu. 1968. gada 27. marts, Nr. 221.</w:t>
            </w:r>
          </w:p>
          <w:p w14:paraId="7EDE3C1F" w14:textId="77777777" w:rsidR="00C972CB" w:rsidRDefault="00C972CB">
            <w:pPr>
              <w:jc w:val="center"/>
              <w:rPr>
                <w:rFonts w:ascii="Arial Narrow" w:hAnsi="Arial Narrow"/>
                <w:noProof/>
                <w:sz w:val="20"/>
              </w:rPr>
            </w:pPr>
          </w:p>
        </w:tc>
      </w:tr>
      <w:tr w:rsidR="00C972CB" w14:paraId="728F501E" w14:textId="77777777">
        <w:trPr>
          <w:trHeight w:val="309"/>
        </w:trPr>
        <w:tc>
          <w:tcPr>
            <w:tcW w:w="1207" w:type="dxa"/>
            <w:shd w:val="clear" w:color="auto" w:fill="C6EFCE"/>
            <w:noWrap/>
            <w:vAlign w:val="center"/>
            <w:hideMark/>
          </w:tcPr>
          <w:p w14:paraId="6621A736" w14:textId="3840BE76" w:rsidR="00C972CB" w:rsidRDefault="002457F6">
            <w:pPr>
              <w:pStyle w:val="P68B1DB1-Normal11"/>
              <w:jc w:val="center"/>
              <w:rPr>
                <w:noProof/>
              </w:rPr>
            </w:pPr>
            <w:r>
              <w:rPr>
                <w:noProof/>
              </w:rPr>
              <w:t>M5C3–3</w:t>
            </w:r>
          </w:p>
        </w:tc>
        <w:tc>
          <w:tcPr>
            <w:tcW w:w="1772" w:type="dxa"/>
            <w:shd w:val="clear" w:color="auto" w:fill="C6EFCE"/>
            <w:noWrap/>
            <w:vAlign w:val="center"/>
            <w:hideMark/>
          </w:tcPr>
          <w:p w14:paraId="3383F4A5" w14:textId="665FC632" w:rsidR="00C972CB" w:rsidRDefault="002457F6">
            <w:pPr>
              <w:pStyle w:val="P68B1DB1-Normal11"/>
              <w:jc w:val="center"/>
              <w:rPr>
                <w:noProof/>
              </w:rPr>
            </w:pPr>
            <w:r>
              <w:rPr>
                <w:noProof/>
              </w:rPr>
              <w:t xml:space="preserve">Ieguldījums Nr. </w:t>
            </w:r>
            <w:r>
              <w:rPr>
                <w:noProof/>
              </w:rPr>
              <w:t>2: Teritoriālā tuvumā esošās veselības aprūpes iestādes</w:t>
            </w:r>
          </w:p>
        </w:tc>
        <w:tc>
          <w:tcPr>
            <w:tcW w:w="1412" w:type="dxa"/>
            <w:shd w:val="clear" w:color="auto" w:fill="C6EFCE"/>
            <w:noWrap/>
            <w:vAlign w:val="center"/>
            <w:hideMark/>
          </w:tcPr>
          <w:p w14:paraId="684D31DC" w14:textId="77777777" w:rsidR="00C972CB" w:rsidRDefault="002457F6">
            <w:pPr>
              <w:pStyle w:val="P68B1DB1-Normal11"/>
              <w:jc w:val="center"/>
              <w:rPr>
                <w:noProof/>
              </w:rPr>
            </w:pPr>
            <w:r>
              <w:rPr>
                <w:noProof/>
              </w:rPr>
              <w:t>Mērķa</w:t>
            </w:r>
          </w:p>
        </w:tc>
        <w:tc>
          <w:tcPr>
            <w:tcW w:w="1559" w:type="dxa"/>
            <w:shd w:val="clear" w:color="auto" w:fill="C6EFCE"/>
            <w:noWrap/>
            <w:vAlign w:val="center"/>
            <w:hideMark/>
          </w:tcPr>
          <w:p w14:paraId="747EAF8B" w14:textId="4CB2C77D" w:rsidR="00C972CB" w:rsidRDefault="002457F6">
            <w:pPr>
              <w:pStyle w:val="P68B1DB1-Normal11"/>
              <w:jc w:val="center"/>
              <w:rPr>
                <w:noProof/>
              </w:rPr>
            </w:pPr>
            <w:r>
              <w:rPr>
                <w:noProof/>
              </w:rPr>
              <w:t>Atbalsts lauku aptiekām pašvaldībās, ciematos vai apdzīvotās vietās, kurās ir mazāk nekā 5000 iedzīvotāju (pirmā partija)</w:t>
            </w:r>
          </w:p>
        </w:tc>
        <w:tc>
          <w:tcPr>
            <w:tcW w:w="1560" w:type="dxa"/>
            <w:shd w:val="clear" w:color="auto" w:fill="C6EFCE"/>
            <w:noWrap/>
            <w:vAlign w:val="center"/>
            <w:hideMark/>
          </w:tcPr>
          <w:p w14:paraId="088ED2A4" w14:textId="6BB5777B"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6A339A91" w14:textId="77777777" w:rsidR="00C972CB" w:rsidRDefault="002457F6">
            <w:pPr>
              <w:pStyle w:val="P68B1DB1-Normal11"/>
              <w:jc w:val="center"/>
              <w:rPr>
                <w:noProof/>
              </w:rPr>
            </w:pPr>
            <w:r>
              <w:rPr>
                <w:noProof/>
              </w:rPr>
              <w:t>Skaits</w:t>
            </w:r>
          </w:p>
        </w:tc>
        <w:tc>
          <w:tcPr>
            <w:tcW w:w="1134" w:type="dxa"/>
            <w:shd w:val="clear" w:color="auto" w:fill="C6EFCE"/>
            <w:noWrap/>
            <w:vAlign w:val="center"/>
            <w:hideMark/>
          </w:tcPr>
          <w:p w14:paraId="58BDA755" w14:textId="77777777" w:rsidR="00C972CB" w:rsidRDefault="002457F6">
            <w:pPr>
              <w:pStyle w:val="P68B1DB1-Normal11"/>
              <w:jc w:val="center"/>
              <w:rPr>
                <w:noProof/>
              </w:rPr>
            </w:pPr>
            <w:r>
              <w:rPr>
                <w:noProof/>
              </w:rPr>
              <w:t>0</w:t>
            </w:r>
          </w:p>
        </w:tc>
        <w:tc>
          <w:tcPr>
            <w:tcW w:w="992" w:type="dxa"/>
            <w:shd w:val="clear" w:color="auto" w:fill="C6EFCE"/>
            <w:noWrap/>
            <w:vAlign w:val="center"/>
            <w:hideMark/>
          </w:tcPr>
          <w:p w14:paraId="7EC94EFA" w14:textId="77777777" w:rsidR="00C972CB" w:rsidRDefault="002457F6">
            <w:pPr>
              <w:pStyle w:val="P68B1DB1-Normal11"/>
              <w:jc w:val="center"/>
              <w:rPr>
                <w:noProof/>
              </w:rPr>
            </w:pPr>
            <w:r>
              <w:rPr>
                <w:noProof/>
              </w:rPr>
              <w:t>500</w:t>
            </w:r>
          </w:p>
        </w:tc>
        <w:tc>
          <w:tcPr>
            <w:tcW w:w="916" w:type="dxa"/>
            <w:shd w:val="clear" w:color="auto" w:fill="C6EFCE"/>
            <w:noWrap/>
            <w:vAlign w:val="center"/>
            <w:hideMark/>
          </w:tcPr>
          <w:p w14:paraId="0BE7CAA1" w14:textId="77777777" w:rsidR="00C972CB" w:rsidRDefault="002457F6">
            <w:pPr>
              <w:pStyle w:val="P68B1DB1-Normal11"/>
              <w:jc w:val="center"/>
              <w:rPr>
                <w:noProof/>
              </w:rPr>
            </w:pPr>
            <w:r>
              <w:rPr>
                <w:noProof/>
              </w:rPr>
              <w:t>4. CET.</w:t>
            </w:r>
          </w:p>
        </w:tc>
        <w:tc>
          <w:tcPr>
            <w:tcW w:w="812" w:type="dxa"/>
            <w:shd w:val="clear" w:color="auto" w:fill="C6EFCE"/>
            <w:noWrap/>
            <w:vAlign w:val="center"/>
            <w:hideMark/>
          </w:tcPr>
          <w:p w14:paraId="56553510" w14:textId="77777777" w:rsidR="00C972CB" w:rsidRDefault="002457F6">
            <w:pPr>
              <w:pStyle w:val="P68B1DB1-Normal11"/>
              <w:jc w:val="center"/>
              <w:rPr>
                <w:noProof/>
              </w:rPr>
            </w:pPr>
            <w:r>
              <w:rPr>
                <w:noProof/>
              </w:rPr>
              <w:t>2023</w:t>
            </w:r>
          </w:p>
        </w:tc>
        <w:tc>
          <w:tcPr>
            <w:tcW w:w="3271" w:type="dxa"/>
            <w:shd w:val="clear" w:color="auto" w:fill="C6EFCE"/>
            <w:noWrap/>
            <w:vAlign w:val="center"/>
            <w:hideMark/>
          </w:tcPr>
          <w:p w14:paraId="1DE197F5" w14:textId="7FE199E2" w:rsidR="00C972CB" w:rsidRDefault="002457F6">
            <w:pPr>
              <w:pStyle w:val="P68B1DB1-Normal11"/>
              <w:rPr>
                <w:noProof/>
              </w:rPr>
            </w:pPr>
            <w:r>
              <w:rPr>
                <w:noProof/>
              </w:rPr>
              <w:t xml:space="preserve">Intervenci izmanto vismaz 500 lauku </w:t>
            </w:r>
            <w:r>
              <w:rPr>
                <w:noProof/>
              </w:rPr>
              <w:t>aptiekas pašvaldībās, hamelēs vai apdzīvotās vietās, kurās ir mazāk nekā 5000 iedzīvotāju.</w:t>
            </w:r>
          </w:p>
        </w:tc>
      </w:tr>
      <w:tr w:rsidR="00C972CB" w14:paraId="52577EA6" w14:textId="77777777">
        <w:trPr>
          <w:trHeight w:val="309"/>
        </w:trPr>
        <w:tc>
          <w:tcPr>
            <w:tcW w:w="1207" w:type="dxa"/>
            <w:shd w:val="clear" w:color="auto" w:fill="C6EFCE"/>
            <w:noWrap/>
            <w:vAlign w:val="center"/>
            <w:hideMark/>
          </w:tcPr>
          <w:p w14:paraId="7F017EFD" w14:textId="26D78232" w:rsidR="00C972CB" w:rsidRDefault="002457F6">
            <w:pPr>
              <w:pStyle w:val="P68B1DB1-Normal11"/>
              <w:jc w:val="center"/>
              <w:rPr>
                <w:noProof/>
              </w:rPr>
            </w:pPr>
            <w:r>
              <w:rPr>
                <w:noProof/>
              </w:rPr>
              <w:t>M5C3–4</w:t>
            </w:r>
          </w:p>
        </w:tc>
        <w:tc>
          <w:tcPr>
            <w:tcW w:w="1772" w:type="dxa"/>
            <w:shd w:val="clear" w:color="auto" w:fill="C6EFCE"/>
            <w:noWrap/>
            <w:vAlign w:val="center"/>
            <w:hideMark/>
          </w:tcPr>
          <w:p w14:paraId="5DF72BDE" w14:textId="418C108B" w:rsidR="00C972CB" w:rsidRDefault="002457F6">
            <w:pPr>
              <w:pStyle w:val="P68B1DB1-Normal11"/>
              <w:jc w:val="center"/>
              <w:rPr>
                <w:noProof/>
              </w:rPr>
            </w:pPr>
            <w:r>
              <w:rPr>
                <w:noProof/>
              </w:rPr>
              <w:t>Ieguldījums Nr. 2: Teritoriālā tuvumā esošās veselības aprūpes iestādes</w:t>
            </w:r>
          </w:p>
        </w:tc>
        <w:tc>
          <w:tcPr>
            <w:tcW w:w="1412" w:type="dxa"/>
            <w:shd w:val="clear" w:color="auto" w:fill="C6EFCE"/>
            <w:noWrap/>
            <w:vAlign w:val="center"/>
            <w:hideMark/>
          </w:tcPr>
          <w:p w14:paraId="6E5ADB75" w14:textId="77777777" w:rsidR="00C972CB" w:rsidRDefault="002457F6">
            <w:pPr>
              <w:pStyle w:val="P68B1DB1-Normal11"/>
              <w:jc w:val="center"/>
              <w:rPr>
                <w:noProof/>
              </w:rPr>
            </w:pPr>
            <w:r>
              <w:rPr>
                <w:noProof/>
              </w:rPr>
              <w:t>Mērķa</w:t>
            </w:r>
          </w:p>
        </w:tc>
        <w:tc>
          <w:tcPr>
            <w:tcW w:w="1559" w:type="dxa"/>
            <w:shd w:val="clear" w:color="auto" w:fill="C6EFCE"/>
            <w:noWrap/>
            <w:vAlign w:val="center"/>
            <w:hideMark/>
          </w:tcPr>
          <w:p w14:paraId="1346A7E4" w14:textId="7893F1FD" w:rsidR="00C972CB" w:rsidRDefault="002457F6">
            <w:pPr>
              <w:pStyle w:val="P68B1DB1-Normal11"/>
              <w:jc w:val="center"/>
              <w:rPr>
                <w:noProof/>
              </w:rPr>
            </w:pPr>
            <w:r>
              <w:rPr>
                <w:noProof/>
              </w:rPr>
              <w:t xml:space="preserve">Atbalsts lauku aptiekām pašvaldībās, ciematos vai apdzīvotās vietās, kurās ir </w:t>
            </w:r>
            <w:r>
              <w:rPr>
                <w:noProof/>
              </w:rPr>
              <w:t>mazāk nekā 5000 iedzīvotāju (otrā partija)</w:t>
            </w:r>
          </w:p>
        </w:tc>
        <w:tc>
          <w:tcPr>
            <w:tcW w:w="1560" w:type="dxa"/>
            <w:shd w:val="clear" w:color="auto" w:fill="C6EFCE"/>
            <w:noWrap/>
            <w:vAlign w:val="center"/>
            <w:hideMark/>
          </w:tcPr>
          <w:p w14:paraId="58DC58B5" w14:textId="388AB265" w:rsidR="00C972CB" w:rsidRDefault="002457F6">
            <w:pPr>
              <w:pStyle w:val="P68B1DB1-Normal11"/>
              <w:jc w:val="center"/>
              <w:rPr>
                <w:noProof/>
              </w:rPr>
            </w:pPr>
            <w:r>
              <w:rPr>
                <w:noProof/>
              </w:rPr>
              <w:t>NEPIEMĒRO</w:t>
            </w:r>
          </w:p>
        </w:tc>
        <w:tc>
          <w:tcPr>
            <w:tcW w:w="1134" w:type="dxa"/>
            <w:shd w:val="clear" w:color="auto" w:fill="C6EFCE"/>
            <w:noWrap/>
            <w:vAlign w:val="center"/>
            <w:hideMark/>
          </w:tcPr>
          <w:p w14:paraId="04A602B8" w14:textId="5CFC1584" w:rsidR="00C972CB" w:rsidRDefault="002457F6">
            <w:pPr>
              <w:pStyle w:val="P68B1DB1-Normal11"/>
              <w:jc w:val="center"/>
              <w:rPr>
                <w:noProof/>
              </w:rPr>
            </w:pPr>
            <w:r>
              <w:rPr>
                <w:noProof/>
              </w:rPr>
              <w:t>Skaits</w:t>
            </w:r>
          </w:p>
        </w:tc>
        <w:tc>
          <w:tcPr>
            <w:tcW w:w="1134" w:type="dxa"/>
            <w:shd w:val="clear" w:color="auto" w:fill="C6EFCE"/>
            <w:noWrap/>
            <w:vAlign w:val="center"/>
            <w:hideMark/>
          </w:tcPr>
          <w:p w14:paraId="259CEAB9" w14:textId="57849306" w:rsidR="00C972CB" w:rsidRDefault="002457F6">
            <w:pPr>
              <w:pStyle w:val="P68B1DB1-Normal11"/>
              <w:jc w:val="center"/>
              <w:rPr>
                <w:noProof/>
              </w:rPr>
            </w:pPr>
            <w:r>
              <w:rPr>
                <w:noProof/>
              </w:rPr>
              <w:t>500</w:t>
            </w:r>
          </w:p>
        </w:tc>
        <w:tc>
          <w:tcPr>
            <w:tcW w:w="992" w:type="dxa"/>
            <w:shd w:val="clear" w:color="auto" w:fill="C6EFCE"/>
            <w:noWrap/>
            <w:vAlign w:val="center"/>
            <w:hideMark/>
          </w:tcPr>
          <w:p w14:paraId="73A55546" w14:textId="53670F63" w:rsidR="00C972CB" w:rsidRDefault="002457F6">
            <w:pPr>
              <w:pStyle w:val="P68B1DB1-Normal11"/>
              <w:jc w:val="center"/>
              <w:rPr>
                <w:noProof/>
              </w:rPr>
            </w:pPr>
            <w:r>
              <w:rPr>
                <w:noProof/>
              </w:rPr>
              <w:t>2 000</w:t>
            </w:r>
          </w:p>
        </w:tc>
        <w:tc>
          <w:tcPr>
            <w:tcW w:w="916" w:type="dxa"/>
            <w:shd w:val="clear" w:color="auto" w:fill="C6EFCE"/>
            <w:noWrap/>
            <w:vAlign w:val="center"/>
            <w:hideMark/>
          </w:tcPr>
          <w:p w14:paraId="33B8A209" w14:textId="098A7077" w:rsidR="00C972CB" w:rsidRDefault="002457F6">
            <w:pPr>
              <w:pStyle w:val="P68B1DB1-Normal11"/>
              <w:jc w:val="center"/>
              <w:rPr>
                <w:noProof/>
              </w:rPr>
            </w:pPr>
            <w:r>
              <w:rPr>
                <w:noProof/>
              </w:rPr>
              <w:t>2. CET.</w:t>
            </w:r>
          </w:p>
        </w:tc>
        <w:tc>
          <w:tcPr>
            <w:tcW w:w="812" w:type="dxa"/>
            <w:shd w:val="clear" w:color="auto" w:fill="C6EFCE"/>
            <w:noWrap/>
            <w:vAlign w:val="center"/>
            <w:hideMark/>
          </w:tcPr>
          <w:p w14:paraId="52153719" w14:textId="1A6781C8" w:rsidR="00C972CB" w:rsidRDefault="002457F6">
            <w:pPr>
              <w:pStyle w:val="P68B1DB1-Normal11"/>
              <w:jc w:val="center"/>
              <w:rPr>
                <w:noProof/>
              </w:rPr>
            </w:pPr>
            <w:r>
              <w:rPr>
                <w:noProof/>
              </w:rPr>
              <w:t>2026</w:t>
            </w:r>
          </w:p>
        </w:tc>
        <w:tc>
          <w:tcPr>
            <w:tcW w:w="3271" w:type="dxa"/>
            <w:shd w:val="clear" w:color="auto" w:fill="C6EFCE"/>
            <w:noWrap/>
            <w:vAlign w:val="center"/>
            <w:hideMark/>
          </w:tcPr>
          <w:p w14:paraId="0ADCC3FD" w14:textId="061DDEB7" w:rsidR="00C972CB" w:rsidRDefault="002457F6">
            <w:pPr>
              <w:pStyle w:val="P68B1DB1-Normal11"/>
              <w:rPr>
                <w:noProof/>
              </w:rPr>
            </w:pPr>
            <w:r>
              <w:rPr>
                <w:noProof/>
              </w:rPr>
              <w:t>Intervenci izmanto vismaz 2000 lauku aptieku pašvaldībās vai apdzīvotās vietās, kurās ir mazāk nekā 5000 iedzīvotāju.</w:t>
            </w:r>
          </w:p>
        </w:tc>
      </w:tr>
      <w:tr w:rsidR="00C972CB" w14:paraId="29C3832D" w14:textId="77777777">
        <w:trPr>
          <w:trHeight w:val="309"/>
        </w:trPr>
        <w:tc>
          <w:tcPr>
            <w:tcW w:w="1207" w:type="dxa"/>
            <w:shd w:val="clear" w:color="auto" w:fill="C6EFCE"/>
            <w:noWrap/>
            <w:vAlign w:val="center"/>
          </w:tcPr>
          <w:p w14:paraId="1AEE0AB7" w14:textId="34AA7D06" w:rsidR="00C972CB" w:rsidRDefault="002457F6">
            <w:pPr>
              <w:pStyle w:val="P68B1DB1-Normal11"/>
              <w:jc w:val="center"/>
              <w:rPr>
                <w:noProof/>
              </w:rPr>
            </w:pPr>
            <w:r>
              <w:rPr>
                <w:noProof/>
              </w:rPr>
              <w:t>M5C3–8</w:t>
            </w:r>
          </w:p>
        </w:tc>
        <w:tc>
          <w:tcPr>
            <w:tcW w:w="1772" w:type="dxa"/>
            <w:shd w:val="clear" w:color="auto" w:fill="C6EFCE"/>
            <w:noWrap/>
            <w:vAlign w:val="center"/>
          </w:tcPr>
          <w:p w14:paraId="391DC5C7" w14:textId="77777777" w:rsidR="00C972CB" w:rsidRDefault="002457F6">
            <w:pPr>
              <w:pStyle w:val="P68B1DB1-Normal11"/>
              <w:jc w:val="center"/>
              <w:rPr>
                <w:noProof/>
              </w:rPr>
            </w:pPr>
            <w:r>
              <w:rPr>
                <w:noProof/>
              </w:rPr>
              <w:t xml:space="preserve">Ieguldījums 1.3. Strukturēti sociālizglītības </w:t>
            </w:r>
            <w:r>
              <w:rPr>
                <w:noProof/>
              </w:rPr>
              <w:t>pasākumi cīņai pret izglītības nabadzību dienvidos, atbalstot trešo sektoru</w:t>
            </w:r>
          </w:p>
        </w:tc>
        <w:tc>
          <w:tcPr>
            <w:tcW w:w="1412" w:type="dxa"/>
            <w:shd w:val="clear" w:color="auto" w:fill="C6EFCE"/>
            <w:noWrap/>
            <w:vAlign w:val="center"/>
          </w:tcPr>
          <w:p w14:paraId="46393F14" w14:textId="77777777" w:rsidR="00C972CB" w:rsidRDefault="002457F6">
            <w:pPr>
              <w:pStyle w:val="P68B1DB1-Normal11"/>
              <w:jc w:val="center"/>
              <w:rPr>
                <w:noProof/>
              </w:rPr>
            </w:pPr>
            <w:r>
              <w:rPr>
                <w:noProof/>
              </w:rPr>
              <w:t>Mērķa</w:t>
            </w:r>
          </w:p>
        </w:tc>
        <w:tc>
          <w:tcPr>
            <w:tcW w:w="1559" w:type="dxa"/>
            <w:shd w:val="clear" w:color="auto" w:fill="C6EFCE"/>
            <w:noWrap/>
            <w:vAlign w:val="center"/>
          </w:tcPr>
          <w:p w14:paraId="1D35CFAA" w14:textId="77777777" w:rsidR="00C972CB" w:rsidRDefault="002457F6">
            <w:pPr>
              <w:pStyle w:val="P68B1DB1-Normal11"/>
              <w:jc w:val="center"/>
              <w:rPr>
                <w:noProof/>
              </w:rPr>
            </w:pPr>
            <w:r>
              <w:rPr>
                <w:noProof/>
              </w:rPr>
              <w:t>Izglītības atbalsts nepilngadīgajiem (pirmā sērija)</w:t>
            </w:r>
          </w:p>
        </w:tc>
        <w:tc>
          <w:tcPr>
            <w:tcW w:w="1560" w:type="dxa"/>
            <w:shd w:val="clear" w:color="auto" w:fill="C6EFCE"/>
            <w:noWrap/>
            <w:vAlign w:val="center"/>
          </w:tcPr>
          <w:p w14:paraId="346C67BA"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3DD42289" w14:textId="77777777" w:rsidR="00C972CB" w:rsidRDefault="002457F6">
            <w:pPr>
              <w:pStyle w:val="P68B1DB1-Normal11"/>
              <w:jc w:val="center"/>
              <w:rPr>
                <w:noProof/>
              </w:rPr>
            </w:pPr>
            <w:r>
              <w:rPr>
                <w:noProof/>
              </w:rPr>
              <w:t>Skaits</w:t>
            </w:r>
          </w:p>
        </w:tc>
        <w:tc>
          <w:tcPr>
            <w:tcW w:w="1134" w:type="dxa"/>
            <w:shd w:val="clear" w:color="auto" w:fill="C6EFCE"/>
            <w:noWrap/>
            <w:vAlign w:val="center"/>
          </w:tcPr>
          <w:p w14:paraId="0E3DC50E" w14:textId="77777777" w:rsidR="00C972CB" w:rsidRDefault="002457F6">
            <w:pPr>
              <w:pStyle w:val="P68B1DB1-Normal11"/>
              <w:jc w:val="center"/>
              <w:rPr>
                <w:noProof/>
              </w:rPr>
            </w:pPr>
            <w:r>
              <w:rPr>
                <w:noProof/>
              </w:rPr>
              <w:t>0</w:t>
            </w:r>
          </w:p>
        </w:tc>
        <w:tc>
          <w:tcPr>
            <w:tcW w:w="992" w:type="dxa"/>
            <w:shd w:val="clear" w:color="auto" w:fill="C6EFCE"/>
            <w:noWrap/>
            <w:vAlign w:val="center"/>
          </w:tcPr>
          <w:p w14:paraId="72BD510C" w14:textId="2F81E778" w:rsidR="00C972CB" w:rsidRDefault="002457F6">
            <w:pPr>
              <w:pStyle w:val="P68B1DB1-Normal11"/>
              <w:jc w:val="center"/>
              <w:rPr>
                <w:noProof/>
              </w:rPr>
            </w:pPr>
            <w:r>
              <w:rPr>
                <w:noProof/>
              </w:rPr>
              <w:t>20 000</w:t>
            </w:r>
          </w:p>
        </w:tc>
        <w:tc>
          <w:tcPr>
            <w:tcW w:w="916" w:type="dxa"/>
            <w:shd w:val="clear" w:color="auto" w:fill="C6EFCE"/>
            <w:noWrap/>
            <w:vAlign w:val="center"/>
          </w:tcPr>
          <w:p w14:paraId="63DB2494" w14:textId="77777777" w:rsidR="00C972CB" w:rsidRDefault="002457F6">
            <w:pPr>
              <w:pStyle w:val="P68B1DB1-Normal11"/>
              <w:jc w:val="center"/>
              <w:rPr>
                <w:noProof/>
              </w:rPr>
            </w:pPr>
            <w:r>
              <w:rPr>
                <w:noProof/>
              </w:rPr>
              <w:t>2. CET.</w:t>
            </w:r>
          </w:p>
        </w:tc>
        <w:tc>
          <w:tcPr>
            <w:tcW w:w="812" w:type="dxa"/>
            <w:shd w:val="clear" w:color="auto" w:fill="C6EFCE"/>
            <w:noWrap/>
            <w:vAlign w:val="center"/>
          </w:tcPr>
          <w:p w14:paraId="69173F45" w14:textId="77777777" w:rsidR="00C972CB" w:rsidRDefault="002457F6">
            <w:pPr>
              <w:pStyle w:val="P68B1DB1-Normal11"/>
              <w:jc w:val="center"/>
              <w:rPr>
                <w:noProof/>
              </w:rPr>
            </w:pPr>
            <w:r>
              <w:rPr>
                <w:noProof/>
              </w:rPr>
              <w:t>2023</w:t>
            </w:r>
          </w:p>
        </w:tc>
        <w:tc>
          <w:tcPr>
            <w:tcW w:w="3271" w:type="dxa"/>
            <w:shd w:val="clear" w:color="auto" w:fill="C6EFCE"/>
            <w:noWrap/>
            <w:vAlign w:val="center"/>
          </w:tcPr>
          <w:p w14:paraId="3BE31D6C" w14:textId="6A0E55CB" w:rsidR="00C972CB" w:rsidRDefault="002457F6">
            <w:pPr>
              <w:pStyle w:val="P68B1DB1-Normal11"/>
              <w:rPr>
                <w:noProof/>
              </w:rPr>
            </w:pPr>
            <w:r>
              <w:rPr>
                <w:noProof/>
              </w:rPr>
              <w:t xml:space="preserve">Izglītības atbalstu saņem vismaz 20000 nepilngadīgo vecumā līdz 17 gadiem. Izglītības atbalsta projekti ir vērsti uz vienu no šādām jomām: </w:t>
            </w:r>
          </w:p>
          <w:p w14:paraId="12EC8C88" w14:textId="77777777" w:rsidR="00C972CB" w:rsidRDefault="00C972CB">
            <w:pPr>
              <w:rPr>
                <w:rFonts w:ascii="Arial Narrow" w:hAnsi="Arial Narrow"/>
                <w:noProof/>
                <w:color w:val="006100"/>
                <w:sz w:val="20"/>
              </w:rPr>
            </w:pPr>
          </w:p>
          <w:p w14:paraId="17D7FE26" w14:textId="24754767" w:rsidR="00C972CB" w:rsidRDefault="002457F6">
            <w:pPr>
              <w:pStyle w:val="P68B1DB1-Normal11"/>
              <w:rPr>
                <w:noProof/>
              </w:rPr>
            </w:pPr>
            <w:r>
              <w:rPr>
                <w:noProof/>
              </w:rPr>
              <w:t>• Intervences pasākumi bērniem vecumā no nulles līdz sešiem gadiem, kuru mērķis ir stiprināt bērnudārzu un bērnudār</w:t>
            </w:r>
            <w:r>
              <w:rPr>
                <w:noProof/>
              </w:rPr>
              <w:t xml:space="preserve">zu pieejamības nosacījumus un atbalstīt vecāku stāvokli; </w:t>
            </w:r>
          </w:p>
          <w:p w14:paraId="543DA8E2" w14:textId="77777777" w:rsidR="00C972CB" w:rsidRDefault="00C972CB">
            <w:pPr>
              <w:rPr>
                <w:rFonts w:ascii="Arial Narrow" w:hAnsi="Arial Narrow"/>
                <w:noProof/>
                <w:color w:val="006100"/>
                <w:sz w:val="20"/>
              </w:rPr>
            </w:pPr>
          </w:p>
          <w:p w14:paraId="5C84BEF7" w14:textId="77777777" w:rsidR="00C972CB" w:rsidRDefault="002457F6">
            <w:pPr>
              <w:pStyle w:val="P68B1DB1-Normal11"/>
              <w:rPr>
                <w:noProof/>
              </w:rPr>
            </w:pPr>
            <w:r>
              <w:rPr>
                <w:noProof/>
              </w:rPr>
              <w:t xml:space="preserve">• Pasākumi bērniem vecumā no pieciem līdz desmit gadiem, kuru mērķis ir nodrošināt efektīvas izglītības iespējas un priekšlaicīgi novērst mācību pārtraukšanu, iebiedēšanu un citas briesmas; </w:t>
            </w:r>
          </w:p>
          <w:p w14:paraId="6B9EF3E7" w14:textId="77777777" w:rsidR="00C972CB" w:rsidRDefault="00C972CB">
            <w:pPr>
              <w:rPr>
                <w:rFonts w:ascii="Arial Narrow" w:hAnsi="Arial Narrow"/>
                <w:noProof/>
                <w:color w:val="006100"/>
                <w:sz w:val="20"/>
              </w:rPr>
            </w:pPr>
          </w:p>
          <w:p w14:paraId="4BFFCD84" w14:textId="30662B1C" w:rsidR="00C972CB" w:rsidRDefault="002457F6">
            <w:pPr>
              <w:pStyle w:val="P68B1DB1-Normal11"/>
              <w:rPr>
                <w:noProof/>
              </w:rPr>
            </w:pPr>
            <w:r>
              <w:rPr>
                <w:noProof/>
              </w:rPr>
              <w:t>• Pas</w:t>
            </w:r>
            <w:r>
              <w:rPr>
                <w:noProof/>
              </w:rPr>
              <w:t>ākumi 11–17 gadus veciem bērniem, kuru mērķis ir uzlabot izglītības piedāvājumu un novērst priekšlaicīgu mācību pārtraukšanu.</w:t>
            </w:r>
          </w:p>
          <w:p w14:paraId="2F7C30AC" w14:textId="77777777" w:rsidR="00C972CB" w:rsidRDefault="00C972CB">
            <w:pPr>
              <w:rPr>
                <w:rFonts w:ascii="Arial Narrow" w:hAnsi="Arial Narrow"/>
                <w:noProof/>
                <w:color w:val="006100"/>
                <w:sz w:val="20"/>
              </w:rPr>
            </w:pPr>
          </w:p>
          <w:p w14:paraId="4A6409A8" w14:textId="77777777" w:rsidR="00C972CB" w:rsidRDefault="002457F6">
            <w:pPr>
              <w:pStyle w:val="P68B1DB1-Normal11"/>
              <w:rPr>
                <w:noProof/>
              </w:rPr>
            </w:pPr>
            <w:r>
              <w:rPr>
                <w:noProof/>
              </w:rPr>
              <w:t>Konkursa galvenie elementi:</w:t>
            </w:r>
          </w:p>
          <w:p w14:paraId="7AD33D55" w14:textId="33864933" w:rsidR="00C972CB" w:rsidRDefault="002457F6">
            <w:pPr>
              <w:pStyle w:val="P68B1DB1-Normal19"/>
              <w:rPr>
                <w:noProof/>
                <w:color w:val="006100"/>
              </w:rPr>
            </w:pPr>
            <w:r>
              <w:rPr>
                <w:noProof/>
              </w:rPr>
              <w:t xml:space="preserve"> </w:t>
            </w:r>
            <w:r>
              <w:rPr>
                <w:noProof/>
              </w:rPr>
              <w:br/>
            </w:r>
            <w:r>
              <w:rPr>
                <w:noProof/>
                <w:color w:val="006100"/>
              </w:rPr>
              <w:t xml:space="preserve"> Publisko paziņojumu summa ir vismaz EUR 50000000. </w:t>
            </w:r>
            <w:r>
              <w:rPr>
                <w:noProof/>
              </w:rPr>
              <w:t xml:space="preserve"> </w:t>
            </w:r>
            <w:r>
              <w:rPr>
                <w:noProof/>
              </w:rPr>
              <w:br/>
              <w:t xml:space="preserve"> </w:t>
            </w:r>
            <w:r>
              <w:rPr>
                <w:noProof/>
                <w:color w:val="006100"/>
              </w:rPr>
              <w:t>— Trešā sektora sabiedrību projektu ilgums ir</w:t>
            </w:r>
            <w:r>
              <w:rPr>
                <w:noProof/>
                <w:color w:val="006100"/>
              </w:rPr>
              <w:t xml:space="preserve"> vismaz viens gads, bet ne vairāk kā divi gadi.</w:t>
            </w:r>
          </w:p>
          <w:p w14:paraId="14E4D4C7" w14:textId="41B2E971" w:rsidR="00C972CB" w:rsidRDefault="002457F6">
            <w:pPr>
              <w:pStyle w:val="P68B1DB1-Normal19"/>
              <w:rPr>
                <w:noProof/>
                <w:color w:val="006100"/>
              </w:rPr>
            </w:pPr>
            <w:r>
              <w:rPr>
                <w:noProof/>
              </w:rPr>
              <w:t xml:space="preserve"> </w:t>
            </w:r>
            <w:r>
              <w:rPr>
                <w:noProof/>
              </w:rPr>
              <w:br/>
            </w:r>
            <w:r>
              <w:rPr>
                <w:noProof/>
                <w:color w:val="006100"/>
              </w:rPr>
              <w:t>Darbības notiek Abruco, Bazilikatas, Kampānijas, Kalabrijas, Molizes, Apūlijas, Sardegnas un Sicīlijas reģionā.</w:t>
            </w:r>
          </w:p>
        </w:tc>
      </w:tr>
      <w:tr w:rsidR="00C972CB" w14:paraId="0043C01E" w14:textId="77777777">
        <w:trPr>
          <w:trHeight w:val="309"/>
        </w:trPr>
        <w:tc>
          <w:tcPr>
            <w:tcW w:w="1207" w:type="dxa"/>
            <w:shd w:val="clear" w:color="auto" w:fill="C6EFCE"/>
            <w:noWrap/>
            <w:vAlign w:val="center"/>
          </w:tcPr>
          <w:p w14:paraId="4C8C279E" w14:textId="0B8B2640" w:rsidR="00C972CB" w:rsidRDefault="002457F6">
            <w:pPr>
              <w:pStyle w:val="P68B1DB1-Normal11"/>
              <w:jc w:val="center"/>
              <w:rPr>
                <w:noProof/>
              </w:rPr>
            </w:pPr>
            <w:r>
              <w:rPr>
                <w:noProof/>
              </w:rPr>
              <w:t>M5C3–9</w:t>
            </w:r>
          </w:p>
        </w:tc>
        <w:tc>
          <w:tcPr>
            <w:tcW w:w="1772" w:type="dxa"/>
            <w:shd w:val="clear" w:color="auto" w:fill="C6EFCE"/>
            <w:noWrap/>
            <w:vAlign w:val="center"/>
          </w:tcPr>
          <w:p w14:paraId="37D8C32C" w14:textId="77777777" w:rsidR="00C972CB" w:rsidRDefault="002457F6">
            <w:pPr>
              <w:pStyle w:val="P68B1DB1-Normal11"/>
              <w:jc w:val="center"/>
              <w:rPr>
                <w:noProof/>
              </w:rPr>
            </w:pPr>
            <w:r>
              <w:rPr>
                <w:noProof/>
              </w:rPr>
              <w:t xml:space="preserve">Ieguldījums1.3: Strukturēti sociālizglītības pasākumi cīņai pret izglītības nabadzību </w:t>
            </w:r>
            <w:r>
              <w:rPr>
                <w:noProof/>
              </w:rPr>
              <w:t>dienvidos, atbalstot trešo sektoru</w:t>
            </w:r>
          </w:p>
        </w:tc>
        <w:tc>
          <w:tcPr>
            <w:tcW w:w="1412" w:type="dxa"/>
            <w:shd w:val="clear" w:color="auto" w:fill="C6EFCE"/>
            <w:noWrap/>
            <w:vAlign w:val="center"/>
          </w:tcPr>
          <w:p w14:paraId="11C4429C" w14:textId="77777777" w:rsidR="00C972CB" w:rsidRDefault="002457F6">
            <w:pPr>
              <w:pStyle w:val="P68B1DB1-Normal11"/>
              <w:jc w:val="center"/>
              <w:rPr>
                <w:noProof/>
              </w:rPr>
            </w:pPr>
            <w:r>
              <w:rPr>
                <w:noProof/>
              </w:rPr>
              <w:t>Mērķa</w:t>
            </w:r>
          </w:p>
        </w:tc>
        <w:tc>
          <w:tcPr>
            <w:tcW w:w="1559" w:type="dxa"/>
            <w:shd w:val="clear" w:color="auto" w:fill="C6EFCE"/>
            <w:noWrap/>
            <w:vAlign w:val="center"/>
          </w:tcPr>
          <w:p w14:paraId="313C030F" w14:textId="77777777" w:rsidR="00C972CB" w:rsidRDefault="002457F6">
            <w:pPr>
              <w:pStyle w:val="P68B1DB1-Normal11"/>
              <w:jc w:val="center"/>
              <w:rPr>
                <w:noProof/>
              </w:rPr>
            </w:pPr>
            <w:r>
              <w:rPr>
                <w:noProof/>
              </w:rPr>
              <w:t>Izglītības atbalsts nepilngadīgajiem (otrā sērija)</w:t>
            </w:r>
          </w:p>
        </w:tc>
        <w:tc>
          <w:tcPr>
            <w:tcW w:w="1560" w:type="dxa"/>
            <w:shd w:val="clear" w:color="auto" w:fill="C6EFCE"/>
            <w:noWrap/>
            <w:vAlign w:val="center"/>
          </w:tcPr>
          <w:p w14:paraId="664E2C9D"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60127EE4" w14:textId="77777777" w:rsidR="00C972CB" w:rsidRDefault="002457F6">
            <w:pPr>
              <w:pStyle w:val="P68B1DB1-Normal11"/>
              <w:jc w:val="center"/>
              <w:rPr>
                <w:noProof/>
              </w:rPr>
            </w:pPr>
            <w:r>
              <w:rPr>
                <w:noProof/>
              </w:rPr>
              <w:t>Skaits</w:t>
            </w:r>
          </w:p>
        </w:tc>
        <w:tc>
          <w:tcPr>
            <w:tcW w:w="1134" w:type="dxa"/>
            <w:shd w:val="clear" w:color="auto" w:fill="C6EFCE"/>
            <w:noWrap/>
            <w:vAlign w:val="center"/>
          </w:tcPr>
          <w:p w14:paraId="409AD455" w14:textId="62D57982" w:rsidR="00C972CB" w:rsidRDefault="002457F6">
            <w:pPr>
              <w:pStyle w:val="P68B1DB1-Normal11"/>
              <w:jc w:val="center"/>
              <w:rPr>
                <w:noProof/>
              </w:rPr>
            </w:pPr>
            <w:r>
              <w:rPr>
                <w:noProof/>
              </w:rPr>
              <w:t>20 000</w:t>
            </w:r>
          </w:p>
        </w:tc>
        <w:tc>
          <w:tcPr>
            <w:tcW w:w="992" w:type="dxa"/>
            <w:shd w:val="clear" w:color="auto" w:fill="C6EFCE"/>
            <w:noWrap/>
            <w:vAlign w:val="center"/>
          </w:tcPr>
          <w:p w14:paraId="0ED0A31D" w14:textId="3F31CAC5" w:rsidR="00C972CB" w:rsidRDefault="002457F6">
            <w:pPr>
              <w:pStyle w:val="P68B1DB1-Normal11"/>
              <w:jc w:val="center"/>
              <w:rPr>
                <w:noProof/>
              </w:rPr>
            </w:pPr>
            <w:r>
              <w:rPr>
                <w:noProof/>
              </w:rPr>
              <w:t>44 000</w:t>
            </w:r>
          </w:p>
        </w:tc>
        <w:tc>
          <w:tcPr>
            <w:tcW w:w="916" w:type="dxa"/>
            <w:shd w:val="clear" w:color="auto" w:fill="C6EFCE"/>
            <w:noWrap/>
            <w:vAlign w:val="center"/>
          </w:tcPr>
          <w:p w14:paraId="750E4807" w14:textId="77777777" w:rsidR="00C972CB" w:rsidRDefault="002457F6">
            <w:pPr>
              <w:pStyle w:val="P68B1DB1-Normal11"/>
              <w:jc w:val="center"/>
              <w:rPr>
                <w:noProof/>
              </w:rPr>
            </w:pPr>
            <w:r>
              <w:rPr>
                <w:noProof/>
              </w:rPr>
              <w:t>2. CET.</w:t>
            </w:r>
          </w:p>
        </w:tc>
        <w:tc>
          <w:tcPr>
            <w:tcW w:w="812" w:type="dxa"/>
            <w:shd w:val="clear" w:color="auto" w:fill="C6EFCE"/>
            <w:noWrap/>
            <w:vAlign w:val="center"/>
          </w:tcPr>
          <w:p w14:paraId="3FEE3319" w14:textId="77777777" w:rsidR="00C972CB" w:rsidRDefault="002457F6">
            <w:pPr>
              <w:pStyle w:val="P68B1DB1-Normal11"/>
              <w:jc w:val="center"/>
              <w:rPr>
                <w:noProof/>
              </w:rPr>
            </w:pPr>
            <w:r>
              <w:rPr>
                <w:noProof/>
              </w:rPr>
              <w:t>2026</w:t>
            </w:r>
          </w:p>
        </w:tc>
        <w:tc>
          <w:tcPr>
            <w:tcW w:w="3271" w:type="dxa"/>
            <w:shd w:val="clear" w:color="auto" w:fill="C6EFCE"/>
            <w:noWrap/>
            <w:vAlign w:val="center"/>
          </w:tcPr>
          <w:p w14:paraId="302B17FB" w14:textId="56D506FB" w:rsidR="00C972CB" w:rsidRDefault="002457F6">
            <w:pPr>
              <w:pStyle w:val="P68B1DB1-Normal11"/>
              <w:rPr>
                <w:noProof/>
              </w:rPr>
            </w:pPr>
            <w:r>
              <w:rPr>
                <w:noProof/>
              </w:rPr>
              <w:t>Izglītības atbalsts tiek sniegts vismaz 44000 nepilngadīgo vecumā no nulles līdz 17 gadiem</w:t>
            </w:r>
          </w:p>
        </w:tc>
      </w:tr>
    </w:tbl>
    <w:p w14:paraId="422E00C3" w14:textId="77777777" w:rsidR="00C972CB" w:rsidRDefault="00C972CB">
      <w:pPr>
        <w:spacing w:before="120" w:after="120"/>
        <w:ind w:left="709"/>
        <w:jc w:val="both"/>
        <w:rPr>
          <w:noProof/>
        </w:rPr>
        <w:sectPr w:rsidR="00C972CB" w:rsidSect="000D3774">
          <w:headerReference w:type="even" r:id="rId332"/>
          <w:headerReference w:type="default" r:id="rId333"/>
          <w:footerReference w:type="even" r:id="rId334"/>
          <w:footerReference w:type="default" r:id="rId335"/>
          <w:headerReference w:type="first" r:id="rId336"/>
          <w:footerReference w:type="first" r:id="rId337"/>
          <w:pgSz w:w="16839" w:h="11907" w:orient="landscape"/>
          <w:pgMar w:top="720" w:right="720" w:bottom="720" w:left="720" w:header="709" w:footer="709" w:gutter="0"/>
          <w:cols w:space="720"/>
          <w:docGrid w:linePitch="360"/>
        </w:sectPr>
      </w:pPr>
    </w:p>
    <w:p w14:paraId="79E005B7" w14:textId="77777777" w:rsidR="00C972CB" w:rsidRDefault="002457F6">
      <w:pPr>
        <w:pStyle w:val="P68B1DB1-Normal14"/>
        <w:spacing w:before="120" w:after="120"/>
        <w:ind w:left="709"/>
        <w:jc w:val="both"/>
        <w:rPr>
          <w:noProof/>
        </w:rPr>
      </w:pPr>
      <w:r>
        <w:rPr>
          <w:noProof/>
        </w:rPr>
        <w:t xml:space="preserve"> </w:t>
      </w:r>
    </w:p>
    <w:p w14:paraId="46F205A7" w14:textId="66C10776" w:rsidR="00C972CB" w:rsidRDefault="002457F6">
      <w:pPr>
        <w:pStyle w:val="Heading3"/>
        <w:numPr>
          <w:ilvl w:val="0"/>
          <w:numId w:val="0"/>
        </w:numPr>
        <w:ind w:left="850" w:hanging="850"/>
        <w:rPr>
          <w:b/>
          <w:i w:val="0"/>
          <w:noProof/>
          <w:u w:val="single"/>
        </w:rPr>
      </w:pPr>
      <w:r>
        <w:rPr>
          <w:b/>
          <w:i w:val="0"/>
          <w:noProof/>
          <w:u w:val="single"/>
        </w:rPr>
        <w:t xml:space="preserve">N.3. </w:t>
      </w:r>
      <w:r>
        <w:rPr>
          <w:noProof/>
        </w:rPr>
        <w:tab/>
      </w:r>
      <w:r>
        <w:rPr>
          <w:b/>
          <w:i w:val="0"/>
          <w:noProof/>
          <w:u w:val="single"/>
        </w:rPr>
        <w:t xml:space="preserve">Aizdevumam pieteikto reformu un investīciju apraksts </w:t>
      </w:r>
    </w:p>
    <w:p w14:paraId="4DCFA0CC" w14:textId="77777777" w:rsidR="00C972CB" w:rsidRDefault="002457F6">
      <w:pPr>
        <w:pStyle w:val="P68B1DB1-Normal2"/>
        <w:spacing w:before="120" w:after="120"/>
        <w:jc w:val="both"/>
        <w:rPr>
          <w:noProof/>
        </w:rPr>
      </w:pPr>
      <w:r>
        <w:rPr>
          <w:noProof/>
        </w:rPr>
        <w:t>Reforma: Procedūru vienkāršošana un komisāra stiprināšana speciālajās ekonomiskajās zonās</w:t>
      </w:r>
    </w:p>
    <w:p w14:paraId="2E9BA854" w14:textId="1A08D097" w:rsidR="00C972CB" w:rsidRDefault="002457F6">
      <w:pPr>
        <w:spacing w:before="120" w:after="120"/>
        <w:jc w:val="both"/>
        <w:rPr>
          <w:noProof/>
        </w:rPr>
      </w:pPr>
      <w:r>
        <w:rPr>
          <w:noProof/>
        </w:rPr>
        <w:t xml:space="preserve">Reforma veicina pārvaldības sistēmas vienkāršošanu un racionalizē intervences pasākumu īstenošanas laiku īpašajās ekonomiskajās zonās. Ar reformu izveido digitālo vienas pieturas aģentūru speciālajām ekonomiskajām zonām un stiprina Komisijas lomu.  </w:t>
      </w:r>
    </w:p>
    <w:p w14:paraId="249565ED" w14:textId="3FD4B6BF" w:rsidR="00C972CB" w:rsidRDefault="002457F6">
      <w:pPr>
        <w:pStyle w:val="P68B1DB1-Normal2"/>
        <w:spacing w:before="120" w:after="120"/>
        <w:jc w:val="both"/>
        <w:rPr>
          <w:noProof/>
        </w:rPr>
      </w:pPr>
      <w:r>
        <w:rPr>
          <w:noProof/>
        </w:rPr>
        <w:t>Ieguld</w:t>
      </w:r>
      <w:r>
        <w:rPr>
          <w:noProof/>
        </w:rPr>
        <w:t xml:space="preserve">ījums Nr. 4: Ieguldījumi infrastruktūrā speciālajās ekonomiskajās zonās (SEZ)  </w:t>
      </w:r>
    </w:p>
    <w:p w14:paraId="1273EC8C" w14:textId="77777777" w:rsidR="00C972CB" w:rsidRDefault="002457F6">
      <w:pPr>
        <w:spacing w:before="120" w:after="120"/>
        <w:jc w:val="both"/>
        <w:rPr>
          <w:noProof/>
        </w:rPr>
      </w:pPr>
      <w:r>
        <w:rPr>
          <w:noProof/>
        </w:rPr>
        <w:t>Šo investīciju mērķis ir nodrošināt SEZ ieviešanas reformas efektivitāti, izvairoties no turpmākas ekonomiskās attīstības aizkavēšanās dienvidu reģionos, kuros jau ir produktīv</w:t>
      </w:r>
      <w:r>
        <w:rPr>
          <w:noProof/>
        </w:rPr>
        <w:t xml:space="preserve">s pamats. </w:t>
      </w:r>
    </w:p>
    <w:p w14:paraId="04467A39" w14:textId="77777777" w:rsidR="00C972CB" w:rsidRDefault="002457F6">
      <w:pPr>
        <w:spacing w:before="120" w:after="120"/>
        <w:jc w:val="both"/>
        <w:rPr>
          <w:noProof/>
        </w:rPr>
      </w:pPr>
      <w:r>
        <w:rPr>
          <w:noProof/>
        </w:rPr>
        <w:t>Projektā iekļautie projekti veicina SEZ konkurētspēju un ekonomisko attīstību, veicot primāros urbanizācijas darbus, kā noteikts Itālijas tiesību aktos, un šo teritoriju savienošanu ar autoceļu un dzelzceļa tīkliem. Intervences pasākumu mērķis i</w:t>
      </w:r>
      <w:r>
        <w:rPr>
          <w:noProof/>
        </w:rPr>
        <w:t>r stimulēt uzņēmumus un uzņēmumus izvietot savas ražošanas darbības SEZ teritorijās. Paredzams, ka ieguldījumi infrastruktūrā būs saistīti ar “pēdējās jūdzes” savienojumiem ar ostām vai rūpniecības teritorijām; digitālā loģistika, urbanizācijas vai energoe</w:t>
      </w:r>
      <w:r>
        <w:rPr>
          <w:noProof/>
        </w:rPr>
        <w:t>fektivitātes darbi; ostu noturības stiprināšana.</w:t>
      </w:r>
    </w:p>
    <w:p w14:paraId="0B4C419D" w14:textId="77777777" w:rsidR="00C972CB" w:rsidRDefault="002457F6">
      <w:pPr>
        <w:spacing w:before="120" w:after="120"/>
        <w:jc w:val="both"/>
        <w:rPr>
          <w:i/>
          <w:noProof/>
          <w:color w:val="4F81BD" w:themeColor="accent1"/>
        </w:rPr>
      </w:pPr>
      <w:r>
        <w:rPr>
          <w:noProof/>
        </w:rPr>
        <w:t xml:space="preserve">Lai nodrošinātu, ka pasākums atbilst Tehniskajām vadlīnijām “Nenodari būtisku kaitējumu” (2021/C58/01), atbilstības kritērijos, kas ietverti darba uzdevumā turpmākajiem uzaicinājumiem iesniegt projektus, </w:t>
      </w:r>
      <w:r>
        <w:rPr>
          <w:noProof/>
        </w:rPr>
        <w:t>izslēdz šādu darbību sarakstu:</w:t>
      </w:r>
      <w:r>
        <w:rPr>
          <w:noProof/>
          <w:color w:val="FF0000"/>
        </w:rPr>
        <w:t xml:space="preserve"> darbības</w:t>
      </w:r>
      <w:r>
        <w:rPr>
          <w:noProof/>
        </w:rPr>
        <w:t>, kas saistītas ar fosilajiem kurināmajiem, tostarp pakārtota izmantošana</w:t>
      </w:r>
      <w:r>
        <w:rPr>
          <w:rStyle w:val="FootnoteReference"/>
          <w:noProof/>
        </w:rPr>
        <w:footnoteReference w:id="119"/>
      </w:r>
      <w:r>
        <w:rPr>
          <w:noProof/>
        </w:rPr>
        <w:t>; darbības ES emisijas kvotu tirdzniecības sistēmas (ETS) ietvaros, lai sasniegtu prognozētās siltumnīcefekta gāzu emisijas, kas nav zemākas pa</w:t>
      </w:r>
      <w:r>
        <w:rPr>
          <w:noProof/>
        </w:rPr>
        <w:t>r attiecīgajām līmeņatzīmēm</w:t>
      </w:r>
      <w:r>
        <w:rPr>
          <w:rStyle w:val="FootnoteReference"/>
          <w:noProof/>
        </w:rPr>
        <w:footnoteReference w:id="120"/>
      </w:r>
      <w:r>
        <w:rPr>
          <w:noProof/>
        </w:rPr>
        <w:t>; III) darbības, kas saistītas ar atkritumu poligoniem, atkritumu sadedzināšanas iekārtām</w:t>
      </w:r>
      <w:r>
        <w:rPr>
          <w:rStyle w:val="FootnoteReference"/>
          <w:noProof/>
        </w:rPr>
        <w:footnoteReference w:id="121"/>
      </w:r>
      <w:r>
        <w:rPr>
          <w:noProof/>
        </w:rPr>
        <w:t xml:space="preserve"> un mehāniski bioloģiskās apstrādes iekārtām</w:t>
      </w:r>
      <w:r>
        <w:rPr>
          <w:rStyle w:val="FootnoteReference"/>
          <w:noProof/>
        </w:rPr>
        <w:footnoteReference w:id="122"/>
      </w:r>
      <w:r>
        <w:rPr>
          <w:noProof/>
        </w:rPr>
        <w:t>; un iv) darbības, kurās atkritumu ilgtermiņa apglabāšana var radīt kaitējumu videi. Darba uz</w:t>
      </w:r>
      <w:r>
        <w:rPr>
          <w:noProof/>
        </w:rPr>
        <w:t>devumā papildus nosaka, ka var atlasīt tikai tās darbības, kas atbilst attiecīgajiem ES un valsts tiesību aktiem vides jomā.</w:t>
      </w:r>
      <w:r>
        <w:rPr>
          <w:i/>
          <w:noProof/>
          <w:color w:val="4F81BD" w:themeColor="accent1"/>
        </w:rPr>
        <w:t xml:space="preserve"> </w:t>
      </w:r>
    </w:p>
    <w:p w14:paraId="077DE347" w14:textId="77777777" w:rsidR="00C972CB" w:rsidRDefault="00C972CB">
      <w:pPr>
        <w:spacing w:before="120" w:after="120"/>
        <w:ind w:left="709"/>
        <w:contextualSpacing/>
        <w:jc w:val="both"/>
        <w:rPr>
          <w:noProof/>
        </w:rPr>
        <w:sectPr w:rsidR="00C972CB" w:rsidSect="000D3774">
          <w:headerReference w:type="even" r:id="rId338"/>
          <w:headerReference w:type="default" r:id="rId339"/>
          <w:footerReference w:type="even" r:id="rId340"/>
          <w:footerReference w:type="default" r:id="rId341"/>
          <w:headerReference w:type="first" r:id="rId342"/>
          <w:footerReference w:type="first" r:id="rId343"/>
          <w:pgSz w:w="11907" w:h="16839"/>
          <w:pgMar w:top="1134" w:right="1417" w:bottom="1134" w:left="1417" w:header="709" w:footer="709" w:gutter="0"/>
          <w:cols w:space="720"/>
          <w:docGrid w:linePitch="360"/>
        </w:sectPr>
      </w:pPr>
    </w:p>
    <w:p w14:paraId="758C1322" w14:textId="77777777" w:rsidR="00C972CB" w:rsidRDefault="002457F6">
      <w:pPr>
        <w:pStyle w:val="Heading3"/>
        <w:numPr>
          <w:ilvl w:val="0"/>
          <w:numId w:val="0"/>
        </w:numPr>
        <w:ind w:left="850" w:hanging="850"/>
        <w:rPr>
          <w:b/>
          <w:i w:val="0"/>
          <w:noProof/>
          <w:u w:val="single"/>
        </w:rPr>
      </w:pPr>
      <w:r>
        <w:rPr>
          <w:b/>
          <w:i w:val="0"/>
          <w:noProof/>
          <w:u w:val="single"/>
        </w:rPr>
        <w:t xml:space="preserve">N.4. </w:t>
      </w:r>
      <w:r>
        <w:rPr>
          <w:noProof/>
        </w:rPr>
        <w:tab/>
      </w:r>
      <w:r>
        <w:rPr>
          <w:b/>
          <w:i w:val="0"/>
          <w:noProof/>
          <w:u w:val="single"/>
        </w:rPr>
        <w:t>Atskaites punkti, mērķrādītāji, citi rādītāji un aizdevuma uzraud</w:t>
      </w:r>
      <w:r>
        <w:rPr>
          <w:b/>
          <w:i w:val="0"/>
          <w:noProof/>
          <w:u w:val="single"/>
        </w:rPr>
        <w:t xml:space="preserve">zības un īstenošanas grafiks </w:t>
      </w:r>
    </w:p>
    <w:tbl>
      <w:tblPr>
        <w:tblW w:w="15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666"/>
        <w:gridCol w:w="1775"/>
        <w:gridCol w:w="1559"/>
        <w:gridCol w:w="1701"/>
        <w:gridCol w:w="1417"/>
        <w:gridCol w:w="1420"/>
        <w:gridCol w:w="1201"/>
        <w:gridCol w:w="1027"/>
        <w:gridCol w:w="709"/>
        <w:gridCol w:w="2595"/>
      </w:tblGrid>
      <w:tr w:rsidR="00C972CB" w14:paraId="2F8C448A" w14:textId="77777777">
        <w:trPr>
          <w:trHeight w:val="939"/>
          <w:tblHeader/>
        </w:trPr>
        <w:tc>
          <w:tcPr>
            <w:tcW w:w="1419" w:type="dxa"/>
            <w:vMerge w:val="restart"/>
            <w:shd w:val="clear" w:color="auto" w:fill="BDD7EE"/>
            <w:vAlign w:val="center"/>
            <w:hideMark/>
          </w:tcPr>
          <w:p w14:paraId="736D556E" w14:textId="77777777" w:rsidR="00C972CB" w:rsidRDefault="002457F6">
            <w:pPr>
              <w:pStyle w:val="P68B1DB1-Normal9"/>
              <w:jc w:val="center"/>
              <w:rPr>
                <w:rFonts w:eastAsiaTheme="minorEastAsia"/>
                <w:noProof/>
              </w:rPr>
            </w:pPr>
            <w:r>
              <w:rPr>
                <w:noProof/>
              </w:rPr>
              <w:t>Kārtas numurs</w:t>
            </w:r>
          </w:p>
        </w:tc>
        <w:tc>
          <w:tcPr>
            <w:tcW w:w="1666" w:type="dxa"/>
            <w:vMerge w:val="restart"/>
            <w:shd w:val="clear" w:color="auto" w:fill="BDD7EE"/>
            <w:vAlign w:val="center"/>
            <w:hideMark/>
          </w:tcPr>
          <w:p w14:paraId="4473515D" w14:textId="77777777" w:rsidR="00C972CB" w:rsidRDefault="002457F6">
            <w:pPr>
              <w:pStyle w:val="P68B1DB1-Normal9"/>
              <w:jc w:val="center"/>
              <w:rPr>
                <w:rFonts w:eastAsiaTheme="minorEastAsia"/>
                <w:noProof/>
              </w:rPr>
            </w:pPr>
            <w:r>
              <w:rPr>
                <w:noProof/>
              </w:rPr>
              <w:t>Pasākums (reforma vai investīcija)</w:t>
            </w:r>
          </w:p>
        </w:tc>
        <w:tc>
          <w:tcPr>
            <w:tcW w:w="1169" w:type="dxa"/>
            <w:vMerge w:val="restart"/>
            <w:shd w:val="clear" w:color="auto" w:fill="BDD7EE"/>
            <w:vAlign w:val="center"/>
            <w:hideMark/>
          </w:tcPr>
          <w:p w14:paraId="17052A57" w14:textId="77777777" w:rsidR="00C972CB" w:rsidRDefault="002457F6">
            <w:pPr>
              <w:pStyle w:val="P68B1DB1-Normal9"/>
              <w:jc w:val="center"/>
              <w:rPr>
                <w:rFonts w:eastAsiaTheme="minorEastAsia"/>
                <w:noProof/>
              </w:rPr>
            </w:pPr>
            <w:r>
              <w:rPr>
                <w:noProof/>
              </w:rPr>
              <w:t>Atskaites punkts/mērķrādītājs</w:t>
            </w:r>
          </w:p>
        </w:tc>
        <w:tc>
          <w:tcPr>
            <w:tcW w:w="1559" w:type="dxa"/>
            <w:vMerge w:val="restart"/>
            <w:shd w:val="clear" w:color="auto" w:fill="BDD7EE"/>
            <w:vAlign w:val="center"/>
            <w:hideMark/>
          </w:tcPr>
          <w:p w14:paraId="3C35FF02" w14:textId="77777777" w:rsidR="00C972CB" w:rsidRDefault="002457F6">
            <w:pPr>
              <w:pStyle w:val="P68B1DB1-Normal9"/>
              <w:jc w:val="center"/>
              <w:rPr>
                <w:rFonts w:eastAsiaTheme="minorEastAsia"/>
                <w:noProof/>
              </w:rPr>
            </w:pPr>
            <w:r>
              <w:rPr>
                <w:noProof/>
              </w:rPr>
              <w:t>Uzvārds</w:t>
            </w:r>
          </w:p>
        </w:tc>
        <w:tc>
          <w:tcPr>
            <w:tcW w:w="1701" w:type="dxa"/>
            <w:vMerge w:val="restart"/>
            <w:shd w:val="clear" w:color="auto" w:fill="BDD7EE"/>
            <w:vAlign w:val="center"/>
            <w:hideMark/>
          </w:tcPr>
          <w:p w14:paraId="7E84BA6D" w14:textId="77777777" w:rsidR="00C972CB" w:rsidRDefault="002457F6">
            <w:pPr>
              <w:pStyle w:val="P68B1DB1-Normal19"/>
              <w:jc w:val="center"/>
              <w:rPr>
                <w:rFonts w:eastAsiaTheme="minorEastAsia"/>
                <w:b/>
                <w:noProof/>
              </w:rPr>
            </w:pPr>
            <w:r>
              <w:rPr>
                <w:b/>
                <w:noProof/>
              </w:rPr>
              <w:t>Kvalitātes rādītāji</w:t>
            </w:r>
            <w:r>
              <w:rPr>
                <w:noProof/>
              </w:rPr>
              <w:t xml:space="preserve"> </w:t>
            </w:r>
            <w:r>
              <w:rPr>
                <w:noProof/>
              </w:rPr>
              <w:br/>
            </w:r>
            <w:r>
              <w:rPr>
                <w:b/>
                <w:noProof/>
              </w:rPr>
              <w:t>(attiecībā uz starpposma mērķiem)</w:t>
            </w:r>
          </w:p>
        </w:tc>
        <w:tc>
          <w:tcPr>
            <w:tcW w:w="3544" w:type="dxa"/>
            <w:gridSpan w:val="3"/>
            <w:shd w:val="clear" w:color="auto" w:fill="BDD7EE"/>
            <w:vAlign w:val="center"/>
            <w:hideMark/>
          </w:tcPr>
          <w:p w14:paraId="44F0EB79" w14:textId="77777777" w:rsidR="00C972CB" w:rsidRDefault="002457F6">
            <w:pPr>
              <w:pStyle w:val="P68B1DB1-Normal19"/>
              <w:jc w:val="center"/>
              <w:rPr>
                <w:rFonts w:eastAsiaTheme="minorEastAsia"/>
                <w:b/>
                <w:noProof/>
              </w:rPr>
            </w:pPr>
            <w:r>
              <w:rPr>
                <w:b/>
                <w:noProof/>
              </w:rPr>
              <w:t>Kvantitatīvie rādītāji</w:t>
            </w:r>
            <w:r>
              <w:rPr>
                <w:noProof/>
              </w:rPr>
              <w:t xml:space="preserve"> </w:t>
            </w:r>
            <w:r>
              <w:rPr>
                <w:noProof/>
              </w:rPr>
              <w:br/>
            </w:r>
            <w:r>
              <w:rPr>
                <w:b/>
                <w:noProof/>
              </w:rPr>
              <w:t>(mērķiem)</w:t>
            </w:r>
          </w:p>
        </w:tc>
        <w:tc>
          <w:tcPr>
            <w:tcW w:w="1701" w:type="dxa"/>
            <w:gridSpan w:val="2"/>
            <w:shd w:val="clear" w:color="auto" w:fill="BDD7EE"/>
            <w:vAlign w:val="center"/>
            <w:hideMark/>
          </w:tcPr>
          <w:p w14:paraId="69864ECE" w14:textId="77777777" w:rsidR="00C972CB" w:rsidRDefault="002457F6">
            <w:pPr>
              <w:pStyle w:val="P68B1DB1-Normal9"/>
              <w:jc w:val="center"/>
              <w:rPr>
                <w:rFonts w:eastAsiaTheme="minorEastAsia"/>
                <w:noProof/>
              </w:rPr>
            </w:pPr>
            <w:r>
              <w:rPr>
                <w:noProof/>
              </w:rPr>
              <w:t>Orientējošs pabeigšanas termiņš</w:t>
            </w:r>
          </w:p>
        </w:tc>
        <w:tc>
          <w:tcPr>
            <w:tcW w:w="2595" w:type="dxa"/>
            <w:vMerge w:val="restart"/>
            <w:shd w:val="clear" w:color="auto" w:fill="BDD7EE"/>
            <w:vAlign w:val="center"/>
            <w:hideMark/>
          </w:tcPr>
          <w:p w14:paraId="608A2A79" w14:textId="77777777" w:rsidR="00C972CB" w:rsidRDefault="002457F6">
            <w:pPr>
              <w:pStyle w:val="P68B1DB1-Normal9"/>
              <w:jc w:val="center"/>
              <w:rPr>
                <w:rFonts w:eastAsiaTheme="minorEastAsia"/>
                <w:noProof/>
              </w:rPr>
            </w:pPr>
            <w:r>
              <w:rPr>
                <w:noProof/>
              </w:rPr>
              <w:t>Apraksts par katru</w:t>
            </w:r>
            <w:r>
              <w:rPr>
                <w:noProof/>
              </w:rPr>
              <w:t xml:space="preserve"> atskaites punktu un mērķrādītāju</w:t>
            </w:r>
          </w:p>
        </w:tc>
      </w:tr>
      <w:tr w:rsidR="00C972CB" w14:paraId="2A285183" w14:textId="77777777">
        <w:trPr>
          <w:trHeight w:val="741"/>
        </w:trPr>
        <w:tc>
          <w:tcPr>
            <w:tcW w:w="1419" w:type="dxa"/>
            <w:vMerge/>
            <w:vAlign w:val="center"/>
            <w:hideMark/>
          </w:tcPr>
          <w:p w14:paraId="332E4125" w14:textId="77777777" w:rsidR="00C972CB" w:rsidRDefault="00C972CB">
            <w:pPr>
              <w:jc w:val="center"/>
              <w:rPr>
                <w:rFonts w:ascii="Arial Narrow" w:eastAsiaTheme="minorEastAsia" w:hAnsi="Arial Narrow"/>
                <w:b/>
                <w:noProof/>
                <w:sz w:val="20"/>
              </w:rPr>
            </w:pPr>
          </w:p>
        </w:tc>
        <w:tc>
          <w:tcPr>
            <w:tcW w:w="1666" w:type="dxa"/>
            <w:vMerge/>
            <w:vAlign w:val="center"/>
            <w:hideMark/>
          </w:tcPr>
          <w:p w14:paraId="1085E835" w14:textId="77777777" w:rsidR="00C972CB" w:rsidRDefault="00C972CB">
            <w:pPr>
              <w:jc w:val="center"/>
              <w:rPr>
                <w:rFonts w:ascii="Arial Narrow" w:eastAsiaTheme="minorEastAsia" w:hAnsi="Arial Narrow"/>
                <w:b/>
                <w:noProof/>
                <w:sz w:val="20"/>
              </w:rPr>
            </w:pPr>
          </w:p>
        </w:tc>
        <w:tc>
          <w:tcPr>
            <w:tcW w:w="1169" w:type="dxa"/>
            <w:vMerge/>
            <w:vAlign w:val="center"/>
            <w:hideMark/>
          </w:tcPr>
          <w:p w14:paraId="7C2A02D5" w14:textId="77777777" w:rsidR="00C972CB" w:rsidRDefault="00C972CB">
            <w:pPr>
              <w:jc w:val="center"/>
              <w:rPr>
                <w:rFonts w:ascii="Arial Narrow" w:eastAsiaTheme="minorEastAsia" w:hAnsi="Arial Narrow"/>
                <w:b/>
                <w:noProof/>
                <w:sz w:val="20"/>
              </w:rPr>
            </w:pPr>
          </w:p>
        </w:tc>
        <w:tc>
          <w:tcPr>
            <w:tcW w:w="1559" w:type="dxa"/>
            <w:vMerge/>
            <w:vAlign w:val="center"/>
            <w:hideMark/>
          </w:tcPr>
          <w:p w14:paraId="72BB8D74" w14:textId="77777777" w:rsidR="00C972CB" w:rsidRDefault="00C972CB">
            <w:pPr>
              <w:jc w:val="center"/>
              <w:rPr>
                <w:rFonts w:ascii="Arial Narrow" w:eastAsiaTheme="minorEastAsia" w:hAnsi="Arial Narrow"/>
                <w:b/>
                <w:noProof/>
                <w:sz w:val="20"/>
              </w:rPr>
            </w:pPr>
          </w:p>
        </w:tc>
        <w:tc>
          <w:tcPr>
            <w:tcW w:w="1701" w:type="dxa"/>
            <w:vMerge/>
            <w:vAlign w:val="center"/>
            <w:hideMark/>
          </w:tcPr>
          <w:p w14:paraId="202E8085" w14:textId="77777777" w:rsidR="00C972CB" w:rsidRDefault="00C972CB">
            <w:pPr>
              <w:jc w:val="center"/>
              <w:rPr>
                <w:rFonts w:ascii="Arial Narrow" w:eastAsiaTheme="minorEastAsia" w:hAnsi="Arial Narrow"/>
                <w:b/>
                <w:noProof/>
                <w:sz w:val="20"/>
              </w:rPr>
            </w:pPr>
          </w:p>
        </w:tc>
        <w:tc>
          <w:tcPr>
            <w:tcW w:w="1417" w:type="dxa"/>
            <w:shd w:val="clear" w:color="auto" w:fill="BDD7EE"/>
            <w:vAlign w:val="center"/>
            <w:hideMark/>
          </w:tcPr>
          <w:p w14:paraId="33053F04" w14:textId="77777777" w:rsidR="00C972CB" w:rsidRDefault="002457F6">
            <w:pPr>
              <w:pStyle w:val="P68B1DB1-Normal9"/>
              <w:jc w:val="center"/>
              <w:rPr>
                <w:rFonts w:eastAsiaTheme="minorEastAsia"/>
                <w:noProof/>
              </w:rPr>
            </w:pPr>
            <w:r>
              <w:rPr>
                <w:noProof/>
              </w:rPr>
              <w:t>Mēra vienība</w:t>
            </w:r>
          </w:p>
        </w:tc>
        <w:tc>
          <w:tcPr>
            <w:tcW w:w="1134" w:type="dxa"/>
            <w:shd w:val="clear" w:color="auto" w:fill="BDD7EE"/>
            <w:vAlign w:val="center"/>
            <w:hideMark/>
          </w:tcPr>
          <w:p w14:paraId="6B4F47FB" w14:textId="77777777" w:rsidR="00C972CB" w:rsidRDefault="002457F6">
            <w:pPr>
              <w:pStyle w:val="P68B1DB1-Normal9"/>
              <w:jc w:val="center"/>
              <w:rPr>
                <w:rFonts w:eastAsiaTheme="minorEastAsia"/>
                <w:noProof/>
              </w:rPr>
            </w:pPr>
            <w:r>
              <w:rPr>
                <w:noProof/>
              </w:rPr>
              <w:t>Pamatscenārijs</w:t>
            </w:r>
          </w:p>
        </w:tc>
        <w:tc>
          <w:tcPr>
            <w:tcW w:w="993" w:type="dxa"/>
            <w:shd w:val="clear" w:color="auto" w:fill="BDD7EE"/>
            <w:vAlign w:val="center"/>
            <w:hideMark/>
          </w:tcPr>
          <w:p w14:paraId="5B89459E" w14:textId="77777777" w:rsidR="00C972CB" w:rsidRDefault="002457F6">
            <w:pPr>
              <w:pStyle w:val="P68B1DB1-Normal9"/>
              <w:jc w:val="center"/>
              <w:rPr>
                <w:rFonts w:eastAsiaTheme="minorEastAsia"/>
                <w:noProof/>
              </w:rPr>
            </w:pPr>
            <w:r>
              <w:rPr>
                <w:noProof/>
              </w:rPr>
              <w:t>Mērķis</w:t>
            </w:r>
          </w:p>
        </w:tc>
        <w:tc>
          <w:tcPr>
            <w:tcW w:w="992" w:type="dxa"/>
            <w:shd w:val="clear" w:color="auto" w:fill="BDD7EE"/>
            <w:vAlign w:val="center"/>
            <w:hideMark/>
          </w:tcPr>
          <w:p w14:paraId="3C40ABB8" w14:textId="77777777" w:rsidR="00C972CB" w:rsidRDefault="002457F6">
            <w:pPr>
              <w:pStyle w:val="P68B1DB1-Normal9"/>
              <w:jc w:val="center"/>
              <w:rPr>
                <w:rFonts w:eastAsiaTheme="minorEastAsia"/>
                <w:noProof/>
              </w:rPr>
            </w:pPr>
            <w:r>
              <w:rPr>
                <w:noProof/>
              </w:rPr>
              <w:t>Ceturtdaļa</w:t>
            </w:r>
          </w:p>
        </w:tc>
        <w:tc>
          <w:tcPr>
            <w:tcW w:w="709" w:type="dxa"/>
            <w:shd w:val="clear" w:color="auto" w:fill="BDD7EE"/>
            <w:vAlign w:val="center"/>
            <w:hideMark/>
          </w:tcPr>
          <w:p w14:paraId="18088C36" w14:textId="77777777" w:rsidR="00C972CB" w:rsidRDefault="002457F6">
            <w:pPr>
              <w:pStyle w:val="P68B1DB1-Normal9"/>
              <w:jc w:val="center"/>
              <w:rPr>
                <w:rFonts w:eastAsiaTheme="minorEastAsia"/>
                <w:noProof/>
              </w:rPr>
            </w:pPr>
            <w:r>
              <w:rPr>
                <w:noProof/>
              </w:rPr>
              <w:t>Gadā</w:t>
            </w:r>
          </w:p>
        </w:tc>
        <w:tc>
          <w:tcPr>
            <w:tcW w:w="2595" w:type="dxa"/>
            <w:vMerge/>
            <w:vAlign w:val="center"/>
            <w:hideMark/>
          </w:tcPr>
          <w:p w14:paraId="1AF7A958" w14:textId="77777777" w:rsidR="00C972CB" w:rsidRDefault="00C972CB">
            <w:pPr>
              <w:jc w:val="center"/>
              <w:rPr>
                <w:rFonts w:ascii="Arial Narrow" w:eastAsiaTheme="minorEastAsia" w:hAnsi="Arial Narrow"/>
                <w:b/>
                <w:noProof/>
                <w:sz w:val="20"/>
              </w:rPr>
            </w:pPr>
          </w:p>
        </w:tc>
      </w:tr>
      <w:tr w:rsidR="00C972CB" w14:paraId="22E1DB7C" w14:textId="77777777">
        <w:trPr>
          <w:trHeight w:val="313"/>
        </w:trPr>
        <w:tc>
          <w:tcPr>
            <w:tcW w:w="1419" w:type="dxa"/>
            <w:shd w:val="clear" w:color="auto" w:fill="C6EFCE"/>
            <w:noWrap/>
            <w:vAlign w:val="center"/>
          </w:tcPr>
          <w:p w14:paraId="1347A528" w14:textId="54BD9F4D" w:rsidR="00C972CB" w:rsidRDefault="002457F6">
            <w:pPr>
              <w:pStyle w:val="P68B1DB1-Normal11"/>
              <w:jc w:val="center"/>
              <w:rPr>
                <w:rFonts w:eastAsiaTheme="minorEastAsia"/>
                <w:noProof/>
              </w:rPr>
            </w:pPr>
            <w:r>
              <w:rPr>
                <w:noProof/>
              </w:rPr>
              <w:t>M5C3–10</w:t>
            </w:r>
          </w:p>
        </w:tc>
        <w:tc>
          <w:tcPr>
            <w:tcW w:w="1666" w:type="dxa"/>
            <w:shd w:val="clear" w:color="auto" w:fill="C6EFCE"/>
            <w:noWrap/>
            <w:vAlign w:val="center"/>
            <w:hideMark/>
          </w:tcPr>
          <w:p w14:paraId="59A31D6A" w14:textId="27CCFAC9" w:rsidR="00C972CB" w:rsidRDefault="002457F6">
            <w:pPr>
              <w:pStyle w:val="P68B1DB1-Normal11"/>
              <w:jc w:val="center"/>
              <w:rPr>
                <w:rFonts w:eastAsiaTheme="minorEastAsia"/>
                <w:noProof/>
              </w:rPr>
            </w:pPr>
            <w:r>
              <w:rPr>
                <w:noProof/>
              </w:rPr>
              <w:t>Reforma1: Procedūru vienkāršošana un komisāra stiprināšana speciālajās ekonomiskajās zonās</w:t>
            </w:r>
          </w:p>
        </w:tc>
        <w:tc>
          <w:tcPr>
            <w:tcW w:w="1169" w:type="dxa"/>
            <w:shd w:val="clear" w:color="auto" w:fill="C6EFCE"/>
            <w:noWrap/>
            <w:vAlign w:val="center"/>
            <w:hideMark/>
          </w:tcPr>
          <w:p w14:paraId="61AC5E39" w14:textId="77777777" w:rsidR="00C972CB" w:rsidRDefault="002457F6">
            <w:pPr>
              <w:pStyle w:val="P68B1DB1-Normal11"/>
              <w:jc w:val="center"/>
              <w:rPr>
                <w:rFonts w:eastAsiaTheme="minorEastAsia"/>
                <w:noProof/>
              </w:rPr>
            </w:pPr>
            <w:r>
              <w:rPr>
                <w:noProof/>
              </w:rPr>
              <w:t>Starpposma mērķis</w:t>
            </w:r>
          </w:p>
        </w:tc>
        <w:tc>
          <w:tcPr>
            <w:tcW w:w="1559" w:type="dxa"/>
            <w:shd w:val="clear" w:color="auto" w:fill="C6EFCE"/>
            <w:noWrap/>
            <w:vAlign w:val="center"/>
            <w:hideMark/>
          </w:tcPr>
          <w:p w14:paraId="2CA78E12" w14:textId="2FA4A66B" w:rsidR="00C972CB" w:rsidRDefault="002457F6">
            <w:pPr>
              <w:pStyle w:val="P68B1DB1-Normal11"/>
              <w:jc w:val="center"/>
              <w:rPr>
                <w:rFonts w:eastAsiaTheme="minorEastAsia"/>
                <w:noProof/>
              </w:rPr>
            </w:pPr>
            <w:r>
              <w:rPr>
                <w:noProof/>
              </w:rPr>
              <w:t>Regulas stāšanās spēkā, lai vienkārši noteiktu</w:t>
            </w:r>
            <w:r>
              <w:rPr>
                <w:noProof/>
              </w:rPr>
              <w:t xml:space="preserve"> procedūras un stiprinātu komisāra lomu īpašajās ekonomiskajās zonās</w:t>
            </w:r>
          </w:p>
        </w:tc>
        <w:tc>
          <w:tcPr>
            <w:tcW w:w="1701" w:type="dxa"/>
            <w:shd w:val="clear" w:color="auto" w:fill="C6EFCE"/>
            <w:noWrap/>
            <w:vAlign w:val="center"/>
            <w:hideMark/>
          </w:tcPr>
          <w:p w14:paraId="33020874" w14:textId="0D964F2E" w:rsidR="00C972CB" w:rsidRDefault="002457F6">
            <w:pPr>
              <w:pStyle w:val="P68B1DB1-Normal11"/>
              <w:jc w:val="center"/>
              <w:rPr>
                <w:rFonts w:eastAsiaTheme="minorEastAsia"/>
                <w:noProof/>
              </w:rPr>
            </w:pPr>
            <w:r>
              <w:rPr>
                <w:noProof/>
              </w:rPr>
              <w:t>Regulas noteikums par regulas stāšanos spēkā, lai vienkārši noteiktu procedūras un stiprinātu komisāra lomu īpašajās ekonomiskajās zonās</w:t>
            </w:r>
          </w:p>
        </w:tc>
        <w:tc>
          <w:tcPr>
            <w:tcW w:w="1417" w:type="dxa"/>
            <w:shd w:val="clear" w:color="auto" w:fill="C6EFCE"/>
            <w:noWrap/>
            <w:vAlign w:val="center"/>
          </w:tcPr>
          <w:p w14:paraId="700B21A7"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761709DD" w14:textId="77777777" w:rsidR="00C972CB" w:rsidRDefault="002457F6">
            <w:pPr>
              <w:pStyle w:val="P68B1DB1-Normal11"/>
              <w:jc w:val="center"/>
              <w:rPr>
                <w:noProof/>
              </w:rPr>
            </w:pPr>
            <w:r>
              <w:rPr>
                <w:noProof/>
              </w:rPr>
              <w:t>NEPIEMĒRO</w:t>
            </w:r>
          </w:p>
        </w:tc>
        <w:tc>
          <w:tcPr>
            <w:tcW w:w="993" w:type="dxa"/>
            <w:shd w:val="clear" w:color="auto" w:fill="C6EFCE"/>
            <w:noWrap/>
            <w:vAlign w:val="center"/>
          </w:tcPr>
          <w:p w14:paraId="6CE24969" w14:textId="77777777" w:rsidR="00C972CB" w:rsidRDefault="002457F6">
            <w:pPr>
              <w:pStyle w:val="P68B1DB1-Normal11"/>
              <w:jc w:val="center"/>
              <w:rPr>
                <w:noProof/>
              </w:rPr>
            </w:pPr>
            <w:r>
              <w:rPr>
                <w:noProof/>
              </w:rPr>
              <w:t>NEPIEMĒRO</w:t>
            </w:r>
          </w:p>
        </w:tc>
        <w:tc>
          <w:tcPr>
            <w:tcW w:w="992" w:type="dxa"/>
            <w:shd w:val="clear" w:color="auto" w:fill="C6EFCE"/>
            <w:noWrap/>
            <w:vAlign w:val="center"/>
            <w:hideMark/>
          </w:tcPr>
          <w:p w14:paraId="4027312A" w14:textId="77777777" w:rsidR="00C972CB" w:rsidRDefault="002457F6">
            <w:pPr>
              <w:pStyle w:val="P68B1DB1-Normal11"/>
              <w:jc w:val="center"/>
              <w:rPr>
                <w:rFonts w:eastAsiaTheme="minorEastAsia"/>
                <w:noProof/>
              </w:rPr>
            </w:pPr>
            <w:r>
              <w:rPr>
                <w:noProof/>
              </w:rPr>
              <w:t>4. CET.</w:t>
            </w:r>
          </w:p>
        </w:tc>
        <w:tc>
          <w:tcPr>
            <w:tcW w:w="709" w:type="dxa"/>
            <w:shd w:val="clear" w:color="auto" w:fill="C6EFCE"/>
            <w:noWrap/>
            <w:vAlign w:val="center"/>
            <w:hideMark/>
          </w:tcPr>
          <w:p w14:paraId="3A95E104" w14:textId="77777777" w:rsidR="00C972CB" w:rsidRDefault="002457F6">
            <w:pPr>
              <w:pStyle w:val="P68B1DB1-Normal11"/>
              <w:rPr>
                <w:rFonts w:eastAsiaTheme="minorEastAsia"/>
                <w:noProof/>
              </w:rPr>
            </w:pPr>
            <w:r>
              <w:rPr>
                <w:noProof/>
              </w:rPr>
              <w:t>2021</w:t>
            </w:r>
          </w:p>
        </w:tc>
        <w:tc>
          <w:tcPr>
            <w:tcW w:w="2595" w:type="dxa"/>
            <w:shd w:val="clear" w:color="auto" w:fill="C6EFCE"/>
            <w:noWrap/>
            <w:vAlign w:val="center"/>
            <w:hideMark/>
          </w:tcPr>
          <w:p w14:paraId="22E6183E" w14:textId="77777777" w:rsidR="00C972CB" w:rsidRDefault="002457F6">
            <w:pPr>
              <w:pStyle w:val="P68B1DB1-Normal11"/>
              <w:rPr>
                <w:noProof/>
              </w:rPr>
            </w:pPr>
            <w:r>
              <w:rPr>
                <w:noProof/>
              </w:rPr>
              <w:t xml:space="preserve">Regulā </w:t>
            </w:r>
            <w:r>
              <w:rPr>
                <w:noProof/>
              </w:rPr>
              <w:t>iekļauj: Eiropas</w:t>
            </w:r>
          </w:p>
          <w:p w14:paraId="703CC86E" w14:textId="1BCB92A6" w:rsidR="00C972CB" w:rsidRDefault="002457F6">
            <w:pPr>
              <w:pStyle w:val="P68B1DB1-Normal11"/>
              <w:rPr>
                <w:noProof/>
              </w:rPr>
            </w:pPr>
            <w:r>
              <w:rPr>
                <w:noProof/>
              </w:rPr>
              <w:t>digitālās vienas pieturas aģentūras izveide speciālajām ekonomiskajām zonām, lai vienkāršotu procedūras; noteikumi par komisāra lomas stiprināšanu ZES.</w:t>
            </w:r>
          </w:p>
          <w:p w14:paraId="66E20FDB" w14:textId="77777777" w:rsidR="00C972CB" w:rsidRDefault="002457F6">
            <w:pPr>
              <w:pStyle w:val="P68B1DB1-Normal11"/>
              <w:rPr>
                <w:noProof/>
              </w:rPr>
            </w:pPr>
            <w:r>
              <w:rPr>
                <w:noProof/>
              </w:rPr>
              <w:t xml:space="preserve"> </w:t>
            </w:r>
          </w:p>
          <w:p w14:paraId="098733FB" w14:textId="77777777" w:rsidR="00C972CB" w:rsidRDefault="002457F6">
            <w:pPr>
              <w:pStyle w:val="P68B1DB1-Normal11"/>
              <w:rPr>
                <w:rFonts w:eastAsiaTheme="minorEastAsia"/>
                <w:noProof/>
              </w:rPr>
            </w:pPr>
            <w:r>
              <w:rPr>
                <w:noProof/>
              </w:rPr>
              <w:t>Īpašās ekonomiskās zonas ir īpašas jomas, kas noteiktas Dekrētlikumā Nr. 91/2017 (pub</w:t>
            </w:r>
            <w:r>
              <w:rPr>
                <w:noProof/>
              </w:rPr>
              <w:t>likācija Oficiālajā Vēstnesī Nr. 141/2017), kas pārveidots par likumu ar L. 123/2017 (publicēts Oficiālajā Vēstnesī Mezzogiorno 188/2017).</w:t>
            </w:r>
          </w:p>
        </w:tc>
      </w:tr>
      <w:tr w:rsidR="00C972CB" w14:paraId="1D3F218D" w14:textId="77777777">
        <w:trPr>
          <w:trHeight w:val="313"/>
        </w:trPr>
        <w:tc>
          <w:tcPr>
            <w:tcW w:w="1419" w:type="dxa"/>
            <w:shd w:val="clear" w:color="auto" w:fill="C6EFCE"/>
            <w:noWrap/>
            <w:vAlign w:val="center"/>
            <w:hideMark/>
          </w:tcPr>
          <w:p w14:paraId="4DADD978" w14:textId="77777777" w:rsidR="00C972CB" w:rsidRDefault="002457F6">
            <w:pPr>
              <w:pStyle w:val="P68B1DB1-Normal11"/>
              <w:jc w:val="center"/>
              <w:rPr>
                <w:rFonts w:eastAsiaTheme="minorEastAsia"/>
                <w:noProof/>
              </w:rPr>
            </w:pPr>
            <w:r>
              <w:rPr>
                <w:noProof/>
              </w:rPr>
              <w:t>M5C3–11</w:t>
            </w:r>
          </w:p>
        </w:tc>
        <w:tc>
          <w:tcPr>
            <w:tcW w:w="1666" w:type="dxa"/>
            <w:shd w:val="clear" w:color="auto" w:fill="C6EFCE"/>
            <w:noWrap/>
            <w:vAlign w:val="center"/>
            <w:hideMark/>
          </w:tcPr>
          <w:p w14:paraId="217CBDFE" w14:textId="77777777" w:rsidR="00C972CB" w:rsidRDefault="002457F6">
            <w:pPr>
              <w:pStyle w:val="P68B1DB1-Normal11"/>
              <w:jc w:val="center"/>
              <w:rPr>
                <w:rFonts w:eastAsiaTheme="minorEastAsia"/>
                <w:noProof/>
              </w:rPr>
            </w:pPr>
            <w:r>
              <w:rPr>
                <w:noProof/>
              </w:rPr>
              <w:t>Ieguldījums 1.4.: Ieguldījumi infrastruktūrā speciālajā ekonomiskajā zonā</w:t>
            </w:r>
            <w:r>
              <w:rPr>
                <w:noProof/>
                <w:shd w:val="clear" w:color="auto" w:fill="E6E6E6"/>
              </w:rPr>
              <w:t xml:space="preserve"> </w:t>
            </w:r>
          </w:p>
        </w:tc>
        <w:tc>
          <w:tcPr>
            <w:tcW w:w="1169" w:type="dxa"/>
            <w:shd w:val="clear" w:color="auto" w:fill="C6EFCE"/>
            <w:noWrap/>
            <w:vAlign w:val="center"/>
            <w:hideMark/>
          </w:tcPr>
          <w:p w14:paraId="4991743E" w14:textId="77777777" w:rsidR="00C972CB" w:rsidRDefault="002457F6">
            <w:pPr>
              <w:pStyle w:val="P68B1DB1-Normal11"/>
              <w:jc w:val="center"/>
              <w:rPr>
                <w:rFonts w:eastAsiaTheme="minorEastAsia"/>
                <w:noProof/>
              </w:rPr>
            </w:pPr>
            <w:r>
              <w:rPr>
                <w:noProof/>
              </w:rPr>
              <w:t>Starpposma mērķis</w:t>
            </w:r>
          </w:p>
        </w:tc>
        <w:tc>
          <w:tcPr>
            <w:tcW w:w="1559" w:type="dxa"/>
            <w:shd w:val="clear" w:color="auto" w:fill="C6EFCE"/>
            <w:noWrap/>
            <w:vAlign w:val="center"/>
            <w:hideMark/>
          </w:tcPr>
          <w:p w14:paraId="6C25467D" w14:textId="62EA0B7B" w:rsidR="00C972CB" w:rsidRDefault="002457F6">
            <w:pPr>
              <w:pStyle w:val="P68B1DB1-Normal11"/>
              <w:jc w:val="center"/>
              <w:rPr>
                <w:rFonts w:eastAsiaTheme="minorEastAsia"/>
                <w:noProof/>
              </w:rPr>
            </w:pPr>
            <w:r>
              <w:rPr>
                <w:noProof/>
              </w:rPr>
              <w:t xml:space="preserve">Stājas spēkā </w:t>
            </w:r>
            <w:r>
              <w:rPr>
                <w:noProof/>
              </w:rPr>
              <w:t>ministrijas dekrēti, ar kuriem apstiprina darbības plānus visām astoņām speciālajām ekonomiskajām zonām</w:t>
            </w:r>
          </w:p>
        </w:tc>
        <w:tc>
          <w:tcPr>
            <w:tcW w:w="1701" w:type="dxa"/>
            <w:shd w:val="clear" w:color="auto" w:fill="C6EFCE"/>
            <w:noWrap/>
            <w:vAlign w:val="center"/>
            <w:hideMark/>
          </w:tcPr>
          <w:p w14:paraId="4F09AFB3" w14:textId="628359D5" w:rsidR="00C972CB" w:rsidRDefault="002457F6">
            <w:pPr>
              <w:pStyle w:val="P68B1DB1-Normal11"/>
              <w:jc w:val="center"/>
              <w:rPr>
                <w:rFonts w:eastAsiaTheme="minorEastAsia"/>
                <w:noProof/>
              </w:rPr>
            </w:pPr>
            <w:r>
              <w:rPr>
                <w:noProof/>
              </w:rPr>
              <w:t>Likuma noteikums par ministrijas dekrētu stāšanos spēkā.</w:t>
            </w:r>
          </w:p>
        </w:tc>
        <w:tc>
          <w:tcPr>
            <w:tcW w:w="1417" w:type="dxa"/>
            <w:shd w:val="clear" w:color="auto" w:fill="C6EFCE"/>
            <w:noWrap/>
            <w:vAlign w:val="center"/>
            <w:hideMark/>
          </w:tcPr>
          <w:p w14:paraId="41A6584B" w14:textId="77777777" w:rsidR="00C972CB" w:rsidRDefault="002457F6">
            <w:pPr>
              <w:pStyle w:val="P68B1DB1-Normal11"/>
              <w:jc w:val="center"/>
              <w:rPr>
                <w:noProof/>
              </w:rPr>
            </w:pPr>
            <w:r>
              <w:rPr>
                <w:noProof/>
              </w:rPr>
              <w:t>NEPIEMĒRO</w:t>
            </w:r>
          </w:p>
        </w:tc>
        <w:tc>
          <w:tcPr>
            <w:tcW w:w="1134" w:type="dxa"/>
            <w:shd w:val="clear" w:color="auto" w:fill="C6EFCE"/>
            <w:noWrap/>
            <w:vAlign w:val="center"/>
          </w:tcPr>
          <w:p w14:paraId="25960F29" w14:textId="77777777" w:rsidR="00C972CB" w:rsidRDefault="002457F6">
            <w:pPr>
              <w:pStyle w:val="P68B1DB1-Normal11"/>
              <w:jc w:val="center"/>
              <w:rPr>
                <w:noProof/>
              </w:rPr>
            </w:pPr>
            <w:r>
              <w:rPr>
                <w:noProof/>
              </w:rPr>
              <w:t>NEPIEMĒRO</w:t>
            </w:r>
          </w:p>
        </w:tc>
        <w:tc>
          <w:tcPr>
            <w:tcW w:w="993" w:type="dxa"/>
            <w:shd w:val="clear" w:color="auto" w:fill="C6EFCE"/>
            <w:noWrap/>
            <w:vAlign w:val="center"/>
          </w:tcPr>
          <w:p w14:paraId="08D0708A" w14:textId="77777777" w:rsidR="00C972CB" w:rsidRDefault="002457F6">
            <w:pPr>
              <w:pStyle w:val="P68B1DB1-Normal11"/>
              <w:jc w:val="center"/>
              <w:rPr>
                <w:noProof/>
              </w:rPr>
            </w:pPr>
            <w:r>
              <w:rPr>
                <w:noProof/>
              </w:rPr>
              <w:t>NEPIEMĒRO</w:t>
            </w:r>
          </w:p>
        </w:tc>
        <w:tc>
          <w:tcPr>
            <w:tcW w:w="992" w:type="dxa"/>
            <w:shd w:val="clear" w:color="auto" w:fill="C6EFCE"/>
            <w:noWrap/>
            <w:vAlign w:val="center"/>
            <w:hideMark/>
          </w:tcPr>
          <w:p w14:paraId="3F7A0D0A" w14:textId="77777777" w:rsidR="00C972CB" w:rsidRDefault="002457F6">
            <w:pPr>
              <w:pStyle w:val="P68B1DB1-Normal11"/>
              <w:jc w:val="center"/>
              <w:rPr>
                <w:rFonts w:eastAsiaTheme="minorEastAsia"/>
                <w:noProof/>
              </w:rPr>
            </w:pPr>
            <w:r>
              <w:rPr>
                <w:noProof/>
              </w:rPr>
              <w:t>4. CET.</w:t>
            </w:r>
          </w:p>
        </w:tc>
        <w:tc>
          <w:tcPr>
            <w:tcW w:w="709" w:type="dxa"/>
            <w:shd w:val="clear" w:color="auto" w:fill="C6EFCE"/>
            <w:noWrap/>
            <w:vAlign w:val="center"/>
            <w:hideMark/>
          </w:tcPr>
          <w:p w14:paraId="4853073B" w14:textId="77777777" w:rsidR="00C972CB" w:rsidRDefault="002457F6">
            <w:pPr>
              <w:pStyle w:val="P68B1DB1-Normal11"/>
              <w:jc w:val="center"/>
              <w:rPr>
                <w:rFonts w:eastAsiaTheme="minorEastAsia"/>
                <w:noProof/>
              </w:rPr>
            </w:pPr>
            <w:r>
              <w:rPr>
                <w:noProof/>
              </w:rPr>
              <w:t>2021</w:t>
            </w:r>
          </w:p>
        </w:tc>
        <w:tc>
          <w:tcPr>
            <w:tcW w:w="2595" w:type="dxa"/>
            <w:shd w:val="clear" w:color="auto" w:fill="C6EFCE"/>
            <w:noWrap/>
            <w:vAlign w:val="center"/>
            <w:hideMark/>
          </w:tcPr>
          <w:p w14:paraId="34495107" w14:textId="77777777" w:rsidR="00C972CB" w:rsidRDefault="002457F6">
            <w:pPr>
              <w:pStyle w:val="P68B1DB1-Normal11"/>
              <w:rPr>
                <w:rFonts w:eastAsiaTheme="minorEastAsia"/>
                <w:noProof/>
              </w:rPr>
            </w:pPr>
            <w:r>
              <w:rPr>
                <w:noProof/>
              </w:rPr>
              <w:t>Ar dekrētu piešķir līdzekļus par īstenošanu atbildīg</w:t>
            </w:r>
            <w:r>
              <w:rPr>
                <w:noProof/>
              </w:rPr>
              <w:t>ajām personām un paredz īpašus nosacījumus, lai izvairītos no iejaukšanās ietekmes uz vidi.</w:t>
            </w:r>
          </w:p>
          <w:p w14:paraId="7BB65746" w14:textId="77777777" w:rsidR="00C972CB" w:rsidRDefault="002457F6">
            <w:pPr>
              <w:pStyle w:val="P68B1DB1-Normal11"/>
              <w:rPr>
                <w:rFonts w:eastAsiaTheme="minorEastAsia"/>
                <w:noProof/>
              </w:rPr>
            </w:pPr>
            <w:r>
              <w:rPr>
                <w:noProof/>
              </w:rPr>
              <w:t>Visus konkursus izsludina ar darba uzdevumiem, tostarp atbilstības kritērijiem, kas nodrošina, ka atlasītie projekti atbilst Tehniskajiem norādījumiem “nenodari būt</w:t>
            </w:r>
            <w:r>
              <w:rPr>
                <w:noProof/>
              </w:rPr>
              <w:t>isku kaitējumu” (2021/C58/01), izmantojot izslēgšanas sarakstu un prasību par atbilstību attiecīgajiem ES un valstu tiesību aktiem vides jomā.</w:t>
            </w:r>
          </w:p>
        </w:tc>
      </w:tr>
      <w:tr w:rsidR="00C972CB" w14:paraId="5194243F" w14:textId="77777777">
        <w:trPr>
          <w:trHeight w:val="313"/>
        </w:trPr>
        <w:tc>
          <w:tcPr>
            <w:tcW w:w="1419" w:type="dxa"/>
            <w:shd w:val="clear" w:color="auto" w:fill="C6EFCE"/>
            <w:noWrap/>
            <w:vAlign w:val="center"/>
            <w:hideMark/>
          </w:tcPr>
          <w:p w14:paraId="19F6E149" w14:textId="77777777" w:rsidR="00C972CB" w:rsidRDefault="002457F6">
            <w:pPr>
              <w:pStyle w:val="P68B1DB1-Normal11"/>
              <w:jc w:val="center"/>
              <w:rPr>
                <w:rFonts w:eastAsiaTheme="minorEastAsia"/>
                <w:noProof/>
              </w:rPr>
            </w:pPr>
            <w:r>
              <w:rPr>
                <w:noProof/>
              </w:rPr>
              <w:t>M5C3–12</w:t>
            </w:r>
          </w:p>
        </w:tc>
        <w:tc>
          <w:tcPr>
            <w:tcW w:w="1666" w:type="dxa"/>
            <w:shd w:val="clear" w:color="auto" w:fill="C6EFCE"/>
            <w:noWrap/>
            <w:vAlign w:val="center"/>
            <w:hideMark/>
          </w:tcPr>
          <w:p w14:paraId="2F2D76CD" w14:textId="25A39455" w:rsidR="00C972CB" w:rsidRDefault="002457F6">
            <w:pPr>
              <w:pStyle w:val="P68B1DB1-Normal11"/>
              <w:jc w:val="center"/>
              <w:rPr>
                <w:rFonts w:eastAsiaTheme="minorEastAsia"/>
                <w:noProof/>
              </w:rPr>
            </w:pPr>
            <w:r>
              <w:rPr>
                <w:noProof/>
              </w:rPr>
              <w:t>Ieguldījums 1.4.: Ieguldījumi infrastruktūrā speciālajā ekonomiskajā zonā</w:t>
            </w:r>
          </w:p>
        </w:tc>
        <w:tc>
          <w:tcPr>
            <w:tcW w:w="1169" w:type="dxa"/>
            <w:shd w:val="clear" w:color="auto" w:fill="C6EFCE"/>
            <w:noWrap/>
            <w:vAlign w:val="center"/>
            <w:hideMark/>
          </w:tcPr>
          <w:p w14:paraId="7E3362AC" w14:textId="77777777" w:rsidR="00C972CB" w:rsidRDefault="002457F6">
            <w:pPr>
              <w:pStyle w:val="P68B1DB1-Normal11"/>
              <w:jc w:val="center"/>
              <w:rPr>
                <w:rFonts w:eastAsiaTheme="minorEastAsia"/>
                <w:noProof/>
              </w:rPr>
            </w:pPr>
            <w:r>
              <w:rPr>
                <w:noProof/>
              </w:rPr>
              <w:t>Mērķa</w:t>
            </w:r>
          </w:p>
        </w:tc>
        <w:tc>
          <w:tcPr>
            <w:tcW w:w="1559" w:type="dxa"/>
            <w:shd w:val="clear" w:color="auto" w:fill="C6EFCE"/>
            <w:noWrap/>
            <w:vAlign w:val="center"/>
          </w:tcPr>
          <w:p w14:paraId="145D5646" w14:textId="77777777" w:rsidR="00C972CB" w:rsidRDefault="002457F6">
            <w:pPr>
              <w:pStyle w:val="P68B1DB1-Normal11"/>
              <w:jc w:val="center"/>
              <w:rPr>
                <w:rFonts w:eastAsiaTheme="minorEastAsia"/>
                <w:noProof/>
              </w:rPr>
            </w:pPr>
            <w:r>
              <w:rPr>
                <w:noProof/>
              </w:rPr>
              <w:t xml:space="preserve">Infrastruktūras </w:t>
            </w:r>
            <w:r>
              <w:rPr>
                <w:noProof/>
              </w:rPr>
              <w:t>intervences sākšana speciālajās ekonomiskajās zonās</w:t>
            </w:r>
          </w:p>
        </w:tc>
        <w:tc>
          <w:tcPr>
            <w:tcW w:w="1701" w:type="dxa"/>
            <w:shd w:val="clear" w:color="auto" w:fill="C6EFCE"/>
            <w:noWrap/>
            <w:vAlign w:val="center"/>
            <w:hideMark/>
          </w:tcPr>
          <w:p w14:paraId="5BC38396" w14:textId="77777777" w:rsidR="00C972CB" w:rsidRDefault="002457F6">
            <w:pPr>
              <w:pStyle w:val="P68B1DB1-Normal11"/>
              <w:jc w:val="center"/>
              <w:rPr>
                <w:noProof/>
              </w:rPr>
            </w:pPr>
            <w:r>
              <w:rPr>
                <w:noProof/>
              </w:rPr>
              <w:t>NEPIEMĒRO</w:t>
            </w:r>
          </w:p>
        </w:tc>
        <w:tc>
          <w:tcPr>
            <w:tcW w:w="1417" w:type="dxa"/>
            <w:shd w:val="clear" w:color="auto" w:fill="C6EFCE"/>
            <w:noWrap/>
            <w:vAlign w:val="center"/>
            <w:hideMark/>
          </w:tcPr>
          <w:p w14:paraId="769BE842" w14:textId="77777777" w:rsidR="00C972CB" w:rsidRDefault="002457F6">
            <w:pPr>
              <w:pStyle w:val="P68B1DB1-Normal11"/>
              <w:jc w:val="center"/>
              <w:rPr>
                <w:rFonts w:eastAsiaTheme="minorEastAsia"/>
                <w:noProof/>
              </w:rPr>
            </w:pPr>
            <w:r>
              <w:rPr>
                <w:noProof/>
              </w:rPr>
              <w:t>Skaits</w:t>
            </w:r>
          </w:p>
        </w:tc>
        <w:tc>
          <w:tcPr>
            <w:tcW w:w="1134" w:type="dxa"/>
            <w:shd w:val="clear" w:color="auto" w:fill="C6EFCE"/>
            <w:noWrap/>
            <w:vAlign w:val="center"/>
            <w:hideMark/>
          </w:tcPr>
          <w:p w14:paraId="562A12DA" w14:textId="77777777" w:rsidR="00C972CB" w:rsidRDefault="002457F6">
            <w:pPr>
              <w:pStyle w:val="P68B1DB1-Normal11"/>
              <w:jc w:val="center"/>
              <w:rPr>
                <w:rFonts w:eastAsiaTheme="minorEastAsia"/>
                <w:noProof/>
              </w:rPr>
            </w:pPr>
            <w:r>
              <w:rPr>
                <w:noProof/>
              </w:rPr>
              <w:t>0</w:t>
            </w:r>
          </w:p>
        </w:tc>
        <w:tc>
          <w:tcPr>
            <w:tcW w:w="993" w:type="dxa"/>
            <w:shd w:val="clear" w:color="auto" w:fill="C6EFCE"/>
            <w:noWrap/>
            <w:vAlign w:val="center"/>
            <w:hideMark/>
          </w:tcPr>
          <w:p w14:paraId="27221E2C" w14:textId="77777777" w:rsidR="00C972CB" w:rsidRDefault="002457F6">
            <w:pPr>
              <w:pStyle w:val="P68B1DB1-Normal11"/>
              <w:jc w:val="center"/>
              <w:rPr>
                <w:rFonts w:eastAsiaTheme="minorEastAsia"/>
                <w:noProof/>
              </w:rPr>
            </w:pPr>
            <w:r>
              <w:rPr>
                <w:noProof/>
              </w:rPr>
              <w:t>41</w:t>
            </w:r>
          </w:p>
        </w:tc>
        <w:tc>
          <w:tcPr>
            <w:tcW w:w="992" w:type="dxa"/>
            <w:shd w:val="clear" w:color="auto" w:fill="C6EFCE"/>
            <w:noWrap/>
            <w:vAlign w:val="center"/>
            <w:hideMark/>
          </w:tcPr>
          <w:p w14:paraId="62EC43D1" w14:textId="77777777" w:rsidR="00C972CB" w:rsidRDefault="002457F6">
            <w:pPr>
              <w:pStyle w:val="P68B1DB1-Normal11"/>
              <w:jc w:val="center"/>
              <w:rPr>
                <w:rFonts w:eastAsiaTheme="minorEastAsia"/>
                <w:noProof/>
              </w:rPr>
            </w:pPr>
            <w:r>
              <w:rPr>
                <w:noProof/>
              </w:rPr>
              <w:t>2. CET.</w:t>
            </w:r>
          </w:p>
        </w:tc>
        <w:tc>
          <w:tcPr>
            <w:tcW w:w="709" w:type="dxa"/>
            <w:shd w:val="clear" w:color="auto" w:fill="C6EFCE"/>
            <w:noWrap/>
            <w:vAlign w:val="center"/>
            <w:hideMark/>
          </w:tcPr>
          <w:p w14:paraId="1CF28DDB" w14:textId="77777777" w:rsidR="00C972CB" w:rsidRDefault="002457F6">
            <w:pPr>
              <w:pStyle w:val="P68B1DB1-Normal11"/>
              <w:jc w:val="center"/>
              <w:rPr>
                <w:rFonts w:eastAsiaTheme="minorEastAsia"/>
                <w:noProof/>
              </w:rPr>
            </w:pPr>
            <w:r>
              <w:rPr>
                <w:noProof/>
              </w:rPr>
              <w:t>2024</w:t>
            </w:r>
          </w:p>
        </w:tc>
        <w:tc>
          <w:tcPr>
            <w:tcW w:w="2595" w:type="dxa"/>
            <w:shd w:val="clear" w:color="auto" w:fill="C6EFCE"/>
            <w:noWrap/>
            <w:vAlign w:val="center"/>
            <w:hideMark/>
          </w:tcPr>
          <w:p w14:paraId="2038D7BD" w14:textId="77777777" w:rsidR="00C972CB" w:rsidRDefault="002457F6">
            <w:pPr>
              <w:pStyle w:val="P68B1DB1-Normal11"/>
              <w:rPr>
                <w:rFonts w:eastAsiaTheme="minorEastAsia"/>
                <w:noProof/>
              </w:rPr>
            </w:pPr>
            <w:r>
              <w:rPr>
                <w:noProof/>
              </w:rPr>
              <w:t>Plānotie intervences pasākumi ir šādi:</w:t>
            </w:r>
          </w:p>
          <w:p w14:paraId="3FB92495" w14:textId="77777777" w:rsidR="00C972CB" w:rsidRDefault="002457F6">
            <w:pPr>
              <w:pStyle w:val="P68B1DB1-Normal11"/>
              <w:rPr>
                <w:rFonts w:eastAsiaTheme="minorEastAsia"/>
                <w:noProof/>
              </w:rPr>
            </w:pPr>
            <w:r>
              <w:rPr>
                <w:noProof/>
              </w:rPr>
              <w:t>Saite “pēdējā jūdze”: izveidot efektīvus savienojumus starp rūpniecības teritorijām un TEN-T dzelzceļa tīklu;</w:t>
            </w:r>
          </w:p>
          <w:p w14:paraId="3CBD4770" w14:textId="77777777" w:rsidR="00C972CB" w:rsidRDefault="002457F6">
            <w:pPr>
              <w:pStyle w:val="P68B1DB1-Normal11"/>
              <w:rPr>
                <w:rFonts w:eastAsiaTheme="minorEastAsia"/>
                <w:noProof/>
              </w:rPr>
            </w:pPr>
            <w:r>
              <w:rPr>
                <w:noProof/>
              </w:rPr>
              <w:t>Digitālā loģistika u</w:t>
            </w:r>
            <w:r>
              <w:rPr>
                <w:noProof/>
              </w:rPr>
              <w:t>n energoefektivitātes un vides efektivitātes darbi;</w:t>
            </w:r>
          </w:p>
          <w:p w14:paraId="446A6F53" w14:textId="77777777" w:rsidR="00C972CB" w:rsidRDefault="002457F6">
            <w:pPr>
              <w:pStyle w:val="P68B1DB1-Normal11"/>
              <w:rPr>
                <w:rFonts w:eastAsiaTheme="minorEastAsia"/>
                <w:noProof/>
              </w:rPr>
            </w:pPr>
            <w:r>
              <w:rPr>
                <w:noProof/>
              </w:rPr>
              <w:t>Infrastruktūras noturības un drošības stiprināšana saistībā ar piekļuvi ostām.</w:t>
            </w:r>
          </w:p>
          <w:p w14:paraId="423DA29C" w14:textId="77777777" w:rsidR="00C972CB" w:rsidRDefault="002457F6">
            <w:pPr>
              <w:pStyle w:val="P68B1DB1-Normal11"/>
              <w:rPr>
                <w:rFonts w:eastAsiaTheme="minorEastAsia"/>
                <w:noProof/>
              </w:rPr>
            </w:pPr>
            <w:r>
              <w:rPr>
                <w:noProof/>
              </w:rPr>
              <w:t xml:space="preserve">Intervences ir sāktas (kā to apliecina sertifikāts par darbu sākšanu) vismaz 22 pēdējās jūdzes savienojumos ar ZES ostām vai </w:t>
            </w:r>
            <w:r>
              <w:rPr>
                <w:noProof/>
              </w:rPr>
              <w:t>rūpnieciskajiem apgabaliem; vismaz 15 intervences pasākumi digitālās loģistikas, urbanizācijas vai energoefektivitātes jomā darbojas tajās pašās jomās; četri intervences pasākumi, kas stiprina ostu noturību.</w:t>
            </w:r>
          </w:p>
        </w:tc>
      </w:tr>
      <w:tr w:rsidR="00C972CB" w14:paraId="02377444" w14:textId="77777777">
        <w:trPr>
          <w:trHeight w:val="313"/>
        </w:trPr>
        <w:tc>
          <w:tcPr>
            <w:tcW w:w="1419" w:type="dxa"/>
            <w:shd w:val="clear" w:color="auto" w:fill="C6EFCE"/>
            <w:noWrap/>
            <w:vAlign w:val="center"/>
            <w:hideMark/>
          </w:tcPr>
          <w:p w14:paraId="3B3F5C1B" w14:textId="77777777" w:rsidR="00C972CB" w:rsidRDefault="002457F6">
            <w:pPr>
              <w:pStyle w:val="P68B1DB1-Normal11"/>
              <w:jc w:val="center"/>
              <w:rPr>
                <w:rFonts w:eastAsiaTheme="minorEastAsia"/>
                <w:noProof/>
              </w:rPr>
            </w:pPr>
            <w:r>
              <w:rPr>
                <w:noProof/>
              </w:rPr>
              <w:t>M5C3–13</w:t>
            </w:r>
          </w:p>
        </w:tc>
        <w:tc>
          <w:tcPr>
            <w:tcW w:w="1666" w:type="dxa"/>
            <w:shd w:val="clear" w:color="auto" w:fill="C6EFCE"/>
            <w:noWrap/>
            <w:vAlign w:val="center"/>
            <w:hideMark/>
          </w:tcPr>
          <w:p w14:paraId="08BD3BC6" w14:textId="3E9BFDAD" w:rsidR="00C972CB" w:rsidRDefault="002457F6">
            <w:pPr>
              <w:pStyle w:val="P68B1DB1-Normal11"/>
              <w:jc w:val="center"/>
              <w:rPr>
                <w:rFonts w:eastAsiaTheme="minorEastAsia"/>
                <w:noProof/>
              </w:rPr>
            </w:pPr>
            <w:r>
              <w:rPr>
                <w:noProof/>
              </w:rPr>
              <w:t xml:space="preserve">Ieguldījums 1.4.: Ieguldījumi </w:t>
            </w:r>
            <w:r>
              <w:rPr>
                <w:noProof/>
              </w:rPr>
              <w:t>infrastruktūrā speciālajā ekonomiskajā zonā</w:t>
            </w:r>
          </w:p>
        </w:tc>
        <w:tc>
          <w:tcPr>
            <w:tcW w:w="1169" w:type="dxa"/>
            <w:shd w:val="clear" w:color="auto" w:fill="C6EFCE"/>
            <w:noWrap/>
            <w:vAlign w:val="center"/>
            <w:hideMark/>
          </w:tcPr>
          <w:p w14:paraId="5EAAC4BD" w14:textId="77777777" w:rsidR="00C972CB" w:rsidRDefault="002457F6">
            <w:pPr>
              <w:pStyle w:val="P68B1DB1-Normal11"/>
              <w:jc w:val="center"/>
              <w:rPr>
                <w:rFonts w:eastAsiaTheme="minorEastAsia"/>
                <w:noProof/>
              </w:rPr>
            </w:pPr>
            <w:r>
              <w:rPr>
                <w:noProof/>
              </w:rPr>
              <w:t>Mērķa</w:t>
            </w:r>
          </w:p>
        </w:tc>
        <w:tc>
          <w:tcPr>
            <w:tcW w:w="1559" w:type="dxa"/>
            <w:shd w:val="clear" w:color="auto" w:fill="C6EFCE"/>
            <w:noWrap/>
            <w:vAlign w:val="center"/>
            <w:hideMark/>
          </w:tcPr>
          <w:p w14:paraId="584A6E23" w14:textId="77777777" w:rsidR="00C972CB" w:rsidRDefault="002457F6">
            <w:pPr>
              <w:pStyle w:val="P68B1DB1-Normal11"/>
              <w:jc w:val="center"/>
              <w:rPr>
                <w:rFonts w:eastAsia="Calibri"/>
                <w:noProof/>
              </w:rPr>
            </w:pPr>
            <w:r>
              <w:rPr>
                <w:noProof/>
              </w:rPr>
              <w:t>Infrastruktūras intervences pasākumu pabeigšana speciālajās ekonomiskajās zonās.</w:t>
            </w:r>
          </w:p>
        </w:tc>
        <w:tc>
          <w:tcPr>
            <w:tcW w:w="1701" w:type="dxa"/>
            <w:shd w:val="clear" w:color="auto" w:fill="C6EFCE"/>
            <w:noWrap/>
            <w:vAlign w:val="center"/>
            <w:hideMark/>
          </w:tcPr>
          <w:p w14:paraId="3A7008A3" w14:textId="77777777" w:rsidR="00C972CB" w:rsidRDefault="002457F6">
            <w:pPr>
              <w:pStyle w:val="P68B1DB1-Normal11"/>
              <w:jc w:val="center"/>
              <w:rPr>
                <w:noProof/>
              </w:rPr>
            </w:pPr>
            <w:r>
              <w:rPr>
                <w:noProof/>
              </w:rPr>
              <w:t>NEPIEMĒRO</w:t>
            </w:r>
          </w:p>
        </w:tc>
        <w:tc>
          <w:tcPr>
            <w:tcW w:w="1417" w:type="dxa"/>
            <w:shd w:val="clear" w:color="auto" w:fill="C6EFCE"/>
            <w:noWrap/>
            <w:vAlign w:val="center"/>
            <w:hideMark/>
          </w:tcPr>
          <w:p w14:paraId="77081979" w14:textId="77777777" w:rsidR="00C972CB" w:rsidRDefault="002457F6">
            <w:pPr>
              <w:pStyle w:val="P68B1DB1-Normal11"/>
              <w:jc w:val="center"/>
              <w:rPr>
                <w:rFonts w:eastAsiaTheme="minorEastAsia"/>
                <w:noProof/>
              </w:rPr>
            </w:pPr>
            <w:r>
              <w:rPr>
                <w:noProof/>
              </w:rPr>
              <w:t>Skaits</w:t>
            </w:r>
          </w:p>
        </w:tc>
        <w:tc>
          <w:tcPr>
            <w:tcW w:w="1134" w:type="dxa"/>
            <w:shd w:val="clear" w:color="auto" w:fill="C6EFCE"/>
            <w:noWrap/>
            <w:vAlign w:val="center"/>
            <w:hideMark/>
          </w:tcPr>
          <w:p w14:paraId="0CC62302" w14:textId="77777777" w:rsidR="00C972CB" w:rsidRDefault="002457F6">
            <w:pPr>
              <w:pStyle w:val="P68B1DB1-Normal11"/>
              <w:jc w:val="center"/>
              <w:rPr>
                <w:rFonts w:eastAsiaTheme="minorEastAsia"/>
                <w:noProof/>
              </w:rPr>
            </w:pPr>
            <w:r>
              <w:rPr>
                <w:noProof/>
              </w:rPr>
              <w:t>0</w:t>
            </w:r>
          </w:p>
        </w:tc>
        <w:tc>
          <w:tcPr>
            <w:tcW w:w="993" w:type="dxa"/>
            <w:shd w:val="clear" w:color="auto" w:fill="C6EFCE"/>
            <w:noWrap/>
            <w:vAlign w:val="center"/>
            <w:hideMark/>
          </w:tcPr>
          <w:p w14:paraId="2839B482" w14:textId="77777777" w:rsidR="00C972CB" w:rsidRDefault="002457F6">
            <w:pPr>
              <w:pStyle w:val="P68B1DB1-Normal11"/>
              <w:jc w:val="center"/>
              <w:rPr>
                <w:rFonts w:eastAsiaTheme="minorEastAsia"/>
                <w:noProof/>
              </w:rPr>
            </w:pPr>
            <w:r>
              <w:rPr>
                <w:noProof/>
              </w:rPr>
              <w:t>41</w:t>
            </w:r>
          </w:p>
        </w:tc>
        <w:tc>
          <w:tcPr>
            <w:tcW w:w="992" w:type="dxa"/>
            <w:shd w:val="clear" w:color="auto" w:fill="C6EFCE"/>
            <w:noWrap/>
            <w:vAlign w:val="center"/>
            <w:hideMark/>
          </w:tcPr>
          <w:p w14:paraId="48CE9C38" w14:textId="77777777" w:rsidR="00C972CB" w:rsidRDefault="002457F6">
            <w:pPr>
              <w:pStyle w:val="P68B1DB1-Normal11"/>
              <w:jc w:val="center"/>
              <w:rPr>
                <w:rFonts w:eastAsiaTheme="minorEastAsia"/>
                <w:noProof/>
              </w:rPr>
            </w:pPr>
            <w:r>
              <w:rPr>
                <w:noProof/>
              </w:rPr>
              <w:t>2. CET.</w:t>
            </w:r>
          </w:p>
        </w:tc>
        <w:tc>
          <w:tcPr>
            <w:tcW w:w="709" w:type="dxa"/>
            <w:shd w:val="clear" w:color="auto" w:fill="C6EFCE"/>
            <w:noWrap/>
            <w:vAlign w:val="center"/>
            <w:hideMark/>
          </w:tcPr>
          <w:p w14:paraId="394BE4A4" w14:textId="77777777" w:rsidR="00C972CB" w:rsidRDefault="002457F6">
            <w:pPr>
              <w:pStyle w:val="P68B1DB1-Normal11"/>
              <w:jc w:val="center"/>
              <w:rPr>
                <w:rFonts w:eastAsiaTheme="minorEastAsia"/>
                <w:noProof/>
              </w:rPr>
            </w:pPr>
            <w:r>
              <w:rPr>
                <w:noProof/>
              </w:rPr>
              <w:t>2026</w:t>
            </w:r>
          </w:p>
        </w:tc>
        <w:tc>
          <w:tcPr>
            <w:tcW w:w="2595" w:type="dxa"/>
            <w:shd w:val="clear" w:color="auto" w:fill="C6EFCE"/>
            <w:noWrap/>
            <w:vAlign w:val="center"/>
          </w:tcPr>
          <w:p w14:paraId="2F8F2851" w14:textId="7AB4E684" w:rsidR="00C972CB" w:rsidRDefault="002457F6">
            <w:pPr>
              <w:pStyle w:val="P68B1DB1-Normal11"/>
              <w:rPr>
                <w:rFonts w:eastAsia="Calibri"/>
                <w:noProof/>
              </w:rPr>
            </w:pPr>
            <w:r>
              <w:rPr>
                <w:noProof/>
              </w:rPr>
              <w:t>Pabeigt vismaz 22 pēdējās jūdzes savienojumu ar ZES ostām vai rūpniecības rajoniem; vismaz</w:t>
            </w:r>
            <w:r>
              <w:rPr>
                <w:noProof/>
              </w:rPr>
              <w:t xml:space="preserve"> 15 intervences pasākumi digitālās loģistikas vai urbanizācijas vai energoefektivitātes jomā darbojas tajās pašās jomās; un ir pabeigti vismaz četri intervences pasākumi, kas stiprina ostu noturību.</w:t>
            </w:r>
          </w:p>
          <w:p w14:paraId="220A82DF" w14:textId="77777777" w:rsidR="00C972CB" w:rsidRDefault="00C972CB">
            <w:pPr>
              <w:rPr>
                <w:rFonts w:ascii="Arial Narrow" w:eastAsiaTheme="minorEastAsia" w:hAnsi="Arial Narrow"/>
                <w:noProof/>
                <w:color w:val="006100"/>
                <w:sz w:val="20"/>
              </w:rPr>
            </w:pPr>
          </w:p>
          <w:p w14:paraId="084B5784" w14:textId="2EB6BF99" w:rsidR="00C972CB" w:rsidRDefault="002457F6">
            <w:pPr>
              <w:pStyle w:val="P68B1DB1-Normal11"/>
              <w:rPr>
                <w:rFonts w:eastAsiaTheme="minorEastAsia"/>
                <w:noProof/>
              </w:rPr>
            </w:pPr>
            <w:r>
              <w:rPr>
                <w:noProof/>
              </w:rPr>
              <w:t>Intervenču e sarakstā iekļauj, piemēram, šādus vai līdzv</w:t>
            </w:r>
            <w:r>
              <w:rPr>
                <w:noProof/>
              </w:rPr>
              <w:t>ērtīgus pasākumus:</w:t>
            </w:r>
          </w:p>
          <w:p w14:paraId="4D6926C3" w14:textId="77777777" w:rsidR="00C972CB" w:rsidRDefault="00C972CB">
            <w:pPr>
              <w:rPr>
                <w:rFonts w:ascii="Arial Narrow" w:eastAsiaTheme="minorEastAsia" w:hAnsi="Arial Narrow"/>
                <w:noProof/>
                <w:color w:val="006100"/>
                <w:sz w:val="20"/>
              </w:rPr>
            </w:pPr>
          </w:p>
          <w:p w14:paraId="5600EF70" w14:textId="77777777" w:rsidR="00C972CB" w:rsidRDefault="002457F6">
            <w:pPr>
              <w:pStyle w:val="P68B1DB1-Normal11"/>
              <w:rPr>
                <w:rFonts w:eastAsiaTheme="minorEastAsia"/>
                <w:noProof/>
              </w:rPr>
            </w:pPr>
            <w:r>
              <w:rPr>
                <w:noProof/>
              </w:rPr>
              <w:t>• TEN-T visaptverošā tīkla infrastruktūras pabeigšana Vasto un Ortonas ostās un Saletti un Manoppello (Abruco) rūpniecības teritorijās</w:t>
            </w:r>
          </w:p>
          <w:p w14:paraId="7CEE8B67" w14:textId="77777777" w:rsidR="00C972CB" w:rsidRDefault="002457F6">
            <w:pPr>
              <w:pStyle w:val="P68B1DB1-Normal11"/>
              <w:rPr>
                <w:rFonts w:eastAsiaTheme="minorEastAsia"/>
                <w:noProof/>
              </w:rPr>
            </w:pPr>
            <w:r>
              <w:rPr>
                <w:noProof/>
              </w:rPr>
              <w:t>•Infrastruktūra Salerno ostā un Uffita, Marcianise, Battipaglia un Nola (Kampānija) rūpniecības rajon</w:t>
            </w:r>
            <w:r>
              <w:rPr>
                <w:noProof/>
              </w:rPr>
              <w:t>os</w:t>
            </w:r>
          </w:p>
          <w:p w14:paraId="6666E7F3" w14:textId="77777777" w:rsidR="00C972CB" w:rsidRDefault="002457F6">
            <w:pPr>
              <w:pStyle w:val="P68B1DB1-Normal11"/>
              <w:rPr>
                <w:rFonts w:eastAsiaTheme="minorEastAsia"/>
                <w:noProof/>
              </w:rPr>
            </w:pPr>
            <w:r>
              <w:rPr>
                <w:noProof/>
              </w:rPr>
              <w:t>•Savienojumi starp Manfredonijas ostu un Termoli, Brindisi un Lečes pilsētu teritorijām (Apūlija un Molize).</w:t>
            </w:r>
          </w:p>
          <w:p w14:paraId="14DD4719" w14:textId="77777777" w:rsidR="00C972CB" w:rsidRDefault="00C972CB">
            <w:pPr>
              <w:rPr>
                <w:rFonts w:ascii="Arial Narrow" w:eastAsiaTheme="minorEastAsia" w:hAnsi="Arial Narrow"/>
                <w:noProof/>
                <w:color w:val="006100"/>
                <w:sz w:val="20"/>
              </w:rPr>
            </w:pPr>
          </w:p>
          <w:p w14:paraId="07FD3A31" w14:textId="77777777" w:rsidR="00C972CB" w:rsidRDefault="002457F6">
            <w:pPr>
              <w:pStyle w:val="P68B1DB1-Normal11"/>
              <w:rPr>
                <w:rFonts w:eastAsiaTheme="minorEastAsia"/>
                <w:noProof/>
              </w:rPr>
            </w:pPr>
            <w:r>
              <w:rPr>
                <w:noProof/>
              </w:rPr>
              <w:t>• Starpsavienojumi starp Taranto ostu un Taranto, Potenza un Matera (Apūlija un Bazilikata) pilsētu teritorijām.</w:t>
            </w:r>
          </w:p>
          <w:p w14:paraId="18AE0E72" w14:textId="77777777" w:rsidR="00C972CB" w:rsidRDefault="00C972CB">
            <w:pPr>
              <w:jc w:val="center"/>
              <w:rPr>
                <w:rFonts w:ascii="Arial Narrow" w:eastAsiaTheme="minorEastAsia" w:hAnsi="Arial Narrow"/>
                <w:noProof/>
                <w:color w:val="006100"/>
                <w:sz w:val="20"/>
              </w:rPr>
            </w:pPr>
          </w:p>
          <w:p w14:paraId="686CD812" w14:textId="77777777" w:rsidR="00C972CB" w:rsidRDefault="002457F6">
            <w:pPr>
              <w:pStyle w:val="P68B1DB1-Normal11"/>
              <w:rPr>
                <w:rFonts w:eastAsiaTheme="minorEastAsia"/>
                <w:noProof/>
              </w:rPr>
            </w:pPr>
            <w:r>
              <w:rPr>
                <w:noProof/>
              </w:rPr>
              <w:t>• Infrastruktūras intervences</w:t>
            </w:r>
            <w:r>
              <w:rPr>
                <w:noProof/>
              </w:rPr>
              <w:t xml:space="preserve"> pasākumi, lai piekļūtu Gioia Tauro (Kalabrijai) ostai.</w:t>
            </w:r>
          </w:p>
          <w:p w14:paraId="32AA0E45" w14:textId="77777777" w:rsidR="00C972CB" w:rsidRDefault="00C972CB">
            <w:pPr>
              <w:rPr>
                <w:rFonts w:ascii="Arial Narrow" w:eastAsiaTheme="minorEastAsia" w:hAnsi="Arial Narrow"/>
                <w:noProof/>
                <w:color w:val="006100"/>
                <w:sz w:val="20"/>
              </w:rPr>
            </w:pPr>
          </w:p>
          <w:p w14:paraId="40F23DD7" w14:textId="77777777" w:rsidR="00C972CB" w:rsidRDefault="002457F6">
            <w:pPr>
              <w:pStyle w:val="P68B1DB1-Normal11"/>
              <w:rPr>
                <w:rFonts w:eastAsiaTheme="minorEastAsia"/>
                <w:noProof/>
              </w:rPr>
            </w:pPr>
            <w:r>
              <w:rPr>
                <w:noProof/>
              </w:rPr>
              <w:t>•Kaljāri ostas infrastruktūras pieejamība (Sardegna)</w:t>
            </w:r>
          </w:p>
          <w:p w14:paraId="283B339A" w14:textId="66AB4C8C" w:rsidR="00C972CB" w:rsidRDefault="002457F6">
            <w:pPr>
              <w:pStyle w:val="P68B1DB1-Normal11"/>
              <w:rPr>
                <w:rFonts w:eastAsiaTheme="minorEastAsia"/>
                <w:noProof/>
              </w:rPr>
            </w:pPr>
            <w:r>
              <w:rPr>
                <w:noProof/>
              </w:rPr>
              <w:t>•Infrastruktūras intervences pasākumi, lai piekļūtu Augustas, Riporto, Sant’Agata di Mitello un Dželas (Sicīlijas) ostām</w:t>
            </w:r>
          </w:p>
        </w:tc>
      </w:tr>
    </w:tbl>
    <w:p w14:paraId="7374AFFA" w14:textId="77777777" w:rsidR="00C972CB" w:rsidRDefault="00C972CB">
      <w:pPr>
        <w:spacing w:before="120" w:after="120"/>
        <w:rPr>
          <w:noProof/>
        </w:rPr>
        <w:sectPr w:rsidR="00C972CB" w:rsidSect="006123E1">
          <w:headerReference w:type="even" r:id="rId344"/>
          <w:headerReference w:type="default" r:id="rId345"/>
          <w:footerReference w:type="even" r:id="rId346"/>
          <w:footerReference w:type="default" r:id="rId347"/>
          <w:headerReference w:type="first" r:id="rId348"/>
          <w:footerReference w:type="first" r:id="rId349"/>
          <w:pgSz w:w="16839" w:h="11907" w:orient="landscape"/>
          <w:pgMar w:top="1440" w:right="1440" w:bottom="1440" w:left="1440" w:header="567" w:footer="567" w:gutter="0"/>
          <w:cols w:space="720"/>
          <w:docGrid w:linePitch="360"/>
        </w:sectPr>
      </w:pPr>
    </w:p>
    <w:p w14:paraId="4445C0A6" w14:textId="1A20A820" w:rsidR="00C972CB" w:rsidRDefault="002457F6">
      <w:pPr>
        <w:pStyle w:val="Heading2"/>
        <w:numPr>
          <w:ilvl w:val="0"/>
          <w:numId w:val="0"/>
        </w:numPr>
        <w:ind w:left="850" w:hanging="850"/>
        <w:rPr>
          <w:noProof/>
        </w:rPr>
      </w:pPr>
      <w:r>
        <w:rPr>
          <w:noProof/>
        </w:rPr>
        <w:t>MISIJAS 1. DAĻA: Vietējie tīkli, iekārtas un telemedicīna teritoriālajai palīdzībai veselības aprūpes jomā</w:t>
      </w:r>
    </w:p>
    <w:p w14:paraId="42FC74E6" w14:textId="77777777" w:rsidR="00C972CB" w:rsidRDefault="002457F6">
      <w:pPr>
        <w:spacing w:before="120"/>
        <w:jc w:val="both"/>
        <w:rPr>
          <w:noProof/>
        </w:rPr>
      </w:pPr>
      <w:r>
        <w:rPr>
          <w:noProof/>
        </w:rPr>
        <w:t>Šā komponenta mērķis ir stiprināt Itālijas Nacionālo veselības dienestu (NHS), cita starpā uzlabojot aizsardzību pret vides un klimata pārmaiņu radītiem veselības apdraudējumiem un labāk reaģējot uz kopienu vajadzībām attiecībā uz vietējo aprūpi un palīdzī</w:t>
      </w:r>
      <w:r>
        <w:rPr>
          <w:noProof/>
        </w:rPr>
        <w:t>bu. Vietējā veselības aprūpes palīdzība ir sadrumstalota un atkarīga no reģionālajām atšķirībām, kas dažādos reģionos rada atšķirīgu veselības aprūpes noteikumu un veselības rezultātu līmeni. Integrētu mājas aprūpes pakalpojumu sniegšana tiek uzskatīta par</w:t>
      </w:r>
      <w:r>
        <w:rPr>
          <w:noProof/>
        </w:rPr>
        <w:t xml:space="preserve"> zemu, un dažādie veselības aprūpes un sociālo pakalpojumu sniedzēji tiek uzskatīti par vāji integrētiem. Turklāt Itālijas Valsts veselības dienesta (NHS) spēja novērst veselības riskus, kas saistīti ar eksponētību videi un klimata pārmaiņām, ir pārbaudīta</w:t>
      </w:r>
      <w:r>
        <w:rPr>
          <w:noProof/>
        </w:rPr>
        <w:t xml:space="preserve"> vairākās vides krīzēs un ārkārtas situācijās, kas izgaismoja problēmas, ko rada pietiekamu profilakses pasākumu trūkums. Šā Itālijas atveseļošanas un noturības plāna komponenta mērķis ir stiprināt Itālijas Nacionālo veselības dienestu (NHS), cita starpā u</w:t>
      </w:r>
      <w:r>
        <w:rPr>
          <w:noProof/>
        </w:rPr>
        <w:t xml:space="preserve">zlabojot aizsardzību pret vides un klimata pārmaiņu radītiem veselības riskiem un labāk reaģējot uz kopienu vajadzībām attiecībā uz vietējo aprūpi un palīdzību. </w:t>
      </w:r>
    </w:p>
    <w:p w14:paraId="6A1D782A" w14:textId="77777777" w:rsidR="00C972CB" w:rsidRDefault="002457F6">
      <w:pPr>
        <w:spacing w:before="120"/>
        <w:jc w:val="both"/>
        <w:rPr>
          <w:noProof/>
        </w:rPr>
      </w:pPr>
      <w:r>
        <w:rPr>
          <w:noProof/>
        </w:rPr>
        <w:t>Šā komponenta investīcijas un reformas palīdz īstenot Itālijai 2019. un 2020. gadā adresētos i</w:t>
      </w:r>
      <w:r>
        <w:rPr>
          <w:noProof/>
        </w:rPr>
        <w:t>eteikumus par nepieciešamību</w:t>
      </w:r>
      <w:r>
        <w:rPr>
          <w:noProof/>
          <w:color w:val="333333"/>
        </w:rPr>
        <w:t xml:space="preserve"> “ar investīcijām saistīto ekonomikas politiku koncentrēt uz pētniecību un inovāciju un infrastruktūras kvalitāti, ņemot vērā reģionālās atšķirības</w:t>
      </w:r>
      <w:r>
        <w:rPr>
          <w:noProof/>
        </w:rPr>
        <w:t xml:space="preserve"> (konkrētai valstij adresētais ieteikums Nr. 3, 2019), “stiprināt veselības aprūp</w:t>
      </w:r>
      <w:r>
        <w:rPr>
          <w:noProof/>
        </w:rPr>
        <w:t>es sistēmas noturību un kapacitāti veselības aprūpes darbinieku, kritiski svarīgu medicīnisko izstrādājumu un infrastruktūras jomā” (1., 2020. gada ieteikums) un “koncentrēt investīcijas uz zaļo un digitālo pārkārtošanos, jo īpaši uz [...] pastiprinātu dig</w:t>
      </w:r>
      <w:r>
        <w:rPr>
          <w:noProof/>
        </w:rPr>
        <w:t>itālo infrastruktūru, lai nodrošinātu pamatpakalpojumu sniegšanu” (konkrētai valstij adresētais ieteikums Nr. 3, 2020).</w:t>
      </w:r>
    </w:p>
    <w:p w14:paraId="0797D095" w14:textId="77777777" w:rsidR="00C972CB" w:rsidRDefault="00C972CB">
      <w:pPr>
        <w:spacing w:before="120"/>
        <w:jc w:val="both"/>
        <w:rPr>
          <w:noProof/>
        </w:rPr>
      </w:pPr>
    </w:p>
    <w:p w14:paraId="66299821"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O.1. </w:t>
      </w:r>
      <w:r>
        <w:rPr>
          <w:noProof/>
        </w:rPr>
        <w:tab/>
      </w:r>
      <w:r>
        <w:rPr>
          <w:b/>
          <w:i w:val="0"/>
          <w:noProof/>
          <w:u w:val="single"/>
        </w:rPr>
        <w:t>Neatmaksājamam finansiālajam atbalstam pieteikto reformu un investīciju apraksts</w:t>
      </w:r>
    </w:p>
    <w:p w14:paraId="64BE0613" w14:textId="77777777" w:rsidR="00C972CB" w:rsidRDefault="002457F6">
      <w:pPr>
        <w:pStyle w:val="P68B1DB1-Normal15"/>
        <w:spacing w:before="120" w:after="120"/>
        <w:jc w:val="both"/>
        <w:rPr>
          <w:noProof/>
        </w:rPr>
      </w:pPr>
      <w:r>
        <w:rPr>
          <w:noProof/>
        </w:rPr>
        <w:t>NEPIEMĒRO</w:t>
      </w:r>
    </w:p>
    <w:p w14:paraId="68FBE9CE" w14:textId="77777777" w:rsidR="00C972CB" w:rsidRDefault="002457F6">
      <w:pPr>
        <w:pStyle w:val="Heading3"/>
        <w:numPr>
          <w:ilvl w:val="0"/>
          <w:numId w:val="0"/>
        </w:numPr>
        <w:ind w:left="850" w:hanging="850"/>
        <w:rPr>
          <w:b/>
          <w:i w:val="0"/>
          <w:noProof/>
          <w:u w:val="single"/>
        </w:rPr>
      </w:pPr>
      <w:r>
        <w:rPr>
          <w:b/>
          <w:i w:val="0"/>
          <w:noProof/>
          <w:u w:val="single"/>
        </w:rPr>
        <w:t xml:space="preserve">O.2. </w:t>
      </w:r>
      <w:r>
        <w:rPr>
          <w:noProof/>
        </w:rPr>
        <w:tab/>
      </w:r>
      <w:r>
        <w:rPr>
          <w:b/>
          <w:i w:val="0"/>
          <w:noProof/>
          <w:u w:val="single"/>
        </w:rPr>
        <w:t xml:space="preserve">Atskaites punkti, mērķrādītāji, </w:t>
      </w:r>
      <w:r>
        <w:rPr>
          <w:b/>
          <w:i w:val="0"/>
          <w:noProof/>
          <w:u w:val="single"/>
        </w:rPr>
        <w:t>citi rādītāji un neatmaksājamā finansiālā atbalsta uzraudzības un īstenošanas grafiks</w:t>
      </w:r>
    </w:p>
    <w:p w14:paraId="23457B0D" w14:textId="77777777" w:rsidR="00C972CB" w:rsidRDefault="002457F6">
      <w:pPr>
        <w:pStyle w:val="P68B1DB1-Normal15"/>
        <w:spacing w:before="120" w:after="120"/>
        <w:jc w:val="both"/>
        <w:rPr>
          <w:noProof/>
        </w:rPr>
      </w:pPr>
      <w:r>
        <w:rPr>
          <w:noProof/>
        </w:rPr>
        <w:t>NEPIEMĒRO</w:t>
      </w:r>
    </w:p>
    <w:p w14:paraId="3B8E54D3" w14:textId="70C9D095" w:rsidR="00C972CB" w:rsidRDefault="002457F6">
      <w:pPr>
        <w:spacing w:after="200" w:line="276" w:lineRule="auto"/>
        <w:rPr>
          <w:noProof/>
        </w:rPr>
      </w:pPr>
      <w:r>
        <w:rPr>
          <w:noProof/>
        </w:rPr>
        <w:br w:type="page"/>
      </w:r>
    </w:p>
    <w:p w14:paraId="3F102C95" w14:textId="77777777" w:rsidR="00C972CB" w:rsidRDefault="002457F6">
      <w:pPr>
        <w:pStyle w:val="Heading3"/>
        <w:numPr>
          <w:ilvl w:val="2"/>
          <w:numId w:val="0"/>
        </w:numPr>
        <w:ind w:left="850" w:hanging="850"/>
        <w:rPr>
          <w:b/>
          <w:i w:val="0"/>
          <w:noProof/>
          <w:color w:val="4F81BD" w:themeColor="accent1"/>
          <w:u w:val="single"/>
        </w:rPr>
      </w:pPr>
      <w:r>
        <w:rPr>
          <w:b/>
          <w:i w:val="0"/>
          <w:noProof/>
          <w:u w:val="single"/>
        </w:rPr>
        <w:t xml:space="preserve">O.3. </w:t>
      </w:r>
      <w:r>
        <w:rPr>
          <w:noProof/>
        </w:rPr>
        <w:tab/>
      </w:r>
      <w:r>
        <w:rPr>
          <w:b/>
          <w:i w:val="0"/>
          <w:noProof/>
          <w:u w:val="single"/>
        </w:rPr>
        <w:t xml:space="preserve">Aizdevumam pieteikto reformu un investīciju apraksts </w:t>
      </w:r>
    </w:p>
    <w:p w14:paraId="785CFAAF" w14:textId="77777777" w:rsidR="00C972CB" w:rsidRDefault="002457F6">
      <w:pPr>
        <w:pStyle w:val="P68B1DB1-Normal2"/>
        <w:spacing w:before="120" w:after="120"/>
        <w:jc w:val="both"/>
        <w:rPr>
          <w:rFonts w:eastAsia="Calibri"/>
          <w:noProof/>
        </w:rPr>
      </w:pPr>
      <w:r>
        <w:rPr>
          <w:noProof/>
        </w:rPr>
        <w:t xml:space="preserve">Reforma:  Jauna organizatoriskā modeļa noteikšana teritoriālās veselības aprūpes palīdzības </w:t>
      </w:r>
      <w:r>
        <w:rPr>
          <w:noProof/>
        </w:rPr>
        <w:t>tīklam.</w:t>
      </w:r>
    </w:p>
    <w:p w14:paraId="220A0975" w14:textId="77777777" w:rsidR="00C972CB" w:rsidRDefault="002457F6">
      <w:pPr>
        <w:spacing w:before="120" w:after="120"/>
        <w:jc w:val="both"/>
        <w:rPr>
          <w:rFonts w:eastAsia="Calibri"/>
          <w:noProof/>
        </w:rPr>
      </w:pPr>
      <w:r>
        <w:rPr>
          <w:noProof/>
        </w:rPr>
        <w:t>Reforma ir sagatavošanās elements komponenta ieguldījumiem. Tā izveido jaunu teritoriālās veselības aprūpes palīdzības modeli un izveido jaunu veselības, vides un klimata profilakses institucionālo struktūru. To panāk ar:</w:t>
      </w:r>
    </w:p>
    <w:p w14:paraId="761986F9" w14:textId="77777777" w:rsidR="00C972CB" w:rsidRDefault="002457F6">
      <w:pPr>
        <w:numPr>
          <w:ilvl w:val="0"/>
          <w:numId w:val="44"/>
        </w:numPr>
        <w:spacing w:before="120" w:after="120"/>
        <w:ind w:left="360"/>
        <w:jc w:val="both"/>
        <w:rPr>
          <w:rFonts w:eastAsiaTheme="minorEastAsia"/>
          <w:noProof/>
        </w:rPr>
      </w:pPr>
      <w:r>
        <w:rPr>
          <w:noProof/>
        </w:rPr>
        <w:t>Jauna organizatoriskā mode</w:t>
      </w:r>
      <w:r>
        <w:rPr>
          <w:noProof/>
        </w:rPr>
        <w:t>ļa izveide teritoriālās veselības aprūpes palīdzības tīklam, nosakot tiesisko regulējumu, kurā noteikti strukturālie, tehnoloģiskie un organizatoriskie standarti.</w:t>
      </w:r>
    </w:p>
    <w:p w14:paraId="4C5BE482" w14:textId="77777777" w:rsidR="00C972CB" w:rsidRDefault="002457F6">
      <w:pPr>
        <w:numPr>
          <w:ilvl w:val="0"/>
          <w:numId w:val="44"/>
        </w:numPr>
        <w:spacing w:before="120" w:after="120"/>
        <w:ind w:left="360"/>
        <w:jc w:val="both"/>
        <w:rPr>
          <w:rFonts w:eastAsiaTheme="minorEastAsia"/>
          <w:noProof/>
        </w:rPr>
      </w:pPr>
      <w:r>
        <w:rPr>
          <w:noProof/>
        </w:rPr>
        <w:t xml:space="preserve">Veselības, vides un klimata profilakses jaunas institucionālās struktūras definēšana, </w:t>
      </w:r>
      <w:r>
        <w:rPr>
          <w:noProof/>
        </w:rPr>
        <w:t>ievērojot integrētu pieeju (“Viena veselība”) un holistisku redzējumu (“Planetārā veselība”).</w:t>
      </w:r>
    </w:p>
    <w:p w14:paraId="2C30A877" w14:textId="77777777" w:rsidR="00C972CB" w:rsidRDefault="002457F6">
      <w:pPr>
        <w:pStyle w:val="P68B1DB1-Normal2"/>
        <w:spacing w:before="120" w:after="120"/>
        <w:jc w:val="both"/>
        <w:rPr>
          <w:rFonts w:eastAsia="Calibri"/>
          <w:noProof/>
        </w:rPr>
      </w:pPr>
      <w:r>
        <w:rPr>
          <w:noProof/>
        </w:rPr>
        <w:t>Ieguldījums 1.1: Kopienas veselības aprūpes nami, lai uzlabotu teritoriālo palīdzību veselības jomā.</w:t>
      </w:r>
    </w:p>
    <w:p w14:paraId="61BBBA11" w14:textId="77777777" w:rsidR="00C972CB" w:rsidRDefault="002457F6">
      <w:pPr>
        <w:spacing w:before="120" w:after="120"/>
        <w:jc w:val="both"/>
        <w:rPr>
          <w:rFonts w:eastAsia="Calibri"/>
          <w:noProof/>
        </w:rPr>
      </w:pPr>
      <w:r>
        <w:rPr>
          <w:noProof/>
        </w:rPr>
        <w:t>Ieguldījumu projekts ietver vismaz 1038 kopienas veselības na</w:t>
      </w:r>
      <w:r>
        <w:rPr>
          <w:noProof/>
        </w:rPr>
        <w:t>mu izveidi un darbības uzsākšanu, aktivizējot, attīstot un apkopojot primārās aprūpes pakalpojumus un izveidojot (energoefektīvus) palīdzības centrus integrētai reaģēšanai uz aprūpes vajadzībām.</w:t>
      </w:r>
    </w:p>
    <w:p w14:paraId="53CE1FA2" w14:textId="77777777" w:rsidR="00C972CB" w:rsidRDefault="002457F6">
      <w:pPr>
        <w:pStyle w:val="P68B1DB1-Normal2"/>
        <w:spacing w:before="120" w:after="120"/>
        <w:jc w:val="both"/>
        <w:rPr>
          <w:rFonts w:eastAsia="Calibri"/>
          <w:noProof/>
        </w:rPr>
      </w:pPr>
      <w:r>
        <w:rPr>
          <w:noProof/>
        </w:rPr>
        <w:t>Ieguldījums 1.2: Mājas kā pirmā aprūpes un telemedicīnas viet</w:t>
      </w:r>
      <w:r>
        <w:rPr>
          <w:noProof/>
        </w:rPr>
        <w:t>a</w:t>
      </w:r>
    </w:p>
    <w:p w14:paraId="25A06724" w14:textId="77777777" w:rsidR="00C972CB" w:rsidRDefault="002457F6">
      <w:pPr>
        <w:spacing w:before="120" w:after="120"/>
        <w:jc w:val="both"/>
        <w:rPr>
          <w:rFonts w:eastAsia="Calibri"/>
          <w:noProof/>
        </w:rPr>
      </w:pPr>
      <w:r>
        <w:rPr>
          <w:noProof/>
        </w:rPr>
        <w:t>Ieguldījumu veido telemedicīnas risinājumu plaša mēroga pieņemšana un atbalsts inovācijai veselības aprūpē, izmantojot šādus pasākumus:</w:t>
      </w:r>
    </w:p>
    <w:p w14:paraId="15A18907" w14:textId="77777777" w:rsidR="00C972CB" w:rsidRDefault="002457F6">
      <w:pPr>
        <w:numPr>
          <w:ilvl w:val="0"/>
          <w:numId w:val="43"/>
        </w:numPr>
        <w:spacing w:before="120" w:after="120"/>
        <w:ind w:left="357" w:hanging="357"/>
        <w:jc w:val="both"/>
        <w:rPr>
          <w:rFonts w:eastAsiaTheme="minorEastAsia"/>
          <w:noProof/>
        </w:rPr>
      </w:pPr>
      <w:r>
        <w:rPr>
          <w:noProof/>
        </w:rPr>
        <w:t>Aprūpe mājās kā pirmais palīdzības punkts (1.2.1. ieguldījums) — Mērķis ir palielināt to cilvēku skaitu, kuriem sniegt</w:t>
      </w:r>
      <w:r>
        <w:rPr>
          <w:noProof/>
        </w:rPr>
        <w:t xml:space="preserve">a aprūpe mājās, līdz 10 % iedzīvotāju, kas vecāki par 65 gadiem, veicot ieguldījumus datortehnikā un palielinot pakalpojumu sniegšanu.   </w:t>
      </w:r>
    </w:p>
    <w:p w14:paraId="711286D0" w14:textId="77777777" w:rsidR="00C972CB" w:rsidRDefault="002457F6">
      <w:pPr>
        <w:numPr>
          <w:ilvl w:val="0"/>
          <w:numId w:val="43"/>
        </w:numPr>
        <w:spacing w:before="120" w:after="120"/>
        <w:ind w:left="357" w:hanging="357"/>
        <w:jc w:val="both"/>
        <w:rPr>
          <w:rFonts w:eastAsiaTheme="minorEastAsia"/>
          <w:noProof/>
        </w:rPr>
      </w:pPr>
      <w:r>
        <w:rPr>
          <w:noProof/>
        </w:rPr>
        <w:t>Teritoriālie koordinācijas centri (ieguldījums 1.2.2.). Plānotie ieguldījumi attiecas uz vismaz 480 teritoriālo koordi</w:t>
      </w:r>
      <w:r>
        <w:rPr>
          <w:noProof/>
        </w:rPr>
        <w:t>nācijas centru (“Centrali Operatione Territoriali”) izveidi, kas paredzēti, lai savienotu un koordinētu dažādus teritoriālos, sociālās veselības un slimnīcu pakalpojumus, kā arī neatliekamās medicīniskās palīdzības tīklu. Paredzams, ka teritoriālie koordin</w:t>
      </w:r>
      <w:r>
        <w:rPr>
          <w:noProof/>
        </w:rPr>
        <w:t>ācijas centri nodrošinās pacientiem sniegto ierīču tālvadību, atbalstīs informācijas apmaiņu starp veselības aprūpes speciālistiem un būs atskaites punkts aprūpētājiem un pacientu vajadzībām.</w:t>
      </w:r>
    </w:p>
    <w:p w14:paraId="6ECADF62" w14:textId="77777777" w:rsidR="00C972CB" w:rsidRDefault="002457F6">
      <w:pPr>
        <w:numPr>
          <w:ilvl w:val="0"/>
          <w:numId w:val="43"/>
        </w:numPr>
        <w:spacing w:before="120" w:after="120"/>
        <w:ind w:left="357" w:hanging="357"/>
        <w:jc w:val="both"/>
        <w:rPr>
          <w:rFonts w:eastAsiaTheme="minorEastAsia"/>
          <w:noProof/>
        </w:rPr>
      </w:pPr>
      <w:r>
        <w:rPr>
          <w:noProof/>
        </w:rPr>
        <w:t>Telemedicīna, lai labāk atbalstītu pacientus ar hroniskām slimīb</w:t>
      </w:r>
      <w:r>
        <w:rPr>
          <w:noProof/>
        </w:rPr>
        <w:t>ām (ieguldījums 1.2.3.). Ieguldījuma mērķis ir 1) finansēt projektus, kas nodrošina ārstu un pacientu attālinātu mijiedarbību, jo īpaši diagnostiku un uzraudzību, 2) izveidot valsts platformu telemedicīnas projektu izvērtēšanai (saistīts ar 6. misijas 2. k</w:t>
      </w:r>
      <w:r>
        <w:rPr>
          <w:noProof/>
        </w:rPr>
        <w:t>omponentu “Ieguldījums 1.3.”) un 3) finansēt ad hoc pētniecības iniciatīvas par digitālajām veselības un aprūpes tehnoloģijām.</w:t>
      </w:r>
    </w:p>
    <w:p w14:paraId="77E89C53" w14:textId="77777777" w:rsidR="00C972CB" w:rsidRDefault="002457F6">
      <w:pPr>
        <w:spacing w:before="120" w:after="120"/>
        <w:jc w:val="both"/>
        <w:rPr>
          <w:rFonts w:eastAsiaTheme="minorEastAsia"/>
          <w:noProof/>
        </w:rPr>
      </w:pPr>
      <w:r>
        <w:rPr>
          <w:noProof/>
        </w:rPr>
        <w:t>Papildu intervences pasākumi, kas saistīti ar aprūpi mājās, ir uzskaitīti 5. uzdevuma 2. daļā, jo īpaši 1. un 2. reformā un 1. un</w:t>
      </w:r>
      <w:r>
        <w:rPr>
          <w:noProof/>
        </w:rPr>
        <w:t xml:space="preserve"> 2. ieguldījumā.</w:t>
      </w:r>
    </w:p>
    <w:p w14:paraId="31C20162" w14:textId="77777777" w:rsidR="00C972CB" w:rsidRDefault="002457F6">
      <w:pPr>
        <w:pStyle w:val="P68B1DB1-Normal2"/>
        <w:spacing w:before="120" w:after="120"/>
        <w:jc w:val="both"/>
        <w:rPr>
          <w:rFonts w:eastAsia="Calibri"/>
          <w:noProof/>
        </w:rPr>
      </w:pPr>
      <w:r>
        <w:rPr>
          <w:noProof/>
        </w:rPr>
        <w:t>Ieguldījums 1.3. Veselības aprūpes starpniecības un tās telpu stiprināšana (Kopienas slimnīcas)</w:t>
      </w:r>
    </w:p>
    <w:p w14:paraId="120EF68F" w14:textId="47C17C66" w:rsidR="00C972CB" w:rsidRDefault="002457F6">
      <w:pPr>
        <w:spacing w:before="120" w:after="120"/>
        <w:jc w:val="both"/>
        <w:rPr>
          <w:noProof/>
        </w:rPr>
      </w:pPr>
      <w:r>
        <w:rPr>
          <w:noProof/>
        </w:rPr>
        <w:t>Ar šo ieguldījumu izveido vismaz 307 kopienas slimnīcas, t. i., veselības aprūpes iestādes pacientiem, kuriem pēc nelielas asuma epizodes vai h</w:t>
      </w:r>
      <w:r>
        <w:rPr>
          <w:noProof/>
        </w:rPr>
        <w:t>ronisku patoloģiju recidīvas ir nepieciešama zema intensivitāte un īstermiņa klīniskie intervences pasākumi.</w:t>
      </w:r>
    </w:p>
    <w:p w14:paraId="6315826C" w14:textId="77777777" w:rsidR="00C972CB" w:rsidRDefault="002457F6">
      <w:pPr>
        <w:pStyle w:val="Heading3"/>
        <w:numPr>
          <w:ilvl w:val="0"/>
          <w:numId w:val="0"/>
        </w:numPr>
        <w:ind w:left="850" w:hanging="850"/>
        <w:rPr>
          <w:b/>
          <w:i w:val="0"/>
          <w:noProof/>
          <w:u w:val="single"/>
        </w:rPr>
      </w:pPr>
      <w:r>
        <w:rPr>
          <w:b/>
          <w:i w:val="0"/>
          <w:noProof/>
          <w:u w:val="single"/>
        </w:rPr>
        <w:t xml:space="preserve">O.4. </w:t>
      </w:r>
      <w:r>
        <w:rPr>
          <w:noProof/>
        </w:rPr>
        <w:tab/>
      </w:r>
      <w:r>
        <w:rPr>
          <w:b/>
          <w:i w:val="0"/>
          <w:noProof/>
          <w:u w:val="single"/>
        </w:rPr>
        <w:t xml:space="preserve">Atskaites punkti, mērķrādītāji, citi rādītāji un aizdevuma uzraudzības un īstenošanas grafiks </w:t>
      </w:r>
    </w:p>
    <w:p w14:paraId="4B394519" w14:textId="77777777" w:rsidR="00C972CB" w:rsidRDefault="00C972CB">
      <w:pPr>
        <w:spacing w:before="120" w:after="120"/>
        <w:ind w:left="709"/>
        <w:contextualSpacing/>
        <w:jc w:val="both"/>
        <w:rPr>
          <w:noProof/>
        </w:rPr>
        <w:sectPr w:rsidR="00C972CB" w:rsidSect="000D3774">
          <w:headerReference w:type="even" r:id="rId350"/>
          <w:headerReference w:type="default" r:id="rId351"/>
          <w:footerReference w:type="even" r:id="rId352"/>
          <w:footerReference w:type="default" r:id="rId353"/>
          <w:headerReference w:type="first" r:id="rId354"/>
          <w:footerReference w:type="first" r:id="rId355"/>
          <w:pgSz w:w="11907" w:h="16839"/>
          <w:pgMar w:top="1134" w:right="1417" w:bottom="1134" w:left="1417" w:header="709" w:footer="709" w:gutter="0"/>
          <w:cols w:space="720"/>
          <w:docGrid w:linePitch="360"/>
        </w:sectPr>
      </w:pPr>
    </w:p>
    <w:tbl>
      <w:tblPr>
        <w:tblW w:w="151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134"/>
        <w:gridCol w:w="1417"/>
        <w:gridCol w:w="1363"/>
        <w:gridCol w:w="948"/>
        <w:gridCol w:w="950"/>
        <w:gridCol w:w="992"/>
        <w:gridCol w:w="992"/>
        <w:gridCol w:w="709"/>
        <w:gridCol w:w="3634"/>
      </w:tblGrid>
      <w:tr w:rsidR="00C972CB" w14:paraId="1F7354FF" w14:textId="77777777">
        <w:trPr>
          <w:trHeight w:val="945"/>
          <w:tblHeader/>
        </w:trPr>
        <w:tc>
          <w:tcPr>
            <w:tcW w:w="1277" w:type="dxa"/>
            <w:vMerge w:val="restart"/>
            <w:shd w:val="clear" w:color="auto" w:fill="BDD7EE"/>
            <w:vAlign w:val="center"/>
          </w:tcPr>
          <w:p w14:paraId="6F1C9E14" w14:textId="77777777" w:rsidR="00C972CB" w:rsidRDefault="002457F6">
            <w:pPr>
              <w:pStyle w:val="P68B1DB1-Normal9"/>
              <w:jc w:val="center"/>
              <w:rPr>
                <w:noProof/>
              </w:rPr>
            </w:pPr>
            <w:r>
              <w:rPr>
                <w:noProof/>
              </w:rPr>
              <w:t>Kārtas numurs</w:t>
            </w:r>
          </w:p>
        </w:tc>
        <w:tc>
          <w:tcPr>
            <w:tcW w:w="1701" w:type="dxa"/>
            <w:vMerge w:val="restart"/>
            <w:shd w:val="clear" w:color="auto" w:fill="BDD7EE"/>
            <w:vAlign w:val="center"/>
          </w:tcPr>
          <w:p w14:paraId="37E968D7" w14:textId="77777777" w:rsidR="00C972CB" w:rsidRDefault="002457F6">
            <w:pPr>
              <w:pStyle w:val="P68B1DB1-Normal9"/>
              <w:jc w:val="center"/>
              <w:rPr>
                <w:noProof/>
              </w:rPr>
            </w:pPr>
            <w:r>
              <w:rPr>
                <w:noProof/>
              </w:rPr>
              <w:t>Pasākums (reforma vai investīcija)</w:t>
            </w:r>
          </w:p>
        </w:tc>
        <w:tc>
          <w:tcPr>
            <w:tcW w:w="1134" w:type="dxa"/>
            <w:vMerge w:val="restart"/>
            <w:shd w:val="clear" w:color="auto" w:fill="BDD7EE"/>
            <w:vAlign w:val="center"/>
          </w:tcPr>
          <w:p w14:paraId="1067D873" w14:textId="77777777" w:rsidR="00C972CB" w:rsidRDefault="002457F6">
            <w:pPr>
              <w:pStyle w:val="P68B1DB1-Normal9"/>
              <w:jc w:val="center"/>
              <w:rPr>
                <w:noProof/>
              </w:rPr>
            </w:pPr>
            <w:r>
              <w:rPr>
                <w:noProof/>
              </w:rPr>
              <w:t>Atskaites punkts/mērķrādītājs</w:t>
            </w:r>
          </w:p>
        </w:tc>
        <w:tc>
          <w:tcPr>
            <w:tcW w:w="1417" w:type="dxa"/>
            <w:vMerge w:val="restart"/>
            <w:shd w:val="clear" w:color="auto" w:fill="BDD7EE"/>
            <w:vAlign w:val="center"/>
          </w:tcPr>
          <w:p w14:paraId="7AE76D2B" w14:textId="77777777" w:rsidR="00C972CB" w:rsidRDefault="002457F6">
            <w:pPr>
              <w:pStyle w:val="P68B1DB1-Normal9"/>
              <w:jc w:val="center"/>
              <w:rPr>
                <w:noProof/>
              </w:rPr>
            </w:pPr>
            <w:r>
              <w:rPr>
                <w:noProof/>
              </w:rPr>
              <w:t>Uzvārds</w:t>
            </w:r>
          </w:p>
        </w:tc>
        <w:tc>
          <w:tcPr>
            <w:tcW w:w="1363" w:type="dxa"/>
            <w:vMerge w:val="restart"/>
            <w:shd w:val="clear" w:color="auto" w:fill="BDD7EE"/>
            <w:vAlign w:val="center"/>
          </w:tcPr>
          <w:p w14:paraId="1B541012" w14:textId="77777777" w:rsidR="00C972CB" w:rsidRDefault="002457F6">
            <w:pPr>
              <w:pStyle w:val="P68B1DB1-Normal1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2890" w:type="dxa"/>
            <w:gridSpan w:val="3"/>
            <w:shd w:val="clear" w:color="auto" w:fill="BDD7EE"/>
            <w:vAlign w:val="center"/>
          </w:tcPr>
          <w:p w14:paraId="02F9495A" w14:textId="77777777" w:rsidR="00C972CB" w:rsidRDefault="002457F6">
            <w:pPr>
              <w:pStyle w:val="P68B1DB1-Normal1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701" w:type="dxa"/>
            <w:gridSpan w:val="2"/>
            <w:shd w:val="clear" w:color="auto" w:fill="BDD7EE"/>
            <w:vAlign w:val="center"/>
          </w:tcPr>
          <w:p w14:paraId="307FA7C3" w14:textId="77777777" w:rsidR="00C972CB" w:rsidRDefault="002457F6">
            <w:pPr>
              <w:pStyle w:val="P68B1DB1-Normal9"/>
              <w:jc w:val="center"/>
              <w:rPr>
                <w:noProof/>
              </w:rPr>
            </w:pPr>
            <w:r>
              <w:rPr>
                <w:noProof/>
              </w:rPr>
              <w:t>Orientējošs pabeigšanas termiņš</w:t>
            </w:r>
          </w:p>
        </w:tc>
        <w:tc>
          <w:tcPr>
            <w:tcW w:w="3634" w:type="dxa"/>
            <w:vMerge w:val="restart"/>
            <w:shd w:val="clear" w:color="auto" w:fill="BDD7EE"/>
            <w:vAlign w:val="center"/>
          </w:tcPr>
          <w:p w14:paraId="2C53A1CF" w14:textId="77777777" w:rsidR="00C972CB" w:rsidRDefault="002457F6">
            <w:pPr>
              <w:pStyle w:val="P68B1DB1-Normal9"/>
              <w:jc w:val="center"/>
              <w:rPr>
                <w:noProof/>
              </w:rPr>
            </w:pPr>
            <w:r>
              <w:rPr>
                <w:noProof/>
              </w:rPr>
              <w:t xml:space="preserve">Apraksts par katru </w:t>
            </w:r>
            <w:r>
              <w:rPr>
                <w:noProof/>
              </w:rPr>
              <w:t>atskaites punktu un mērķrādītāju</w:t>
            </w:r>
          </w:p>
        </w:tc>
      </w:tr>
      <w:tr w:rsidR="00C972CB" w14:paraId="49B74558" w14:textId="77777777">
        <w:trPr>
          <w:trHeight w:val="737"/>
        </w:trPr>
        <w:tc>
          <w:tcPr>
            <w:tcW w:w="1277" w:type="dxa"/>
            <w:vMerge/>
            <w:vAlign w:val="center"/>
          </w:tcPr>
          <w:p w14:paraId="26908977" w14:textId="77777777" w:rsidR="00C972CB" w:rsidRDefault="00C972CB">
            <w:pPr>
              <w:jc w:val="center"/>
              <w:rPr>
                <w:rFonts w:ascii="Arial Narrow" w:hAnsi="Arial Narrow"/>
                <w:noProof/>
                <w:sz w:val="20"/>
              </w:rPr>
            </w:pPr>
          </w:p>
        </w:tc>
        <w:tc>
          <w:tcPr>
            <w:tcW w:w="1701" w:type="dxa"/>
            <w:vMerge/>
            <w:vAlign w:val="center"/>
          </w:tcPr>
          <w:p w14:paraId="11F65102" w14:textId="77777777" w:rsidR="00C972CB" w:rsidRDefault="00C972CB">
            <w:pPr>
              <w:jc w:val="center"/>
              <w:rPr>
                <w:rFonts w:ascii="Arial Narrow" w:hAnsi="Arial Narrow"/>
                <w:noProof/>
                <w:sz w:val="20"/>
              </w:rPr>
            </w:pPr>
          </w:p>
        </w:tc>
        <w:tc>
          <w:tcPr>
            <w:tcW w:w="1134" w:type="dxa"/>
            <w:vMerge/>
            <w:vAlign w:val="center"/>
          </w:tcPr>
          <w:p w14:paraId="318E64BD" w14:textId="77777777" w:rsidR="00C972CB" w:rsidRDefault="00C972CB">
            <w:pPr>
              <w:jc w:val="center"/>
              <w:rPr>
                <w:rFonts w:ascii="Arial Narrow" w:hAnsi="Arial Narrow"/>
                <w:noProof/>
                <w:sz w:val="20"/>
              </w:rPr>
            </w:pPr>
          </w:p>
        </w:tc>
        <w:tc>
          <w:tcPr>
            <w:tcW w:w="1417" w:type="dxa"/>
            <w:vMerge/>
            <w:vAlign w:val="center"/>
          </w:tcPr>
          <w:p w14:paraId="3EBB642D" w14:textId="77777777" w:rsidR="00C972CB" w:rsidRDefault="00C972CB">
            <w:pPr>
              <w:jc w:val="center"/>
              <w:rPr>
                <w:rFonts w:ascii="Arial Narrow" w:hAnsi="Arial Narrow"/>
                <w:noProof/>
                <w:sz w:val="20"/>
              </w:rPr>
            </w:pPr>
          </w:p>
        </w:tc>
        <w:tc>
          <w:tcPr>
            <w:tcW w:w="1363" w:type="dxa"/>
            <w:vMerge/>
            <w:vAlign w:val="center"/>
          </w:tcPr>
          <w:p w14:paraId="35FEF10F" w14:textId="77777777" w:rsidR="00C972CB" w:rsidRDefault="00C972CB">
            <w:pPr>
              <w:jc w:val="center"/>
              <w:rPr>
                <w:rFonts w:ascii="Arial Narrow" w:hAnsi="Arial Narrow"/>
                <w:noProof/>
                <w:sz w:val="20"/>
              </w:rPr>
            </w:pPr>
          </w:p>
        </w:tc>
        <w:tc>
          <w:tcPr>
            <w:tcW w:w="948" w:type="dxa"/>
            <w:shd w:val="clear" w:color="auto" w:fill="BDD7EE"/>
            <w:vAlign w:val="center"/>
          </w:tcPr>
          <w:p w14:paraId="107296B5" w14:textId="77777777" w:rsidR="00C972CB" w:rsidRDefault="002457F6">
            <w:pPr>
              <w:pStyle w:val="P68B1DB1-Normal9"/>
              <w:jc w:val="center"/>
              <w:rPr>
                <w:noProof/>
              </w:rPr>
            </w:pPr>
            <w:r>
              <w:rPr>
                <w:noProof/>
              </w:rPr>
              <w:t>Mēra vienība</w:t>
            </w:r>
          </w:p>
        </w:tc>
        <w:tc>
          <w:tcPr>
            <w:tcW w:w="950" w:type="dxa"/>
            <w:shd w:val="clear" w:color="auto" w:fill="BDD7EE"/>
            <w:vAlign w:val="center"/>
          </w:tcPr>
          <w:p w14:paraId="170C5175" w14:textId="77777777" w:rsidR="00C972CB" w:rsidRDefault="002457F6">
            <w:pPr>
              <w:pStyle w:val="P68B1DB1-Normal9"/>
              <w:jc w:val="center"/>
              <w:rPr>
                <w:noProof/>
              </w:rPr>
            </w:pPr>
            <w:r>
              <w:rPr>
                <w:noProof/>
              </w:rPr>
              <w:t>Pamatscenārijs</w:t>
            </w:r>
          </w:p>
        </w:tc>
        <w:tc>
          <w:tcPr>
            <w:tcW w:w="992" w:type="dxa"/>
            <w:shd w:val="clear" w:color="auto" w:fill="BDD7EE"/>
            <w:vAlign w:val="center"/>
          </w:tcPr>
          <w:p w14:paraId="4E9DB5B8" w14:textId="77777777" w:rsidR="00C972CB" w:rsidRDefault="002457F6">
            <w:pPr>
              <w:pStyle w:val="P68B1DB1-Normal9"/>
              <w:jc w:val="center"/>
              <w:rPr>
                <w:noProof/>
              </w:rPr>
            </w:pPr>
            <w:r>
              <w:rPr>
                <w:noProof/>
              </w:rPr>
              <w:t>Mērķis</w:t>
            </w:r>
          </w:p>
        </w:tc>
        <w:tc>
          <w:tcPr>
            <w:tcW w:w="992" w:type="dxa"/>
            <w:shd w:val="clear" w:color="auto" w:fill="BDD7EE"/>
            <w:vAlign w:val="center"/>
          </w:tcPr>
          <w:p w14:paraId="135120E0" w14:textId="77777777" w:rsidR="00C972CB" w:rsidRDefault="002457F6">
            <w:pPr>
              <w:pStyle w:val="P68B1DB1-Normal9"/>
              <w:jc w:val="center"/>
              <w:rPr>
                <w:noProof/>
              </w:rPr>
            </w:pPr>
            <w:r>
              <w:rPr>
                <w:noProof/>
              </w:rPr>
              <w:t>Ceturtdaļa</w:t>
            </w:r>
          </w:p>
        </w:tc>
        <w:tc>
          <w:tcPr>
            <w:tcW w:w="709" w:type="dxa"/>
            <w:shd w:val="clear" w:color="auto" w:fill="BDD7EE"/>
            <w:vAlign w:val="center"/>
          </w:tcPr>
          <w:p w14:paraId="2A66DA5D" w14:textId="77777777" w:rsidR="00C972CB" w:rsidRDefault="002457F6">
            <w:pPr>
              <w:pStyle w:val="P68B1DB1-Normal9"/>
              <w:jc w:val="center"/>
              <w:rPr>
                <w:noProof/>
              </w:rPr>
            </w:pPr>
            <w:r>
              <w:rPr>
                <w:noProof/>
              </w:rPr>
              <w:t>Gadā</w:t>
            </w:r>
          </w:p>
        </w:tc>
        <w:tc>
          <w:tcPr>
            <w:tcW w:w="3634" w:type="dxa"/>
            <w:vMerge/>
            <w:vAlign w:val="center"/>
          </w:tcPr>
          <w:p w14:paraId="46D3E2F9" w14:textId="77777777" w:rsidR="00C972CB" w:rsidRDefault="00C972CB">
            <w:pPr>
              <w:rPr>
                <w:rFonts w:ascii="Arial Narrow" w:hAnsi="Arial Narrow"/>
                <w:noProof/>
                <w:sz w:val="20"/>
              </w:rPr>
            </w:pPr>
          </w:p>
        </w:tc>
      </w:tr>
      <w:tr w:rsidR="00C972CB" w14:paraId="5388157D" w14:textId="77777777">
        <w:trPr>
          <w:trHeight w:val="315"/>
        </w:trPr>
        <w:tc>
          <w:tcPr>
            <w:tcW w:w="1277" w:type="dxa"/>
            <w:shd w:val="clear" w:color="auto" w:fill="C6EFCE"/>
            <w:vAlign w:val="center"/>
          </w:tcPr>
          <w:p w14:paraId="16EC2779" w14:textId="77777777" w:rsidR="00C972CB" w:rsidRDefault="002457F6">
            <w:pPr>
              <w:pStyle w:val="P68B1DB1-Normal11"/>
              <w:jc w:val="center"/>
              <w:rPr>
                <w:rFonts w:eastAsiaTheme="minorEastAsia"/>
                <w:noProof/>
              </w:rPr>
            </w:pPr>
            <w:r>
              <w:rPr>
                <w:noProof/>
              </w:rPr>
              <w:t>M6C1–1</w:t>
            </w:r>
          </w:p>
        </w:tc>
        <w:tc>
          <w:tcPr>
            <w:tcW w:w="1701" w:type="dxa"/>
            <w:shd w:val="clear" w:color="auto" w:fill="C6EFCE"/>
            <w:vAlign w:val="center"/>
          </w:tcPr>
          <w:p w14:paraId="7CB31303" w14:textId="77777777" w:rsidR="00C972CB" w:rsidRDefault="002457F6">
            <w:pPr>
              <w:pStyle w:val="P68B1DB1-Normal11"/>
              <w:jc w:val="center"/>
              <w:rPr>
                <w:rFonts w:eastAsiaTheme="minorEastAsia"/>
                <w:noProof/>
              </w:rPr>
            </w:pPr>
            <w:r>
              <w:rPr>
                <w:noProof/>
              </w:rPr>
              <w:t>Reforma:  Jauna organizatoriskā modeļa noteikšana teritoriālās veselības aprūpes palīdzības tīklam</w:t>
            </w:r>
          </w:p>
        </w:tc>
        <w:tc>
          <w:tcPr>
            <w:tcW w:w="1134" w:type="dxa"/>
            <w:shd w:val="clear" w:color="auto" w:fill="C6EFCE"/>
            <w:vAlign w:val="center"/>
          </w:tcPr>
          <w:p w14:paraId="7CED53EB" w14:textId="77777777" w:rsidR="00C972CB" w:rsidRDefault="002457F6">
            <w:pPr>
              <w:pStyle w:val="P68B1DB1-Normal11"/>
              <w:jc w:val="center"/>
              <w:rPr>
                <w:rFonts w:eastAsiaTheme="minorEastAsia"/>
                <w:noProof/>
              </w:rPr>
            </w:pPr>
            <w:r>
              <w:rPr>
                <w:noProof/>
              </w:rPr>
              <w:t>Starpposma mērķis</w:t>
            </w:r>
          </w:p>
        </w:tc>
        <w:tc>
          <w:tcPr>
            <w:tcW w:w="1417" w:type="dxa"/>
            <w:shd w:val="clear" w:color="auto" w:fill="C6EFCE"/>
            <w:vAlign w:val="center"/>
          </w:tcPr>
          <w:p w14:paraId="5F7367DE" w14:textId="0EF006A9" w:rsidR="00C972CB" w:rsidRDefault="002457F6">
            <w:pPr>
              <w:pStyle w:val="P68B1DB1-Normal11"/>
              <w:jc w:val="center"/>
              <w:rPr>
                <w:rFonts w:eastAsiaTheme="minorEastAsia"/>
                <w:noProof/>
              </w:rPr>
            </w:pPr>
            <w:r>
              <w:rPr>
                <w:noProof/>
              </w:rPr>
              <w:t xml:space="preserve">Stājas spēkā sekundārie tiesību akti </w:t>
            </w:r>
            <w:r>
              <w:rPr>
                <w:noProof/>
              </w:rPr>
              <w:t>(ministrijas dekrēts), kas paredz veselības aprūpes organizācijas reformu.</w:t>
            </w:r>
          </w:p>
        </w:tc>
        <w:tc>
          <w:tcPr>
            <w:tcW w:w="1363" w:type="dxa"/>
            <w:shd w:val="clear" w:color="auto" w:fill="C6EFCE"/>
            <w:vAlign w:val="center"/>
          </w:tcPr>
          <w:p w14:paraId="6964A97B" w14:textId="77777777" w:rsidR="00C972CB" w:rsidRDefault="002457F6">
            <w:pPr>
              <w:pStyle w:val="P68B1DB1-Normal11"/>
              <w:jc w:val="center"/>
              <w:rPr>
                <w:rFonts w:eastAsiaTheme="minorEastAsia"/>
                <w:noProof/>
              </w:rPr>
            </w:pPr>
            <w:r>
              <w:rPr>
                <w:noProof/>
              </w:rPr>
              <w:t xml:space="preserve">Likuma norma, kas norāda uz tiesību akta stāšanos spēkā </w:t>
            </w:r>
          </w:p>
        </w:tc>
        <w:tc>
          <w:tcPr>
            <w:tcW w:w="948" w:type="dxa"/>
            <w:shd w:val="clear" w:color="auto" w:fill="C6EFCE"/>
            <w:vAlign w:val="center"/>
          </w:tcPr>
          <w:p w14:paraId="55C6BADC" w14:textId="77777777" w:rsidR="00C972CB" w:rsidRDefault="002457F6">
            <w:pPr>
              <w:pStyle w:val="P68B1DB1-Normal11"/>
              <w:jc w:val="center"/>
              <w:rPr>
                <w:rFonts w:eastAsiaTheme="minorEastAsia"/>
                <w:noProof/>
              </w:rPr>
            </w:pPr>
            <w:r>
              <w:rPr>
                <w:noProof/>
              </w:rPr>
              <w:t>NEPIEMĒRO</w:t>
            </w:r>
          </w:p>
        </w:tc>
        <w:tc>
          <w:tcPr>
            <w:tcW w:w="950" w:type="dxa"/>
            <w:shd w:val="clear" w:color="auto" w:fill="C6EFCE"/>
            <w:vAlign w:val="center"/>
          </w:tcPr>
          <w:p w14:paraId="43FB6855"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1EDE59A0"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5321134F" w14:textId="77777777" w:rsidR="00C972CB" w:rsidRDefault="002457F6">
            <w:pPr>
              <w:pStyle w:val="P68B1DB1-Normal11"/>
              <w:jc w:val="center"/>
              <w:rPr>
                <w:rFonts w:eastAsiaTheme="minorEastAsia"/>
                <w:noProof/>
              </w:rPr>
            </w:pPr>
            <w:r>
              <w:rPr>
                <w:noProof/>
              </w:rPr>
              <w:t>2. CET.</w:t>
            </w:r>
          </w:p>
        </w:tc>
        <w:tc>
          <w:tcPr>
            <w:tcW w:w="709" w:type="dxa"/>
            <w:shd w:val="clear" w:color="auto" w:fill="C6EFCE"/>
            <w:vAlign w:val="center"/>
          </w:tcPr>
          <w:p w14:paraId="36EEA2C7" w14:textId="77777777" w:rsidR="00C972CB" w:rsidRDefault="002457F6">
            <w:pPr>
              <w:pStyle w:val="P68B1DB1-Normal11"/>
              <w:jc w:val="center"/>
              <w:rPr>
                <w:rFonts w:eastAsiaTheme="minorEastAsia"/>
                <w:noProof/>
              </w:rPr>
            </w:pPr>
            <w:r>
              <w:rPr>
                <w:noProof/>
              </w:rPr>
              <w:t>2022</w:t>
            </w:r>
          </w:p>
        </w:tc>
        <w:tc>
          <w:tcPr>
            <w:tcW w:w="3634" w:type="dxa"/>
            <w:shd w:val="clear" w:color="auto" w:fill="C6EFCE"/>
            <w:vAlign w:val="center"/>
          </w:tcPr>
          <w:p w14:paraId="7BE78767" w14:textId="77777777" w:rsidR="00C972CB" w:rsidRDefault="002457F6">
            <w:pPr>
              <w:pStyle w:val="P68B1DB1-Normal11"/>
              <w:rPr>
                <w:rFonts w:eastAsiaTheme="minorEastAsia"/>
                <w:noProof/>
              </w:rPr>
            </w:pPr>
            <w:r>
              <w:rPr>
                <w:noProof/>
              </w:rPr>
              <w:t>Stājas spēkā sekundārie tiesību akti (ministrijas dekrēts), kas paredz:</w:t>
            </w:r>
          </w:p>
          <w:p w14:paraId="00979DA9" w14:textId="71AD3A03" w:rsidR="00C972CB" w:rsidRDefault="002457F6">
            <w:pPr>
              <w:pStyle w:val="P68B1DB1-Normal11"/>
              <w:rPr>
                <w:rFonts w:eastAsiaTheme="minorEastAsia"/>
                <w:noProof/>
              </w:rPr>
            </w:pPr>
            <w:r>
              <w:rPr>
                <w:noProof/>
              </w:rPr>
              <w:t xml:space="preserve">Jauna </w:t>
            </w:r>
            <w:r>
              <w:rPr>
                <w:noProof/>
              </w:rPr>
              <w:t>teritoriāla veselības aprūpes atbalsta tīkla organizatoriskā modeļa noteikšana, nosakot tiesisko regulējumu, kurā noteikti strukturālie, tehnoloģiskie un organizatoriskie standarti visos reģionos; veselības, vides un klimata profilakses jaunas institucionā</w:t>
            </w:r>
            <w:r>
              <w:rPr>
                <w:noProof/>
              </w:rPr>
              <w:t>lās struktūras definēšana saskaņā ar pieeju “Viena veselība”.</w:t>
            </w:r>
          </w:p>
        </w:tc>
      </w:tr>
      <w:tr w:rsidR="00C972CB" w14:paraId="72AA3C9D" w14:textId="77777777">
        <w:trPr>
          <w:trHeight w:val="315"/>
        </w:trPr>
        <w:tc>
          <w:tcPr>
            <w:tcW w:w="1277" w:type="dxa"/>
            <w:shd w:val="clear" w:color="auto" w:fill="C6EFCE"/>
            <w:vAlign w:val="center"/>
          </w:tcPr>
          <w:p w14:paraId="26AD45FD" w14:textId="77777777" w:rsidR="00C972CB" w:rsidRDefault="002457F6">
            <w:pPr>
              <w:pStyle w:val="P68B1DB1-Normal11"/>
              <w:jc w:val="center"/>
              <w:rPr>
                <w:rFonts w:eastAsiaTheme="minorEastAsia"/>
                <w:noProof/>
              </w:rPr>
            </w:pPr>
            <w:r>
              <w:rPr>
                <w:noProof/>
              </w:rPr>
              <w:t>M6C1–2</w:t>
            </w:r>
          </w:p>
        </w:tc>
        <w:tc>
          <w:tcPr>
            <w:tcW w:w="1701" w:type="dxa"/>
            <w:shd w:val="clear" w:color="auto" w:fill="C6EFCE"/>
            <w:vAlign w:val="center"/>
          </w:tcPr>
          <w:p w14:paraId="6062B73A" w14:textId="77777777" w:rsidR="00C972CB" w:rsidRDefault="002457F6">
            <w:pPr>
              <w:pStyle w:val="P68B1DB1-Normal11"/>
              <w:jc w:val="center"/>
              <w:rPr>
                <w:rFonts w:eastAsiaTheme="minorEastAsia"/>
                <w:noProof/>
              </w:rPr>
            </w:pPr>
            <w:r>
              <w:rPr>
                <w:noProof/>
              </w:rPr>
              <w:t>Ieguldījums 1.1: Kopienas veselības aprūpes nami, lai uzlabotu teritoriālo palīdzību veselības jomā</w:t>
            </w:r>
          </w:p>
        </w:tc>
        <w:tc>
          <w:tcPr>
            <w:tcW w:w="1134" w:type="dxa"/>
            <w:shd w:val="clear" w:color="auto" w:fill="C6EFCE"/>
            <w:vAlign w:val="center"/>
          </w:tcPr>
          <w:p w14:paraId="461C0E60" w14:textId="77777777" w:rsidR="00C972CB" w:rsidRDefault="002457F6">
            <w:pPr>
              <w:pStyle w:val="P68B1DB1-Normal11"/>
              <w:jc w:val="center"/>
              <w:rPr>
                <w:rFonts w:eastAsiaTheme="minorEastAsia"/>
                <w:noProof/>
              </w:rPr>
            </w:pPr>
            <w:r>
              <w:rPr>
                <w:noProof/>
              </w:rPr>
              <w:t>Starpposma mērķis</w:t>
            </w:r>
          </w:p>
        </w:tc>
        <w:tc>
          <w:tcPr>
            <w:tcW w:w="1417" w:type="dxa"/>
            <w:shd w:val="clear" w:color="auto" w:fill="C6EFCE"/>
            <w:vAlign w:val="center"/>
          </w:tcPr>
          <w:p w14:paraId="3D605EB4" w14:textId="77777777" w:rsidR="00C972CB" w:rsidRDefault="002457F6">
            <w:pPr>
              <w:pStyle w:val="P68B1DB1-Normal11"/>
              <w:jc w:val="center"/>
              <w:rPr>
                <w:rFonts w:eastAsiaTheme="minorEastAsia"/>
                <w:noProof/>
              </w:rPr>
            </w:pPr>
            <w:r>
              <w:rPr>
                <w:noProof/>
              </w:rPr>
              <w:t xml:space="preserve">Iestāžu attīstības līguma apstiprināšana </w:t>
            </w:r>
          </w:p>
        </w:tc>
        <w:tc>
          <w:tcPr>
            <w:tcW w:w="1363" w:type="dxa"/>
            <w:shd w:val="clear" w:color="auto" w:fill="C6EFCE"/>
            <w:vAlign w:val="center"/>
          </w:tcPr>
          <w:p w14:paraId="351DF376" w14:textId="77777777" w:rsidR="00C972CB" w:rsidRDefault="002457F6">
            <w:pPr>
              <w:pStyle w:val="P68B1DB1-Normal11"/>
              <w:jc w:val="center"/>
              <w:rPr>
                <w:rFonts w:eastAsiaTheme="minorEastAsia"/>
                <w:noProof/>
              </w:rPr>
            </w:pPr>
            <w:r>
              <w:rPr>
                <w:noProof/>
              </w:rPr>
              <w:t xml:space="preserve">Veselības un reģionu </w:t>
            </w:r>
            <w:r>
              <w:rPr>
                <w:noProof/>
              </w:rPr>
              <w:t>ministrijas paziņojums par apstiprinājumu</w:t>
            </w:r>
          </w:p>
        </w:tc>
        <w:tc>
          <w:tcPr>
            <w:tcW w:w="948" w:type="dxa"/>
            <w:shd w:val="clear" w:color="auto" w:fill="C6EFCE"/>
            <w:vAlign w:val="center"/>
          </w:tcPr>
          <w:p w14:paraId="5911C810" w14:textId="77777777" w:rsidR="00C972CB" w:rsidRDefault="002457F6">
            <w:pPr>
              <w:pStyle w:val="P68B1DB1-Normal11"/>
              <w:jc w:val="center"/>
              <w:rPr>
                <w:rFonts w:eastAsiaTheme="minorEastAsia"/>
                <w:noProof/>
              </w:rPr>
            </w:pPr>
            <w:r>
              <w:rPr>
                <w:noProof/>
              </w:rPr>
              <w:t>NEPIEMĒRO</w:t>
            </w:r>
          </w:p>
        </w:tc>
        <w:tc>
          <w:tcPr>
            <w:tcW w:w="950" w:type="dxa"/>
            <w:shd w:val="clear" w:color="auto" w:fill="C6EFCE"/>
            <w:vAlign w:val="center"/>
          </w:tcPr>
          <w:p w14:paraId="1A34F19F"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7C261223"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5B92BD74" w14:textId="77777777" w:rsidR="00C972CB" w:rsidRDefault="002457F6">
            <w:pPr>
              <w:pStyle w:val="P68B1DB1-Normal11"/>
              <w:jc w:val="center"/>
              <w:rPr>
                <w:rFonts w:eastAsiaTheme="minorEastAsia"/>
                <w:noProof/>
              </w:rPr>
            </w:pPr>
            <w:r>
              <w:rPr>
                <w:noProof/>
              </w:rPr>
              <w:t>2. CET.</w:t>
            </w:r>
          </w:p>
        </w:tc>
        <w:tc>
          <w:tcPr>
            <w:tcW w:w="709" w:type="dxa"/>
            <w:shd w:val="clear" w:color="auto" w:fill="C6EFCE"/>
            <w:vAlign w:val="center"/>
          </w:tcPr>
          <w:p w14:paraId="277AE4FB" w14:textId="77777777" w:rsidR="00C972CB" w:rsidRDefault="002457F6">
            <w:pPr>
              <w:pStyle w:val="P68B1DB1-Normal11"/>
              <w:jc w:val="center"/>
              <w:rPr>
                <w:rFonts w:eastAsiaTheme="minorEastAsia"/>
                <w:noProof/>
              </w:rPr>
            </w:pPr>
            <w:r>
              <w:rPr>
                <w:noProof/>
              </w:rPr>
              <w:t>2022</w:t>
            </w:r>
          </w:p>
        </w:tc>
        <w:tc>
          <w:tcPr>
            <w:tcW w:w="3634" w:type="dxa"/>
            <w:shd w:val="clear" w:color="auto" w:fill="C6EFCE"/>
            <w:vAlign w:val="center"/>
          </w:tcPr>
          <w:p w14:paraId="30AF42DB" w14:textId="77777777" w:rsidR="00C972CB" w:rsidRDefault="002457F6">
            <w:pPr>
              <w:pStyle w:val="P68B1DB1-Normal11"/>
              <w:rPr>
                <w:rFonts w:eastAsiaTheme="minorEastAsia"/>
                <w:noProof/>
              </w:rPr>
            </w:pPr>
            <w:r>
              <w:rPr>
                <w:noProof/>
              </w:rPr>
              <w:t xml:space="preserve">Iestāžu attīstības līguma (Contratto Istituzionale di Sviluppo) apstiprināšana ar Itālijas Veselības ministriju kā atbildīgo un izpildes iestādi, kā arī reģionālo </w:t>
            </w:r>
            <w:r>
              <w:rPr>
                <w:noProof/>
              </w:rPr>
              <w:t>administrāciju un citu Kopienas veselības namu attiecīgo struktūru līdzdalību:</w:t>
            </w:r>
          </w:p>
          <w:p w14:paraId="4EA4A4F3" w14:textId="77777777" w:rsidR="00C972CB" w:rsidRDefault="002457F6">
            <w:pPr>
              <w:pStyle w:val="P68B1DB1-Normal11"/>
              <w:rPr>
                <w:rFonts w:eastAsiaTheme="minorEastAsia"/>
                <w:noProof/>
              </w:rPr>
            </w:pPr>
            <w:r>
              <w:rPr>
                <w:noProof/>
              </w:rPr>
              <w:t>Institucionālās attīstības līgums ir pārvaldības instruments, kurā uzskaita visas piemērotās puses, kas identificētas Kopienas Veselības nama īstenošanai, lai uzlabotu teritoriā</w:t>
            </w:r>
            <w:r>
              <w:rPr>
                <w:noProof/>
              </w:rPr>
              <w:t xml:space="preserve">lo palīdzību veselības jomā. Līgumā norāda arī saistības, ko katrs Itālijas reģions uzņemsies, lai garantētu gaidāmo rezultātu sasniegšanu attiecībā uz Kopienas veselības namu. </w:t>
            </w:r>
          </w:p>
          <w:p w14:paraId="1D58CC81" w14:textId="77777777" w:rsidR="00C972CB" w:rsidRDefault="002457F6">
            <w:pPr>
              <w:pStyle w:val="P68B1DB1-Normal11"/>
              <w:rPr>
                <w:rFonts w:eastAsiaTheme="minorEastAsia"/>
                <w:noProof/>
              </w:rPr>
            </w:pPr>
            <w:r>
              <w:rPr>
                <w:noProof/>
              </w:rPr>
              <w:t xml:space="preserve"> Līguma mērķis bija atbalstīt teritoriālo kohēziju, attīstību un ekonomikas iz</w:t>
            </w:r>
            <w:r>
              <w:rPr>
                <w:noProof/>
              </w:rPr>
              <w:t>augsmi un paātrināt sarežģītu intervences pasākumu īstenošanu. Institucionālās attīstības līgums ir īpaši noderīgs lieliem projektiem vai investīcijām, kas formulētas atsevišķos intervencēs, kuras savstarpēji ir savstarpēji saistītas, kam nepieciešama inte</w:t>
            </w:r>
            <w:r>
              <w:rPr>
                <w:noProof/>
              </w:rPr>
              <w:t>grēta pieeja un Eiropas investīciju struktūrfondu un valstu fondu izmantošana, kas arī iekļauti plānos un darbības programmās, ko finansē no valstu un Eiropas resursiem.</w:t>
            </w:r>
          </w:p>
        </w:tc>
      </w:tr>
      <w:tr w:rsidR="00C972CB" w14:paraId="292D131E" w14:textId="77777777">
        <w:trPr>
          <w:trHeight w:val="315"/>
        </w:trPr>
        <w:tc>
          <w:tcPr>
            <w:tcW w:w="1277" w:type="dxa"/>
            <w:shd w:val="clear" w:color="auto" w:fill="C6EFCE"/>
            <w:vAlign w:val="center"/>
          </w:tcPr>
          <w:p w14:paraId="07E44561" w14:textId="77777777" w:rsidR="00C972CB" w:rsidRDefault="002457F6">
            <w:pPr>
              <w:pStyle w:val="P68B1DB1-Normal11"/>
              <w:jc w:val="center"/>
              <w:rPr>
                <w:rFonts w:eastAsiaTheme="minorEastAsia"/>
                <w:noProof/>
              </w:rPr>
            </w:pPr>
            <w:r>
              <w:rPr>
                <w:noProof/>
              </w:rPr>
              <w:t>M6C1–3</w:t>
            </w:r>
          </w:p>
        </w:tc>
        <w:tc>
          <w:tcPr>
            <w:tcW w:w="1701" w:type="dxa"/>
            <w:shd w:val="clear" w:color="auto" w:fill="C6EFCE"/>
            <w:vAlign w:val="center"/>
          </w:tcPr>
          <w:p w14:paraId="5B4654E8" w14:textId="77777777" w:rsidR="00C972CB" w:rsidRDefault="002457F6">
            <w:pPr>
              <w:pStyle w:val="P68B1DB1-Normal11"/>
              <w:jc w:val="center"/>
              <w:rPr>
                <w:rFonts w:eastAsiaTheme="minorEastAsia"/>
                <w:noProof/>
              </w:rPr>
            </w:pPr>
            <w:r>
              <w:rPr>
                <w:noProof/>
              </w:rPr>
              <w:t xml:space="preserve">Ieguldījums 1.1: Kopienas veselības aprūpes nami, lai uzlabotu teritoriālo </w:t>
            </w:r>
            <w:r>
              <w:rPr>
                <w:noProof/>
              </w:rPr>
              <w:t>palīdzību veselības jomā</w:t>
            </w:r>
          </w:p>
        </w:tc>
        <w:tc>
          <w:tcPr>
            <w:tcW w:w="1134" w:type="dxa"/>
            <w:shd w:val="clear" w:color="auto" w:fill="C6EFCE"/>
            <w:vAlign w:val="center"/>
          </w:tcPr>
          <w:p w14:paraId="34342ABD" w14:textId="77777777" w:rsidR="00C972CB" w:rsidRDefault="002457F6">
            <w:pPr>
              <w:pStyle w:val="P68B1DB1-Normal11"/>
              <w:jc w:val="center"/>
              <w:rPr>
                <w:rFonts w:eastAsiaTheme="minorEastAsia"/>
                <w:noProof/>
              </w:rPr>
            </w:pPr>
            <w:r>
              <w:rPr>
                <w:noProof/>
              </w:rPr>
              <w:t>Mērķa</w:t>
            </w:r>
          </w:p>
        </w:tc>
        <w:tc>
          <w:tcPr>
            <w:tcW w:w="1417" w:type="dxa"/>
            <w:shd w:val="clear" w:color="auto" w:fill="C6EFCE"/>
            <w:vAlign w:val="center"/>
          </w:tcPr>
          <w:p w14:paraId="69B6CBA3" w14:textId="068267A8" w:rsidR="00C972CB" w:rsidRDefault="002457F6">
            <w:pPr>
              <w:pStyle w:val="P68B1DB1-Normal11"/>
              <w:jc w:val="center"/>
              <w:rPr>
                <w:rFonts w:eastAsiaTheme="minorEastAsia"/>
                <w:noProof/>
              </w:rPr>
            </w:pPr>
            <w:r>
              <w:rPr>
                <w:noProof/>
              </w:rPr>
              <w:t>Darītas pieejamas un tehnoloģiski aprīkotas kopienas veselības aprūpes nami (pirmā sērija)</w:t>
            </w:r>
          </w:p>
        </w:tc>
        <w:tc>
          <w:tcPr>
            <w:tcW w:w="1363" w:type="dxa"/>
            <w:shd w:val="clear" w:color="auto" w:fill="C6EFCE"/>
            <w:vAlign w:val="center"/>
          </w:tcPr>
          <w:p w14:paraId="24AF2587" w14:textId="77777777" w:rsidR="00C972CB" w:rsidRDefault="002457F6">
            <w:pPr>
              <w:pStyle w:val="P68B1DB1-Normal11"/>
              <w:jc w:val="center"/>
              <w:rPr>
                <w:rFonts w:eastAsiaTheme="minorEastAsia"/>
                <w:noProof/>
              </w:rPr>
            </w:pPr>
            <w:r>
              <w:rPr>
                <w:noProof/>
              </w:rPr>
              <w:t>NEPIEMĒRO</w:t>
            </w:r>
          </w:p>
        </w:tc>
        <w:tc>
          <w:tcPr>
            <w:tcW w:w="948" w:type="dxa"/>
            <w:shd w:val="clear" w:color="auto" w:fill="C6EFCE"/>
            <w:vAlign w:val="center"/>
          </w:tcPr>
          <w:p w14:paraId="6E3F6270" w14:textId="77777777" w:rsidR="00C972CB" w:rsidRDefault="002457F6">
            <w:pPr>
              <w:pStyle w:val="P68B1DB1-Normal11"/>
              <w:jc w:val="center"/>
              <w:rPr>
                <w:rFonts w:eastAsiaTheme="minorEastAsia"/>
                <w:noProof/>
              </w:rPr>
            </w:pPr>
            <w:r>
              <w:rPr>
                <w:noProof/>
              </w:rPr>
              <w:t>Skaits</w:t>
            </w:r>
          </w:p>
        </w:tc>
        <w:tc>
          <w:tcPr>
            <w:tcW w:w="950" w:type="dxa"/>
            <w:shd w:val="clear" w:color="auto" w:fill="C6EFCE"/>
            <w:vAlign w:val="center"/>
          </w:tcPr>
          <w:p w14:paraId="10B05DF3" w14:textId="77777777" w:rsidR="00C972CB" w:rsidRDefault="002457F6">
            <w:pPr>
              <w:pStyle w:val="P68B1DB1-Normal11"/>
              <w:jc w:val="center"/>
              <w:rPr>
                <w:rFonts w:eastAsiaTheme="minorEastAsia"/>
                <w:noProof/>
              </w:rPr>
            </w:pPr>
            <w:r>
              <w:rPr>
                <w:noProof/>
              </w:rPr>
              <w:t>0</w:t>
            </w:r>
          </w:p>
        </w:tc>
        <w:tc>
          <w:tcPr>
            <w:tcW w:w="992" w:type="dxa"/>
            <w:shd w:val="clear" w:color="auto" w:fill="C6EFCE"/>
            <w:vAlign w:val="center"/>
          </w:tcPr>
          <w:p w14:paraId="5910DF1C" w14:textId="735FA656" w:rsidR="00C972CB" w:rsidRDefault="002457F6">
            <w:pPr>
              <w:pStyle w:val="P68B1DB1-Normal11"/>
              <w:jc w:val="center"/>
              <w:rPr>
                <w:rFonts w:eastAsiaTheme="minorEastAsia"/>
                <w:noProof/>
              </w:rPr>
            </w:pPr>
            <w:r>
              <w:rPr>
                <w:noProof/>
              </w:rPr>
              <w:t>1 038</w:t>
            </w:r>
          </w:p>
        </w:tc>
        <w:tc>
          <w:tcPr>
            <w:tcW w:w="992" w:type="dxa"/>
            <w:shd w:val="clear" w:color="auto" w:fill="C6EFCE"/>
            <w:vAlign w:val="center"/>
          </w:tcPr>
          <w:p w14:paraId="774C18F9" w14:textId="77777777" w:rsidR="00C972CB" w:rsidRDefault="002457F6">
            <w:pPr>
              <w:pStyle w:val="P68B1DB1-Normal11"/>
              <w:jc w:val="center"/>
              <w:rPr>
                <w:rFonts w:eastAsiaTheme="minorEastAsia"/>
                <w:noProof/>
              </w:rPr>
            </w:pPr>
            <w:r>
              <w:rPr>
                <w:noProof/>
              </w:rPr>
              <w:t>2. CET.</w:t>
            </w:r>
          </w:p>
        </w:tc>
        <w:tc>
          <w:tcPr>
            <w:tcW w:w="709" w:type="dxa"/>
            <w:shd w:val="clear" w:color="auto" w:fill="C6EFCE"/>
            <w:vAlign w:val="center"/>
          </w:tcPr>
          <w:p w14:paraId="3D670690" w14:textId="77777777" w:rsidR="00C972CB" w:rsidRDefault="002457F6">
            <w:pPr>
              <w:pStyle w:val="P68B1DB1-Normal11"/>
              <w:jc w:val="center"/>
              <w:rPr>
                <w:rFonts w:eastAsiaTheme="minorEastAsia"/>
                <w:noProof/>
              </w:rPr>
            </w:pPr>
            <w:r>
              <w:rPr>
                <w:noProof/>
              </w:rPr>
              <w:t>2026</w:t>
            </w:r>
          </w:p>
        </w:tc>
        <w:tc>
          <w:tcPr>
            <w:tcW w:w="3634" w:type="dxa"/>
            <w:shd w:val="clear" w:color="auto" w:fill="C6EFCE"/>
            <w:vAlign w:val="center"/>
          </w:tcPr>
          <w:p w14:paraId="347390C3" w14:textId="3266F9AB" w:rsidR="00C972CB" w:rsidRDefault="002457F6">
            <w:pPr>
              <w:pStyle w:val="P68B1DB1-Normal11"/>
              <w:rPr>
                <w:rFonts w:eastAsiaTheme="minorEastAsia"/>
                <w:noProof/>
              </w:rPr>
            </w:pPr>
            <w:r>
              <w:rPr>
                <w:noProof/>
              </w:rPr>
              <w:t xml:space="preserve">Lai nodrošinātu vienlīdzīgu piekļuvi, teritoriālo tuvumu un aprūpes kvalitāti cilvēkiem </w:t>
            </w:r>
            <w:r>
              <w:rPr>
                <w:noProof/>
              </w:rPr>
              <w:t>neatkarīgi no vecuma un viņu klīniskās ainas (hroniski slimi pacienti, cilvēki, kas nav pašpietiekami, cilvēki ar invaliditāti, garīgām grūtībām, nabadzība), nodrošinot primārās aprūpes pakalpojumu aktivizāciju, attīstību un apkopošanu un izveidojot palīdz</w:t>
            </w:r>
            <w:r>
              <w:rPr>
                <w:noProof/>
              </w:rPr>
              <w:t>ības centrus (energoefektīvi) daudzprofesionālai reakcijai.</w:t>
            </w:r>
          </w:p>
          <w:p w14:paraId="5085697F" w14:textId="1BC4A684" w:rsidR="00C972CB" w:rsidRDefault="002457F6">
            <w:pPr>
              <w:pStyle w:val="P68B1DB1-Normal11"/>
              <w:rPr>
                <w:rFonts w:eastAsiaTheme="minorEastAsia"/>
                <w:noProof/>
              </w:rPr>
            </w:pPr>
            <w:r>
              <w:rPr>
                <w:noProof/>
              </w:rPr>
              <w:t>ANM finansēto jauno konstrukciju izmaksas vismaz 500 000 000 EUR apmērā atbilst attiecīgajām Regulas (ES) 2021/241 VI pielikuma 5. zemsvītras piezīmes prasībām.</w:t>
            </w:r>
          </w:p>
        </w:tc>
      </w:tr>
      <w:tr w:rsidR="00C972CB" w14:paraId="095B15F4" w14:textId="77777777">
        <w:trPr>
          <w:trHeight w:val="315"/>
        </w:trPr>
        <w:tc>
          <w:tcPr>
            <w:tcW w:w="1277" w:type="dxa"/>
            <w:shd w:val="clear" w:color="auto" w:fill="C6EFCE"/>
            <w:vAlign w:val="center"/>
          </w:tcPr>
          <w:p w14:paraId="4143218B" w14:textId="77777777" w:rsidR="00C972CB" w:rsidRDefault="002457F6">
            <w:pPr>
              <w:pStyle w:val="P68B1DB1-Normal11"/>
              <w:jc w:val="center"/>
              <w:rPr>
                <w:rFonts w:eastAsiaTheme="minorEastAsia"/>
                <w:noProof/>
              </w:rPr>
            </w:pPr>
            <w:r>
              <w:rPr>
                <w:noProof/>
              </w:rPr>
              <w:t>M6C1–4</w:t>
            </w:r>
          </w:p>
        </w:tc>
        <w:tc>
          <w:tcPr>
            <w:tcW w:w="1701" w:type="dxa"/>
            <w:shd w:val="clear" w:color="auto" w:fill="C6EFCE"/>
            <w:vAlign w:val="center"/>
          </w:tcPr>
          <w:p w14:paraId="476A9B73" w14:textId="77777777" w:rsidR="00C972CB" w:rsidRDefault="002457F6">
            <w:pPr>
              <w:pStyle w:val="P68B1DB1-Normal11"/>
              <w:jc w:val="center"/>
              <w:rPr>
                <w:rFonts w:eastAsiaTheme="minorEastAsia"/>
                <w:noProof/>
              </w:rPr>
            </w:pPr>
            <w:r>
              <w:rPr>
                <w:noProof/>
              </w:rPr>
              <w:t xml:space="preserve">Ieguldījums 1.2: Mājas kā </w:t>
            </w:r>
            <w:r>
              <w:rPr>
                <w:noProof/>
              </w:rPr>
              <w:t>pirmā aprūpes un telemedicīnas vieta</w:t>
            </w:r>
          </w:p>
        </w:tc>
        <w:tc>
          <w:tcPr>
            <w:tcW w:w="1134" w:type="dxa"/>
            <w:shd w:val="clear" w:color="auto" w:fill="C6EFCE"/>
            <w:vAlign w:val="center"/>
          </w:tcPr>
          <w:p w14:paraId="5FDA6F54" w14:textId="77777777" w:rsidR="00C972CB" w:rsidRDefault="002457F6">
            <w:pPr>
              <w:pStyle w:val="P68B1DB1-Normal11"/>
              <w:jc w:val="center"/>
              <w:rPr>
                <w:rFonts w:eastAsiaTheme="minorEastAsia"/>
                <w:noProof/>
              </w:rPr>
            </w:pPr>
            <w:r>
              <w:rPr>
                <w:noProof/>
              </w:rPr>
              <w:t>Starpposma mērķis</w:t>
            </w:r>
          </w:p>
        </w:tc>
        <w:tc>
          <w:tcPr>
            <w:tcW w:w="1417" w:type="dxa"/>
            <w:shd w:val="clear" w:color="auto" w:fill="C6EFCE"/>
            <w:vAlign w:val="center"/>
          </w:tcPr>
          <w:p w14:paraId="59EDE093" w14:textId="77777777" w:rsidR="00C972CB" w:rsidRDefault="002457F6">
            <w:pPr>
              <w:pStyle w:val="P68B1DB1-Normal11"/>
              <w:jc w:val="center"/>
              <w:rPr>
                <w:rFonts w:eastAsiaTheme="minorEastAsia"/>
                <w:noProof/>
              </w:rPr>
            </w:pPr>
            <w:r>
              <w:rPr>
                <w:noProof/>
              </w:rPr>
              <w:t>Pamatnostādņu, kurās ietverts digitālais modelis aprūpes īstenošanai mājās, apstiprināšana</w:t>
            </w:r>
          </w:p>
        </w:tc>
        <w:tc>
          <w:tcPr>
            <w:tcW w:w="1363" w:type="dxa"/>
            <w:shd w:val="clear" w:color="auto" w:fill="C6EFCE"/>
            <w:vAlign w:val="center"/>
          </w:tcPr>
          <w:p w14:paraId="15CD594C" w14:textId="77777777" w:rsidR="00C972CB" w:rsidRDefault="002457F6">
            <w:pPr>
              <w:pStyle w:val="P68B1DB1-Normal11"/>
              <w:jc w:val="center"/>
              <w:rPr>
                <w:rFonts w:eastAsiaTheme="minorEastAsia"/>
                <w:noProof/>
              </w:rPr>
            </w:pPr>
            <w:r>
              <w:rPr>
                <w:noProof/>
              </w:rPr>
              <w:t>Veselības ministrijas apstiprinātas pamatnostādnes</w:t>
            </w:r>
          </w:p>
        </w:tc>
        <w:tc>
          <w:tcPr>
            <w:tcW w:w="948" w:type="dxa"/>
            <w:shd w:val="clear" w:color="auto" w:fill="C6EFCE"/>
            <w:vAlign w:val="center"/>
          </w:tcPr>
          <w:p w14:paraId="01E76FB0" w14:textId="77777777" w:rsidR="00C972CB" w:rsidRDefault="002457F6">
            <w:pPr>
              <w:pStyle w:val="P68B1DB1-Normal11"/>
              <w:jc w:val="center"/>
              <w:rPr>
                <w:rFonts w:eastAsiaTheme="minorEastAsia"/>
                <w:noProof/>
              </w:rPr>
            </w:pPr>
            <w:r>
              <w:rPr>
                <w:noProof/>
              </w:rPr>
              <w:t>NEPIEMĒRO</w:t>
            </w:r>
          </w:p>
        </w:tc>
        <w:tc>
          <w:tcPr>
            <w:tcW w:w="950" w:type="dxa"/>
            <w:shd w:val="clear" w:color="auto" w:fill="C6EFCE"/>
            <w:vAlign w:val="center"/>
          </w:tcPr>
          <w:p w14:paraId="26B45375"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6EF282E6"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6894A8C3" w14:textId="77777777" w:rsidR="00C972CB" w:rsidRDefault="002457F6">
            <w:pPr>
              <w:pStyle w:val="P68B1DB1-Normal11"/>
              <w:jc w:val="center"/>
              <w:rPr>
                <w:rFonts w:eastAsiaTheme="minorEastAsia"/>
                <w:noProof/>
              </w:rPr>
            </w:pPr>
            <w:r>
              <w:rPr>
                <w:noProof/>
              </w:rPr>
              <w:t>2. CET.</w:t>
            </w:r>
          </w:p>
        </w:tc>
        <w:tc>
          <w:tcPr>
            <w:tcW w:w="709" w:type="dxa"/>
            <w:shd w:val="clear" w:color="auto" w:fill="C6EFCE"/>
            <w:vAlign w:val="center"/>
          </w:tcPr>
          <w:p w14:paraId="2A1B40BE" w14:textId="77777777" w:rsidR="00C972CB" w:rsidRDefault="002457F6">
            <w:pPr>
              <w:pStyle w:val="P68B1DB1-Normal11"/>
              <w:jc w:val="center"/>
              <w:rPr>
                <w:rFonts w:eastAsiaTheme="minorEastAsia"/>
                <w:noProof/>
              </w:rPr>
            </w:pPr>
            <w:r>
              <w:rPr>
                <w:noProof/>
              </w:rPr>
              <w:t>2022</w:t>
            </w:r>
          </w:p>
        </w:tc>
        <w:tc>
          <w:tcPr>
            <w:tcW w:w="3634" w:type="dxa"/>
            <w:shd w:val="clear" w:color="auto" w:fill="C6EFCE"/>
            <w:vAlign w:val="center"/>
          </w:tcPr>
          <w:p w14:paraId="728F952F" w14:textId="77777777" w:rsidR="00C972CB" w:rsidRDefault="002457F6">
            <w:pPr>
              <w:pStyle w:val="P68B1DB1-Normal11"/>
              <w:rPr>
                <w:rFonts w:eastAsiaTheme="minorEastAsia"/>
                <w:noProof/>
              </w:rPr>
            </w:pPr>
            <w:r>
              <w:rPr>
                <w:noProof/>
              </w:rPr>
              <w:t xml:space="preserve">Pamatnostādnēs </w:t>
            </w:r>
            <w:r>
              <w:rPr>
                <w:noProof/>
              </w:rPr>
              <w:t>racionalizē procesus, kas vajadzīgi, lai uzlabotu aprūpi mājās, izstrādājot attālinātās uzraudzības metodes un mājas automatizāciju.</w:t>
            </w:r>
          </w:p>
        </w:tc>
      </w:tr>
      <w:tr w:rsidR="00C972CB" w14:paraId="0138A7C3" w14:textId="77777777">
        <w:trPr>
          <w:trHeight w:val="315"/>
        </w:trPr>
        <w:tc>
          <w:tcPr>
            <w:tcW w:w="1277" w:type="dxa"/>
            <w:shd w:val="clear" w:color="auto" w:fill="C6EFCE"/>
            <w:vAlign w:val="center"/>
          </w:tcPr>
          <w:p w14:paraId="0665D815" w14:textId="77777777" w:rsidR="00C972CB" w:rsidRDefault="002457F6">
            <w:pPr>
              <w:pStyle w:val="P68B1DB1-Normal11"/>
              <w:jc w:val="center"/>
              <w:rPr>
                <w:rFonts w:eastAsiaTheme="minorEastAsia"/>
                <w:noProof/>
              </w:rPr>
            </w:pPr>
            <w:r>
              <w:rPr>
                <w:noProof/>
              </w:rPr>
              <w:t>M6C1–5</w:t>
            </w:r>
          </w:p>
        </w:tc>
        <w:tc>
          <w:tcPr>
            <w:tcW w:w="1701" w:type="dxa"/>
            <w:shd w:val="clear" w:color="auto" w:fill="C6EFCE"/>
            <w:vAlign w:val="center"/>
          </w:tcPr>
          <w:p w14:paraId="0C1F5814" w14:textId="77777777" w:rsidR="00C972CB" w:rsidRDefault="002457F6">
            <w:pPr>
              <w:pStyle w:val="P68B1DB1-Normal11"/>
              <w:jc w:val="center"/>
              <w:rPr>
                <w:rFonts w:eastAsiaTheme="minorEastAsia"/>
                <w:noProof/>
              </w:rPr>
            </w:pPr>
            <w:r>
              <w:rPr>
                <w:noProof/>
              </w:rPr>
              <w:t>Ieguldījums 1.2: Mājas kā pirmā aprūpes un telemedicīnas vieta</w:t>
            </w:r>
          </w:p>
        </w:tc>
        <w:tc>
          <w:tcPr>
            <w:tcW w:w="1134" w:type="dxa"/>
            <w:shd w:val="clear" w:color="auto" w:fill="C6EFCE"/>
            <w:vAlign w:val="center"/>
          </w:tcPr>
          <w:p w14:paraId="29829E74" w14:textId="77777777" w:rsidR="00C972CB" w:rsidRDefault="002457F6">
            <w:pPr>
              <w:pStyle w:val="P68B1DB1-Normal11"/>
              <w:jc w:val="center"/>
              <w:rPr>
                <w:rFonts w:eastAsiaTheme="minorEastAsia"/>
                <w:noProof/>
              </w:rPr>
            </w:pPr>
            <w:r>
              <w:rPr>
                <w:noProof/>
              </w:rPr>
              <w:t>Starpposma mērķis</w:t>
            </w:r>
          </w:p>
        </w:tc>
        <w:tc>
          <w:tcPr>
            <w:tcW w:w="1417" w:type="dxa"/>
            <w:shd w:val="clear" w:color="auto" w:fill="C6EFCE"/>
            <w:vAlign w:val="center"/>
          </w:tcPr>
          <w:p w14:paraId="1305A1E8" w14:textId="77777777" w:rsidR="00C972CB" w:rsidRDefault="002457F6">
            <w:pPr>
              <w:pStyle w:val="P68B1DB1-Normal11"/>
              <w:jc w:val="center"/>
              <w:rPr>
                <w:rFonts w:eastAsiaTheme="minorEastAsia"/>
                <w:noProof/>
              </w:rPr>
            </w:pPr>
            <w:r>
              <w:rPr>
                <w:noProof/>
              </w:rPr>
              <w:t xml:space="preserve">Veselības un reģionu ministrijas apstiprināts institucionālās attīstības līgums </w:t>
            </w:r>
          </w:p>
        </w:tc>
        <w:tc>
          <w:tcPr>
            <w:tcW w:w="1363" w:type="dxa"/>
            <w:shd w:val="clear" w:color="auto" w:fill="C6EFCE"/>
            <w:vAlign w:val="center"/>
          </w:tcPr>
          <w:p w14:paraId="5A210BFC" w14:textId="77777777" w:rsidR="00C972CB" w:rsidRDefault="002457F6">
            <w:pPr>
              <w:pStyle w:val="P68B1DB1-Normal11"/>
              <w:jc w:val="center"/>
              <w:rPr>
                <w:rFonts w:eastAsiaTheme="minorEastAsia"/>
                <w:noProof/>
              </w:rPr>
            </w:pPr>
            <w:r>
              <w:rPr>
                <w:noProof/>
              </w:rPr>
              <w:t>Paziņojums par apstiprināto līgumu</w:t>
            </w:r>
          </w:p>
        </w:tc>
        <w:tc>
          <w:tcPr>
            <w:tcW w:w="948" w:type="dxa"/>
            <w:shd w:val="clear" w:color="auto" w:fill="C6EFCE"/>
            <w:vAlign w:val="center"/>
          </w:tcPr>
          <w:p w14:paraId="40D5A00F" w14:textId="77777777" w:rsidR="00C972CB" w:rsidRDefault="002457F6">
            <w:pPr>
              <w:pStyle w:val="P68B1DB1-Normal11"/>
              <w:jc w:val="center"/>
              <w:rPr>
                <w:rFonts w:eastAsiaTheme="minorEastAsia"/>
                <w:noProof/>
              </w:rPr>
            </w:pPr>
            <w:r>
              <w:rPr>
                <w:noProof/>
              </w:rPr>
              <w:t>NEPIEMĒRO</w:t>
            </w:r>
          </w:p>
        </w:tc>
        <w:tc>
          <w:tcPr>
            <w:tcW w:w="950" w:type="dxa"/>
            <w:shd w:val="clear" w:color="auto" w:fill="C6EFCE"/>
            <w:vAlign w:val="center"/>
          </w:tcPr>
          <w:p w14:paraId="5E6A2D4C"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2A58B240"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27BAFB79" w14:textId="77777777" w:rsidR="00C972CB" w:rsidRDefault="002457F6">
            <w:pPr>
              <w:pStyle w:val="P68B1DB1-Normal11"/>
              <w:jc w:val="center"/>
              <w:rPr>
                <w:rFonts w:eastAsiaTheme="minorEastAsia"/>
                <w:noProof/>
              </w:rPr>
            </w:pPr>
            <w:r>
              <w:rPr>
                <w:noProof/>
              </w:rPr>
              <w:t>2. CET.</w:t>
            </w:r>
          </w:p>
        </w:tc>
        <w:tc>
          <w:tcPr>
            <w:tcW w:w="709" w:type="dxa"/>
            <w:shd w:val="clear" w:color="auto" w:fill="C6EFCE"/>
            <w:vAlign w:val="center"/>
          </w:tcPr>
          <w:p w14:paraId="4B4E099A" w14:textId="77777777" w:rsidR="00C972CB" w:rsidRDefault="002457F6">
            <w:pPr>
              <w:pStyle w:val="P68B1DB1-Normal11"/>
              <w:jc w:val="center"/>
              <w:rPr>
                <w:rFonts w:eastAsiaTheme="minorEastAsia"/>
                <w:noProof/>
              </w:rPr>
            </w:pPr>
            <w:r>
              <w:rPr>
                <w:noProof/>
              </w:rPr>
              <w:t>2022</w:t>
            </w:r>
          </w:p>
        </w:tc>
        <w:tc>
          <w:tcPr>
            <w:tcW w:w="3634" w:type="dxa"/>
            <w:shd w:val="clear" w:color="auto" w:fill="C6EFCE"/>
            <w:vAlign w:val="center"/>
          </w:tcPr>
          <w:p w14:paraId="0BD33F13" w14:textId="77777777" w:rsidR="00C972CB" w:rsidRDefault="002457F6">
            <w:pPr>
              <w:pStyle w:val="P68B1DB1-Normal11"/>
              <w:rPr>
                <w:rFonts w:eastAsiaTheme="minorEastAsia"/>
                <w:noProof/>
              </w:rPr>
            </w:pPr>
            <w:r>
              <w:rPr>
                <w:noProof/>
              </w:rPr>
              <w:t xml:space="preserve">Iestāžu attīstības līguma (Contratto Istituzionale di Sviluppo) apstiprināšana ar Itālijas </w:t>
            </w:r>
            <w:r>
              <w:rPr>
                <w:noProof/>
              </w:rPr>
              <w:t>Veselības ministriju kā atbildīgo un īstenošanas iestādi, kā arī reģionālo administrāciju līdzdalība kopā ar citām struktūrām, kas saistītas ar aprūpi mājās</w:t>
            </w:r>
          </w:p>
          <w:p w14:paraId="4227857B" w14:textId="77777777" w:rsidR="00C972CB" w:rsidRDefault="002457F6">
            <w:pPr>
              <w:pStyle w:val="P68B1DB1-Normal11"/>
              <w:rPr>
                <w:rFonts w:eastAsiaTheme="minorEastAsia"/>
                <w:noProof/>
              </w:rPr>
            </w:pPr>
            <w:r>
              <w:rPr>
                <w:noProof/>
              </w:rPr>
              <w:t>Iestāžu attīstības līgumā katrai intervencei vai intervences kategorijai nosaka grafiku, līgumslēdz</w:t>
            </w:r>
            <w:r>
              <w:rPr>
                <w:noProof/>
              </w:rPr>
              <w:t>ēju pienākumus, novērtēšanas un uzraudzības kritērijus un sankcijas par neatbilstību. Tajā arī paredzēti nosacījumi intervences pasākumu iespējamai daļējai definansēšanai vai attiecīgo resursu piešķiršanai citam pārvaldes līmenim saskaņā ar subsidiaritātes</w:t>
            </w:r>
            <w:r>
              <w:rPr>
                <w:noProof/>
              </w:rPr>
              <w:t xml:space="preserve"> principu.</w:t>
            </w:r>
          </w:p>
        </w:tc>
      </w:tr>
      <w:tr w:rsidR="00C972CB" w14:paraId="0824C089" w14:textId="77777777">
        <w:trPr>
          <w:trHeight w:val="315"/>
        </w:trPr>
        <w:tc>
          <w:tcPr>
            <w:tcW w:w="1277" w:type="dxa"/>
            <w:shd w:val="clear" w:color="auto" w:fill="C6EFCE"/>
            <w:vAlign w:val="center"/>
          </w:tcPr>
          <w:p w14:paraId="7588A2C7" w14:textId="77777777" w:rsidR="00C972CB" w:rsidRDefault="002457F6">
            <w:pPr>
              <w:pStyle w:val="P68B1DB1-Normal11"/>
              <w:jc w:val="center"/>
              <w:rPr>
                <w:rFonts w:eastAsiaTheme="minorEastAsia"/>
                <w:noProof/>
              </w:rPr>
            </w:pPr>
            <w:r>
              <w:rPr>
                <w:noProof/>
              </w:rPr>
              <w:t>M6C1–6</w:t>
            </w:r>
          </w:p>
        </w:tc>
        <w:tc>
          <w:tcPr>
            <w:tcW w:w="1701" w:type="dxa"/>
            <w:shd w:val="clear" w:color="auto" w:fill="C6EFCE"/>
            <w:vAlign w:val="center"/>
          </w:tcPr>
          <w:p w14:paraId="15D99C51" w14:textId="77777777" w:rsidR="00C972CB" w:rsidRDefault="002457F6">
            <w:pPr>
              <w:pStyle w:val="P68B1DB1-Normal11"/>
              <w:jc w:val="center"/>
              <w:rPr>
                <w:rFonts w:eastAsiaTheme="minorEastAsia"/>
                <w:noProof/>
              </w:rPr>
            </w:pPr>
            <w:r>
              <w:rPr>
                <w:noProof/>
              </w:rPr>
              <w:t>Ieguldījums 1.2: Mājas kā pirmā aprūpes un telemedicīnas vieta</w:t>
            </w:r>
          </w:p>
        </w:tc>
        <w:tc>
          <w:tcPr>
            <w:tcW w:w="1134" w:type="dxa"/>
            <w:shd w:val="clear" w:color="auto" w:fill="C6EFCE"/>
            <w:vAlign w:val="center"/>
          </w:tcPr>
          <w:p w14:paraId="584E7D5B" w14:textId="77777777" w:rsidR="00C972CB" w:rsidRDefault="002457F6">
            <w:pPr>
              <w:pStyle w:val="P68B1DB1-Normal11"/>
              <w:jc w:val="center"/>
              <w:rPr>
                <w:rFonts w:eastAsiaTheme="minorEastAsia"/>
                <w:noProof/>
              </w:rPr>
            </w:pPr>
            <w:r>
              <w:rPr>
                <w:noProof/>
              </w:rPr>
              <w:t>Mērķa</w:t>
            </w:r>
          </w:p>
        </w:tc>
        <w:tc>
          <w:tcPr>
            <w:tcW w:w="1417" w:type="dxa"/>
            <w:shd w:val="clear" w:color="auto" w:fill="C6EFCE"/>
            <w:vAlign w:val="center"/>
          </w:tcPr>
          <w:p w14:paraId="6F1C4355" w14:textId="2E0CDD01" w:rsidR="00C972CB" w:rsidRDefault="002457F6">
            <w:pPr>
              <w:pStyle w:val="P68B1DB1-Normal11"/>
              <w:jc w:val="center"/>
              <w:rPr>
                <w:rFonts w:eastAsiaTheme="minorEastAsia"/>
                <w:noProof/>
              </w:rPr>
            </w:pPr>
            <w:r>
              <w:rPr>
                <w:noProof/>
              </w:rPr>
              <w:t>Papildu cilvēki, kas ārstēti mājās (pirmā partija)</w:t>
            </w:r>
          </w:p>
        </w:tc>
        <w:tc>
          <w:tcPr>
            <w:tcW w:w="1363" w:type="dxa"/>
            <w:shd w:val="clear" w:color="auto" w:fill="C6EFCE"/>
            <w:vAlign w:val="center"/>
          </w:tcPr>
          <w:p w14:paraId="2A50131C" w14:textId="77777777" w:rsidR="00C972CB" w:rsidRDefault="002457F6">
            <w:pPr>
              <w:pStyle w:val="P68B1DB1-Normal11"/>
              <w:jc w:val="center"/>
              <w:rPr>
                <w:rFonts w:eastAsiaTheme="minorEastAsia"/>
                <w:noProof/>
              </w:rPr>
            </w:pPr>
            <w:r>
              <w:rPr>
                <w:noProof/>
              </w:rPr>
              <w:t>NEPIEMĒRO</w:t>
            </w:r>
          </w:p>
        </w:tc>
        <w:tc>
          <w:tcPr>
            <w:tcW w:w="948" w:type="dxa"/>
            <w:shd w:val="clear" w:color="auto" w:fill="C6EFCE"/>
            <w:vAlign w:val="center"/>
          </w:tcPr>
          <w:p w14:paraId="5CF9DD21" w14:textId="77777777" w:rsidR="00C972CB" w:rsidRDefault="002457F6">
            <w:pPr>
              <w:pStyle w:val="P68B1DB1-Normal11"/>
              <w:jc w:val="center"/>
              <w:rPr>
                <w:rFonts w:eastAsiaTheme="minorEastAsia"/>
                <w:noProof/>
              </w:rPr>
            </w:pPr>
            <w:r>
              <w:rPr>
                <w:noProof/>
              </w:rPr>
              <w:t>Skaits</w:t>
            </w:r>
          </w:p>
        </w:tc>
        <w:tc>
          <w:tcPr>
            <w:tcW w:w="950" w:type="dxa"/>
            <w:shd w:val="clear" w:color="auto" w:fill="C6EFCE"/>
            <w:vAlign w:val="center"/>
          </w:tcPr>
          <w:p w14:paraId="78A53186" w14:textId="77777777" w:rsidR="00C972CB" w:rsidRDefault="002457F6">
            <w:pPr>
              <w:pStyle w:val="P68B1DB1-Normal11"/>
              <w:jc w:val="center"/>
              <w:rPr>
                <w:rFonts w:eastAsiaTheme="minorEastAsia"/>
                <w:noProof/>
              </w:rPr>
            </w:pPr>
            <w:r>
              <w:rPr>
                <w:noProof/>
              </w:rPr>
              <w:t>0</w:t>
            </w:r>
          </w:p>
        </w:tc>
        <w:tc>
          <w:tcPr>
            <w:tcW w:w="992" w:type="dxa"/>
            <w:shd w:val="clear" w:color="auto" w:fill="C6EFCE"/>
            <w:vAlign w:val="center"/>
          </w:tcPr>
          <w:p w14:paraId="7469C927" w14:textId="77777777" w:rsidR="00C972CB" w:rsidRDefault="002457F6">
            <w:pPr>
              <w:pStyle w:val="P68B1DB1-Normal11"/>
              <w:jc w:val="center"/>
              <w:rPr>
                <w:rFonts w:eastAsiaTheme="minorEastAsia"/>
                <w:noProof/>
              </w:rPr>
            </w:pPr>
            <w:r>
              <w:rPr>
                <w:noProof/>
              </w:rPr>
              <w:t>842 000</w:t>
            </w:r>
          </w:p>
        </w:tc>
        <w:tc>
          <w:tcPr>
            <w:tcW w:w="992" w:type="dxa"/>
            <w:shd w:val="clear" w:color="auto" w:fill="C6EFCE"/>
            <w:vAlign w:val="center"/>
          </w:tcPr>
          <w:p w14:paraId="1956D787" w14:textId="77777777" w:rsidR="00C972CB" w:rsidRDefault="002457F6">
            <w:pPr>
              <w:pStyle w:val="P68B1DB1-Normal11"/>
              <w:jc w:val="center"/>
              <w:rPr>
                <w:rFonts w:eastAsiaTheme="minorEastAsia"/>
                <w:noProof/>
              </w:rPr>
            </w:pPr>
            <w:r>
              <w:rPr>
                <w:noProof/>
              </w:rPr>
              <w:t>2. CET.</w:t>
            </w:r>
          </w:p>
        </w:tc>
        <w:tc>
          <w:tcPr>
            <w:tcW w:w="709" w:type="dxa"/>
            <w:shd w:val="clear" w:color="auto" w:fill="C6EFCE"/>
            <w:vAlign w:val="center"/>
          </w:tcPr>
          <w:p w14:paraId="33972159" w14:textId="77777777" w:rsidR="00C972CB" w:rsidRDefault="002457F6">
            <w:pPr>
              <w:pStyle w:val="P68B1DB1-Normal11"/>
              <w:jc w:val="center"/>
              <w:rPr>
                <w:rFonts w:eastAsiaTheme="minorEastAsia"/>
                <w:noProof/>
              </w:rPr>
            </w:pPr>
            <w:r>
              <w:rPr>
                <w:noProof/>
              </w:rPr>
              <w:t>2026</w:t>
            </w:r>
          </w:p>
        </w:tc>
        <w:tc>
          <w:tcPr>
            <w:tcW w:w="3634" w:type="dxa"/>
            <w:shd w:val="clear" w:color="auto" w:fill="C6EFCE"/>
            <w:vAlign w:val="center"/>
          </w:tcPr>
          <w:p w14:paraId="47E71BDD" w14:textId="22BADD9C" w:rsidR="00C972CB" w:rsidRDefault="002457F6">
            <w:pPr>
              <w:pStyle w:val="P68B1DB1-Normal11"/>
              <w:rPr>
                <w:rFonts w:eastAsiaTheme="minorEastAsia"/>
                <w:noProof/>
              </w:rPr>
            </w:pPr>
            <w:r>
              <w:rPr>
                <w:noProof/>
              </w:rPr>
              <w:t>Palielināt mājās ārstēto cilvēku skaitu līdz 10 % iedzīvotāju, kas vecāki par</w:t>
            </w:r>
            <w:r>
              <w:rPr>
                <w:noProof/>
              </w:rPr>
              <w:t xml:space="preserve"> 65 gadiem (aptuveni 1,5 miljoni cilvēku 2026. gadā). Lai sasniegtu šo mērķi, 2026. gadā par vismaz 842000 ir jāpalielina to cilvēku skaits, kuri vecāki par 65 gadiem un kuri ārstēti mājās. Integrēta aprūpe mājās ir pakalpojums visu vecumu cilvēkiem ar vie</w:t>
            </w:r>
            <w:r>
              <w:rPr>
                <w:noProof/>
              </w:rPr>
              <w:t>nu vai vairākām hroniskām slimībām vai terminālu klīnisko stāvokli, kas prasa nepārtrauktu un ļoti specializētu profesionālo veselības un sociālo aprūpi.</w:t>
            </w:r>
          </w:p>
        </w:tc>
      </w:tr>
      <w:tr w:rsidR="00C972CB" w14:paraId="7FF22638" w14:textId="77777777">
        <w:trPr>
          <w:trHeight w:val="315"/>
        </w:trPr>
        <w:tc>
          <w:tcPr>
            <w:tcW w:w="1277" w:type="dxa"/>
            <w:shd w:val="clear" w:color="auto" w:fill="C6EFCE"/>
            <w:vAlign w:val="center"/>
          </w:tcPr>
          <w:p w14:paraId="04FAF3AE" w14:textId="77777777" w:rsidR="00C972CB" w:rsidRDefault="002457F6">
            <w:pPr>
              <w:pStyle w:val="P68B1DB1-Normal11"/>
              <w:jc w:val="center"/>
              <w:rPr>
                <w:rFonts w:eastAsiaTheme="minorEastAsia"/>
                <w:noProof/>
              </w:rPr>
            </w:pPr>
            <w:r>
              <w:rPr>
                <w:noProof/>
              </w:rPr>
              <w:t>M6C1–7</w:t>
            </w:r>
          </w:p>
        </w:tc>
        <w:tc>
          <w:tcPr>
            <w:tcW w:w="1701" w:type="dxa"/>
            <w:shd w:val="clear" w:color="auto" w:fill="C6EFCE"/>
            <w:vAlign w:val="center"/>
          </w:tcPr>
          <w:p w14:paraId="2A631E9F" w14:textId="77777777" w:rsidR="00C972CB" w:rsidRDefault="002457F6">
            <w:pPr>
              <w:pStyle w:val="P68B1DB1-Normal11"/>
              <w:jc w:val="center"/>
              <w:rPr>
                <w:rFonts w:eastAsiaTheme="minorEastAsia"/>
                <w:noProof/>
              </w:rPr>
            </w:pPr>
            <w:r>
              <w:rPr>
                <w:noProof/>
              </w:rPr>
              <w:t>Ieguldījums 1.2: Mājas kā pirmā aprūpes un telemedicīnas vieta</w:t>
            </w:r>
          </w:p>
        </w:tc>
        <w:tc>
          <w:tcPr>
            <w:tcW w:w="1134" w:type="dxa"/>
            <w:shd w:val="clear" w:color="auto" w:fill="C6EFCE"/>
            <w:vAlign w:val="center"/>
          </w:tcPr>
          <w:p w14:paraId="379A8D62" w14:textId="77777777" w:rsidR="00C972CB" w:rsidRDefault="002457F6">
            <w:pPr>
              <w:pStyle w:val="P68B1DB1-Normal11"/>
              <w:jc w:val="center"/>
              <w:rPr>
                <w:rFonts w:eastAsiaTheme="minorEastAsia"/>
                <w:noProof/>
              </w:rPr>
            </w:pPr>
            <w:r>
              <w:rPr>
                <w:noProof/>
              </w:rPr>
              <w:t>Mērķa</w:t>
            </w:r>
          </w:p>
        </w:tc>
        <w:tc>
          <w:tcPr>
            <w:tcW w:w="1417" w:type="dxa"/>
            <w:shd w:val="clear" w:color="auto" w:fill="C6EFCE"/>
            <w:vAlign w:val="center"/>
          </w:tcPr>
          <w:p w14:paraId="7DB26CC6" w14:textId="645FC04B" w:rsidR="00C972CB" w:rsidRDefault="002457F6">
            <w:pPr>
              <w:pStyle w:val="P68B1DB1-Normal11"/>
              <w:jc w:val="center"/>
              <w:rPr>
                <w:rFonts w:eastAsiaTheme="minorEastAsia"/>
                <w:noProof/>
              </w:rPr>
            </w:pPr>
            <w:r>
              <w:rPr>
                <w:noProof/>
              </w:rPr>
              <w:t>Koordinācijas centri, kas</w:t>
            </w:r>
            <w:r>
              <w:rPr>
                <w:noProof/>
              </w:rPr>
              <w:t xml:space="preserve"> pilnībā darbojas (otrā sērija)</w:t>
            </w:r>
          </w:p>
        </w:tc>
        <w:tc>
          <w:tcPr>
            <w:tcW w:w="1363" w:type="dxa"/>
            <w:shd w:val="clear" w:color="auto" w:fill="C6EFCE"/>
            <w:vAlign w:val="center"/>
          </w:tcPr>
          <w:p w14:paraId="4103F1DF" w14:textId="77777777" w:rsidR="00C972CB" w:rsidRDefault="002457F6">
            <w:pPr>
              <w:pStyle w:val="P68B1DB1-Normal11"/>
              <w:jc w:val="center"/>
              <w:rPr>
                <w:rFonts w:eastAsiaTheme="minorEastAsia"/>
                <w:noProof/>
              </w:rPr>
            </w:pPr>
            <w:r>
              <w:rPr>
                <w:noProof/>
              </w:rPr>
              <w:t>NEPIEMĒRO</w:t>
            </w:r>
          </w:p>
        </w:tc>
        <w:tc>
          <w:tcPr>
            <w:tcW w:w="948" w:type="dxa"/>
            <w:shd w:val="clear" w:color="auto" w:fill="C6EFCE"/>
            <w:vAlign w:val="center"/>
          </w:tcPr>
          <w:p w14:paraId="4F62E149" w14:textId="77777777" w:rsidR="00C972CB" w:rsidRDefault="002457F6">
            <w:pPr>
              <w:pStyle w:val="P68B1DB1-Normal11"/>
              <w:jc w:val="center"/>
              <w:rPr>
                <w:rFonts w:eastAsiaTheme="minorEastAsia"/>
                <w:noProof/>
              </w:rPr>
            </w:pPr>
            <w:r>
              <w:rPr>
                <w:noProof/>
              </w:rPr>
              <w:t>Skaits</w:t>
            </w:r>
          </w:p>
        </w:tc>
        <w:tc>
          <w:tcPr>
            <w:tcW w:w="950" w:type="dxa"/>
            <w:shd w:val="clear" w:color="auto" w:fill="C6EFCE"/>
            <w:vAlign w:val="center"/>
          </w:tcPr>
          <w:p w14:paraId="1F698F3A" w14:textId="77777777" w:rsidR="00C972CB" w:rsidRDefault="002457F6">
            <w:pPr>
              <w:pStyle w:val="P68B1DB1-Normal11"/>
              <w:jc w:val="center"/>
              <w:rPr>
                <w:rFonts w:eastAsiaTheme="minorEastAsia"/>
                <w:noProof/>
              </w:rPr>
            </w:pPr>
            <w:r>
              <w:rPr>
                <w:noProof/>
              </w:rPr>
              <w:t>0</w:t>
            </w:r>
          </w:p>
        </w:tc>
        <w:tc>
          <w:tcPr>
            <w:tcW w:w="992" w:type="dxa"/>
            <w:shd w:val="clear" w:color="auto" w:fill="C6EFCE"/>
            <w:vAlign w:val="center"/>
          </w:tcPr>
          <w:p w14:paraId="2FA87884" w14:textId="77777777" w:rsidR="00C972CB" w:rsidRDefault="002457F6">
            <w:pPr>
              <w:pStyle w:val="P68B1DB1-Normal11"/>
              <w:jc w:val="center"/>
              <w:rPr>
                <w:rFonts w:eastAsiaTheme="minorEastAsia"/>
                <w:noProof/>
              </w:rPr>
            </w:pPr>
            <w:r>
              <w:rPr>
                <w:noProof/>
              </w:rPr>
              <w:t>480</w:t>
            </w:r>
          </w:p>
        </w:tc>
        <w:tc>
          <w:tcPr>
            <w:tcW w:w="992" w:type="dxa"/>
            <w:shd w:val="clear" w:color="auto" w:fill="C6EFCE"/>
            <w:vAlign w:val="center"/>
          </w:tcPr>
          <w:p w14:paraId="6D242EA0" w14:textId="77777777" w:rsidR="00C972CB" w:rsidRDefault="002457F6">
            <w:pPr>
              <w:pStyle w:val="P68B1DB1-Normal11"/>
              <w:jc w:val="center"/>
              <w:rPr>
                <w:rFonts w:eastAsiaTheme="minorEastAsia"/>
                <w:noProof/>
              </w:rPr>
            </w:pPr>
            <w:r>
              <w:rPr>
                <w:noProof/>
              </w:rPr>
              <w:t>4. CET.</w:t>
            </w:r>
          </w:p>
        </w:tc>
        <w:tc>
          <w:tcPr>
            <w:tcW w:w="709" w:type="dxa"/>
            <w:shd w:val="clear" w:color="auto" w:fill="C6EFCE"/>
            <w:vAlign w:val="center"/>
          </w:tcPr>
          <w:p w14:paraId="201DA5B1" w14:textId="77777777" w:rsidR="00C972CB" w:rsidRDefault="002457F6">
            <w:pPr>
              <w:pStyle w:val="P68B1DB1-Normal11"/>
              <w:jc w:val="center"/>
              <w:rPr>
                <w:rFonts w:eastAsiaTheme="minorEastAsia"/>
                <w:noProof/>
              </w:rPr>
            </w:pPr>
            <w:r>
              <w:rPr>
                <w:noProof/>
              </w:rPr>
              <w:t>2024</w:t>
            </w:r>
          </w:p>
        </w:tc>
        <w:tc>
          <w:tcPr>
            <w:tcW w:w="3634" w:type="dxa"/>
            <w:shd w:val="clear" w:color="auto" w:fill="C6EFCE"/>
            <w:vAlign w:val="center"/>
          </w:tcPr>
          <w:p w14:paraId="2C6A2AA1" w14:textId="1364FFA9" w:rsidR="00C972CB" w:rsidRDefault="002457F6">
            <w:pPr>
              <w:pStyle w:val="P68B1DB1-Normal11"/>
              <w:rPr>
                <w:rFonts w:eastAsiaTheme="minorEastAsia"/>
                <w:noProof/>
              </w:rPr>
            </w:pPr>
            <w:r>
              <w:rPr>
                <w:noProof/>
              </w:rPr>
              <w:t xml:space="preserve">Lai nodrošinātu aprūpes nepārtrauktību, pieejamību un integrāciju, izšķiroša nozīme ir tam, lai sāktu darboties vismaz 480 teritoriālie koordinācijas centri (“Centrali Operatione </w:t>
            </w:r>
            <w:r>
              <w:rPr>
                <w:noProof/>
              </w:rPr>
              <w:t>Territoriali”), kuru uzdevums ir koordinēt un sasaistīt dažādus teritoriālos, sociālās veselības un slimnīcu veselības aprūpes pakalpojumus, kā arī neatliekamās palīdzības neatliekamās palīdzības tīklu.</w:t>
            </w:r>
          </w:p>
        </w:tc>
      </w:tr>
      <w:tr w:rsidR="00C972CB" w14:paraId="47ADE4DE" w14:textId="77777777">
        <w:trPr>
          <w:trHeight w:val="315"/>
        </w:trPr>
        <w:tc>
          <w:tcPr>
            <w:tcW w:w="1277" w:type="dxa"/>
            <w:shd w:val="clear" w:color="auto" w:fill="C6EFCE"/>
            <w:vAlign w:val="center"/>
          </w:tcPr>
          <w:p w14:paraId="07B13A58" w14:textId="77777777" w:rsidR="00C972CB" w:rsidRDefault="002457F6">
            <w:pPr>
              <w:pStyle w:val="P68B1DB1-Normal11"/>
              <w:jc w:val="center"/>
              <w:rPr>
                <w:rFonts w:eastAsiaTheme="minorEastAsia"/>
                <w:noProof/>
              </w:rPr>
            </w:pPr>
            <w:r>
              <w:rPr>
                <w:noProof/>
              </w:rPr>
              <w:t>M6C1–8</w:t>
            </w:r>
          </w:p>
        </w:tc>
        <w:tc>
          <w:tcPr>
            <w:tcW w:w="1701" w:type="dxa"/>
            <w:shd w:val="clear" w:color="auto" w:fill="C6EFCE"/>
            <w:vAlign w:val="center"/>
          </w:tcPr>
          <w:p w14:paraId="3517E928" w14:textId="77777777" w:rsidR="00C972CB" w:rsidRDefault="002457F6">
            <w:pPr>
              <w:pStyle w:val="P68B1DB1-Normal11"/>
              <w:jc w:val="center"/>
              <w:rPr>
                <w:rFonts w:eastAsiaTheme="minorEastAsia"/>
                <w:noProof/>
              </w:rPr>
            </w:pPr>
            <w:r>
              <w:rPr>
                <w:noProof/>
              </w:rPr>
              <w:t xml:space="preserve">Ieguldījums 1.2: Mājas kā pirmā aprūpes un </w:t>
            </w:r>
            <w:r>
              <w:rPr>
                <w:noProof/>
              </w:rPr>
              <w:t>telemedicīnas vieta</w:t>
            </w:r>
          </w:p>
        </w:tc>
        <w:tc>
          <w:tcPr>
            <w:tcW w:w="1134" w:type="dxa"/>
            <w:shd w:val="clear" w:color="auto" w:fill="C6EFCE"/>
            <w:vAlign w:val="center"/>
          </w:tcPr>
          <w:p w14:paraId="71587D4B" w14:textId="77777777" w:rsidR="00C972CB" w:rsidRDefault="002457F6">
            <w:pPr>
              <w:pStyle w:val="P68B1DB1-Normal11"/>
              <w:jc w:val="center"/>
              <w:rPr>
                <w:rFonts w:eastAsiaTheme="minorEastAsia"/>
                <w:noProof/>
              </w:rPr>
            </w:pPr>
            <w:r>
              <w:rPr>
                <w:noProof/>
              </w:rPr>
              <w:t>Mērķa</w:t>
            </w:r>
          </w:p>
        </w:tc>
        <w:tc>
          <w:tcPr>
            <w:tcW w:w="1417" w:type="dxa"/>
            <w:shd w:val="clear" w:color="auto" w:fill="C6EFCE"/>
            <w:vAlign w:val="center"/>
          </w:tcPr>
          <w:p w14:paraId="6ACB9750" w14:textId="2B3E2642" w:rsidR="00C972CB" w:rsidRDefault="002457F6">
            <w:pPr>
              <w:pStyle w:val="P68B1DB1-Normal11"/>
              <w:jc w:val="center"/>
              <w:rPr>
                <w:rFonts w:eastAsiaTheme="minorEastAsia"/>
                <w:noProof/>
              </w:rPr>
            </w:pPr>
            <w:r>
              <w:rPr>
                <w:noProof/>
              </w:rPr>
              <w:t>Vismaz viens telemedicīnas projekts katrā reģionā (ņemot vērā gan projektus, kas tiks īstenoti katrā reģionā, gan projektus, kurus var attīstīt kā daļu no reģionu konsorcijiem)</w:t>
            </w:r>
          </w:p>
        </w:tc>
        <w:tc>
          <w:tcPr>
            <w:tcW w:w="1363" w:type="dxa"/>
            <w:shd w:val="clear" w:color="auto" w:fill="C6EFCE"/>
            <w:vAlign w:val="center"/>
          </w:tcPr>
          <w:p w14:paraId="1F78B5A6" w14:textId="75D48169" w:rsidR="00C972CB" w:rsidRDefault="002457F6">
            <w:pPr>
              <w:pStyle w:val="P68B1DB1-Normal11"/>
              <w:jc w:val="center"/>
              <w:rPr>
                <w:rFonts w:eastAsiaTheme="minorEastAsia"/>
                <w:noProof/>
              </w:rPr>
            </w:pPr>
            <w:r>
              <w:rPr>
                <w:noProof/>
              </w:rPr>
              <w:t>Programmas/</w:t>
            </w:r>
            <w:r>
              <w:rPr>
                <w:noProof/>
              </w:rPr>
              <w:br/>
              <w:t>reģioniem piešķirtie projekti</w:t>
            </w:r>
          </w:p>
        </w:tc>
        <w:tc>
          <w:tcPr>
            <w:tcW w:w="948" w:type="dxa"/>
            <w:shd w:val="clear" w:color="auto" w:fill="C6EFCE"/>
            <w:vAlign w:val="center"/>
          </w:tcPr>
          <w:p w14:paraId="74DD7632" w14:textId="77777777" w:rsidR="00C972CB" w:rsidRDefault="002457F6">
            <w:pPr>
              <w:pStyle w:val="P68B1DB1-Normal11"/>
              <w:jc w:val="center"/>
              <w:rPr>
                <w:rFonts w:eastAsiaTheme="minorEastAsia"/>
                <w:noProof/>
              </w:rPr>
            </w:pPr>
            <w:r>
              <w:rPr>
                <w:noProof/>
              </w:rPr>
              <w:t>Skaits</w:t>
            </w:r>
          </w:p>
        </w:tc>
        <w:tc>
          <w:tcPr>
            <w:tcW w:w="950" w:type="dxa"/>
            <w:shd w:val="clear" w:color="auto" w:fill="C6EFCE"/>
            <w:vAlign w:val="center"/>
          </w:tcPr>
          <w:p w14:paraId="6F0C54A5" w14:textId="77777777" w:rsidR="00C972CB" w:rsidRDefault="002457F6">
            <w:pPr>
              <w:pStyle w:val="P68B1DB1-Normal11"/>
              <w:jc w:val="center"/>
              <w:rPr>
                <w:rFonts w:eastAsiaTheme="minorEastAsia"/>
                <w:noProof/>
              </w:rPr>
            </w:pPr>
            <w:r>
              <w:rPr>
                <w:noProof/>
              </w:rPr>
              <w:t>0</w:t>
            </w:r>
          </w:p>
        </w:tc>
        <w:tc>
          <w:tcPr>
            <w:tcW w:w="992" w:type="dxa"/>
            <w:shd w:val="clear" w:color="auto" w:fill="C6EFCE"/>
            <w:vAlign w:val="center"/>
          </w:tcPr>
          <w:p w14:paraId="47184124" w14:textId="77777777" w:rsidR="00C972CB" w:rsidRDefault="002457F6">
            <w:pPr>
              <w:pStyle w:val="P68B1DB1-Normal11"/>
              <w:jc w:val="center"/>
              <w:rPr>
                <w:rFonts w:eastAsiaTheme="minorEastAsia"/>
                <w:noProof/>
              </w:rPr>
            </w:pPr>
            <w:r>
              <w:rPr>
                <w:noProof/>
              </w:rPr>
              <w:t>20</w:t>
            </w:r>
          </w:p>
        </w:tc>
        <w:tc>
          <w:tcPr>
            <w:tcW w:w="992" w:type="dxa"/>
            <w:shd w:val="clear" w:color="auto" w:fill="C6EFCE"/>
            <w:vAlign w:val="center"/>
          </w:tcPr>
          <w:p w14:paraId="0887DE05" w14:textId="77777777" w:rsidR="00C972CB" w:rsidRDefault="002457F6">
            <w:pPr>
              <w:pStyle w:val="P68B1DB1-Normal11"/>
              <w:jc w:val="center"/>
              <w:rPr>
                <w:rFonts w:eastAsiaTheme="minorEastAsia"/>
                <w:noProof/>
              </w:rPr>
            </w:pPr>
            <w:r>
              <w:rPr>
                <w:noProof/>
              </w:rPr>
              <w:t>4. CET.</w:t>
            </w:r>
          </w:p>
        </w:tc>
        <w:tc>
          <w:tcPr>
            <w:tcW w:w="709" w:type="dxa"/>
            <w:shd w:val="clear" w:color="auto" w:fill="C6EFCE"/>
            <w:vAlign w:val="center"/>
          </w:tcPr>
          <w:p w14:paraId="5F5D146C" w14:textId="77777777" w:rsidR="00C972CB" w:rsidRDefault="002457F6">
            <w:pPr>
              <w:pStyle w:val="P68B1DB1-Normal11"/>
              <w:jc w:val="center"/>
              <w:rPr>
                <w:rFonts w:eastAsiaTheme="minorEastAsia"/>
                <w:noProof/>
              </w:rPr>
            </w:pPr>
            <w:r>
              <w:rPr>
                <w:noProof/>
              </w:rPr>
              <w:t>2023</w:t>
            </w:r>
          </w:p>
        </w:tc>
        <w:tc>
          <w:tcPr>
            <w:tcW w:w="3634" w:type="dxa"/>
            <w:shd w:val="clear" w:color="auto" w:fill="C6EFCE"/>
            <w:vAlign w:val="center"/>
          </w:tcPr>
          <w:p w14:paraId="10E54C54" w14:textId="77777777" w:rsidR="00C972CB" w:rsidRDefault="002457F6">
            <w:pPr>
              <w:pStyle w:val="P68B1DB1-Normal11"/>
              <w:rPr>
                <w:rFonts w:eastAsiaTheme="minorEastAsia"/>
                <w:noProof/>
              </w:rPr>
            </w:pPr>
            <w:r>
              <w:rPr>
                <w:noProof/>
              </w:rPr>
              <w:t>Valsts telemedicīnas stratēģija veicina un finansē jaunu telemedicīnas projektu un risinājumu izstrādi un izvēršanu reģionālajās veselības aprūpes sistēmās, un tādējādi tā ir galvenais (tehnoloģiskais) veicinātājs uzlabotas attālinātas aprūpe</w:t>
            </w:r>
            <w:r>
              <w:rPr>
                <w:noProof/>
              </w:rPr>
              <w:t>s pieejas īstenošanai veselības jomā, īpašu uzmanību pievēršot hroniskiem pacientiem.</w:t>
            </w:r>
          </w:p>
        </w:tc>
      </w:tr>
      <w:tr w:rsidR="00C972CB" w14:paraId="5085E699" w14:textId="77777777">
        <w:trPr>
          <w:trHeight w:val="315"/>
        </w:trPr>
        <w:tc>
          <w:tcPr>
            <w:tcW w:w="1277" w:type="dxa"/>
            <w:shd w:val="clear" w:color="auto" w:fill="C6EFCE"/>
            <w:vAlign w:val="center"/>
          </w:tcPr>
          <w:p w14:paraId="7531F4E2" w14:textId="77777777" w:rsidR="00C972CB" w:rsidRDefault="002457F6">
            <w:pPr>
              <w:pStyle w:val="P68B1DB1-Normal11"/>
              <w:jc w:val="center"/>
              <w:rPr>
                <w:rFonts w:eastAsiaTheme="minorEastAsia"/>
                <w:noProof/>
              </w:rPr>
            </w:pPr>
            <w:r>
              <w:rPr>
                <w:noProof/>
              </w:rPr>
              <w:t>M6C1–9</w:t>
            </w:r>
          </w:p>
        </w:tc>
        <w:tc>
          <w:tcPr>
            <w:tcW w:w="1701" w:type="dxa"/>
            <w:shd w:val="clear" w:color="auto" w:fill="C6EFCE"/>
            <w:vAlign w:val="center"/>
          </w:tcPr>
          <w:p w14:paraId="188C72F2" w14:textId="77777777" w:rsidR="00C972CB" w:rsidRDefault="002457F6">
            <w:pPr>
              <w:pStyle w:val="P68B1DB1-Normal11"/>
              <w:jc w:val="center"/>
              <w:rPr>
                <w:rFonts w:eastAsiaTheme="minorEastAsia"/>
                <w:noProof/>
              </w:rPr>
            </w:pPr>
            <w:r>
              <w:rPr>
                <w:noProof/>
              </w:rPr>
              <w:t>Ieguldījums 1.2: Mājas kā pirmā aprūpes un telemedicīnas vieta</w:t>
            </w:r>
          </w:p>
        </w:tc>
        <w:tc>
          <w:tcPr>
            <w:tcW w:w="1134" w:type="dxa"/>
            <w:shd w:val="clear" w:color="auto" w:fill="C6EFCE"/>
            <w:vAlign w:val="center"/>
          </w:tcPr>
          <w:p w14:paraId="5F2276AB" w14:textId="77777777" w:rsidR="00C972CB" w:rsidRDefault="002457F6">
            <w:pPr>
              <w:pStyle w:val="P68B1DB1-Normal11"/>
              <w:jc w:val="center"/>
              <w:rPr>
                <w:rFonts w:eastAsiaTheme="minorEastAsia"/>
                <w:noProof/>
              </w:rPr>
            </w:pPr>
            <w:r>
              <w:rPr>
                <w:noProof/>
              </w:rPr>
              <w:t>Mērķa</w:t>
            </w:r>
          </w:p>
        </w:tc>
        <w:tc>
          <w:tcPr>
            <w:tcW w:w="1417" w:type="dxa"/>
            <w:shd w:val="clear" w:color="auto" w:fill="C6EFCE"/>
            <w:vAlign w:val="center"/>
          </w:tcPr>
          <w:p w14:paraId="482F6645" w14:textId="77777777" w:rsidR="00C972CB" w:rsidRDefault="002457F6">
            <w:pPr>
              <w:pStyle w:val="P68B1DB1-Normal11"/>
              <w:jc w:val="center"/>
              <w:rPr>
                <w:rFonts w:eastAsiaTheme="minorEastAsia"/>
                <w:noProof/>
              </w:rPr>
            </w:pPr>
            <w:r>
              <w:rPr>
                <w:noProof/>
              </w:rPr>
              <w:t>To cilvēku skaits, kuriem palīdz telemedicīnas rīki (trešais kopums)</w:t>
            </w:r>
          </w:p>
        </w:tc>
        <w:tc>
          <w:tcPr>
            <w:tcW w:w="1363" w:type="dxa"/>
            <w:shd w:val="clear" w:color="auto" w:fill="C6EFCE"/>
            <w:vAlign w:val="center"/>
          </w:tcPr>
          <w:p w14:paraId="5D735156" w14:textId="77777777" w:rsidR="00C972CB" w:rsidRDefault="002457F6">
            <w:pPr>
              <w:pStyle w:val="P68B1DB1-Normal11"/>
              <w:jc w:val="center"/>
              <w:rPr>
                <w:rFonts w:eastAsiaTheme="minorEastAsia"/>
                <w:noProof/>
              </w:rPr>
            </w:pPr>
            <w:r>
              <w:rPr>
                <w:noProof/>
              </w:rPr>
              <w:t>NEPIEMĒRO</w:t>
            </w:r>
          </w:p>
        </w:tc>
        <w:tc>
          <w:tcPr>
            <w:tcW w:w="948" w:type="dxa"/>
            <w:shd w:val="clear" w:color="auto" w:fill="C6EFCE"/>
            <w:vAlign w:val="center"/>
          </w:tcPr>
          <w:p w14:paraId="2C043C24" w14:textId="77777777" w:rsidR="00C972CB" w:rsidRDefault="002457F6">
            <w:pPr>
              <w:pStyle w:val="P68B1DB1-Normal11"/>
              <w:jc w:val="center"/>
              <w:rPr>
                <w:rFonts w:eastAsiaTheme="minorEastAsia"/>
                <w:noProof/>
              </w:rPr>
            </w:pPr>
            <w:r>
              <w:rPr>
                <w:noProof/>
              </w:rPr>
              <w:t>Skaits</w:t>
            </w:r>
          </w:p>
        </w:tc>
        <w:tc>
          <w:tcPr>
            <w:tcW w:w="950" w:type="dxa"/>
            <w:shd w:val="clear" w:color="auto" w:fill="C6EFCE"/>
            <w:vAlign w:val="center"/>
          </w:tcPr>
          <w:p w14:paraId="3983FA22" w14:textId="77777777" w:rsidR="00C972CB" w:rsidRDefault="002457F6">
            <w:pPr>
              <w:pStyle w:val="P68B1DB1-Normal11"/>
              <w:jc w:val="center"/>
              <w:rPr>
                <w:rFonts w:eastAsiaTheme="minorEastAsia"/>
                <w:noProof/>
              </w:rPr>
            </w:pPr>
            <w:r>
              <w:rPr>
                <w:noProof/>
              </w:rPr>
              <w:t>0</w:t>
            </w:r>
          </w:p>
        </w:tc>
        <w:tc>
          <w:tcPr>
            <w:tcW w:w="992" w:type="dxa"/>
            <w:shd w:val="clear" w:color="auto" w:fill="C6EFCE"/>
            <w:vAlign w:val="center"/>
          </w:tcPr>
          <w:p w14:paraId="171FC804" w14:textId="57F5DEB6" w:rsidR="00C972CB" w:rsidRDefault="002457F6">
            <w:pPr>
              <w:pStyle w:val="P68B1DB1-Normal11"/>
              <w:jc w:val="center"/>
              <w:rPr>
                <w:rFonts w:eastAsiaTheme="minorEastAsia"/>
                <w:noProof/>
              </w:rPr>
            </w:pPr>
            <w:r>
              <w:rPr>
                <w:noProof/>
              </w:rPr>
              <w:t>300 000</w:t>
            </w:r>
          </w:p>
        </w:tc>
        <w:tc>
          <w:tcPr>
            <w:tcW w:w="992" w:type="dxa"/>
            <w:shd w:val="clear" w:color="auto" w:fill="C6EFCE"/>
            <w:vAlign w:val="center"/>
          </w:tcPr>
          <w:p w14:paraId="3948F6E1" w14:textId="77777777" w:rsidR="00C972CB" w:rsidRDefault="002457F6">
            <w:pPr>
              <w:pStyle w:val="P68B1DB1-Normal11"/>
              <w:jc w:val="center"/>
              <w:rPr>
                <w:rFonts w:eastAsiaTheme="minorEastAsia"/>
                <w:noProof/>
              </w:rPr>
            </w:pPr>
            <w:r>
              <w:rPr>
                <w:noProof/>
              </w:rPr>
              <w:t>4. CET.</w:t>
            </w:r>
          </w:p>
        </w:tc>
        <w:tc>
          <w:tcPr>
            <w:tcW w:w="709" w:type="dxa"/>
            <w:shd w:val="clear" w:color="auto" w:fill="C6EFCE"/>
            <w:vAlign w:val="center"/>
          </w:tcPr>
          <w:p w14:paraId="3F33DCC5" w14:textId="77777777" w:rsidR="00C972CB" w:rsidRDefault="002457F6">
            <w:pPr>
              <w:pStyle w:val="P68B1DB1-Normal11"/>
              <w:jc w:val="center"/>
              <w:rPr>
                <w:rFonts w:eastAsiaTheme="minorEastAsia"/>
                <w:noProof/>
              </w:rPr>
            </w:pPr>
            <w:r>
              <w:rPr>
                <w:noProof/>
              </w:rPr>
              <w:t>2025</w:t>
            </w:r>
          </w:p>
        </w:tc>
        <w:tc>
          <w:tcPr>
            <w:tcW w:w="3634" w:type="dxa"/>
            <w:shd w:val="clear" w:color="auto" w:fill="C6EFCE"/>
            <w:vAlign w:val="center"/>
          </w:tcPr>
          <w:p w14:paraId="43A952E6" w14:textId="74758DE1" w:rsidR="00C972CB" w:rsidRDefault="002457F6">
            <w:pPr>
              <w:pStyle w:val="P68B1DB1-Normal11"/>
              <w:rPr>
                <w:rFonts w:eastAsiaTheme="minorEastAsia"/>
                <w:noProof/>
              </w:rPr>
            </w:pPr>
            <w:r>
              <w:rPr>
                <w:noProof/>
              </w:rPr>
              <w:t>Vismaz 300000 cilvēku, kuriem palīdz telemedicīnas rīki.</w:t>
            </w:r>
          </w:p>
          <w:p w14:paraId="51DE1985" w14:textId="77777777" w:rsidR="00C972CB" w:rsidRDefault="002457F6">
            <w:pPr>
              <w:pStyle w:val="P68B1DB1-Normal11"/>
              <w:rPr>
                <w:rFonts w:eastAsiaTheme="minorEastAsia"/>
                <w:noProof/>
              </w:rPr>
            </w:pPr>
            <w:r>
              <w:rPr>
                <w:noProof/>
              </w:rPr>
              <w:t>Intervence ietver ad hoc pētniecības iniciatīvu finansēšanu digitālo veselības un aprūpes tehnoloģiju jomā.</w:t>
            </w:r>
          </w:p>
        </w:tc>
      </w:tr>
      <w:tr w:rsidR="00C972CB" w14:paraId="26B2914D" w14:textId="77777777">
        <w:trPr>
          <w:trHeight w:val="315"/>
        </w:trPr>
        <w:tc>
          <w:tcPr>
            <w:tcW w:w="1277" w:type="dxa"/>
            <w:shd w:val="clear" w:color="auto" w:fill="C6EFCE"/>
            <w:vAlign w:val="center"/>
          </w:tcPr>
          <w:p w14:paraId="3BEC48E9" w14:textId="77777777" w:rsidR="00C972CB" w:rsidRDefault="002457F6">
            <w:pPr>
              <w:pStyle w:val="P68B1DB1-Normal11"/>
              <w:jc w:val="center"/>
              <w:rPr>
                <w:rFonts w:eastAsiaTheme="minorEastAsia"/>
                <w:noProof/>
              </w:rPr>
            </w:pPr>
            <w:r>
              <w:rPr>
                <w:noProof/>
              </w:rPr>
              <w:t>M6C1–10</w:t>
            </w:r>
          </w:p>
        </w:tc>
        <w:tc>
          <w:tcPr>
            <w:tcW w:w="1701" w:type="dxa"/>
            <w:shd w:val="clear" w:color="auto" w:fill="C6EFCE"/>
            <w:vAlign w:val="center"/>
          </w:tcPr>
          <w:p w14:paraId="72B5D780" w14:textId="77777777" w:rsidR="00C972CB" w:rsidRDefault="002457F6">
            <w:pPr>
              <w:pStyle w:val="P68B1DB1-Normal11"/>
              <w:jc w:val="center"/>
              <w:rPr>
                <w:rFonts w:eastAsiaTheme="minorEastAsia"/>
                <w:noProof/>
              </w:rPr>
            </w:pPr>
            <w:r>
              <w:rPr>
                <w:noProof/>
              </w:rPr>
              <w:t>Ieguldījums 1.3. Veselības aprūpes starpniecības un tās telpu</w:t>
            </w:r>
            <w:r>
              <w:rPr>
                <w:noProof/>
              </w:rPr>
              <w:t xml:space="preserve"> stiprināšana (Kopienas slimnīcas)</w:t>
            </w:r>
          </w:p>
        </w:tc>
        <w:tc>
          <w:tcPr>
            <w:tcW w:w="1134" w:type="dxa"/>
            <w:shd w:val="clear" w:color="auto" w:fill="C6EFCE"/>
            <w:vAlign w:val="center"/>
          </w:tcPr>
          <w:p w14:paraId="451946EE" w14:textId="77777777" w:rsidR="00C972CB" w:rsidRDefault="002457F6">
            <w:pPr>
              <w:pStyle w:val="P68B1DB1-Normal11"/>
              <w:jc w:val="center"/>
              <w:rPr>
                <w:rFonts w:eastAsiaTheme="minorEastAsia"/>
                <w:noProof/>
              </w:rPr>
            </w:pPr>
            <w:r>
              <w:rPr>
                <w:noProof/>
              </w:rPr>
              <w:t>Starpposma mērķis</w:t>
            </w:r>
          </w:p>
        </w:tc>
        <w:tc>
          <w:tcPr>
            <w:tcW w:w="1417" w:type="dxa"/>
            <w:shd w:val="clear" w:color="auto" w:fill="C6EFCE"/>
            <w:vAlign w:val="center"/>
          </w:tcPr>
          <w:p w14:paraId="75C2F4FF" w14:textId="77777777" w:rsidR="00C972CB" w:rsidRDefault="002457F6">
            <w:pPr>
              <w:pStyle w:val="P68B1DB1-Normal11"/>
              <w:jc w:val="center"/>
              <w:rPr>
                <w:rFonts w:eastAsiaTheme="minorEastAsia"/>
                <w:noProof/>
              </w:rPr>
            </w:pPr>
            <w:r>
              <w:rPr>
                <w:noProof/>
              </w:rPr>
              <w:t>Iestāžu attīstības līguma apstiprināšana (Contratto Istituzionale di Sviluppo)</w:t>
            </w:r>
          </w:p>
        </w:tc>
        <w:tc>
          <w:tcPr>
            <w:tcW w:w="1363" w:type="dxa"/>
            <w:shd w:val="clear" w:color="auto" w:fill="C6EFCE"/>
            <w:vAlign w:val="center"/>
          </w:tcPr>
          <w:p w14:paraId="533DC0FD" w14:textId="77777777" w:rsidR="00C972CB" w:rsidRDefault="002457F6">
            <w:pPr>
              <w:pStyle w:val="P68B1DB1-Normal11"/>
              <w:jc w:val="center"/>
              <w:rPr>
                <w:rFonts w:eastAsiaTheme="minorEastAsia"/>
                <w:noProof/>
              </w:rPr>
            </w:pPr>
            <w:r>
              <w:rPr>
                <w:noProof/>
              </w:rPr>
              <w:t>Paziņojums par institucionālās attīstības līguma apstiprināšanu</w:t>
            </w:r>
          </w:p>
        </w:tc>
        <w:tc>
          <w:tcPr>
            <w:tcW w:w="948" w:type="dxa"/>
            <w:shd w:val="clear" w:color="auto" w:fill="C6EFCE"/>
            <w:vAlign w:val="center"/>
          </w:tcPr>
          <w:p w14:paraId="0321888C" w14:textId="77777777" w:rsidR="00C972CB" w:rsidRDefault="002457F6">
            <w:pPr>
              <w:pStyle w:val="P68B1DB1-Normal11"/>
              <w:jc w:val="center"/>
              <w:rPr>
                <w:rFonts w:eastAsiaTheme="minorEastAsia"/>
                <w:noProof/>
              </w:rPr>
            </w:pPr>
            <w:r>
              <w:rPr>
                <w:noProof/>
              </w:rPr>
              <w:t>NEPIEMĒRO</w:t>
            </w:r>
          </w:p>
        </w:tc>
        <w:tc>
          <w:tcPr>
            <w:tcW w:w="950" w:type="dxa"/>
            <w:shd w:val="clear" w:color="auto" w:fill="C6EFCE"/>
            <w:vAlign w:val="center"/>
          </w:tcPr>
          <w:p w14:paraId="38802625"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274437A1" w14:textId="77777777" w:rsidR="00C972CB" w:rsidRDefault="002457F6">
            <w:pPr>
              <w:pStyle w:val="P68B1DB1-Normal11"/>
              <w:jc w:val="center"/>
              <w:rPr>
                <w:rFonts w:eastAsiaTheme="minorEastAsia"/>
                <w:noProof/>
              </w:rPr>
            </w:pPr>
            <w:r>
              <w:rPr>
                <w:noProof/>
              </w:rPr>
              <w:t>NEPIEMĒRO</w:t>
            </w:r>
          </w:p>
        </w:tc>
        <w:tc>
          <w:tcPr>
            <w:tcW w:w="992" w:type="dxa"/>
            <w:shd w:val="clear" w:color="auto" w:fill="C6EFCE"/>
            <w:vAlign w:val="center"/>
          </w:tcPr>
          <w:p w14:paraId="7F16F254" w14:textId="77777777" w:rsidR="00C972CB" w:rsidRDefault="002457F6">
            <w:pPr>
              <w:pStyle w:val="P68B1DB1-Normal11"/>
              <w:jc w:val="center"/>
              <w:rPr>
                <w:rFonts w:eastAsiaTheme="minorEastAsia"/>
                <w:noProof/>
              </w:rPr>
            </w:pPr>
            <w:r>
              <w:rPr>
                <w:noProof/>
              </w:rPr>
              <w:t>2. CET.</w:t>
            </w:r>
          </w:p>
        </w:tc>
        <w:tc>
          <w:tcPr>
            <w:tcW w:w="709" w:type="dxa"/>
            <w:shd w:val="clear" w:color="auto" w:fill="C6EFCE"/>
            <w:vAlign w:val="center"/>
          </w:tcPr>
          <w:p w14:paraId="2E5B6E5D" w14:textId="77777777" w:rsidR="00C972CB" w:rsidRDefault="002457F6">
            <w:pPr>
              <w:pStyle w:val="P68B1DB1-Normal11"/>
              <w:jc w:val="center"/>
              <w:rPr>
                <w:rFonts w:eastAsiaTheme="minorEastAsia"/>
                <w:noProof/>
              </w:rPr>
            </w:pPr>
            <w:r>
              <w:rPr>
                <w:noProof/>
              </w:rPr>
              <w:t>2022</w:t>
            </w:r>
          </w:p>
        </w:tc>
        <w:tc>
          <w:tcPr>
            <w:tcW w:w="3634" w:type="dxa"/>
            <w:shd w:val="clear" w:color="auto" w:fill="C6EFCE"/>
            <w:vAlign w:val="center"/>
          </w:tcPr>
          <w:p w14:paraId="04A5A45B" w14:textId="5CD0F0F0" w:rsidR="00C972CB" w:rsidRDefault="002457F6">
            <w:pPr>
              <w:pStyle w:val="P68B1DB1-Normal11"/>
              <w:rPr>
                <w:rFonts w:eastAsiaTheme="minorEastAsia"/>
                <w:noProof/>
              </w:rPr>
            </w:pPr>
            <w:r>
              <w:rPr>
                <w:noProof/>
              </w:rPr>
              <w:t xml:space="preserve">Institucionālās </w:t>
            </w:r>
            <w:r>
              <w:rPr>
                <w:noProof/>
              </w:rPr>
              <w:t>attīstības līguma (Contratto Istituzionale di Sviluppo) apstiprināšana, kurā Itālijas Veselības ministrija ir atbildīgā un īstenojošā iestāde, kā arī reģionālo administrāciju līdzdalība kopā ar citām struktūrām, kas saistītas ar Kopienas slimnīcām.</w:t>
            </w:r>
          </w:p>
          <w:p w14:paraId="619EDDDF" w14:textId="18379313" w:rsidR="00C972CB" w:rsidRDefault="002457F6">
            <w:pPr>
              <w:pStyle w:val="P68B1DB1-Normal11"/>
              <w:rPr>
                <w:rFonts w:eastAsiaTheme="minorEastAsia"/>
                <w:noProof/>
              </w:rPr>
            </w:pPr>
            <w:r>
              <w:rPr>
                <w:noProof/>
              </w:rPr>
              <w:t>Institu</w:t>
            </w:r>
            <w:r>
              <w:rPr>
                <w:noProof/>
              </w:rPr>
              <w:t>cionālās attīstības līgumā uzskaita visus ieguldījumiem noteiktos piemērotos objektus, kā arī pienākumus, ko katrs reģions uzņemas, lai garantētu paredzētā rezultāta sasniegšanu. Ja kāds reģions izdara pārkāpumu, Veselības ministrija vēršas pie komisāra “a</w:t>
            </w:r>
            <w:r>
              <w:rPr>
                <w:noProof/>
              </w:rPr>
              <w:t>d acta”. Attiecībā uz iekārtu tehnoloģisko parku, t. i., visiem rīkiem, licencēm un starpsavienojumiem, priekšroku dod iepirkuma metožu apkopošanai.</w:t>
            </w:r>
          </w:p>
        </w:tc>
      </w:tr>
      <w:tr w:rsidR="00C972CB" w14:paraId="0B34D8BD" w14:textId="77777777">
        <w:trPr>
          <w:trHeight w:val="315"/>
        </w:trPr>
        <w:tc>
          <w:tcPr>
            <w:tcW w:w="1277" w:type="dxa"/>
            <w:shd w:val="clear" w:color="auto" w:fill="C6EFCE"/>
            <w:vAlign w:val="center"/>
          </w:tcPr>
          <w:p w14:paraId="2B7CEFEB" w14:textId="77777777" w:rsidR="00C972CB" w:rsidRDefault="002457F6">
            <w:pPr>
              <w:pStyle w:val="P68B1DB1-Normal11"/>
              <w:jc w:val="center"/>
              <w:rPr>
                <w:rFonts w:eastAsiaTheme="minorEastAsia"/>
                <w:noProof/>
              </w:rPr>
            </w:pPr>
            <w:r>
              <w:rPr>
                <w:noProof/>
              </w:rPr>
              <w:t>M6C1–11</w:t>
            </w:r>
          </w:p>
        </w:tc>
        <w:tc>
          <w:tcPr>
            <w:tcW w:w="1701" w:type="dxa"/>
            <w:shd w:val="clear" w:color="auto" w:fill="C6EFCE"/>
            <w:vAlign w:val="center"/>
          </w:tcPr>
          <w:p w14:paraId="730CE601" w14:textId="77777777" w:rsidR="00C972CB" w:rsidRDefault="002457F6">
            <w:pPr>
              <w:pStyle w:val="P68B1DB1-Normal11"/>
              <w:jc w:val="center"/>
              <w:rPr>
                <w:rFonts w:eastAsiaTheme="minorEastAsia"/>
                <w:noProof/>
              </w:rPr>
            </w:pPr>
            <w:r>
              <w:rPr>
                <w:noProof/>
              </w:rPr>
              <w:t>Ieguldījums 1.3. Veselības aprūpes starpniecības un tās telpu stiprināšana (Kopienas slimnīcas)</w:t>
            </w:r>
          </w:p>
        </w:tc>
        <w:tc>
          <w:tcPr>
            <w:tcW w:w="1134" w:type="dxa"/>
            <w:shd w:val="clear" w:color="auto" w:fill="C6EFCE"/>
            <w:vAlign w:val="center"/>
          </w:tcPr>
          <w:p w14:paraId="50E0BA2F" w14:textId="77777777" w:rsidR="00C972CB" w:rsidRDefault="002457F6">
            <w:pPr>
              <w:pStyle w:val="P68B1DB1-Normal11"/>
              <w:jc w:val="center"/>
              <w:rPr>
                <w:rFonts w:eastAsiaTheme="minorEastAsia"/>
                <w:noProof/>
              </w:rPr>
            </w:pPr>
            <w:r>
              <w:rPr>
                <w:noProof/>
              </w:rPr>
              <w:t>Mērķa</w:t>
            </w:r>
          </w:p>
        </w:tc>
        <w:tc>
          <w:tcPr>
            <w:tcW w:w="1417" w:type="dxa"/>
            <w:shd w:val="clear" w:color="auto" w:fill="C6EFCE"/>
            <w:vAlign w:val="center"/>
          </w:tcPr>
          <w:p w14:paraId="6B0D5D6B" w14:textId="1657B428" w:rsidR="00C972CB" w:rsidRDefault="002457F6">
            <w:pPr>
              <w:pStyle w:val="P68B1DB1-Normal11"/>
              <w:jc w:val="center"/>
              <w:rPr>
                <w:rFonts w:eastAsiaTheme="minorEastAsia"/>
                <w:noProof/>
              </w:rPr>
            </w:pPr>
            <w:r>
              <w:rPr>
                <w:noProof/>
              </w:rPr>
              <w:t>Atjaunotas, savstarpēji savienotas un tehnoloģiski aprīkotas Kopienas slimnīcas (pirmā sērija)</w:t>
            </w:r>
          </w:p>
        </w:tc>
        <w:tc>
          <w:tcPr>
            <w:tcW w:w="1363" w:type="dxa"/>
            <w:shd w:val="clear" w:color="auto" w:fill="C6EFCE"/>
            <w:vAlign w:val="center"/>
          </w:tcPr>
          <w:p w14:paraId="7AC5C927" w14:textId="77777777" w:rsidR="00C972CB" w:rsidRDefault="002457F6">
            <w:pPr>
              <w:pStyle w:val="P68B1DB1-Normal11"/>
              <w:jc w:val="center"/>
              <w:rPr>
                <w:rFonts w:eastAsiaTheme="minorEastAsia"/>
                <w:noProof/>
              </w:rPr>
            </w:pPr>
            <w:r>
              <w:rPr>
                <w:noProof/>
              </w:rPr>
              <w:t>NEPIEMĒRO</w:t>
            </w:r>
          </w:p>
        </w:tc>
        <w:tc>
          <w:tcPr>
            <w:tcW w:w="948" w:type="dxa"/>
            <w:shd w:val="clear" w:color="auto" w:fill="C6EFCE"/>
            <w:vAlign w:val="center"/>
          </w:tcPr>
          <w:p w14:paraId="10C2E3F8" w14:textId="77777777" w:rsidR="00C972CB" w:rsidRDefault="002457F6">
            <w:pPr>
              <w:pStyle w:val="P68B1DB1-Normal11"/>
              <w:jc w:val="center"/>
              <w:rPr>
                <w:rFonts w:eastAsiaTheme="minorEastAsia"/>
                <w:noProof/>
              </w:rPr>
            </w:pPr>
            <w:r>
              <w:rPr>
                <w:noProof/>
              </w:rPr>
              <w:t>Skaits</w:t>
            </w:r>
          </w:p>
        </w:tc>
        <w:tc>
          <w:tcPr>
            <w:tcW w:w="950" w:type="dxa"/>
            <w:shd w:val="clear" w:color="auto" w:fill="C6EFCE"/>
            <w:vAlign w:val="center"/>
          </w:tcPr>
          <w:p w14:paraId="1FB04BE1" w14:textId="77777777" w:rsidR="00C972CB" w:rsidRDefault="002457F6">
            <w:pPr>
              <w:pStyle w:val="P68B1DB1-Normal11"/>
              <w:jc w:val="center"/>
              <w:rPr>
                <w:rFonts w:eastAsiaTheme="minorEastAsia"/>
                <w:noProof/>
              </w:rPr>
            </w:pPr>
            <w:r>
              <w:rPr>
                <w:noProof/>
              </w:rPr>
              <w:t>0</w:t>
            </w:r>
          </w:p>
        </w:tc>
        <w:tc>
          <w:tcPr>
            <w:tcW w:w="992" w:type="dxa"/>
            <w:shd w:val="clear" w:color="auto" w:fill="C6EFCE"/>
            <w:vAlign w:val="center"/>
          </w:tcPr>
          <w:p w14:paraId="495BC5B6" w14:textId="77777777" w:rsidR="00C972CB" w:rsidRDefault="002457F6">
            <w:pPr>
              <w:pStyle w:val="P68B1DB1-Normal11"/>
              <w:jc w:val="center"/>
              <w:rPr>
                <w:rFonts w:eastAsiaTheme="minorEastAsia"/>
                <w:noProof/>
              </w:rPr>
            </w:pPr>
            <w:r>
              <w:rPr>
                <w:noProof/>
              </w:rPr>
              <w:t>307</w:t>
            </w:r>
          </w:p>
        </w:tc>
        <w:tc>
          <w:tcPr>
            <w:tcW w:w="992" w:type="dxa"/>
            <w:shd w:val="clear" w:color="auto" w:fill="C6EFCE"/>
            <w:vAlign w:val="center"/>
          </w:tcPr>
          <w:p w14:paraId="60BCC230" w14:textId="77777777" w:rsidR="00C972CB" w:rsidRDefault="002457F6">
            <w:pPr>
              <w:pStyle w:val="P68B1DB1-Normal11"/>
              <w:jc w:val="center"/>
              <w:rPr>
                <w:rFonts w:eastAsiaTheme="minorEastAsia"/>
                <w:noProof/>
              </w:rPr>
            </w:pPr>
            <w:r>
              <w:rPr>
                <w:noProof/>
              </w:rPr>
              <w:t>2. CET.</w:t>
            </w:r>
          </w:p>
        </w:tc>
        <w:tc>
          <w:tcPr>
            <w:tcW w:w="709" w:type="dxa"/>
            <w:shd w:val="clear" w:color="auto" w:fill="C6EFCE"/>
            <w:vAlign w:val="center"/>
          </w:tcPr>
          <w:p w14:paraId="44729AEE" w14:textId="77777777" w:rsidR="00C972CB" w:rsidRDefault="002457F6">
            <w:pPr>
              <w:pStyle w:val="P68B1DB1-Normal11"/>
              <w:jc w:val="center"/>
              <w:rPr>
                <w:rFonts w:eastAsiaTheme="minorEastAsia"/>
                <w:noProof/>
              </w:rPr>
            </w:pPr>
            <w:r>
              <w:rPr>
                <w:noProof/>
              </w:rPr>
              <w:t>2026</w:t>
            </w:r>
          </w:p>
        </w:tc>
        <w:tc>
          <w:tcPr>
            <w:tcW w:w="3634" w:type="dxa"/>
            <w:shd w:val="clear" w:color="auto" w:fill="C6EFCE"/>
            <w:vAlign w:val="center"/>
          </w:tcPr>
          <w:p w14:paraId="7BAE8116" w14:textId="77777777" w:rsidR="00C972CB" w:rsidRDefault="002457F6">
            <w:pPr>
              <w:pStyle w:val="P68B1DB1-Normal11"/>
              <w:rPr>
                <w:rFonts w:eastAsiaTheme="minorEastAsia"/>
                <w:noProof/>
              </w:rPr>
            </w:pPr>
            <w:r>
              <w:rPr>
                <w:noProof/>
              </w:rPr>
              <w:t>Vismaz 307 atjaunotas, savstarpēji savienotas un tehnoloģiski aprīkotas Kopienas slimnīcas</w:t>
            </w:r>
          </w:p>
          <w:p w14:paraId="709B2705" w14:textId="77777777" w:rsidR="00C972CB" w:rsidRDefault="002457F6">
            <w:pPr>
              <w:pStyle w:val="P68B1DB1-Normal11"/>
              <w:rPr>
                <w:rFonts w:eastAsiaTheme="minorEastAsia"/>
                <w:noProof/>
              </w:rPr>
            </w:pPr>
            <w:r>
              <w:rPr>
                <w:noProof/>
              </w:rPr>
              <w:t xml:space="preserve">Kopienas slimnīcas ir </w:t>
            </w:r>
            <w:r>
              <w:rPr>
                <w:noProof/>
              </w:rPr>
              <w:t>veselības aprūpes iestādes pacientiem, kuriem pēc maznozīmīgas asuma epizodes vai hronisku patoloģiju recidīvas ir nepieciešama zema intensivitāte un īstermiņa klīniskie intervences pasākumi, ko, iespējams, var nodrošināt mājās, bet kuri tiek uzņemti šajās</w:t>
            </w:r>
            <w:r>
              <w:rPr>
                <w:noProof/>
              </w:rPr>
              <w:t xml:space="preserve"> telpās paša mājokļa (strukturālās un/vai ģimenes) nepiemērotības dēļ.</w:t>
            </w:r>
          </w:p>
        </w:tc>
      </w:tr>
    </w:tbl>
    <w:p w14:paraId="0A84B75A" w14:textId="77777777" w:rsidR="00C972CB" w:rsidRDefault="00C972CB">
      <w:pPr>
        <w:tabs>
          <w:tab w:val="left" w:pos="4252"/>
        </w:tabs>
        <w:rPr>
          <w:i/>
          <w:noProof/>
        </w:rPr>
      </w:pPr>
    </w:p>
    <w:p w14:paraId="207AB31E" w14:textId="77777777" w:rsidR="00C972CB" w:rsidRDefault="00C972CB">
      <w:pPr>
        <w:keepNext/>
        <w:tabs>
          <w:tab w:val="left" w:pos="4252"/>
        </w:tabs>
        <w:spacing w:before="720"/>
        <w:jc w:val="both"/>
        <w:rPr>
          <w:i/>
          <w:noProof/>
        </w:rPr>
        <w:sectPr w:rsidR="00C972CB" w:rsidSect="000D3774">
          <w:headerReference w:type="even" r:id="rId356"/>
          <w:headerReference w:type="default" r:id="rId357"/>
          <w:footerReference w:type="even" r:id="rId358"/>
          <w:footerReference w:type="default" r:id="rId359"/>
          <w:headerReference w:type="first" r:id="rId360"/>
          <w:footerReference w:type="first" r:id="rId361"/>
          <w:pgSz w:w="16839" w:h="11907" w:orient="landscape"/>
          <w:pgMar w:top="1417" w:right="1134" w:bottom="1417" w:left="1134" w:header="709" w:footer="709" w:gutter="0"/>
          <w:cols w:space="720"/>
          <w:docGrid w:linePitch="360"/>
        </w:sectPr>
      </w:pPr>
    </w:p>
    <w:p w14:paraId="1E363AF3" w14:textId="77777777" w:rsidR="00C972CB" w:rsidRDefault="002457F6">
      <w:pPr>
        <w:pStyle w:val="Heading2"/>
        <w:numPr>
          <w:ilvl w:val="0"/>
          <w:numId w:val="0"/>
        </w:numPr>
        <w:ind w:left="850" w:hanging="850"/>
        <w:rPr>
          <w:noProof/>
        </w:rPr>
      </w:pPr>
      <w:r>
        <w:rPr>
          <w:noProof/>
        </w:rPr>
        <w:t>P. 6. MISIJAS 2. KOMPONENTS: Inovācija, pētniecība un valsts veselības aprūpes pakalpojumu digitalizācija</w:t>
      </w:r>
    </w:p>
    <w:p w14:paraId="218046D5" w14:textId="77777777" w:rsidR="00C972CB" w:rsidRDefault="00C972CB">
      <w:pPr>
        <w:tabs>
          <w:tab w:val="left" w:pos="1134"/>
        </w:tabs>
        <w:spacing w:before="120" w:after="120"/>
        <w:jc w:val="both"/>
        <w:rPr>
          <w:i/>
          <w:smallCaps/>
          <w:noProof/>
          <w:color w:val="4F81BD" w:themeColor="accent1"/>
        </w:rPr>
      </w:pPr>
    </w:p>
    <w:p w14:paraId="512A28F4" w14:textId="77777777" w:rsidR="00C972CB" w:rsidRDefault="002457F6">
      <w:pPr>
        <w:spacing w:before="120" w:after="120"/>
        <w:jc w:val="both"/>
        <w:rPr>
          <w:noProof/>
        </w:rPr>
      </w:pPr>
      <w:r>
        <w:rPr>
          <w:noProof/>
        </w:rPr>
        <w:t xml:space="preserve">Šā Itālijas </w:t>
      </w:r>
      <w:r>
        <w:rPr>
          <w:noProof/>
        </w:rPr>
        <w:t xml:space="preserve">atveseļošanas un noturības plāna komponenta mērķis ir nodrošināt nepieciešamos veicinošos apstākļus valsts veselības aprūpes dienesta lielākai noturībai, izmantojot: novecojušu veselības aprūpes tehnoloģiju aizstāšana slimnīcās; (II) slimnīcu ēku drošības </w:t>
      </w:r>
      <w:r>
        <w:rPr>
          <w:noProof/>
        </w:rPr>
        <w:t>būtiska strukturāla uzlabojuma izstrāde; veselības informācijas sistēmu un digitālo rīku uzlabošana; veicināt un stiprināt zinātniskās pētniecības nozari; cilvēkresursu uzlabošana.</w:t>
      </w:r>
    </w:p>
    <w:p w14:paraId="5971EEBB" w14:textId="77777777" w:rsidR="00C972CB" w:rsidRDefault="002457F6">
      <w:pPr>
        <w:spacing w:before="120" w:after="120"/>
        <w:jc w:val="both"/>
        <w:rPr>
          <w:noProof/>
        </w:rPr>
      </w:pPr>
      <w:r>
        <w:rPr>
          <w:noProof/>
        </w:rPr>
        <w:t>Investīcijas un reformas saskaņā ar šo komponentu palīdz īstenot Itālijai 2</w:t>
      </w:r>
      <w:r>
        <w:rPr>
          <w:noProof/>
        </w:rPr>
        <w:t xml:space="preserve">020. un 2019. gadā adresētos konkrētai valstij adresētos ieteikumus par nepieciešamību “stiprināt veselības aprūpes sistēmas noturību un kapacitāti veselības aprūpes darbinieku, kritiski svarīgu medicīnisko izstrādājumu un infrastruktūras jomā” (1., 2020. </w:t>
      </w:r>
      <w:r>
        <w:rPr>
          <w:noProof/>
        </w:rPr>
        <w:t>gada ieteikums), “koncentrēt investīcijas uz zaļo un digitālo pārkārtošanos, jo īpaši uz [...] pastiprinātu digitālo infrastruktūru, lai nodrošinātu pamatpakalpojumu sniegšanu” (konkrētai valstij adresētais ieteikums Nr. 3, 2020) un “koncentrēt ar investīc</w:t>
      </w:r>
      <w:r>
        <w:rPr>
          <w:noProof/>
        </w:rPr>
        <w:t>ijām saistīto ekonomikas politiku uz pētniecību un inovāciju un infrastruktūras kvalitāti, ņemot vērā arī reģionālās atšķirības” (konkrētai valstij adresētais ieteikums Nr. 3, 2019). </w:t>
      </w:r>
    </w:p>
    <w:p w14:paraId="02E070D3" w14:textId="77777777" w:rsidR="00C972CB" w:rsidRDefault="00C972CB">
      <w:pPr>
        <w:spacing w:before="120" w:after="120"/>
        <w:jc w:val="both"/>
        <w:rPr>
          <w:noProof/>
        </w:rPr>
      </w:pPr>
    </w:p>
    <w:p w14:paraId="77550FE9" w14:textId="77777777" w:rsidR="00C972CB" w:rsidRDefault="002457F6">
      <w:pPr>
        <w:pStyle w:val="Heading3"/>
        <w:numPr>
          <w:ilvl w:val="0"/>
          <w:numId w:val="0"/>
        </w:numPr>
        <w:ind w:left="850" w:hanging="850"/>
        <w:rPr>
          <w:b/>
          <w:i w:val="0"/>
          <w:noProof/>
          <w:u w:val="single"/>
        </w:rPr>
      </w:pPr>
      <w:r>
        <w:rPr>
          <w:b/>
          <w:i w:val="0"/>
          <w:noProof/>
          <w:u w:val="single"/>
        </w:rPr>
        <w:t xml:space="preserve">P.1. </w:t>
      </w:r>
      <w:r>
        <w:rPr>
          <w:noProof/>
        </w:rPr>
        <w:tab/>
      </w:r>
      <w:r>
        <w:rPr>
          <w:b/>
          <w:i w:val="0"/>
          <w:noProof/>
          <w:u w:val="single"/>
        </w:rPr>
        <w:t>Neatmaksājamam finansiālajam atbalstam pieteikto reformu un inves</w:t>
      </w:r>
      <w:r>
        <w:rPr>
          <w:b/>
          <w:i w:val="0"/>
          <w:noProof/>
          <w:u w:val="single"/>
        </w:rPr>
        <w:t>tīciju apraksts</w:t>
      </w:r>
    </w:p>
    <w:p w14:paraId="4860C8BE" w14:textId="77777777" w:rsidR="00C972CB" w:rsidRDefault="002457F6">
      <w:pPr>
        <w:pStyle w:val="P68B1DB1-Normal2"/>
        <w:spacing w:before="120" w:after="120"/>
        <w:jc w:val="both"/>
        <w:rPr>
          <w:noProof/>
        </w:rPr>
      </w:pPr>
      <w:r>
        <w:rPr>
          <w:noProof/>
        </w:rPr>
        <w:t>Reforma: Pārskatīt un atjaunināt Slimnīcu un aprūpes zinātnisko institūtu (IRCCS) pašreizējo tiesisko regulējumu</w:t>
      </w:r>
    </w:p>
    <w:p w14:paraId="44020BB9" w14:textId="77777777" w:rsidR="00C972CB" w:rsidRDefault="002457F6">
      <w:pPr>
        <w:spacing w:before="120" w:after="160" w:line="259" w:lineRule="auto"/>
        <w:jc w:val="both"/>
        <w:rPr>
          <w:noProof/>
        </w:rPr>
      </w:pPr>
      <w:r>
        <w:rPr>
          <w:noProof/>
        </w:rPr>
        <w:t>Reformas mērķis ir reorganizēt Slimnīcu un aprūpes zinātnisko institūtu (IRCCS) tīklu, lai i) uzlabotu valsts veselības aprūpes</w:t>
      </w:r>
      <w:r>
        <w:rPr>
          <w:noProof/>
        </w:rPr>
        <w:t xml:space="preserve"> sistēmas (NHS) kvalitāti, ii) uzlabotu saikni starp veselību un pētniecību un iii) pārskatītu IRCCS tiesisko režīmu un pētniecības politiku, kas ir Itālijas Veselības ministrijas kompetencē. </w:t>
      </w:r>
    </w:p>
    <w:p w14:paraId="1D8884DC" w14:textId="77777777" w:rsidR="00C972CB" w:rsidRDefault="002457F6">
      <w:pPr>
        <w:spacing w:before="120" w:after="160" w:line="259" w:lineRule="auto"/>
        <w:jc w:val="both"/>
        <w:rPr>
          <w:noProof/>
        </w:rPr>
      </w:pPr>
      <w:r>
        <w:rPr>
          <w:noProof/>
        </w:rPr>
        <w:t>Reforma uzlabo publisko IRCCS pārvaldību, i) uzlabojot stratēģi</w:t>
      </w:r>
      <w:r>
        <w:rPr>
          <w:noProof/>
        </w:rPr>
        <w:t xml:space="preserve">sko pārvaldību, ii) labāk definējot pilnvaras un kompetences jomas un iii) visaptveroši definējot noteikumus par publisko IRCCS zinātniskā direktora un pētniecības personāla statusu. </w:t>
      </w:r>
    </w:p>
    <w:p w14:paraId="3C6D478A" w14:textId="0C602F94" w:rsidR="00C972CB" w:rsidRDefault="002457F6">
      <w:pPr>
        <w:spacing w:before="120" w:after="160" w:line="259" w:lineRule="auto"/>
        <w:jc w:val="both"/>
        <w:rPr>
          <w:noProof/>
        </w:rPr>
      </w:pPr>
      <w:r>
        <w:rPr>
          <w:noProof/>
        </w:rPr>
        <w:t>Visbeidzot, īpašs apakšpasākums, kurā IRCCS tiek diferencētas atkarībā n</w:t>
      </w:r>
      <w:r>
        <w:rPr>
          <w:noProof/>
        </w:rPr>
        <w:t>o to darbības (viena speciālista vai vispārēja rakstura), izveidojot integrētu IRCCS tīklu un atvieglojot pieredzes apmaiņu starp pašiem IRCCS un citām Itālijas NHS struktūrām.</w:t>
      </w:r>
    </w:p>
    <w:p w14:paraId="475E5226" w14:textId="74F1B893" w:rsidR="00C972CB" w:rsidRDefault="002457F6">
      <w:pPr>
        <w:pStyle w:val="P68B1DB1-Normal2"/>
        <w:spacing w:before="120" w:after="120"/>
        <w:jc w:val="both"/>
        <w:rPr>
          <w:noProof/>
        </w:rPr>
      </w:pPr>
      <w:r>
        <w:rPr>
          <w:noProof/>
        </w:rPr>
        <w:t>Ieguldījums 2.1.: NHS biomedicīniskās pētniecības stiprināšana un uzlabošana</w:t>
      </w:r>
    </w:p>
    <w:p w14:paraId="3C06DEAF" w14:textId="77777777" w:rsidR="00C972CB" w:rsidRDefault="002457F6">
      <w:pPr>
        <w:spacing w:before="120" w:after="120"/>
        <w:jc w:val="both"/>
        <w:rPr>
          <w:noProof/>
        </w:rPr>
      </w:pPr>
      <w:r>
        <w:rPr>
          <w:noProof/>
        </w:rPr>
        <w:t>Ši</w:t>
      </w:r>
      <w:r>
        <w:rPr>
          <w:noProof/>
        </w:rPr>
        <w:t xml:space="preserve">s ieguldījums ietver biomedicīniskās pētniecības sistēmas stiprināšanu, izmantojot divus intervences virzienus: </w:t>
      </w:r>
      <w:r>
        <w:rPr>
          <w:noProof/>
          <w:color w:val="000000"/>
        </w:rPr>
        <w:t>koncepcijas pamatojuma (PoC) projektu atbalstīšana, atbalstot tehnoloģiju izstrādi ar zemu tehnoloģiskās gatavības pakāpi, kā arī veicinot tehno</w:t>
      </w:r>
      <w:r>
        <w:rPr>
          <w:noProof/>
          <w:color w:val="000000"/>
        </w:rPr>
        <w:t>loģiju nodošanu nozarei; b) pētniecības programmu/projektu finansēšana reto slimību, reto vēža un citu slimību jomā</w:t>
      </w:r>
      <w:r>
        <w:rPr>
          <w:noProof/>
        </w:rPr>
        <w:t>, kam ir liela ietekme uz veselību.</w:t>
      </w:r>
    </w:p>
    <w:p w14:paraId="6E99C001" w14:textId="77777777" w:rsidR="00C972CB" w:rsidRDefault="00C972CB">
      <w:pPr>
        <w:spacing w:before="120" w:after="120"/>
        <w:ind w:left="709"/>
        <w:jc w:val="both"/>
        <w:rPr>
          <w:noProof/>
        </w:rPr>
        <w:sectPr w:rsidR="00C972CB" w:rsidSect="000D3774">
          <w:headerReference w:type="even" r:id="rId362"/>
          <w:headerReference w:type="default" r:id="rId363"/>
          <w:footerReference w:type="even" r:id="rId364"/>
          <w:footerReference w:type="default" r:id="rId365"/>
          <w:headerReference w:type="first" r:id="rId366"/>
          <w:footerReference w:type="first" r:id="rId367"/>
          <w:pgSz w:w="11907" w:h="16839"/>
          <w:pgMar w:top="1134" w:right="1417" w:bottom="1134" w:left="1417" w:header="709" w:footer="709" w:gutter="0"/>
          <w:cols w:space="720"/>
          <w:docGrid w:linePitch="360"/>
        </w:sectPr>
      </w:pPr>
    </w:p>
    <w:p w14:paraId="56CAF03B" w14:textId="56DC9141" w:rsidR="00C972CB" w:rsidRDefault="002457F6">
      <w:pPr>
        <w:spacing w:before="120" w:after="120"/>
        <w:jc w:val="both"/>
        <w:rPr>
          <w:b/>
          <w:i/>
          <w:noProof/>
          <w:u w:val="single"/>
        </w:rPr>
      </w:pPr>
      <w:r>
        <w:rPr>
          <w:b/>
          <w:noProof/>
          <w:u w:val="single"/>
        </w:rPr>
        <w:t xml:space="preserve">P.2. </w:t>
      </w:r>
      <w:r>
        <w:rPr>
          <w:noProof/>
        </w:rPr>
        <w:tab/>
      </w:r>
      <w:r>
        <w:rPr>
          <w:b/>
          <w:noProof/>
          <w:u w:val="single"/>
        </w:rPr>
        <w:t xml:space="preserve">Atskaites punkti, mērķrādītāji, citi </w:t>
      </w:r>
      <w:r>
        <w:rPr>
          <w:b/>
          <w:noProof/>
          <w:u w:val="single"/>
        </w:rPr>
        <w:t>rādītāji un neatmaksājamā finansiālā atbalsta uzraudzības un īstenošanas grafiks</w:t>
      </w:r>
    </w:p>
    <w:tbl>
      <w:tblPr>
        <w:tblW w:w="5000" w:type="pct"/>
        <w:tblInd w:w="113" w:type="dxa"/>
        <w:tblLayout w:type="fixed"/>
        <w:tblLook w:val="04A0" w:firstRow="1" w:lastRow="0" w:firstColumn="1" w:lastColumn="0" w:noHBand="0" w:noVBand="1"/>
      </w:tblPr>
      <w:tblGrid>
        <w:gridCol w:w="1158"/>
        <w:gridCol w:w="1985"/>
        <w:gridCol w:w="1275"/>
        <w:gridCol w:w="1843"/>
        <w:gridCol w:w="1701"/>
        <w:gridCol w:w="992"/>
        <w:gridCol w:w="1134"/>
        <w:gridCol w:w="851"/>
        <w:gridCol w:w="850"/>
        <w:gridCol w:w="709"/>
        <w:gridCol w:w="2891"/>
      </w:tblGrid>
      <w:tr w:rsidR="00C972CB" w14:paraId="08808592" w14:textId="77777777">
        <w:trPr>
          <w:trHeight w:val="927"/>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EC30DE" w14:textId="77777777" w:rsidR="00C972CB" w:rsidRDefault="002457F6">
            <w:pPr>
              <w:pStyle w:val="P68B1DB1-Normal9"/>
              <w:spacing w:before="120" w:after="120"/>
              <w:jc w:val="center"/>
              <w:rPr>
                <w:noProof/>
              </w:rPr>
            </w:pPr>
            <w:r>
              <w:rPr>
                <w:noProof/>
              </w:rPr>
              <w:t>Kārtas numurs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1B64AD" w14:textId="77777777" w:rsidR="00C972CB" w:rsidRDefault="002457F6">
            <w:pPr>
              <w:pStyle w:val="P68B1DB1-Normal9"/>
              <w:spacing w:before="120" w:after="120"/>
              <w:jc w:val="center"/>
              <w:rPr>
                <w:noProof/>
              </w:rPr>
            </w:pPr>
            <w:r>
              <w:rPr>
                <w:noProof/>
              </w:rPr>
              <w:t>Pasākums (reforma vai investīcija)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F22B3F" w14:textId="77777777" w:rsidR="00C972CB" w:rsidRDefault="002457F6">
            <w:pPr>
              <w:pStyle w:val="P68B1DB1-Normal9"/>
              <w:spacing w:before="120" w:after="120"/>
              <w:jc w:val="center"/>
              <w:rPr>
                <w:noProof/>
              </w:rPr>
            </w:pPr>
            <w:r>
              <w:rPr>
                <w:noProof/>
              </w:rPr>
              <w:t>Atskaites punkts/mērķrādītājs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71E707" w14:textId="77777777" w:rsidR="00C972CB" w:rsidRDefault="002457F6">
            <w:pPr>
              <w:pStyle w:val="P68B1DB1-Normal9"/>
              <w:spacing w:before="120" w:after="120"/>
              <w:jc w:val="center"/>
              <w:rPr>
                <w:noProof/>
              </w:rPr>
            </w:pPr>
            <w:r>
              <w:rPr>
                <w:noProof/>
              </w:rPr>
              <w:t>Uzvārds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B8DAE6" w14:textId="77777777" w:rsidR="00C972CB" w:rsidRDefault="002457F6">
            <w:pPr>
              <w:pStyle w:val="P68B1DB1-Normal10"/>
              <w:spacing w:before="120" w:after="12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4B27DD9" w14:textId="77777777" w:rsidR="00C972CB" w:rsidRDefault="002457F6">
            <w:pPr>
              <w:pStyle w:val="P68B1DB1-Normal10"/>
              <w:spacing w:before="120" w:after="12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E92D4EF" w14:textId="77777777" w:rsidR="00C972CB" w:rsidRDefault="002457F6">
            <w:pPr>
              <w:pStyle w:val="P68B1DB1-Normal9"/>
              <w:spacing w:before="120" w:after="120"/>
              <w:jc w:val="center"/>
              <w:rPr>
                <w:noProof/>
              </w:rPr>
            </w:pPr>
            <w:r>
              <w:rPr>
                <w:noProof/>
              </w:rPr>
              <w:t>Orientējošs pabeigšanas termiņš</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FAC44" w14:textId="77777777" w:rsidR="00C972CB" w:rsidRDefault="002457F6">
            <w:pPr>
              <w:pStyle w:val="P68B1DB1-Normal9"/>
              <w:spacing w:before="120" w:after="120"/>
              <w:jc w:val="center"/>
              <w:rPr>
                <w:noProof/>
              </w:rPr>
            </w:pPr>
            <w:r>
              <w:rPr>
                <w:noProof/>
              </w:rPr>
              <w:t>Apraksts par katru atskaites punktu un mērķrādītāju</w:t>
            </w:r>
          </w:p>
        </w:tc>
      </w:tr>
      <w:tr w:rsidR="00C972CB" w14:paraId="0930AABE" w14:textId="77777777">
        <w:trPr>
          <w:trHeight w:val="703"/>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4590F5D9" w14:textId="77777777" w:rsidR="00C972CB" w:rsidRDefault="00C972CB">
            <w:pPr>
              <w:spacing w:before="120" w:after="120"/>
              <w:jc w:val="cente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346E6E" w14:textId="77777777" w:rsidR="00C972CB" w:rsidRDefault="00C972CB">
            <w:pPr>
              <w:spacing w:before="120" w:after="120"/>
              <w:jc w:val="center"/>
              <w:rPr>
                <w:rFonts w:ascii="Arial Narrow" w:hAnsi="Arial Narrow"/>
                <w:b/>
                <w:noProof/>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77D61AE" w14:textId="77777777" w:rsidR="00C972CB" w:rsidRDefault="00C972CB">
            <w:pPr>
              <w:spacing w:before="120" w:after="120"/>
              <w:jc w:val="center"/>
              <w:rPr>
                <w:rFonts w:ascii="Arial Narrow" w:hAnsi="Arial Narrow"/>
                <w:b/>
                <w:noProof/>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192362" w14:textId="77777777" w:rsidR="00C972CB" w:rsidRDefault="00C972CB">
            <w:pPr>
              <w:spacing w:before="120" w:after="120"/>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F6F31E8" w14:textId="77777777" w:rsidR="00C972CB" w:rsidRDefault="00C972CB">
            <w:pPr>
              <w:spacing w:before="120" w:after="120"/>
              <w:jc w:val="center"/>
              <w:rPr>
                <w:rFonts w:ascii="Arial Narrow" w:hAnsi="Arial Narrow"/>
                <w:b/>
                <w:noProof/>
                <w:sz w:val="20"/>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7DA59D0" w14:textId="77777777" w:rsidR="00C972CB" w:rsidRDefault="002457F6">
            <w:pPr>
              <w:pStyle w:val="P68B1DB1-Normal9"/>
              <w:spacing w:before="120" w:after="120"/>
              <w:jc w:val="center"/>
              <w:rPr>
                <w:noProof/>
              </w:rPr>
            </w:pPr>
            <w:r>
              <w:rPr>
                <w:noProof/>
              </w:rPr>
              <w:t>Mēra vienība</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6EB453CE" w14:textId="77777777" w:rsidR="00C972CB" w:rsidRDefault="002457F6">
            <w:pPr>
              <w:pStyle w:val="P68B1DB1-Normal9"/>
              <w:spacing w:before="120" w:after="120"/>
              <w:jc w:val="center"/>
              <w:rPr>
                <w:noProof/>
              </w:rPr>
            </w:pPr>
            <w:r>
              <w:rPr>
                <w:noProof/>
              </w:rPr>
              <w:t>Pamatscenārijs</w:t>
            </w:r>
          </w:p>
        </w:tc>
        <w:tc>
          <w:tcPr>
            <w:tcW w:w="851" w:type="dxa"/>
            <w:tcBorders>
              <w:top w:val="single" w:sz="4" w:space="0" w:color="auto"/>
              <w:left w:val="nil"/>
              <w:bottom w:val="single" w:sz="4" w:space="0" w:color="auto"/>
              <w:right w:val="single" w:sz="4" w:space="0" w:color="auto"/>
            </w:tcBorders>
            <w:shd w:val="clear" w:color="auto" w:fill="BDD7EE"/>
            <w:vAlign w:val="center"/>
            <w:hideMark/>
          </w:tcPr>
          <w:p w14:paraId="16FFFE79" w14:textId="77777777" w:rsidR="00C972CB" w:rsidRDefault="002457F6">
            <w:pPr>
              <w:pStyle w:val="P68B1DB1-Normal9"/>
              <w:spacing w:before="120" w:after="120"/>
              <w:jc w:val="center"/>
              <w:rPr>
                <w:noProof/>
              </w:rPr>
            </w:pPr>
            <w:r>
              <w:rPr>
                <w:noProof/>
              </w:rPr>
              <w:t>Mērķis</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75D22C83" w14:textId="77777777" w:rsidR="00C972CB" w:rsidRDefault="002457F6">
            <w:pPr>
              <w:pStyle w:val="P68B1DB1-Normal9"/>
              <w:spacing w:before="120" w:after="120"/>
              <w:jc w:val="center"/>
              <w:rPr>
                <w:noProof/>
              </w:rPr>
            </w:pPr>
            <w:r>
              <w:rPr>
                <w:noProof/>
              </w:rPr>
              <w:t>Ceturtdaļa</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1B02A583" w14:textId="77777777" w:rsidR="00C972CB" w:rsidRDefault="002457F6">
            <w:pPr>
              <w:pStyle w:val="P68B1DB1-Normal9"/>
              <w:spacing w:before="120" w:after="120"/>
              <w:jc w:val="center"/>
              <w:rPr>
                <w:noProof/>
              </w:rPr>
            </w:pPr>
            <w:r>
              <w:rPr>
                <w:noProof/>
              </w:rPr>
              <w:t>Gadā</w:t>
            </w:r>
          </w:p>
        </w:tc>
        <w:tc>
          <w:tcPr>
            <w:tcW w:w="2891" w:type="dxa"/>
            <w:vMerge/>
            <w:tcBorders>
              <w:top w:val="single" w:sz="4" w:space="0" w:color="auto"/>
              <w:bottom w:val="single" w:sz="4" w:space="0" w:color="auto"/>
              <w:right w:val="single" w:sz="4" w:space="0" w:color="auto"/>
            </w:tcBorders>
            <w:vAlign w:val="center"/>
            <w:hideMark/>
          </w:tcPr>
          <w:p w14:paraId="4F94593F" w14:textId="77777777" w:rsidR="00C972CB" w:rsidRDefault="00C972CB">
            <w:pPr>
              <w:spacing w:before="120" w:after="120"/>
              <w:rPr>
                <w:rFonts w:ascii="Arial Narrow" w:hAnsi="Arial Narrow"/>
                <w:b/>
                <w:noProof/>
                <w:sz w:val="20"/>
              </w:rPr>
            </w:pPr>
          </w:p>
        </w:tc>
      </w:tr>
      <w:tr w:rsidR="00C972CB" w14:paraId="702DE034"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3013C" w14:textId="77777777" w:rsidR="00C972CB" w:rsidRDefault="002457F6">
            <w:pPr>
              <w:pStyle w:val="P68B1DB1-Normal11"/>
              <w:jc w:val="center"/>
              <w:rPr>
                <w:rFonts w:eastAsiaTheme="minorEastAsia"/>
                <w:noProof/>
              </w:rPr>
            </w:pPr>
            <w:r>
              <w:rPr>
                <w:noProof/>
              </w:rPr>
              <w:t>M6C2–1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32315D8" w14:textId="77777777" w:rsidR="00C972CB" w:rsidRDefault="002457F6">
            <w:pPr>
              <w:pStyle w:val="P68B1DB1-Normal11"/>
              <w:jc w:val="center"/>
              <w:rPr>
                <w:rFonts w:eastAsiaTheme="minorEastAsia"/>
                <w:noProof/>
              </w:rPr>
            </w:pPr>
            <w:r>
              <w:rPr>
                <w:noProof/>
              </w:rPr>
              <w:t xml:space="preserve">Reforma: Pārskatīt un atjaunināt Slimnīcu un aprūpes zinātnisko institūtu (IRCCS) pašreizējo tiesisko </w:t>
            </w:r>
            <w:r>
              <w:rPr>
                <w:noProof/>
              </w:rPr>
              <w:t>regulējumu un Veselības ministrijas pētniecības politiku, lai stiprinātu saikni starp pētniecību, inovāciju un veselības aprūpi</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4409B80A" w14:textId="77777777" w:rsidR="00C972CB" w:rsidRDefault="002457F6">
            <w:pPr>
              <w:pStyle w:val="P68B1DB1-Normal11"/>
              <w:jc w:val="center"/>
              <w:rPr>
                <w:rFonts w:eastAsiaTheme="minorEastAsia"/>
                <w:noProof/>
              </w:rPr>
            </w:pPr>
            <w:r>
              <w:rPr>
                <w:noProof/>
              </w:rPr>
              <w:t>Starpposma mērķis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3E636CB" w14:textId="77777777" w:rsidR="00C972CB" w:rsidRDefault="002457F6">
            <w:pPr>
              <w:pStyle w:val="P68B1DB1-Normal11"/>
              <w:jc w:val="center"/>
              <w:rPr>
                <w:rFonts w:eastAsiaTheme="minorEastAsia"/>
                <w:noProof/>
              </w:rPr>
            </w:pPr>
            <w:r>
              <w:rPr>
                <w:noProof/>
              </w:rPr>
              <w:t xml:space="preserve">Stājas spēkā Leģislatīvais dekrēts, ar ko paredz reorganizāciju hospitalizācijas un aprūpes zinātniskos </w:t>
            </w:r>
            <w:r>
              <w:rPr>
                <w:noProof/>
              </w:rPr>
              <w:t>institūtus (IRCSS)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3E6181D" w14:textId="77777777" w:rsidR="00C972CB" w:rsidRDefault="002457F6">
            <w:pPr>
              <w:pStyle w:val="P68B1DB1-Normal11"/>
              <w:jc w:val="center"/>
              <w:rPr>
                <w:rFonts w:eastAsiaTheme="minorEastAsia"/>
                <w:noProof/>
              </w:rPr>
            </w:pPr>
            <w:r>
              <w:rPr>
                <w:noProof/>
              </w:rPr>
              <w:t>Noteikums dekrētā par stāšanos spēkā</w:t>
            </w:r>
          </w:p>
        </w:tc>
        <w:tc>
          <w:tcPr>
            <w:tcW w:w="992" w:type="dxa"/>
            <w:tcBorders>
              <w:top w:val="nil"/>
              <w:left w:val="nil"/>
              <w:bottom w:val="single" w:sz="4" w:space="0" w:color="auto"/>
              <w:right w:val="single" w:sz="4" w:space="0" w:color="auto"/>
            </w:tcBorders>
            <w:shd w:val="clear" w:color="auto" w:fill="C6EFCE"/>
            <w:noWrap/>
            <w:vAlign w:val="center"/>
          </w:tcPr>
          <w:p w14:paraId="5D37F95C" w14:textId="77777777" w:rsidR="00C972CB" w:rsidRDefault="002457F6">
            <w:pPr>
              <w:pStyle w:val="P68B1DB1-Normal11"/>
              <w:jc w:val="center"/>
              <w:rPr>
                <w:rFonts w:eastAsiaTheme="minorEastAsia"/>
                <w:noProof/>
              </w:rPr>
            </w:pPr>
            <w:r>
              <w:rPr>
                <w:noProof/>
              </w:rPr>
              <w:t>NEPIEMĒRO</w:t>
            </w:r>
          </w:p>
        </w:tc>
        <w:tc>
          <w:tcPr>
            <w:tcW w:w="1134" w:type="dxa"/>
            <w:tcBorders>
              <w:top w:val="nil"/>
              <w:left w:val="nil"/>
              <w:bottom w:val="single" w:sz="4" w:space="0" w:color="auto"/>
              <w:right w:val="single" w:sz="4" w:space="0" w:color="auto"/>
            </w:tcBorders>
            <w:shd w:val="clear" w:color="auto" w:fill="C6EFCE"/>
            <w:noWrap/>
            <w:vAlign w:val="center"/>
          </w:tcPr>
          <w:p w14:paraId="47661CC2" w14:textId="77777777" w:rsidR="00C972CB" w:rsidRDefault="002457F6">
            <w:pPr>
              <w:pStyle w:val="P68B1DB1-Normal11"/>
              <w:jc w:val="center"/>
              <w:rPr>
                <w:rFonts w:eastAsiaTheme="minorEastAsia"/>
                <w:noProof/>
              </w:rPr>
            </w:pPr>
            <w:r>
              <w:rPr>
                <w:noProof/>
              </w:rPr>
              <w:t>NEPIEMĒRO</w:t>
            </w:r>
          </w:p>
        </w:tc>
        <w:tc>
          <w:tcPr>
            <w:tcW w:w="851" w:type="dxa"/>
            <w:tcBorders>
              <w:top w:val="nil"/>
              <w:left w:val="nil"/>
              <w:bottom w:val="single" w:sz="4" w:space="0" w:color="auto"/>
              <w:right w:val="single" w:sz="4" w:space="0" w:color="auto"/>
            </w:tcBorders>
            <w:shd w:val="clear" w:color="auto" w:fill="C6EFCE"/>
            <w:noWrap/>
            <w:vAlign w:val="center"/>
          </w:tcPr>
          <w:p w14:paraId="336A0C41" w14:textId="77777777" w:rsidR="00C972CB" w:rsidRDefault="002457F6">
            <w:pPr>
              <w:pStyle w:val="P68B1DB1-Normal11"/>
              <w:jc w:val="center"/>
              <w:rPr>
                <w:rFonts w:eastAsiaTheme="minorEastAsia"/>
                <w:noProof/>
              </w:rPr>
            </w:pPr>
            <w:r>
              <w:rPr>
                <w:noProof/>
              </w:rPr>
              <w:t>NEPIEMĒRO</w:t>
            </w:r>
          </w:p>
        </w:tc>
        <w:tc>
          <w:tcPr>
            <w:tcW w:w="850" w:type="dxa"/>
            <w:tcBorders>
              <w:top w:val="nil"/>
              <w:left w:val="nil"/>
              <w:bottom w:val="single" w:sz="4" w:space="0" w:color="auto"/>
              <w:right w:val="single" w:sz="4" w:space="0" w:color="auto"/>
            </w:tcBorders>
            <w:shd w:val="clear" w:color="auto" w:fill="C6EFCE"/>
            <w:noWrap/>
            <w:vAlign w:val="center"/>
          </w:tcPr>
          <w:p w14:paraId="0664E1EC" w14:textId="77777777" w:rsidR="00C972CB" w:rsidRDefault="002457F6">
            <w:pPr>
              <w:pStyle w:val="P68B1DB1-Normal11"/>
              <w:jc w:val="center"/>
              <w:rPr>
                <w:rFonts w:eastAsiaTheme="minorEastAsia"/>
                <w:noProof/>
              </w:rPr>
            </w:pPr>
            <w:r>
              <w:rPr>
                <w:noProof/>
              </w:rPr>
              <w:t>4. CET.</w:t>
            </w:r>
          </w:p>
        </w:tc>
        <w:tc>
          <w:tcPr>
            <w:tcW w:w="709" w:type="dxa"/>
            <w:tcBorders>
              <w:top w:val="nil"/>
              <w:left w:val="nil"/>
              <w:bottom w:val="single" w:sz="4" w:space="0" w:color="auto"/>
              <w:right w:val="single" w:sz="4" w:space="0" w:color="auto"/>
            </w:tcBorders>
            <w:shd w:val="clear" w:color="auto" w:fill="C6EFCE"/>
            <w:noWrap/>
            <w:vAlign w:val="center"/>
          </w:tcPr>
          <w:p w14:paraId="673BD913" w14:textId="77777777" w:rsidR="00C972CB" w:rsidRDefault="002457F6">
            <w:pPr>
              <w:pStyle w:val="P68B1DB1-Normal11"/>
              <w:jc w:val="center"/>
              <w:rPr>
                <w:rFonts w:eastAsiaTheme="minorEastAsia"/>
                <w:noProof/>
              </w:rPr>
            </w:pPr>
            <w:r>
              <w:rPr>
                <w:noProof/>
              </w:rPr>
              <w:t>2022</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7E038C89" w14:textId="77777777" w:rsidR="00C972CB" w:rsidRDefault="002457F6">
            <w:pPr>
              <w:pStyle w:val="P68B1DB1-Normal11"/>
              <w:rPr>
                <w:rFonts w:eastAsiaTheme="minorEastAsia"/>
                <w:noProof/>
              </w:rPr>
            </w:pPr>
            <w:r>
              <w:rPr>
                <w:noProof/>
              </w:rPr>
              <w:t>Reforma reorganizē IRCCS tīklu, lai uzlabotu NHS kvalitāti un izcilību, uzlabojot saikni starp veselību un pētniecību, pārskatot IRCCS tiesisko režīmu un pēt</w:t>
            </w:r>
            <w:r>
              <w:rPr>
                <w:noProof/>
              </w:rPr>
              <w:t>niecības politiku, kas ir Itālijas Veselības ministrijas kompetencē.</w:t>
            </w:r>
          </w:p>
          <w:p w14:paraId="69334D6B" w14:textId="77777777" w:rsidR="00C972CB" w:rsidRDefault="002457F6">
            <w:pPr>
              <w:pStyle w:val="P68B1DB1-Normal11"/>
              <w:rPr>
                <w:rFonts w:eastAsiaTheme="minorEastAsia"/>
                <w:noProof/>
              </w:rPr>
            </w:pPr>
            <w:r>
              <w:rPr>
                <w:noProof/>
              </w:rPr>
              <w:t>Reforma ietver pasākumus, lai: stiprināt saikni starp pētniecību, inovāciju un veselības aprūpi; uzlabot publisko IRCCS pārvaldību, uzlabojot stratēģisko pārvaldību un labāk definējot pil</w:t>
            </w:r>
            <w:r>
              <w:rPr>
                <w:noProof/>
              </w:rPr>
              <w:t>nvaras un kompetences jomas.</w:t>
            </w:r>
          </w:p>
        </w:tc>
      </w:tr>
      <w:tr w:rsidR="00C972CB" w14:paraId="2E60E86A" w14:textId="77777777">
        <w:trPr>
          <w:trHeight w:val="309"/>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2AFF1F08" w14:textId="77777777" w:rsidR="00C972CB" w:rsidRDefault="002457F6">
            <w:pPr>
              <w:pStyle w:val="P68B1DB1-Normal11"/>
              <w:jc w:val="center"/>
              <w:rPr>
                <w:rFonts w:eastAsiaTheme="minorEastAsia"/>
                <w:noProof/>
              </w:rPr>
            </w:pPr>
            <w:r>
              <w:rPr>
                <w:noProof/>
              </w:rPr>
              <w:t>M6C2–2</w:t>
            </w:r>
          </w:p>
        </w:tc>
        <w:tc>
          <w:tcPr>
            <w:tcW w:w="1985" w:type="dxa"/>
            <w:tcBorders>
              <w:top w:val="nil"/>
              <w:left w:val="nil"/>
              <w:bottom w:val="single" w:sz="4" w:space="0" w:color="auto"/>
              <w:right w:val="single" w:sz="4" w:space="0" w:color="auto"/>
            </w:tcBorders>
            <w:shd w:val="clear" w:color="auto" w:fill="C6EFCE"/>
            <w:noWrap/>
            <w:vAlign w:val="center"/>
            <w:hideMark/>
          </w:tcPr>
          <w:p w14:paraId="18563E5D" w14:textId="77777777" w:rsidR="00C972CB" w:rsidRDefault="002457F6">
            <w:pPr>
              <w:pStyle w:val="P68B1DB1-Normal11"/>
              <w:jc w:val="center"/>
              <w:rPr>
                <w:rFonts w:eastAsiaTheme="minorEastAsia"/>
                <w:noProof/>
              </w:rPr>
            </w:pPr>
            <w:r>
              <w:rPr>
                <w:noProof/>
              </w:rPr>
              <w:t>Ieguldījums 2.1.: NHS biomedicīniskās pētniecības stiprināšana un uzlabošana</w:t>
            </w:r>
          </w:p>
        </w:tc>
        <w:tc>
          <w:tcPr>
            <w:tcW w:w="1275" w:type="dxa"/>
            <w:tcBorders>
              <w:top w:val="nil"/>
              <w:left w:val="nil"/>
              <w:bottom w:val="single" w:sz="4" w:space="0" w:color="auto"/>
              <w:right w:val="single" w:sz="4" w:space="0" w:color="auto"/>
            </w:tcBorders>
            <w:shd w:val="clear" w:color="auto" w:fill="C6EFCE"/>
            <w:noWrap/>
            <w:vAlign w:val="center"/>
            <w:hideMark/>
          </w:tcPr>
          <w:p w14:paraId="3FA34210" w14:textId="77777777" w:rsidR="00C972CB" w:rsidRDefault="002457F6">
            <w:pPr>
              <w:pStyle w:val="P68B1DB1-Normal11"/>
              <w:jc w:val="center"/>
              <w:rPr>
                <w:rFonts w:eastAsiaTheme="minorEastAsia"/>
                <w:noProof/>
              </w:rPr>
            </w:pPr>
            <w:r>
              <w:rPr>
                <w:noProof/>
              </w:rPr>
              <w:t>Mērķa</w:t>
            </w:r>
          </w:p>
        </w:tc>
        <w:tc>
          <w:tcPr>
            <w:tcW w:w="1843" w:type="dxa"/>
            <w:tcBorders>
              <w:top w:val="nil"/>
              <w:left w:val="nil"/>
              <w:bottom w:val="single" w:sz="4" w:space="0" w:color="auto"/>
              <w:right w:val="single" w:sz="4" w:space="0" w:color="auto"/>
            </w:tcBorders>
            <w:shd w:val="clear" w:color="auto" w:fill="C6EFCE"/>
            <w:noWrap/>
            <w:vAlign w:val="center"/>
            <w:hideMark/>
          </w:tcPr>
          <w:p w14:paraId="752A3634" w14:textId="77777777" w:rsidR="00C972CB" w:rsidRDefault="002457F6">
            <w:pPr>
              <w:pStyle w:val="P68B1DB1-Normal11"/>
              <w:jc w:val="center"/>
              <w:rPr>
                <w:rFonts w:eastAsiaTheme="minorEastAsia"/>
                <w:noProof/>
              </w:rPr>
            </w:pPr>
            <w:r>
              <w:rPr>
                <w:noProof/>
              </w:rPr>
              <w:t>Finansētie pētniecības projekti retu vēža veidu un slimību jomā</w:t>
            </w:r>
          </w:p>
        </w:tc>
        <w:tc>
          <w:tcPr>
            <w:tcW w:w="1701" w:type="dxa"/>
            <w:tcBorders>
              <w:top w:val="nil"/>
              <w:left w:val="nil"/>
              <w:bottom w:val="single" w:sz="4" w:space="0" w:color="auto"/>
              <w:right w:val="single" w:sz="4" w:space="0" w:color="auto"/>
            </w:tcBorders>
            <w:shd w:val="clear" w:color="auto" w:fill="C6EFCE"/>
            <w:noWrap/>
            <w:vAlign w:val="center"/>
          </w:tcPr>
          <w:p w14:paraId="6F6E5349" w14:textId="77777777" w:rsidR="00C972CB" w:rsidRDefault="002457F6">
            <w:pPr>
              <w:pStyle w:val="P68B1DB1-Normal11"/>
              <w:jc w:val="center"/>
              <w:rPr>
                <w:rFonts w:eastAsiaTheme="minorEastAsia"/>
                <w:noProof/>
              </w:rPr>
            </w:pPr>
            <w:r>
              <w:rPr>
                <w:noProof/>
              </w:rPr>
              <w:t>NEPIEMĒRO</w:t>
            </w:r>
          </w:p>
        </w:tc>
        <w:tc>
          <w:tcPr>
            <w:tcW w:w="992" w:type="dxa"/>
            <w:tcBorders>
              <w:top w:val="nil"/>
              <w:left w:val="nil"/>
              <w:bottom w:val="single" w:sz="4" w:space="0" w:color="auto"/>
              <w:right w:val="single" w:sz="4" w:space="0" w:color="auto"/>
            </w:tcBorders>
            <w:shd w:val="clear" w:color="auto" w:fill="C6EFCE"/>
            <w:noWrap/>
            <w:vAlign w:val="center"/>
            <w:hideMark/>
          </w:tcPr>
          <w:p w14:paraId="767E1505" w14:textId="77777777" w:rsidR="00C972CB" w:rsidRDefault="002457F6">
            <w:pPr>
              <w:pStyle w:val="P68B1DB1-Normal11"/>
              <w:jc w:val="center"/>
              <w:rPr>
                <w:rFonts w:eastAsiaTheme="minorEastAsia"/>
                <w:noProof/>
              </w:rPr>
            </w:pPr>
            <w:r>
              <w:rPr>
                <w:noProof/>
              </w:rPr>
              <w:t>Skaits</w:t>
            </w:r>
          </w:p>
        </w:tc>
        <w:tc>
          <w:tcPr>
            <w:tcW w:w="1134" w:type="dxa"/>
            <w:tcBorders>
              <w:top w:val="nil"/>
              <w:left w:val="nil"/>
              <w:bottom w:val="single" w:sz="4" w:space="0" w:color="auto"/>
              <w:right w:val="single" w:sz="4" w:space="0" w:color="auto"/>
            </w:tcBorders>
            <w:shd w:val="clear" w:color="auto" w:fill="C6EFCE"/>
            <w:noWrap/>
            <w:vAlign w:val="center"/>
            <w:hideMark/>
          </w:tcPr>
          <w:p w14:paraId="5DF96A9C" w14:textId="77777777" w:rsidR="00C972CB" w:rsidRDefault="002457F6">
            <w:pPr>
              <w:pStyle w:val="P68B1DB1-Normal11"/>
              <w:jc w:val="center"/>
              <w:rPr>
                <w:rFonts w:eastAsiaTheme="minorEastAsia"/>
                <w:noProof/>
              </w:rPr>
            </w:pPr>
            <w:r>
              <w:rPr>
                <w:noProof/>
              </w:rPr>
              <w:t>0</w:t>
            </w:r>
          </w:p>
        </w:tc>
        <w:tc>
          <w:tcPr>
            <w:tcW w:w="851" w:type="dxa"/>
            <w:tcBorders>
              <w:top w:val="nil"/>
              <w:left w:val="nil"/>
              <w:bottom w:val="single" w:sz="4" w:space="0" w:color="auto"/>
              <w:right w:val="single" w:sz="4" w:space="0" w:color="auto"/>
            </w:tcBorders>
            <w:shd w:val="clear" w:color="auto" w:fill="C6EFCE"/>
            <w:noWrap/>
            <w:vAlign w:val="center"/>
            <w:hideMark/>
          </w:tcPr>
          <w:p w14:paraId="447BBE02" w14:textId="77777777" w:rsidR="00C972CB" w:rsidRDefault="002457F6">
            <w:pPr>
              <w:pStyle w:val="P68B1DB1-Normal11"/>
              <w:jc w:val="center"/>
              <w:rPr>
                <w:rFonts w:eastAsiaTheme="minorEastAsia"/>
                <w:noProof/>
              </w:rPr>
            </w:pPr>
            <w:r>
              <w:rPr>
                <w:noProof/>
              </w:rPr>
              <w:t>100</w:t>
            </w:r>
          </w:p>
        </w:tc>
        <w:tc>
          <w:tcPr>
            <w:tcW w:w="850" w:type="dxa"/>
            <w:tcBorders>
              <w:top w:val="nil"/>
              <w:left w:val="nil"/>
              <w:bottom w:val="single" w:sz="4" w:space="0" w:color="auto"/>
              <w:right w:val="single" w:sz="4" w:space="0" w:color="auto"/>
            </w:tcBorders>
            <w:shd w:val="clear" w:color="auto" w:fill="C6EFCE"/>
            <w:noWrap/>
            <w:vAlign w:val="center"/>
            <w:hideMark/>
          </w:tcPr>
          <w:p w14:paraId="5A353CAD" w14:textId="77777777" w:rsidR="00C972CB" w:rsidRDefault="002457F6">
            <w:pPr>
              <w:pStyle w:val="P68B1DB1-Normal11"/>
              <w:jc w:val="center"/>
              <w:rPr>
                <w:rFonts w:eastAsiaTheme="minorEastAsia"/>
                <w:noProof/>
              </w:rPr>
            </w:pPr>
            <w:r>
              <w:rPr>
                <w:noProof/>
              </w:rPr>
              <w:t>4. CET.</w:t>
            </w:r>
          </w:p>
        </w:tc>
        <w:tc>
          <w:tcPr>
            <w:tcW w:w="709" w:type="dxa"/>
            <w:tcBorders>
              <w:top w:val="nil"/>
              <w:left w:val="nil"/>
              <w:bottom w:val="single" w:sz="4" w:space="0" w:color="auto"/>
              <w:right w:val="single" w:sz="4" w:space="0" w:color="auto"/>
            </w:tcBorders>
            <w:shd w:val="clear" w:color="auto" w:fill="C6EFCE"/>
            <w:noWrap/>
            <w:vAlign w:val="center"/>
            <w:hideMark/>
          </w:tcPr>
          <w:p w14:paraId="47658C8B" w14:textId="77777777" w:rsidR="00C972CB" w:rsidRDefault="002457F6">
            <w:pPr>
              <w:pStyle w:val="P68B1DB1-Normal11"/>
              <w:jc w:val="center"/>
              <w:rPr>
                <w:rFonts w:eastAsiaTheme="minorEastAsia"/>
                <w:noProof/>
              </w:rPr>
            </w:pPr>
            <w:r>
              <w:rPr>
                <w:noProof/>
              </w:rPr>
              <w:t>2025</w:t>
            </w:r>
          </w:p>
        </w:tc>
        <w:tc>
          <w:tcPr>
            <w:tcW w:w="2891" w:type="dxa"/>
            <w:tcBorders>
              <w:top w:val="nil"/>
              <w:left w:val="nil"/>
              <w:bottom w:val="single" w:sz="4" w:space="0" w:color="auto"/>
              <w:right w:val="single" w:sz="4" w:space="0" w:color="auto"/>
            </w:tcBorders>
            <w:shd w:val="clear" w:color="auto" w:fill="C6EFCE"/>
            <w:noWrap/>
            <w:vAlign w:val="center"/>
            <w:hideMark/>
          </w:tcPr>
          <w:p w14:paraId="1DCD8637" w14:textId="77777777" w:rsidR="00C972CB" w:rsidRDefault="002457F6">
            <w:pPr>
              <w:pStyle w:val="P68B1DB1-Normal10"/>
              <w:rPr>
                <w:rFonts w:eastAsiaTheme="minorEastAsia"/>
                <w:noProof/>
                <w:color w:val="006100"/>
                <w:sz w:val="20"/>
              </w:rPr>
            </w:pPr>
            <w:r>
              <w:rPr>
                <w:noProof/>
                <w:color w:val="006100"/>
                <w:sz w:val="20"/>
              </w:rPr>
              <w:t xml:space="preserve">Finansējuma piešķiršana pētniecības </w:t>
            </w:r>
            <w:r>
              <w:rPr>
                <w:noProof/>
                <w:color w:val="006100"/>
                <w:sz w:val="20"/>
              </w:rPr>
              <w:t>programmām/projektiem reto slimību un reto vēža veidu jomā. Šīm patoloģijām, kurām ir liela biomedicīniskā sarežģītība un bieži vien vairāku orgānu izpausme, ir vajadzīga augsta klīniskā kompetence un progresīvas diagnostikas un pētniecības darbības, un tā</w:t>
            </w:r>
            <w:r>
              <w:rPr>
                <w:noProof/>
                <w:color w:val="006100"/>
                <w:sz w:val="20"/>
              </w:rPr>
              <w:t>m ir vajadzīgas izcilības tehnoloģijas un sadarbības tīklu koordinācija valstu un Eiropas līmenī.</w:t>
            </w:r>
            <w:r>
              <w:rPr>
                <w:noProof/>
              </w:rPr>
              <w:t xml:space="preserve"> </w:t>
            </w:r>
            <w:r>
              <w:rPr>
                <w:noProof/>
              </w:rPr>
              <w:br/>
            </w:r>
            <w:r>
              <w:rPr>
                <w:noProof/>
                <w:color w:val="006100"/>
                <w:sz w:val="20"/>
              </w:rPr>
              <w:t>Finansējumu pētniecības projektiem reto slimību un reto vēža veidu jomā piešķir publiskā iepirkuma procedūrā.</w:t>
            </w:r>
          </w:p>
          <w:p w14:paraId="70A2BE06" w14:textId="77777777" w:rsidR="00C972CB" w:rsidRDefault="002457F6">
            <w:pPr>
              <w:pStyle w:val="P68B1DB1-Normal11"/>
              <w:rPr>
                <w:rFonts w:eastAsiaTheme="minorEastAsia"/>
                <w:noProof/>
              </w:rPr>
            </w:pPr>
            <w:r>
              <w:rPr>
                <w:noProof/>
              </w:rPr>
              <w:t>Vismaz 100 pētniecības projekti ir saņēmuši pir</w:t>
            </w:r>
            <w:r>
              <w:rPr>
                <w:noProof/>
              </w:rPr>
              <w:t>mo finansējuma daļu.</w:t>
            </w:r>
          </w:p>
        </w:tc>
      </w:tr>
      <w:tr w:rsidR="00C972CB" w14:paraId="5AB7D6F8"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0E447" w14:textId="77777777" w:rsidR="00C972CB" w:rsidRDefault="002457F6">
            <w:pPr>
              <w:pStyle w:val="P68B1DB1-Normal11"/>
              <w:jc w:val="center"/>
              <w:rPr>
                <w:rFonts w:eastAsiaTheme="minorEastAsia"/>
                <w:noProof/>
              </w:rPr>
            </w:pPr>
            <w:r>
              <w:rPr>
                <w:noProof/>
              </w:rPr>
              <w:t>M6C2–3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102535B" w14:textId="77777777" w:rsidR="00C972CB" w:rsidRDefault="002457F6">
            <w:pPr>
              <w:pStyle w:val="P68B1DB1-Normal11"/>
              <w:jc w:val="center"/>
              <w:rPr>
                <w:rFonts w:eastAsiaTheme="minorEastAsia"/>
                <w:noProof/>
              </w:rPr>
            </w:pPr>
            <w:r>
              <w:rPr>
                <w:noProof/>
              </w:rPr>
              <w:t>Ieguldījums 2.1.: NHS biomedicīniskās pētniecības stiprināšana un uzlabošana</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1144A28D" w14:textId="77777777" w:rsidR="00C972CB" w:rsidRDefault="002457F6">
            <w:pPr>
              <w:pStyle w:val="P68B1DB1-Normal11"/>
              <w:jc w:val="center"/>
              <w:rPr>
                <w:rFonts w:eastAsiaTheme="minorEastAsia"/>
                <w:noProof/>
              </w:rPr>
            </w:pPr>
            <w:r>
              <w:rPr>
                <w:noProof/>
              </w:rPr>
              <w:t>Mērķa</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11CC28F" w14:textId="77777777" w:rsidR="00C972CB" w:rsidRDefault="002457F6">
            <w:pPr>
              <w:pStyle w:val="P68B1DB1-Normal11"/>
              <w:jc w:val="center"/>
              <w:rPr>
                <w:rFonts w:eastAsiaTheme="minorEastAsia"/>
                <w:noProof/>
              </w:rPr>
            </w:pPr>
            <w:r>
              <w:rPr>
                <w:noProof/>
              </w:rPr>
              <w:t>Finansēti pētniecības projekti par slimībām, kurām ir liela ietekme uz veselību</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760986E" w14:textId="77777777" w:rsidR="00C972CB" w:rsidRDefault="002457F6">
            <w:pPr>
              <w:pStyle w:val="P68B1DB1-Normal11"/>
              <w:jc w:val="center"/>
              <w:rPr>
                <w:rFonts w:eastAsiaTheme="minorEastAsia"/>
                <w:noProof/>
              </w:rPr>
            </w:pPr>
            <w:r>
              <w:rPr>
                <w:noProof/>
              </w:rPr>
              <w:t>NEPIEMĒRO</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C47B71" w14:textId="77777777" w:rsidR="00C972CB" w:rsidRDefault="002457F6">
            <w:pPr>
              <w:pStyle w:val="P68B1DB1-Normal11"/>
              <w:jc w:val="center"/>
              <w:rPr>
                <w:rFonts w:eastAsiaTheme="minorEastAsia"/>
                <w:noProof/>
              </w:rPr>
            </w:pPr>
            <w:r>
              <w:rPr>
                <w:noProof/>
              </w:rPr>
              <w:t>Skaits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FC082D4" w14:textId="77777777" w:rsidR="00C972CB" w:rsidRDefault="002457F6">
            <w:pPr>
              <w:pStyle w:val="P68B1DB1-Normal11"/>
              <w:jc w:val="center"/>
              <w:rPr>
                <w:rFonts w:eastAsiaTheme="minorEastAsia"/>
                <w:noProof/>
              </w:rPr>
            </w:pPr>
            <w:r>
              <w:rPr>
                <w:noProof/>
              </w:rPr>
              <w:t>0</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7767E4B1" w14:textId="77777777" w:rsidR="00C972CB" w:rsidRDefault="002457F6">
            <w:pPr>
              <w:pStyle w:val="P68B1DB1-Normal11"/>
              <w:jc w:val="center"/>
              <w:rPr>
                <w:rFonts w:eastAsiaTheme="minorEastAsia"/>
                <w:noProof/>
              </w:rPr>
            </w:pPr>
            <w:r>
              <w:rPr>
                <w:noProof/>
              </w:rPr>
              <w:t>324</w:t>
            </w:r>
          </w:p>
        </w:tc>
        <w:tc>
          <w:tcPr>
            <w:tcW w:w="850" w:type="dxa"/>
            <w:tcBorders>
              <w:top w:val="single" w:sz="4" w:space="0" w:color="auto"/>
              <w:left w:val="nil"/>
              <w:bottom w:val="single" w:sz="4" w:space="0" w:color="auto"/>
              <w:right w:val="single" w:sz="4" w:space="0" w:color="auto"/>
            </w:tcBorders>
            <w:shd w:val="clear" w:color="auto" w:fill="C6EFCE"/>
            <w:noWrap/>
            <w:vAlign w:val="center"/>
          </w:tcPr>
          <w:p w14:paraId="67BD46CB" w14:textId="77777777" w:rsidR="00C972CB" w:rsidRDefault="002457F6">
            <w:pPr>
              <w:pStyle w:val="P68B1DB1-Normal11"/>
              <w:jc w:val="center"/>
              <w:rPr>
                <w:rFonts w:eastAsiaTheme="minorEastAsia"/>
                <w:noProof/>
              </w:rPr>
            </w:pPr>
            <w:r>
              <w:rPr>
                <w:noProof/>
              </w:rPr>
              <w:t>4. CET.</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6351DA8C" w14:textId="77777777" w:rsidR="00C972CB" w:rsidRDefault="002457F6">
            <w:pPr>
              <w:pStyle w:val="P68B1DB1-Normal11"/>
              <w:jc w:val="center"/>
              <w:rPr>
                <w:rFonts w:eastAsiaTheme="minorEastAsia"/>
                <w:noProof/>
              </w:rPr>
            </w:pPr>
            <w:r>
              <w:rPr>
                <w:noProof/>
              </w:rPr>
              <w:t>2025</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563A0FEA" w14:textId="77777777" w:rsidR="00C972CB" w:rsidRDefault="002457F6">
            <w:pPr>
              <w:pStyle w:val="P68B1DB1-Normal10"/>
              <w:rPr>
                <w:rFonts w:eastAsiaTheme="minorEastAsia"/>
                <w:noProof/>
                <w:color w:val="006100"/>
                <w:sz w:val="20"/>
              </w:rPr>
            </w:pPr>
            <w:r>
              <w:rPr>
                <w:noProof/>
                <w:color w:val="006100"/>
                <w:sz w:val="20"/>
              </w:rPr>
              <w:t xml:space="preserve">Finansējuma piešķiršana </w:t>
            </w:r>
            <w:r>
              <w:rPr>
                <w:noProof/>
                <w:color w:val="006100"/>
                <w:sz w:val="20"/>
              </w:rPr>
              <w:t>pētniecības programmām/projektiem tādu slimību jomā, kurām ir liela ietekme uz veselību.</w:t>
            </w:r>
            <w:r>
              <w:rPr>
                <w:noProof/>
              </w:rPr>
              <w:t xml:space="preserve"> </w:t>
            </w:r>
            <w:r>
              <w:rPr>
                <w:noProof/>
              </w:rPr>
              <w:br/>
            </w:r>
            <w:r>
              <w:rPr>
                <w:noProof/>
                <w:color w:val="006100"/>
                <w:sz w:val="20"/>
              </w:rPr>
              <w:t>Finansējumu pētniecības projektiem, kas saistīti ar slimībām, kurām ir liela ietekme uz veselību, piešķir publiskā iepirkuma procedūrā.</w:t>
            </w:r>
          </w:p>
          <w:p w14:paraId="0C8162CC" w14:textId="77777777" w:rsidR="00C972CB" w:rsidRDefault="002457F6">
            <w:pPr>
              <w:pStyle w:val="P68B1DB1-Normal11"/>
              <w:rPr>
                <w:rFonts w:eastAsiaTheme="minorEastAsia"/>
                <w:noProof/>
              </w:rPr>
            </w:pPr>
            <w:r>
              <w:rPr>
                <w:noProof/>
              </w:rPr>
              <w:t>Vismaz 324 pētniecības projekt</w:t>
            </w:r>
            <w:r>
              <w:rPr>
                <w:noProof/>
              </w:rPr>
              <w:t>i ir saņēmuši pirmo finansējuma daļu.</w:t>
            </w:r>
          </w:p>
        </w:tc>
      </w:tr>
    </w:tbl>
    <w:p w14:paraId="59BEBE09" w14:textId="77777777" w:rsidR="00C972CB" w:rsidRDefault="00C972CB">
      <w:pPr>
        <w:spacing w:before="120" w:after="120"/>
        <w:ind w:left="709"/>
        <w:jc w:val="both"/>
        <w:rPr>
          <w:noProof/>
        </w:rPr>
      </w:pPr>
    </w:p>
    <w:p w14:paraId="058D463A" w14:textId="77777777" w:rsidR="00C972CB" w:rsidRDefault="00C972CB">
      <w:pPr>
        <w:spacing w:before="120" w:after="120"/>
        <w:ind w:left="709"/>
        <w:jc w:val="both"/>
        <w:rPr>
          <w:noProof/>
        </w:rPr>
        <w:sectPr w:rsidR="00C972CB" w:rsidSect="000D3774">
          <w:headerReference w:type="even" r:id="rId368"/>
          <w:headerReference w:type="default" r:id="rId369"/>
          <w:footerReference w:type="even" r:id="rId370"/>
          <w:footerReference w:type="default" r:id="rId371"/>
          <w:headerReference w:type="first" r:id="rId372"/>
          <w:footerReference w:type="first" r:id="rId373"/>
          <w:pgSz w:w="16839" w:h="11907" w:orient="landscape"/>
          <w:pgMar w:top="720" w:right="720" w:bottom="720" w:left="720" w:header="709" w:footer="709" w:gutter="0"/>
          <w:cols w:space="720"/>
          <w:docGrid w:linePitch="360"/>
        </w:sectPr>
      </w:pPr>
    </w:p>
    <w:p w14:paraId="7EE672B9" w14:textId="77777777" w:rsidR="00C972CB" w:rsidRDefault="002457F6">
      <w:pPr>
        <w:pStyle w:val="Heading3"/>
        <w:numPr>
          <w:ilvl w:val="0"/>
          <w:numId w:val="0"/>
        </w:numPr>
        <w:ind w:left="850" w:hanging="850"/>
        <w:rPr>
          <w:b/>
          <w:i w:val="0"/>
          <w:noProof/>
          <w:color w:val="4F81BD" w:themeColor="accent1"/>
          <w:u w:val="single"/>
        </w:rPr>
      </w:pPr>
      <w:r>
        <w:rPr>
          <w:b/>
          <w:i w:val="0"/>
          <w:noProof/>
          <w:u w:val="single"/>
        </w:rPr>
        <w:t xml:space="preserve">P.3. </w:t>
      </w:r>
      <w:r>
        <w:rPr>
          <w:noProof/>
        </w:rPr>
        <w:tab/>
      </w:r>
      <w:r>
        <w:rPr>
          <w:b/>
          <w:i w:val="0"/>
          <w:noProof/>
          <w:u w:val="single"/>
        </w:rPr>
        <w:t xml:space="preserve">Aizdevumam pieteikto reformu un investīciju apraksts </w:t>
      </w:r>
    </w:p>
    <w:p w14:paraId="540D6C35" w14:textId="18702C83" w:rsidR="00C972CB" w:rsidRDefault="002457F6">
      <w:pPr>
        <w:pStyle w:val="P68B1DB1-Normal2"/>
        <w:spacing w:before="120" w:after="120"/>
        <w:jc w:val="both"/>
        <w:rPr>
          <w:noProof/>
        </w:rPr>
      </w:pPr>
      <w:r>
        <w:rPr>
          <w:noProof/>
        </w:rPr>
        <w:t>Ieguldījums 1.1: Slimnīcu tehnoloģiskā aprīkojuma digitālā atjaunināšana</w:t>
      </w:r>
    </w:p>
    <w:p w14:paraId="21FD006D" w14:textId="77777777" w:rsidR="00C972CB" w:rsidRDefault="002457F6">
      <w:pPr>
        <w:spacing w:before="120" w:after="120" w:line="259" w:lineRule="auto"/>
        <w:jc w:val="both"/>
        <w:rPr>
          <w:noProof/>
        </w:rPr>
      </w:pPr>
      <w:r>
        <w:rPr>
          <w:noProof/>
        </w:rPr>
        <w:t xml:space="preserve">Šīs investīcijas </w:t>
      </w:r>
      <w:r>
        <w:rPr>
          <w:noProof/>
        </w:rPr>
        <w:t>ietver veselības aprūpes digitalizācijas uzlabošanu, lai uzlabotu darbinieku produktivitāti, uzlabotu procesu kvalitāti, nodrošinātu pacientu drošību un kvalitatīvu pakalpojumu sniegšanu. Ieguldījumam ir trīs intervences virzieni:</w:t>
      </w:r>
    </w:p>
    <w:p w14:paraId="020620E8" w14:textId="7DE5A2EE" w:rsidR="00C972CB" w:rsidRDefault="002457F6">
      <w:pPr>
        <w:numPr>
          <w:ilvl w:val="0"/>
          <w:numId w:val="45"/>
        </w:numPr>
        <w:spacing w:before="120" w:after="120" w:line="259" w:lineRule="auto"/>
        <w:ind w:left="360"/>
        <w:contextualSpacing/>
        <w:jc w:val="both"/>
        <w:rPr>
          <w:noProof/>
        </w:rPr>
      </w:pPr>
      <w:r>
        <w:rPr>
          <w:noProof/>
        </w:rPr>
        <w:t>Liela veselības aprūpes a</w:t>
      </w:r>
      <w:r>
        <w:rPr>
          <w:noProof/>
        </w:rPr>
        <w:t>prīkojuma modernizācija, aizstājot novecojušus modeļus ar tehnoloģiski attīstītiem modeļiem. Aizstātās iekārtas tiks likvidētas vai pārdalītas citām Valsts veselības dienesta vietnēm.</w:t>
      </w:r>
    </w:p>
    <w:p w14:paraId="40290673" w14:textId="2D7AA31E" w:rsidR="00C972CB" w:rsidRDefault="002457F6">
      <w:pPr>
        <w:numPr>
          <w:ilvl w:val="0"/>
          <w:numId w:val="45"/>
        </w:numPr>
        <w:spacing w:before="120" w:after="120" w:line="259" w:lineRule="auto"/>
        <w:ind w:left="360"/>
        <w:contextualSpacing/>
        <w:jc w:val="both"/>
        <w:rPr>
          <w:noProof/>
        </w:rPr>
      </w:pPr>
      <w:r>
        <w:rPr>
          <w:noProof/>
        </w:rPr>
        <w:t>Slimnīcu procesu informatizācija ar pirmā un otrā līmeņa neatliekamās pa</w:t>
      </w:r>
      <w:r>
        <w:rPr>
          <w:noProof/>
        </w:rPr>
        <w:t>līdzības nodaļu (“Dipartimenti Emergenza e accettazione”, DEA).</w:t>
      </w:r>
    </w:p>
    <w:p w14:paraId="0ED6F875" w14:textId="49774FD3" w:rsidR="00C972CB" w:rsidRDefault="002457F6">
      <w:pPr>
        <w:numPr>
          <w:ilvl w:val="0"/>
          <w:numId w:val="45"/>
        </w:numPr>
        <w:spacing w:before="120" w:after="120" w:line="259" w:lineRule="auto"/>
        <w:ind w:left="360"/>
        <w:contextualSpacing/>
        <w:jc w:val="both"/>
        <w:rPr>
          <w:noProof/>
        </w:rPr>
      </w:pPr>
      <w:r>
        <w:rPr>
          <w:noProof/>
        </w:rPr>
        <w:t>Gultasvietu skaita pieaugums intensīvās un daļēji intensīvās aprūpes nodaļās Valsts veselības dienesta slimnīcās.</w:t>
      </w:r>
    </w:p>
    <w:p w14:paraId="68065BD9" w14:textId="77777777" w:rsidR="00C972CB" w:rsidRDefault="002457F6">
      <w:pPr>
        <w:pStyle w:val="P68B1DB1-Normal2"/>
        <w:spacing w:before="120" w:after="120"/>
        <w:jc w:val="both"/>
        <w:rPr>
          <w:noProof/>
        </w:rPr>
      </w:pPr>
      <w:r>
        <w:rPr>
          <w:noProof/>
        </w:rPr>
        <w:t>Ieguldījums 1.2: Ceļā uz drošu un ilgtspējīgu slimnīcu</w:t>
      </w:r>
    </w:p>
    <w:p w14:paraId="56FE73C7" w14:textId="77777777" w:rsidR="00C972CB" w:rsidRDefault="002457F6">
      <w:pPr>
        <w:spacing w:before="120" w:after="120" w:line="259" w:lineRule="auto"/>
        <w:jc w:val="both"/>
        <w:rPr>
          <w:noProof/>
        </w:rPr>
      </w:pPr>
      <w:r>
        <w:rPr>
          <w:noProof/>
        </w:rPr>
        <w:t xml:space="preserve">Šis ieguldījums ietver </w:t>
      </w:r>
      <w:r>
        <w:rPr>
          <w:noProof/>
        </w:rPr>
        <w:t>slimnīcu saskaņošanu ar antiseismiskajiem noteikumiem. Šim nolūkam ir paredzēti divi dažādi ieguldījumu virzieni:</w:t>
      </w:r>
    </w:p>
    <w:p w14:paraId="7AAC76A6" w14:textId="77777777" w:rsidR="00C972CB" w:rsidRDefault="002457F6">
      <w:pPr>
        <w:pStyle w:val="ListParagraph"/>
        <w:numPr>
          <w:ilvl w:val="0"/>
          <w:numId w:val="47"/>
        </w:numPr>
        <w:spacing w:line="259" w:lineRule="auto"/>
        <w:ind w:left="360"/>
        <w:rPr>
          <w:noProof/>
        </w:rPr>
      </w:pPr>
      <w:r>
        <w:rPr>
          <w:noProof/>
        </w:rPr>
        <w:t>Slimnīcu iekārtu seismiskā modernizācija un uzlabošana, kas identificēta reģionu vajadzību apsekojumā.</w:t>
      </w:r>
    </w:p>
    <w:p w14:paraId="47867D81" w14:textId="5BFBCFC5" w:rsidR="00C972CB" w:rsidRDefault="002457F6">
      <w:pPr>
        <w:pStyle w:val="ListParagraph"/>
        <w:numPr>
          <w:ilvl w:val="0"/>
          <w:numId w:val="47"/>
        </w:numPr>
        <w:spacing w:line="259" w:lineRule="auto"/>
        <w:ind w:left="360"/>
        <w:rPr>
          <w:noProof/>
        </w:rPr>
      </w:pPr>
      <w:r>
        <w:rPr>
          <w:noProof/>
        </w:rPr>
        <w:t>Daudzgadu intervence, kuras mērķis bija</w:t>
      </w:r>
      <w:r>
        <w:rPr>
          <w:noProof/>
        </w:rPr>
        <w:t xml:space="preserve"> atjaunot un modernizēt sabiedrības veselības nekustamā īpašuma fizisko un tehnoloģisko satvaru.</w:t>
      </w:r>
    </w:p>
    <w:p w14:paraId="0D89A4AB" w14:textId="22685078" w:rsidR="00C972CB" w:rsidRDefault="002457F6">
      <w:pPr>
        <w:pStyle w:val="P68B1DB1-Normal2"/>
        <w:spacing w:before="120" w:after="120"/>
        <w:jc w:val="both"/>
        <w:rPr>
          <w:noProof/>
        </w:rPr>
      </w:pPr>
      <w:r>
        <w:rPr>
          <w:noProof/>
        </w:rPr>
        <w:t>Ieguldījums 1.3. Tehnoloģiskās infrastruktūras un datu vākšanas, datu apstrādes, datu analīzes un simulācijas rīku stiprināšana</w:t>
      </w:r>
    </w:p>
    <w:p w14:paraId="747EEFB0" w14:textId="77777777" w:rsidR="00C972CB" w:rsidRDefault="002457F6">
      <w:pPr>
        <w:spacing w:before="120" w:after="120" w:line="259" w:lineRule="auto"/>
        <w:jc w:val="both"/>
        <w:rPr>
          <w:noProof/>
        </w:rPr>
      </w:pPr>
      <w:r>
        <w:rPr>
          <w:noProof/>
        </w:rPr>
        <w:t xml:space="preserve">Šis ieguldījums paredz būtiski </w:t>
      </w:r>
      <w:r>
        <w:rPr>
          <w:noProof/>
        </w:rPr>
        <w:t>uzlabot tehnoloģisko infrastruktūru, kas ir pamatā Itālijas NHS aprūpes sniegšanai, veselības aprūpes analīzei un prognozēšanas spējai. Ieguldījumu veido divi dažādi projekti:</w:t>
      </w:r>
    </w:p>
    <w:p w14:paraId="44BE1C49" w14:textId="77777777" w:rsidR="00C972CB" w:rsidRDefault="002457F6">
      <w:pPr>
        <w:numPr>
          <w:ilvl w:val="0"/>
          <w:numId w:val="46"/>
        </w:numPr>
        <w:spacing w:before="120" w:after="120" w:line="259" w:lineRule="auto"/>
        <w:ind w:left="360"/>
        <w:contextualSpacing/>
        <w:jc w:val="both"/>
        <w:rPr>
          <w:noProof/>
          <w:u w:val="single"/>
        </w:rPr>
      </w:pPr>
      <w:r>
        <w:rPr>
          <w:noProof/>
        </w:rPr>
        <w:t xml:space="preserve">Uzlabot esošo elektronisko veselības karšu (EVK) infrastruktūru un izmantošanu. </w:t>
      </w:r>
      <w:r>
        <w:rPr>
          <w:noProof/>
        </w:rPr>
        <w:t>To panāk, padarot to par pilnībā digitālu vietējo datu vidi, kas tādējādi ir viendabīga, konsekventa un pārnesama visā valsts teritorijā. EVK veic trīs pamatfunkcijas: pirmkārt, tā dod iespējas veselības aprūpes speciālistiem, ļaujot viņiem paļauties uz vi</w:t>
      </w:r>
      <w:r>
        <w:rPr>
          <w:noProof/>
        </w:rPr>
        <w:t>enu un to pašu klīniskās informācijas avotu, kurā sīki izklāstīta visa pacienta slimības vēsture; otrkārt, tā kļūst par iedzīvotāju un pacientu piekļuves punktu valsts un reģionālo veselības aprūpes sistēmu sniegtajiem pamatpakalpojumiem; treškārt, veselīb</w:t>
      </w:r>
      <w:r>
        <w:rPr>
          <w:noProof/>
        </w:rPr>
        <w:t>as aprūpes administrācijas ir pilnvarotas izmantot klīniskos datus, lai veiktu veselības analīzi un uzlabotu veselības aprūpes sniegšanu.</w:t>
      </w:r>
    </w:p>
    <w:p w14:paraId="0B25A13F" w14:textId="55203770" w:rsidR="00C972CB" w:rsidRDefault="002457F6">
      <w:pPr>
        <w:numPr>
          <w:ilvl w:val="0"/>
          <w:numId w:val="46"/>
        </w:numPr>
        <w:spacing w:before="120" w:after="120"/>
        <w:ind w:left="360"/>
        <w:contextualSpacing/>
        <w:jc w:val="both"/>
        <w:rPr>
          <w:noProof/>
          <w:u w:val="single"/>
        </w:rPr>
      </w:pPr>
      <w:r>
        <w:rPr>
          <w:noProof/>
        </w:rPr>
        <w:t>Stiprināt Veselības ministrijas infrastruktūru un tehnoloģiskos un analītikas instrumentus, lai uzraudzītu būtiskos pa</w:t>
      </w:r>
      <w:r>
        <w:rPr>
          <w:noProof/>
        </w:rPr>
        <w:t>līdzības līmeņus (LEA, t. i., NHS valsts garantētos pakalpojumus) un plānot veselības aprūpes palīdzību un pakalpojumus atbilstoši iedzīvotāju vajadzībām un demogrāfisko, inovācijas un epidemioloģijas tendenču attīstībai. Šis Itālijas Veselības ministrijas</w:t>
      </w:r>
      <w:r>
        <w:rPr>
          <w:noProof/>
        </w:rPr>
        <w:t xml:space="preserve"> galvenais un galvenais mērķis ir sasniegts, sasniedzot šādus 4 apakšmērķus: Itālijas Veselības ministrijas infrastruktūras stiprināšana, integrējot EVPK klīniskos datus ar jaunās veselības informācijas sistēmas (NSIS) klīniskajiem, administratīvajiem un i</w:t>
      </w:r>
      <w:r>
        <w:rPr>
          <w:noProof/>
        </w:rPr>
        <w:t>zmaksu datiem, kā arī ar citu informāciju un datiem, kas saistīti ar veselību saskaņā ar pieeju “Viena veselība”, lai uzraudzītu “LEA”, un nodrošināt veselības uzraudzību un vigilances pasākumus; NSIS datu vākšanas, apstrādes un ģenerēšanas uzlabošana viet</w:t>
      </w:r>
      <w:r>
        <w:rPr>
          <w:noProof/>
        </w:rPr>
        <w:t>ējā līmenī, datu ģenerēšanas reģionālā un vietējā procesa pārveidošana un standartizācija, lai uzlabotu NSIS rīku NHS kvalitātes, efektivitātes un piemērotības mērīšanai; progresīvu analīzes rīku izstrāde, lai novērtētu sarežģītas parādības un scenāriju pr</w:t>
      </w:r>
      <w:r>
        <w:rPr>
          <w:noProof/>
        </w:rPr>
        <w:t xml:space="preserve">ognozes nolūkā uzlabot centrālo spēju plānot veselības aprūpes pakalpojumus un atklāt jaunas slimības; valsts platformas izveide, kurā varētu apmierināt akreditēto pakalpojumu sniedzēju telemedicīnas pakalpojumu piedāvājumu un pieprasījumu. </w:t>
      </w:r>
    </w:p>
    <w:p w14:paraId="3DA793F3" w14:textId="16E3CBE3" w:rsidR="00C972CB" w:rsidRDefault="002457F6">
      <w:pPr>
        <w:pStyle w:val="P68B1DB1-Normal2"/>
        <w:spacing w:before="120" w:after="120"/>
        <w:jc w:val="both"/>
        <w:rPr>
          <w:noProof/>
        </w:rPr>
      </w:pPr>
      <w:r>
        <w:rPr>
          <w:noProof/>
        </w:rPr>
        <w:t>Ieguldījums 2.</w:t>
      </w:r>
      <w:r>
        <w:rPr>
          <w:noProof/>
        </w:rPr>
        <w:t>2.: Veselības aprūpes sistēmas speciālistu tehnisko, profesionālo, digitālo un vadības prasmju attīstīšana</w:t>
      </w:r>
    </w:p>
    <w:p w14:paraId="1ABADD78" w14:textId="651BF02E" w:rsidR="00C972CB" w:rsidRDefault="002457F6">
      <w:pPr>
        <w:spacing w:before="120" w:after="120"/>
        <w:jc w:val="both"/>
        <w:rPr>
          <w:noProof/>
          <w:u w:val="single"/>
        </w:rPr>
      </w:pPr>
      <w:r>
        <w:rPr>
          <w:noProof/>
        </w:rPr>
        <w:t>Šis ieguldījums ietver stipendiju palielināšanu konkrētam kursam vispārējā medicīnā; mācību plāna uzsākšana par slimnīcas infekciju drošību visiem NH</w:t>
      </w:r>
      <w:r>
        <w:rPr>
          <w:noProof/>
        </w:rPr>
        <w:t>S darbiniekiem; aktivizēt apmācības ceļu personālam, kam NHS struktūrās ir vadošās lomas vadības un digitālajās prasmēs, un finansēt specializētas medicīniskās apmācības līgumus.</w:t>
      </w:r>
    </w:p>
    <w:p w14:paraId="0DCEF620" w14:textId="77777777" w:rsidR="00C972CB" w:rsidRDefault="002457F6">
      <w:pPr>
        <w:pStyle w:val="Heading3"/>
        <w:numPr>
          <w:ilvl w:val="0"/>
          <w:numId w:val="0"/>
        </w:numPr>
        <w:ind w:left="850" w:hanging="850"/>
        <w:rPr>
          <w:b/>
          <w:i w:val="0"/>
          <w:noProof/>
          <w:u w:val="single"/>
        </w:rPr>
      </w:pPr>
      <w:r>
        <w:rPr>
          <w:b/>
          <w:i w:val="0"/>
          <w:noProof/>
          <w:u w:val="single"/>
        </w:rPr>
        <w:t xml:space="preserve">P.4. </w:t>
      </w:r>
      <w:r>
        <w:rPr>
          <w:noProof/>
        </w:rPr>
        <w:tab/>
      </w:r>
      <w:r>
        <w:rPr>
          <w:b/>
          <w:i w:val="0"/>
          <w:noProof/>
          <w:u w:val="single"/>
        </w:rPr>
        <w:t xml:space="preserve">Atskaites punkti, mērķrādītāji, citi rādītāji un aizdevuma uzraudzības </w:t>
      </w:r>
      <w:r>
        <w:rPr>
          <w:b/>
          <w:i w:val="0"/>
          <w:noProof/>
          <w:u w:val="single"/>
        </w:rPr>
        <w:t xml:space="preserve">un īstenošanas grafiks </w:t>
      </w:r>
    </w:p>
    <w:p w14:paraId="57C4DF92" w14:textId="77777777" w:rsidR="00C972CB" w:rsidRDefault="002457F6">
      <w:pPr>
        <w:pStyle w:val="P68B1DB1-Normal34"/>
        <w:spacing w:before="120" w:after="120"/>
        <w:ind w:left="709"/>
        <w:jc w:val="both"/>
        <w:rPr>
          <w:noProof/>
        </w:rPr>
      </w:pPr>
      <w:r>
        <w:rPr>
          <w:noProof/>
        </w:rPr>
        <w:t xml:space="preserve"> </w:t>
      </w:r>
    </w:p>
    <w:p w14:paraId="36C1DBDA" w14:textId="77777777" w:rsidR="00C972CB" w:rsidRDefault="00C972CB">
      <w:pPr>
        <w:spacing w:before="120" w:after="120"/>
        <w:ind w:left="709"/>
        <w:contextualSpacing/>
        <w:jc w:val="both"/>
        <w:rPr>
          <w:noProof/>
        </w:rPr>
        <w:sectPr w:rsidR="00C972CB" w:rsidSect="000D3774">
          <w:headerReference w:type="even" r:id="rId374"/>
          <w:headerReference w:type="default" r:id="rId375"/>
          <w:footerReference w:type="even" r:id="rId376"/>
          <w:footerReference w:type="default" r:id="rId377"/>
          <w:headerReference w:type="first" r:id="rId378"/>
          <w:footerReference w:type="first" r:id="rId379"/>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134"/>
        <w:gridCol w:w="1560"/>
        <w:gridCol w:w="1559"/>
        <w:gridCol w:w="1276"/>
        <w:gridCol w:w="992"/>
        <w:gridCol w:w="850"/>
        <w:gridCol w:w="851"/>
        <w:gridCol w:w="709"/>
        <w:gridCol w:w="2835"/>
      </w:tblGrid>
      <w:tr w:rsidR="00C972CB" w14:paraId="2BF0F913" w14:textId="77777777">
        <w:trPr>
          <w:trHeight w:val="939"/>
          <w:tblHeader/>
          <w:jc w:val="center"/>
        </w:trPr>
        <w:tc>
          <w:tcPr>
            <w:tcW w:w="1129" w:type="dxa"/>
            <w:vMerge w:val="restart"/>
            <w:shd w:val="clear" w:color="auto" w:fill="BDD7EE"/>
            <w:vAlign w:val="center"/>
            <w:hideMark/>
          </w:tcPr>
          <w:p w14:paraId="461BFEAE" w14:textId="77777777" w:rsidR="00C972CB" w:rsidRDefault="002457F6">
            <w:pPr>
              <w:pStyle w:val="P68B1DB1-Normal9"/>
              <w:spacing w:before="120" w:after="120"/>
              <w:jc w:val="center"/>
              <w:rPr>
                <w:noProof/>
              </w:rPr>
            </w:pPr>
            <w:r>
              <w:rPr>
                <w:noProof/>
              </w:rPr>
              <w:t>Kārtas numurs</w:t>
            </w:r>
          </w:p>
        </w:tc>
        <w:tc>
          <w:tcPr>
            <w:tcW w:w="1701" w:type="dxa"/>
            <w:vMerge w:val="restart"/>
            <w:shd w:val="clear" w:color="auto" w:fill="BDD7EE"/>
            <w:vAlign w:val="center"/>
            <w:hideMark/>
          </w:tcPr>
          <w:p w14:paraId="3B0633CD" w14:textId="77777777" w:rsidR="00C972CB" w:rsidRDefault="002457F6">
            <w:pPr>
              <w:pStyle w:val="P68B1DB1-Normal9"/>
              <w:spacing w:before="120" w:after="120"/>
              <w:jc w:val="center"/>
              <w:rPr>
                <w:noProof/>
              </w:rPr>
            </w:pPr>
            <w:r>
              <w:rPr>
                <w:noProof/>
              </w:rPr>
              <w:t>Pasākums (reforma vai investīcija)</w:t>
            </w:r>
          </w:p>
        </w:tc>
        <w:tc>
          <w:tcPr>
            <w:tcW w:w="1134" w:type="dxa"/>
            <w:vMerge w:val="restart"/>
            <w:shd w:val="clear" w:color="auto" w:fill="BDD7EE"/>
            <w:vAlign w:val="center"/>
            <w:hideMark/>
          </w:tcPr>
          <w:p w14:paraId="77FE0A19" w14:textId="77777777" w:rsidR="00C972CB" w:rsidRDefault="002457F6">
            <w:pPr>
              <w:pStyle w:val="P68B1DB1-Normal9"/>
              <w:spacing w:before="120" w:after="120"/>
              <w:jc w:val="center"/>
              <w:rPr>
                <w:noProof/>
              </w:rPr>
            </w:pPr>
            <w:r>
              <w:rPr>
                <w:noProof/>
              </w:rPr>
              <w:t>Atskaites punkts/mērķrādītājs</w:t>
            </w:r>
          </w:p>
        </w:tc>
        <w:tc>
          <w:tcPr>
            <w:tcW w:w="1560" w:type="dxa"/>
            <w:vMerge w:val="restart"/>
            <w:shd w:val="clear" w:color="auto" w:fill="BDD7EE"/>
            <w:vAlign w:val="center"/>
            <w:hideMark/>
          </w:tcPr>
          <w:p w14:paraId="67D65DFC" w14:textId="77777777" w:rsidR="00C972CB" w:rsidRDefault="002457F6">
            <w:pPr>
              <w:pStyle w:val="P68B1DB1-Normal9"/>
              <w:spacing w:before="120" w:after="120"/>
              <w:jc w:val="center"/>
              <w:rPr>
                <w:noProof/>
              </w:rPr>
            </w:pPr>
            <w:r>
              <w:rPr>
                <w:noProof/>
              </w:rPr>
              <w:t>Uzvārds</w:t>
            </w:r>
          </w:p>
        </w:tc>
        <w:tc>
          <w:tcPr>
            <w:tcW w:w="1559" w:type="dxa"/>
            <w:vMerge w:val="restart"/>
            <w:shd w:val="clear" w:color="auto" w:fill="BDD7EE"/>
            <w:vAlign w:val="center"/>
            <w:hideMark/>
          </w:tcPr>
          <w:p w14:paraId="25E084F5" w14:textId="77777777" w:rsidR="00C972CB" w:rsidRDefault="002457F6">
            <w:pPr>
              <w:pStyle w:val="P68B1DB1-Normal10"/>
              <w:spacing w:before="120" w:after="12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118" w:type="dxa"/>
            <w:gridSpan w:val="3"/>
            <w:shd w:val="clear" w:color="auto" w:fill="BDD7EE"/>
            <w:vAlign w:val="center"/>
            <w:hideMark/>
          </w:tcPr>
          <w:p w14:paraId="315980DF" w14:textId="77777777" w:rsidR="00C972CB" w:rsidRDefault="002457F6">
            <w:pPr>
              <w:pStyle w:val="P68B1DB1-Normal10"/>
              <w:spacing w:before="120" w:after="12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560" w:type="dxa"/>
            <w:gridSpan w:val="2"/>
            <w:shd w:val="clear" w:color="auto" w:fill="BDD7EE"/>
            <w:vAlign w:val="center"/>
            <w:hideMark/>
          </w:tcPr>
          <w:p w14:paraId="51B1CAFE" w14:textId="77777777" w:rsidR="00C972CB" w:rsidRDefault="002457F6">
            <w:pPr>
              <w:pStyle w:val="P68B1DB1-Normal9"/>
              <w:spacing w:before="120" w:after="120"/>
              <w:jc w:val="center"/>
              <w:rPr>
                <w:noProof/>
              </w:rPr>
            </w:pPr>
            <w:r>
              <w:rPr>
                <w:noProof/>
              </w:rPr>
              <w:t>Orientējošs pabeigšanas termiņš</w:t>
            </w:r>
          </w:p>
        </w:tc>
        <w:tc>
          <w:tcPr>
            <w:tcW w:w="2835" w:type="dxa"/>
            <w:vMerge w:val="restart"/>
            <w:shd w:val="clear" w:color="auto" w:fill="BDD7EE"/>
            <w:vAlign w:val="center"/>
            <w:hideMark/>
          </w:tcPr>
          <w:p w14:paraId="2CC56644" w14:textId="77777777" w:rsidR="00C972CB" w:rsidRDefault="002457F6">
            <w:pPr>
              <w:pStyle w:val="P68B1DB1-Normal9"/>
              <w:spacing w:before="120" w:after="120"/>
              <w:jc w:val="center"/>
              <w:rPr>
                <w:noProof/>
              </w:rPr>
            </w:pPr>
            <w:r>
              <w:rPr>
                <w:noProof/>
              </w:rPr>
              <w:t>Apraksts par katru atskaites punktu un mērķrādītāju</w:t>
            </w:r>
          </w:p>
        </w:tc>
      </w:tr>
      <w:tr w:rsidR="00C972CB" w14:paraId="546A28FC" w14:textId="77777777">
        <w:trPr>
          <w:trHeight w:val="883"/>
          <w:jc w:val="center"/>
        </w:trPr>
        <w:tc>
          <w:tcPr>
            <w:tcW w:w="1129" w:type="dxa"/>
            <w:vMerge/>
            <w:vAlign w:val="center"/>
            <w:hideMark/>
          </w:tcPr>
          <w:p w14:paraId="5690147C" w14:textId="77777777" w:rsidR="00C972CB" w:rsidRDefault="00C972CB">
            <w:pPr>
              <w:spacing w:before="120" w:after="120"/>
              <w:jc w:val="center"/>
              <w:rPr>
                <w:rFonts w:ascii="Arial Narrow" w:hAnsi="Arial Narrow"/>
                <w:b/>
                <w:noProof/>
                <w:sz w:val="20"/>
              </w:rPr>
            </w:pPr>
          </w:p>
        </w:tc>
        <w:tc>
          <w:tcPr>
            <w:tcW w:w="1701" w:type="dxa"/>
            <w:vMerge/>
            <w:vAlign w:val="center"/>
            <w:hideMark/>
          </w:tcPr>
          <w:p w14:paraId="706EB6EE" w14:textId="77777777" w:rsidR="00C972CB" w:rsidRDefault="00C972CB">
            <w:pPr>
              <w:spacing w:before="120" w:after="120"/>
              <w:jc w:val="center"/>
              <w:rPr>
                <w:rFonts w:ascii="Arial Narrow" w:hAnsi="Arial Narrow"/>
                <w:b/>
                <w:noProof/>
                <w:sz w:val="20"/>
              </w:rPr>
            </w:pPr>
          </w:p>
        </w:tc>
        <w:tc>
          <w:tcPr>
            <w:tcW w:w="1134" w:type="dxa"/>
            <w:vMerge/>
            <w:vAlign w:val="center"/>
            <w:hideMark/>
          </w:tcPr>
          <w:p w14:paraId="626CB927" w14:textId="77777777" w:rsidR="00C972CB" w:rsidRDefault="00C972CB">
            <w:pPr>
              <w:spacing w:before="120" w:after="120"/>
              <w:jc w:val="center"/>
              <w:rPr>
                <w:rFonts w:ascii="Arial Narrow" w:hAnsi="Arial Narrow"/>
                <w:b/>
                <w:noProof/>
                <w:sz w:val="20"/>
              </w:rPr>
            </w:pPr>
          </w:p>
        </w:tc>
        <w:tc>
          <w:tcPr>
            <w:tcW w:w="1560" w:type="dxa"/>
            <w:vMerge/>
            <w:vAlign w:val="center"/>
            <w:hideMark/>
          </w:tcPr>
          <w:p w14:paraId="0007EE34" w14:textId="77777777" w:rsidR="00C972CB" w:rsidRDefault="00C972CB">
            <w:pPr>
              <w:spacing w:before="120" w:after="120"/>
              <w:jc w:val="center"/>
              <w:rPr>
                <w:rFonts w:ascii="Arial Narrow" w:hAnsi="Arial Narrow"/>
                <w:b/>
                <w:noProof/>
                <w:sz w:val="20"/>
              </w:rPr>
            </w:pPr>
          </w:p>
        </w:tc>
        <w:tc>
          <w:tcPr>
            <w:tcW w:w="1559" w:type="dxa"/>
            <w:vMerge/>
            <w:vAlign w:val="center"/>
            <w:hideMark/>
          </w:tcPr>
          <w:p w14:paraId="4B49FCFC" w14:textId="77777777" w:rsidR="00C972CB" w:rsidRDefault="00C972CB">
            <w:pPr>
              <w:spacing w:before="120" w:after="120"/>
              <w:jc w:val="center"/>
              <w:rPr>
                <w:rFonts w:ascii="Arial Narrow" w:hAnsi="Arial Narrow"/>
                <w:b/>
                <w:noProof/>
                <w:sz w:val="20"/>
              </w:rPr>
            </w:pPr>
          </w:p>
        </w:tc>
        <w:tc>
          <w:tcPr>
            <w:tcW w:w="1276" w:type="dxa"/>
            <w:shd w:val="clear" w:color="auto" w:fill="BDD7EE"/>
            <w:vAlign w:val="center"/>
            <w:hideMark/>
          </w:tcPr>
          <w:p w14:paraId="707B1CF2" w14:textId="77777777" w:rsidR="00C972CB" w:rsidRDefault="002457F6">
            <w:pPr>
              <w:pStyle w:val="P68B1DB1-Normal9"/>
              <w:spacing w:before="120" w:after="120"/>
              <w:jc w:val="center"/>
              <w:rPr>
                <w:noProof/>
              </w:rPr>
            </w:pPr>
            <w:r>
              <w:rPr>
                <w:noProof/>
              </w:rPr>
              <w:t>Mēra vienība</w:t>
            </w:r>
          </w:p>
        </w:tc>
        <w:tc>
          <w:tcPr>
            <w:tcW w:w="992" w:type="dxa"/>
            <w:shd w:val="clear" w:color="auto" w:fill="BDD7EE"/>
            <w:vAlign w:val="center"/>
            <w:hideMark/>
          </w:tcPr>
          <w:p w14:paraId="3E126FBE" w14:textId="77777777" w:rsidR="00C972CB" w:rsidRDefault="002457F6">
            <w:pPr>
              <w:pStyle w:val="P68B1DB1-Normal9"/>
              <w:spacing w:before="120" w:after="120"/>
              <w:jc w:val="center"/>
              <w:rPr>
                <w:noProof/>
              </w:rPr>
            </w:pPr>
            <w:r>
              <w:rPr>
                <w:noProof/>
              </w:rPr>
              <w:t>Pamatscenārijs</w:t>
            </w:r>
          </w:p>
        </w:tc>
        <w:tc>
          <w:tcPr>
            <w:tcW w:w="850" w:type="dxa"/>
            <w:shd w:val="clear" w:color="auto" w:fill="BDD7EE"/>
            <w:vAlign w:val="center"/>
            <w:hideMark/>
          </w:tcPr>
          <w:p w14:paraId="6455A15D" w14:textId="77777777" w:rsidR="00C972CB" w:rsidRDefault="002457F6">
            <w:pPr>
              <w:pStyle w:val="P68B1DB1-Normal9"/>
              <w:spacing w:before="120" w:after="120"/>
              <w:jc w:val="center"/>
              <w:rPr>
                <w:noProof/>
              </w:rPr>
            </w:pPr>
            <w:r>
              <w:rPr>
                <w:noProof/>
              </w:rPr>
              <w:t>Mērķis</w:t>
            </w:r>
          </w:p>
        </w:tc>
        <w:tc>
          <w:tcPr>
            <w:tcW w:w="851" w:type="dxa"/>
            <w:shd w:val="clear" w:color="auto" w:fill="BDD7EE"/>
            <w:vAlign w:val="center"/>
            <w:hideMark/>
          </w:tcPr>
          <w:p w14:paraId="441C68B7" w14:textId="77777777" w:rsidR="00C972CB" w:rsidRDefault="002457F6">
            <w:pPr>
              <w:pStyle w:val="P68B1DB1-Normal9"/>
              <w:spacing w:before="120" w:after="120"/>
              <w:jc w:val="center"/>
              <w:rPr>
                <w:noProof/>
              </w:rPr>
            </w:pPr>
            <w:r>
              <w:rPr>
                <w:noProof/>
              </w:rPr>
              <w:t>Ceturtdaļa</w:t>
            </w:r>
          </w:p>
        </w:tc>
        <w:tc>
          <w:tcPr>
            <w:tcW w:w="709" w:type="dxa"/>
            <w:shd w:val="clear" w:color="auto" w:fill="BDD7EE"/>
            <w:vAlign w:val="center"/>
            <w:hideMark/>
          </w:tcPr>
          <w:p w14:paraId="10EA1EF5" w14:textId="77777777" w:rsidR="00C972CB" w:rsidRDefault="002457F6">
            <w:pPr>
              <w:pStyle w:val="P68B1DB1-Normal9"/>
              <w:spacing w:before="120" w:after="120"/>
              <w:jc w:val="center"/>
              <w:rPr>
                <w:noProof/>
              </w:rPr>
            </w:pPr>
            <w:r>
              <w:rPr>
                <w:noProof/>
              </w:rPr>
              <w:t>Gadā</w:t>
            </w:r>
          </w:p>
        </w:tc>
        <w:tc>
          <w:tcPr>
            <w:tcW w:w="2835" w:type="dxa"/>
            <w:vMerge/>
            <w:vAlign w:val="center"/>
            <w:hideMark/>
          </w:tcPr>
          <w:p w14:paraId="00B254C1" w14:textId="77777777" w:rsidR="00C972CB" w:rsidRDefault="00C972CB">
            <w:pPr>
              <w:spacing w:before="120" w:after="120"/>
              <w:rPr>
                <w:rFonts w:ascii="Arial Narrow" w:hAnsi="Arial Narrow"/>
                <w:b/>
                <w:noProof/>
                <w:sz w:val="20"/>
              </w:rPr>
            </w:pPr>
          </w:p>
        </w:tc>
      </w:tr>
      <w:tr w:rsidR="00C972CB" w14:paraId="0F622D12" w14:textId="77777777">
        <w:trPr>
          <w:trHeight w:val="313"/>
          <w:jc w:val="center"/>
        </w:trPr>
        <w:tc>
          <w:tcPr>
            <w:tcW w:w="1129" w:type="dxa"/>
            <w:shd w:val="clear" w:color="auto" w:fill="C6EFCE"/>
            <w:noWrap/>
            <w:vAlign w:val="center"/>
          </w:tcPr>
          <w:p w14:paraId="7DE7CD05" w14:textId="030CEC40" w:rsidR="00C972CB" w:rsidRDefault="002457F6">
            <w:pPr>
              <w:pStyle w:val="P68B1DB1-Normal11"/>
              <w:spacing w:before="120" w:after="120"/>
              <w:jc w:val="center"/>
              <w:rPr>
                <w:noProof/>
              </w:rPr>
            </w:pPr>
            <w:r>
              <w:rPr>
                <w:noProof/>
              </w:rPr>
              <w:t>M6C2–4</w:t>
            </w:r>
          </w:p>
        </w:tc>
        <w:tc>
          <w:tcPr>
            <w:tcW w:w="1701" w:type="dxa"/>
            <w:shd w:val="clear" w:color="auto" w:fill="C6EFCE"/>
            <w:noWrap/>
            <w:vAlign w:val="center"/>
          </w:tcPr>
          <w:p w14:paraId="40B1405D" w14:textId="77777777" w:rsidR="00C972CB" w:rsidRDefault="002457F6">
            <w:pPr>
              <w:pStyle w:val="P68B1DB1-Normal36"/>
              <w:spacing w:before="120" w:after="120"/>
              <w:jc w:val="center"/>
              <w:rPr>
                <w:noProof/>
                <w:color w:val="006100"/>
              </w:rPr>
            </w:pPr>
            <w:r>
              <w:rPr>
                <w:noProof/>
              </w:rPr>
              <w:t>Ieguldījums 1.1: Slimnīcu tehnoloģiskā aprīkojuma digitālā atjaunināšana</w:t>
            </w:r>
          </w:p>
        </w:tc>
        <w:tc>
          <w:tcPr>
            <w:tcW w:w="1134" w:type="dxa"/>
            <w:shd w:val="clear" w:color="auto" w:fill="C6EFCE"/>
            <w:noWrap/>
            <w:vAlign w:val="center"/>
          </w:tcPr>
          <w:p w14:paraId="6AFEF9E3" w14:textId="77777777" w:rsidR="00C972CB" w:rsidRDefault="002457F6">
            <w:pPr>
              <w:pStyle w:val="P68B1DB1-Normal36"/>
              <w:spacing w:before="120" w:after="120"/>
              <w:jc w:val="center"/>
              <w:rPr>
                <w:noProof/>
                <w:color w:val="006100"/>
              </w:rPr>
            </w:pPr>
            <w:r>
              <w:rPr>
                <w:noProof/>
              </w:rPr>
              <w:t>Starpposma mērķis</w:t>
            </w:r>
          </w:p>
        </w:tc>
        <w:tc>
          <w:tcPr>
            <w:tcW w:w="1560" w:type="dxa"/>
            <w:shd w:val="clear" w:color="auto" w:fill="C6EFCE"/>
            <w:noWrap/>
            <w:vAlign w:val="center"/>
          </w:tcPr>
          <w:p w14:paraId="52C56BF4" w14:textId="77777777" w:rsidR="00C972CB" w:rsidRDefault="002457F6">
            <w:pPr>
              <w:pStyle w:val="P68B1DB1-Normal36"/>
              <w:spacing w:before="120" w:after="120"/>
              <w:jc w:val="center"/>
              <w:rPr>
                <w:rFonts w:eastAsia="Calibri"/>
                <w:noProof/>
              </w:rPr>
            </w:pPr>
            <w:r>
              <w:rPr>
                <w:noProof/>
              </w:rPr>
              <w:t xml:space="preserve">Veselības ministrijas/Itālijas reģionu ministrijas apstiprināts reorganizācijas plāns </w:t>
            </w:r>
          </w:p>
        </w:tc>
        <w:tc>
          <w:tcPr>
            <w:tcW w:w="1559" w:type="dxa"/>
            <w:shd w:val="clear" w:color="auto" w:fill="C6EFCE"/>
            <w:noWrap/>
            <w:vAlign w:val="center"/>
          </w:tcPr>
          <w:p w14:paraId="7ACB5E75" w14:textId="77777777" w:rsidR="00C972CB" w:rsidRDefault="002457F6">
            <w:pPr>
              <w:pStyle w:val="P68B1DB1-Normal36"/>
              <w:spacing w:before="120" w:after="120"/>
              <w:jc w:val="center"/>
              <w:rPr>
                <w:rFonts w:eastAsia="Calibri"/>
                <w:noProof/>
              </w:rPr>
            </w:pPr>
            <w:r>
              <w:rPr>
                <w:noProof/>
              </w:rPr>
              <w:t>Paziņojums par apstiprinājumu</w:t>
            </w:r>
          </w:p>
        </w:tc>
        <w:tc>
          <w:tcPr>
            <w:tcW w:w="1276" w:type="dxa"/>
            <w:shd w:val="clear" w:color="auto" w:fill="C6EFCE"/>
            <w:noWrap/>
            <w:vAlign w:val="center"/>
          </w:tcPr>
          <w:p w14:paraId="66F3A124" w14:textId="77777777" w:rsidR="00C972CB" w:rsidRDefault="002457F6">
            <w:pPr>
              <w:pStyle w:val="P68B1DB1-Normal36"/>
              <w:spacing w:before="120" w:after="120"/>
              <w:jc w:val="center"/>
              <w:rPr>
                <w:noProof/>
                <w:color w:val="006100"/>
              </w:rPr>
            </w:pPr>
            <w:r>
              <w:rPr>
                <w:noProof/>
              </w:rPr>
              <w:t>NEPIEMĒRO</w:t>
            </w:r>
          </w:p>
        </w:tc>
        <w:tc>
          <w:tcPr>
            <w:tcW w:w="992" w:type="dxa"/>
            <w:shd w:val="clear" w:color="auto" w:fill="C6EFCE"/>
            <w:noWrap/>
            <w:vAlign w:val="center"/>
          </w:tcPr>
          <w:p w14:paraId="2B79DEFC" w14:textId="77777777" w:rsidR="00C972CB" w:rsidRDefault="002457F6">
            <w:pPr>
              <w:pStyle w:val="P68B1DB1-Normal36"/>
              <w:spacing w:before="120" w:after="120"/>
              <w:jc w:val="center"/>
              <w:rPr>
                <w:noProof/>
                <w:color w:val="006100"/>
              </w:rPr>
            </w:pPr>
            <w:r>
              <w:rPr>
                <w:noProof/>
              </w:rPr>
              <w:t>NEPIEMĒRO</w:t>
            </w:r>
          </w:p>
        </w:tc>
        <w:tc>
          <w:tcPr>
            <w:tcW w:w="850" w:type="dxa"/>
            <w:shd w:val="clear" w:color="auto" w:fill="C6EFCE"/>
            <w:noWrap/>
            <w:vAlign w:val="center"/>
          </w:tcPr>
          <w:p w14:paraId="7D6C3B84" w14:textId="77777777" w:rsidR="00C972CB" w:rsidRDefault="002457F6">
            <w:pPr>
              <w:pStyle w:val="P68B1DB1-Normal36"/>
              <w:spacing w:before="120" w:after="120"/>
              <w:jc w:val="center"/>
              <w:rPr>
                <w:noProof/>
                <w:color w:val="006100"/>
              </w:rPr>
            </w:pPr>
            <w:r>
              <w:rPr>
                <w:noProof/>
              </w:rPr>
              <w:t>NEPIEMĒRO</w:t>
            </w:r>
          </w:p>
        </w:tc>
        <w:tc>
          <w:tcPr>
            <w:tcW w:w="851" w:type="dxa"/>
            <w:shd w:val="clear" w:color="auto" w:fill="C6EFCE"/>
            <w:noWrap/>
            <w:vAlign w:val="center"/>
          </w:tcPr>
          <w:p w14:paraId="3C342C37" w14:textId="77777777" w:rsidR="00C972CB" w:rsidRDefault="002457F6">
            <w:pPr>
              <w:pStyle w:val="P68B1DB1-Normal36"/>
              <w:spacing w:before="120" w:after="120"/>
              <w:jc w:val="center"/>
              <w:rPr>
                <w:noProof/>
                <w:color w:val="006100"/>
              </w:rPr>
            </w:pPr>
            <w:r>
              <w:rPr>
                <w:noProof/>
              </w:rPr>
              <w:t>4. CET.</w:t>
            </w:r>
          </w:p>
        </w:tc>
        <w:tc>
          <w:tcPr>
            <w:tcW w:w="709" w:type="dxa"/>
            <w:shd w:val="clear" w:color="auto" w:fill="C6EFCE"/>
            <w:noWrap/>
            <w:vAlign w:val="center"/>
          </w:tcPr>
          <w:p w14:paraId="38911E29" w14:textId="77777777" w:rsidR="00C972CB" w:rsidRDefault="002457F6">
            <w:pPr>
              <w:pStyle w:val="P68B1DB1-Normal36"/>
              <w:spacing w:before="120" w:after="120"/>
              <w:jc w:val="center"/>
              <w:rPr>
                <w:noProof/>
                <w:color w:val="006100"/>
              </w:rPr>
            </w:pPr>
            <w:r>
              <w:rPr>
                <w:noProof/>
              </w:rPr>
              <w:t>2021</w:t>
            </w:r>
          </w:p>
        </w:tc>
        <w:tc>
          <w:tcPr>
            <w:tcW w:w="2835" w:type="dxa"/>
            <w:shd w:val="clear" w:color="auto" w:fill="C6EFCE"/>
            <w:noWrap/>
            <w:vAlign w:val="center"/>
          </w:tcPr>
          <w:p w14:paraId="323EDF1D" w14:textId="77777777" w:rsidR="00C972CB" w:rsidRDefault="002457F6">
            <w:pPr>
              <w:pStyle w:val="P68B1DB1-Normal36"/>
              <w:spacing w:before="120" w:after="120"/>
              <w:rPr>
                <w:noProof/>
              </w:rPr>
            </w:pPr>
            <w:r>
              <w:rPr>
                <w:noProof/>
              </w:rPr>
              <w:t>Reorganizācijas plāna apstiprināšana, lai stiprinātu NHS slimnīcu spēju pienācīgi risināt pandēm</w:t>
            </w:r>
            <w:r>
              <w:rPr>
                <w:noProof/>
              </w:rPr>
              <w:t>ijas ārkārtas situācijas, palielinot gultu skaitu intensīvās un subintensīvās aprūpes nodaļās.</w:t>
            </w:r>
          </w:p>
          <w:p w14:paraId="18159783" w14:textId="7B67F636" w:rsidR="00C972CB" w:rsidRDefault="002457F6">
            <w:pPr>
              <w:pStyle w:val="P68B1DB1-Normal36"/>
              <w:spacing w:before="120" w:after="120"/>
              <w:rPr>
                <w:noProof/>
              </w:rPr>
            </w:pPr>
            <w:r>
              <w:rPr>
                <w:noProof/>
              </w:rPr>
              <w:t>Slimnīcu reorganizācijas plāns palielina intensīvās un daļēji intensīvās aprūpes nodaļās pieejamo gultu skaitu NHS slimnīcās.</w:t>
            </w:r>
          </w:p>
        </w:tc>
      </w:tr>
      <w:tr w:rsidR="00C972CB" w14:paraId="081FD7DE" w14:textId="77777777">
        <w:trPr>
          <w:trHeight w:val="313"/>
          <w:jc w:val="center"/>
        </w:trPr>
        <w:tc>
          <w:tcPr>
            <w:tcW w:w="1129" w:type="dxa"/>
            <w:shd w:val="clear" w:color="auto" w:fill="C6EFCE"/>
            <w:noWrap/>
            <w:vAlign w:val="center"/>
          </w:tcPr>
          <w:p w14:paraId="4467D305" w14:textId="77777777" w:rsidR="00C972CB" w:rsidRDefault="002457F6">
            <w:pPr>
              <w:pStyle w:val="P68B1DB1-Normal11"/>
              <w:spacing w:before="120" w:after="120"/>
              <w:jc w:val="center"/>
              <w:rPr>
                <w:noProof/>
              </w:rPr>
            </w:pPr>
            <w:r>
              <w:rPr>
                <w:noProof/>
              </w:rPr>
              <w:t>M6C2–5</w:t>
            </w:r>
          </w:p>
        </w:tc>
        <w:tc>
          <w:tcPr>
            <w:tcW w:w="1701" w:type="dxa"/>
            <w:shd w:val="clear" w:color="auto" w:fill="C6EFCE"/>
            <w:noWrap/>
            <w:vAlign w:val="center"/>
          </w:tcPr>
          <w:p w14:paraId="5E174B98" w14:textId="77777777" w:rsidR="00C972CB" w:rsidRDefault="002457F6">
            <w:pPr>
              <w:pStyle w:val="P68B1DB1-Normal36"/>
              <w:spacing w:before="120" w:after="120"/>
              <w:jc w:val="center"/>
              <w:rPr>
                <w:noProof/>
                <w:color w:val="006100"/>
              </w:rPr>
            </w:pPr>
            <w:r>
              <w:rPr>
                <w:noProof/>
              </w:rPr>
              <w:t xml:space="preserve">Ieguldījums 1.1: Slimnīcu </w:t>
            </w:r>
            <w:r>
              <w:rPr>
                <w:noProof/>
              </w:rPr>
              <w:t>tehnoloģiskā aprīkojuma digitālā atjaunināšana</w:t>
            </w:r>
          </w:p>
        </w:tc>
        <w:tc>
          <w:tcPr>
            <w:tcW w:w="1134" w:type="dxa"/>
            <w:shd w:val="clear" w:color="auto" w:fill="C6EFCE"/>
            <w:noWrap/>
            <w:vAlign w:val="center"/>
          </w:tcPr>
          <w:p w14:paraId="3EBBEBD2" w14:textId="77777777" w:rsidR="00C972CB" w:rsidRDefault="002457F6">
            <w:pPr>
              <w:pStyle w:val="P68B1DB1-Normal36"/>
              <w:spacing w:before="120" w:after="120"/>
              <w:jc w:val="center"/>
              <w:rPr>
                <w:noProof/>
                <w:color w:val="006100"/>
              </w:rPr>
            </w:pPr>
            <w:r>
              <w:rPr>
                <w:noProof/>
              </w:rPr>
              <w:t>Starpposma mērķis</w:t>
            </w:r>
          </w:p>
        </w:tc>
        <w:tc>
          <w:tcPr>
            <w:tcW w:w="1560" w:type="dxa"/>
            <w:shd w:val="clear" w:color="auto" w:fill="C6EFCE"/>
            <w:noWrap/>
            <w:vAlign w:val="center"/>
          </w:tcPr>
          <w:p w14:paraId="4A52BCD1" w14:textId="77777777" w:rsidR="00C972CB" w:rsidRDefault="002457F6">
            <w:pPr>
              <w:pStyle w:val="P68B1DB1-Normal36"/>
              <w:spacing w:before="120" w:after="120"/>
              <w:jc w:val="center"/>
              <w:rPr>
                <w:rFonts w:eastAsia="Calibri"/>
                <w:noProof/>
              </w:rPr>
            </w:pPr>
            <w:r>
              <w:rPr>
                <w:noProof/>
              </w:rPr>
              <w:t xml:space="preserve"> Iestāžu attīstības līguma apstiprināšana </w:t>
            </w:r>
          </w:p>
        </w:tc>
        <w:tc>
          <w:tcPr>
            <w:tcW w:w="1559" w:type="dxa"/>
            <w:shd w:val="clear" w:color="auto" w:fill="C6EFCE"/>
            <w:noWrap/>
            <w:vAlign w:val="center"/>
          </w:tcPr>
          <w:p w14:paraId="70E058E0" w14:textId="5A5E24B1" w:rsidR="00C972CB" w:rsidRDefault="002457F6">
            <w:pPr>
              <w:pStyle w:val="P68B1DB1-Normal36"/>
              <w:spacing w:before="120" w:after="120"/>
              <w:jc w:val="center"/>
              <w:rPr>
                <w:noProof/>
              </w:rPr>
            </w:pPr>
            <w:r>
              <w:rPr>
                <w:noProof/>
              </w:rPr>
              <w:t>Paziņojums par to, ka Veselības ministrija un Itālijas reģionu ministrija paraksta institucionālās attīstības līgumu</w:t>
            </w:r>
          </w:p>
        </w:tc>
        <w:tc>
          <w:tcPr>
            <w:tcW w:w="1276" w:type="dxa"/>
            <w:shd w:val="clear" w:color="auto" w:fill="C6EFCE"/>
            <w:noWrap/>
            <w:vAlign w:val="center"/>
          </w:tcPr>
          <w:p w14:paraId="69BE6F33" w14:textId="77777777" w:rsidR="00C972CB" w:rsidRDefault="002457F6">
            <w:pPr>
              <w:pStyle w:val="P68B1DB1-Normal36"/>
              <w:spacing w:before="120" w:after="120"/>
              <w:jc w:val="center"/>
              <w:rPr>
                <w:noProof/>
                <w:color w:val="006100"/>
              </w:rPr>
            </w:pPr>
            <w:r>
              <w:rPr>
                <w:noProof/>
              </w:rPr>
              <w:t>NEPIEMĒRO</w:t>
            </w:r>
          </w:p>
        </w:tc>
        <w:tc>
          <w:tcPr>
            <w:tcW w:w="992" w:type="dxa"/>
            <w:shd w:val="clear" w:color="auto" w:fill="C6EFCE"/>
            <w:noWrap/>
            <w:vAlign w:val="center"/>
          </w:tcPr>
          <w:p w14:paraId="49BCF209" w14:textId="77777777" w:rsidR="00C972CB" w:rsidRDefault="002457F6">
            <w:pPr>
              <w:pStyle w:val="P68B1DB1-Normal36"/>
              <w:spacing w:before="120" w:after="120"/>
              <w:jc w:val="center"/>
              <w:rPr>
                <w:noProof/>
                <w:color w:val="006100"/>
              </w:rPr>
            </w:pPr>
            <w:r>
              <w:rPr>
                <w:noProof/>
              </w:rPr>
              <w:t>NEPIEMĒRO</w:t>
            </w:r>
          </w:p>
        </w:tc>
        <w:tc>
          <w:tcPr>
            <w:tcW w:w="850" w:type="dxa"/>
            <w:shd w:val="clear" w:color="auto" w:fill="C6EFCE"/>
            <w:noWrap/>
            <w:vAlign w:val="center"/>
          </w:tcPr>
          <w:p w14:paraId="709E1C6E" w14:textId="77777777" w:rsidR="00C972CB" w:rsidRDefault="002457F6">
            <w:pPr>
              <w:pStyle w:val="P68B1DB1-Normal36"/>
              <w:spacing w:before="120" w:after="120"/>
              <w:jc w:val="center"/>
              <w:rPr>
                <w:noProof/>
                <w:color w:val="006100"/>
              </w:rPr>
            </w:pPr>
            <w:r>
              <w:rPr>
                <w:noProof/>
              </w:rPr>
              <w:t>NEPIEMĒRO</w:t>
            </w:r>
          </w:p>
        </w:tc>
        <w:tc>
          <w:tcPr>
            <w:tcW w:w="851" w:type="dxa"/>
            <w:shd w:val="clear" w:color="auto" w:fill="C6EFCE"/>
            <w:noWrap/>
            <w:vAlign w:val="center"/>
          </w:tcPr>
          <w:p w14:paraId="7CB5AE01" w14:textId="77777777" w:rsidR="00C972CB" w:rsidRDefault="002457F6">
            <w:pPr>
              <w:pStyle w:val="P68B1DB1-Normal36"/>
              <w:spacing w:before="120" w:after="120"/>
              <w:jc w:val="center"/>
              <w:rPr>
                <w:noProof/>
                <w:color w:val="006100"/>
              </w:rPr>
            </w:pPr>
            <w:r>
              <w:rPr>
                <w:noProof/>
              </w:rPr>
              <w:t>2. CET.</w:t>
            </w:r>
          </w:p>
        </w:tc>
        <w:tc>
          <w:tcPr>
            <w:tcW w:w="709" w:type="dxa"/>
            <w:shd w:val="clear" w:color="auto" w:fill="C6EFCE"/>
            <w:noWrap/>
            <w:vAlign w:val="center"/>
          </w:tcPr>
          <w:p w14:paraId="60E15AEA" w14:textId="77777777" w:rsidR="00C972CB" w:rsidRDefault="002457F6">
            <w:pPr>
              <w:pStyle w:val="P68B1DB1-Normal36"/>
              <w:spacing w:before="120" w:after="120"/>
              <w:jc w:val="center"/>
              <w:rPr>
                <w:noProof/>
                <w:color w:val="006100"/>
              </w:rPr>
            </w:pPr>
            <w:r>
              <w:rPr>
                <w:noProof/>
              </w:rPr>
              <w:t>2022</w:t>
            </w:r>
          </w:p>
        </w:tc>
        <w:tc>
          <w:tcPr>
            <w:tcW w:w="2835" w:type="dxa"/>
            <w:shd w:val="clear" w:color="auto" w:fill="C6EFCE"/>
            <w:noWrap/>
            <w:vAlign w:val="center"/>
          </w:tcPr>
          <w:p w14:paraId="4069BB45" w14:textId="77777777" w:rsidR="00C972CB" w:rsidRDefault="002457F6">
            <w:pPr>
              <w:pStyle w:val="P68B1DB1-Normal36"/>
              <w:spacing w:before="120" w:after="120"/>
              <w:rPr>
                <w:rFonts w:eastAsia="Calibri"/>
                <w:noProof/>
              </w:rPr>
            </w:pPr>
            <w:r>
              <w:rPr>
                <w:noProof/>
              </w:rPr>
              <w:t>Institucionālās attīstības līguma (Contratto Istituzionale di Sviluppo) apstiprināšana ar Itālijas Veselības ministriju kā atbildīgo un īstenojošo iestādi un reģionālo administrāciju un citu galveno ieinteresēto personu līdzdalību.</w:t>
            </w:r>
          </w:p>
          <w:p w14:paraId="33420E00" w14:textId="77777777" w:rsidR="00C972CB" w:rsidRDefault="002457F6">
            <w:pPr>
              <w:pStyle w:val="P68B1DB1-Normal36"/>
              <w:spacing w:before="120" w:after="120"/>
              <w:rPr>
                <w:rFonts w:eastAsia="Calibri"/>
                <w:noProof/>
              </w:rPr>
            </w:pPr>
            <w:r>
              <w:rPr>
                <w:noProof/>
              </w:rPr>
              <w:t>Institucion</w:t>
            </w:r>
            <w:r>
              <w:rPr>
                <w:noProof/>
              </w:rPr>
              <w:t>ālās attīstības līgums ir instruments, kas identificēts spēkā esošajos valsts tiesību aktos (2011. gada 31. maija Likumdošanas dekrēta Nr. 88 1. un 6. panta apvienotie noteikumi un 2017. gada 20. jūnija Likumdošanas dekrēta Nr. 91 7. pants, ar 2017. gada 3</w:t>
            </w:r>
            <w:r>
              <w:rPr>
                <w:noProof/>
              </w:rPr>
              <w:t>. augusta Likumu Nr. 123), lai paātrinātu savstarpēji saistītu stratēģisku projektu īstenošanu. Institucionālās attīstības līgumā uzskaita visus piemērotos objektus, kas identificēti ieguldījumiem, kā arī pienākumus, ko katrs reģions uzņemas, lai garantētu</w:t>
            </w:r>
            <w:r>
              <w:rPr>
                <w:noProof/>
              </w:rPr>
              <w:t xml:space="preserve"> sagaidāmā rezultāta sasniegšanu. Ja kāds reģions izdara pārkāpumu, Veselības ministrija vēršas pie komisāra “ad acta”.</w:t>
            </w:r>
          </w:p>
        </w:tc>
      </w:tr>
      <w:tr w:rsidR="00C972CB" w14:paraId="39CC16AC" w14:textId="77777777">
        <w:trPr>
          <w:trHeight w:val="313"/>
          <w:jc w:val="center"/>
        </w:trPr>
        <w:tc>
          <w:tcPr>
            <w:tcW w:w="1129" w:type="dxa"/>
            <w:shd w:val="clear" w:color="auto" w:fill="C6EFCE"/>
            <w:noWrap/>
            <w:vAlign w:val="center"/>
          </w:tcPr>
          <w:p w14:paraId="48A90629" w14:textId="77777777" w:rsidR="00C972CB" w:rsidRDefault="002457F6">
            <w:pPr>
              <w:pStyle w:val="P68B1DB1-Normal11"/>
              <w:spacing w:before="120" w:after="120"/>
              <w:jc w:val="center"/>
              <w:rPr>
                <w:noProof/>
              </w:rPr>
            </w:pPr>
            <w:r>
              <w:rPr>
                <w:noProof/>
              </w:rPr>
              <w:t>M6C2–6</w:t>
            </w:r>
          </w:p>
        </w:tc>
        <w:tc>
          <w:tcPr>
            <w:tcW w:w="1701" w:type="dxa"/>
            <w:shd w:val="clear" w:color="auto" w:fill="C6EFCE"/>
            <w:noWrap/>
            <w:vAlign w:val="center"/>
          </w:tcPr>
          <w:p w14:paraId="175E3AAC" w14:textId="77777777" w:rsidR="00C972CB" w:rsidRDefault="002457F6">
            <w:pPr>
              <w:pStyle w:val="P68B1DB1-Normal36"/>
              <w:spacing w:before="120" w:after="120"/>
              <w:jc w:val="center"/>
              <w:rPr>
                <w:noProof/>
                <w:color w:val="006100"/>
              </w:rPr>
            </w:pPr>
            <w:r>
              <w:rPr>
                <w:noProof/>
              </w:rPr>
              <w:t>Ieguldījums 1.1: Slimnīcu tehnoloģiskā aprīkojuma digitālā atjaunināšana</w:t>
            </w:r>
          </w:p>
        </w:tc>
        <w:tc>
          <w:tcPr>
            <w:tcW w:w="1134" w:type="dxa"/>
            <w:shd w:val="clear" w:color="auto" w:fill="C6EFCE"/>
            <w:noWrap/>
            <w:vAlign w:val="center"/>
          </w:tcPr>
          <w:p w14:paraId="14FDA1EB" w14:textId="77777777" w:rsidR="00C972CB" w:rsidRDefault="002457F6">
            <w:pPr>
              <w:pStyle w:val="P68B1DB1-Normal36"/>
              <w:spacing w:before="120" w:after="120"/>
              <w:jc w:val="center"/>
              <w:rPr>
                <w:noProof/>
                <w:color w:val="006100"/>
              </w:rPr>
            </w:pPr>
            <w:r>
              <w:rPr>
                <w:noProof/>
              </w:rPr>
              <w:t>Mērķa</w:t>
            </w:r>
          </w:p>
        </w:tc>
        <w:tc>
          <w:tcPr>
            <w:tcW w:w="1560" w:type="dxa"/>
            <w:shd w:val="clear" w:color="auto" w:fill="C6EFCE"/>
            <w:noWrap/>
            <w:vAlign w:val="center"/>
          </w:tcPr>
          <w:p w14:paraId="61396825" w14:textId="77777777" w:rsidR="00C972CB" w:rsidRDefault="002457F6">
            <w:pPr>
              <w:pStyle w:val="P68B1DB1-Normal36"/>
              <w:spacing w:before="120" w:after="120"/>
              <w:jc w:val="center"/>
              <w:rPr>
                <w:noProof/>
                <w:color w:val="006100"/>
              </w:rPr>
            </w:pPr>
            <w:r>
              <w:rPr>
                <w:noProof/>
              </w:rPr>
              <w:t>Darbojas lielas sanitārās iekārtas</w:t>
            </w:r>
          </w:p>
        </w:tc>
        <w:tc>
          <w:tcPr>
            <w:tcW w:w="1559" w:type="dxa"/>
            <w:shd w:val="clear" w:color="auto" w:fill="C6EFCE"/>
            <w:noWrap/>
            <w:vAlign w:val="center"/>
          </w:tcPr>
          <w:p w14:paraId="725D40FC" w14:textId="77777777" w:rsidR="00C972CB" w:rsidRDefault="002457F6">
            <w:pPr>
              <w:pStyle w:val="P68B1DB1-Normal36"/>
              <w:spacing w:before="120" w:after="120"/>
              <w:jc w:val="center"/>
              <w:rPr>
                <w:noProof/>
                <w:color w:val="006100"/>
              </w:rPr>
            </w:pPr>
            <w:r>
              <w:rPr>
                <w:noProof/>
              </w:rPr>
              <w:t>NEPIEMĒRO</w:t>
            </w:r>
          </w:p>
        </w:tc>
        <w:tc>
          <w:tcPr>
            <w:tcW w:w="1276" w:type="dxa"/>
            <w:shd w:val="clear" w:color="auto" w:fill="C6EFCE"/>
            <w:noWrap/>
            <w:vAlign w:val="center"/>
          </w:tcPr>
          <w:p w14:paraId="7E92F2D0" w14:textId="77777777" w:rsidR="00C972CB" w:rsidRDefault="002457F6">
            <w:pPr>
              <w:pStyle w:val="P68B1DB1-Normal36"/>
              <w:spacing w:before="120" w:after="120"/>
              <w:jc w:val="center"/>
              <w:rPr>
                <w:noProof/>
                <w:color w:val="006100"/>
              </w:rPr>
            </w:pPr>
            <w:r>
              <w:rPr>
                <w:noProof/>
              </w:rPr>
              <w:t>Skaits</w:t>
            </w:r>
          </w:p>
        </w:tc>
        <w:tc>
          <w:tcPr>
            <w:tcW w:w="992" w:type="dxa"/>
            <w:shd w:val="clear" w:color="auto" w:fill="C6EFCE"/>
            <w:noWrap/>
            <w:vAlign w:val="center"/>
          </w:tcPr>
          <w:p w14:paraId="667A0BB9" w14:textId="77777777" w:rsidR="00C972CB" w:rsidRDefault="002457F6">
            <w:pPr>
              <w:pStyle w:val="P68B1DB1-Normal36"/>
              <w:spacing w:before="120" w:after="120"/>
              <w:jc w:val="center"/>
              <w:rPr>
                <w:noProof/>
                <w:color w:val="006100"/>
              </w:rPr>
            </w:pPr>
            <w:r>
              <w:rPr>
                <w:noProof/>
              </w:rPr>
              <w:t>0</w:t>
            </w:r>
          </w:p>
        </w:tc>
        <w:tc>
          <w:tcPr>
            <w:tcW w:w="850" w:type="dxa"/>
            <w:shd w:val="clear" w:color="auto" w:fill="C6EFCE"/>
            <w:noWrap/>
            <w:vAlign w:val="center"/>
          </w:tcPr>
          <w:p w14:paraId="7320A347" w14:textId="5EF4F6DC" w:rsidR="00C972CB" w:rsidRDefault="002457F6">
            <w:pPr>
              <w:pStyle w:val="P68B1DB1-Normal19"/>
              <w:spacing w:before="120" w:after="120"/>
              <w:jc w:val="center"/>
              <w:rPr>
                <w:noProof/>
                <w:color w:val="006100"/>
              </w:rPr>
            </w:pPr>
            <w:r>
              <w:rPr>
                <w:noProof/>
                <w:color w:val="006600"/>
              </w:rPr>
              <w:t>3</w:t>
            </w:r>
            <w:r>
              <w:rPr>
                <w:noProof/>
                <w:color w:val="006100"/>
              </w:rPr>
              <w:t xml:space="preserve"> </w:t>
            </w:r>
            <w:r>
              <w:rPr>
                <w:noProof/>
                <w:color w:val="006600"/>
              </w:rPr>
              <w:t>100</w:t>
            </w:r>
          </w:p>
        </w:tc>
        <w:tc>
          <w:tcPr>
            <w:tcW w:w="851" w:type="dxa"/>
            <w:shd w:val="clear" w:color="auto" w:fill="C6EFCE"/>
            <w:noWrap/>
            <w:vAlign w:val="center"/>
          </w:tcPr>
          <w:p w14:paraId="4624CA49" w14:textId="77777777" w:rsidR="00C972CB" w:rsidRDefault="002457F6">
            <w:pPr>
              <w:pStyle w:val="P68B1DB1-Normal36"/>
              <w:spacing w:before="120" w:after="120"/>
              <w:jc w:val="center"/>
              <w:rPr>
                <w:noProof/>
              </w:rPr>
            </w:pPr>
            <w:r>
              <w:rPr>
                <w:noProof/>
              </w:rPr>
              <w:t>2. CET.</w:t>
            </w:r>
          </w:p>
        </w:tc>
        <w:tc>
          <w:tcPr>
            <w:tcW w:w="709" w:type="dxa"/>
            <w:shd w:val="clear" w:color="auto" w:fill="C6EFCE"/>
            <w:noWrap/>
            <w:vAlign w:val="center"/>
          </w:tcPr>
          <w:p w14:paraId="0C713727" w14:textId="77777777" w:rsidR="00C972CB" w:rsidRDefault="002457F6">
            <w:pPr>
              <w:pStyle w:val="P68B1DB1-Normal36"/>
              <w:spacing w:before="120" w:after="120"/>
              <w:jc w:val="center"/>
              <w:rPr>
                <w:noProof/>
              </w:rPr>
            </w:pPr>
            <w:r>
              <w:rPr>
                <w:noProof/>
              </w:rPr>
              <w:t>2026</w:t>
            </w:r>
          </w:p>
        </w:tc>
        <w:tc>
          <w:tcPr>
            <w:tcW w:w="2835" w:type="dxa"/>
            <w:shd w:val="clear" w:color="auto" w:fill="C6EFCE"/>
            <w:noWrap/>
            <w:vAlign w:val="center"/>
          </w:tcPr>
          <w:p w14:paraId="6E5D8478" w14:textId="77777777" w:rsidR="00C972CB" w:rsidRDefault="002457F6">
            <w:pPr>
              <w:pStyle w:val="P68B1DB1-Normal36"/>
              <w:spacing w:before="120" w:after="120"/>
              <w:rPr>
                <w:rFonts w:eastAsia="Calibri"/>
                <w:noProof/>
              </w:rPr>
            </w:pPr>
            <w:r>
              <w:rPr>
                <w:noProof/>
              </w:rPr>
              <w:t>Aizstājamo iekārtu skaits un tipoloģijas ir šādas: 340 CT (datortomogrāfija) ar 128 šķēlēm vai vairāk, 190 NMR (kodolmagnētiskā rezonanse) pie 1,5 T vai vairāk, 81 lineārais paātrinātājs, 937 fiksētās rentgena sistēmas, 193 Angi</w:t>
            </w:r>
            <w:r>
              <w:rPr>
                <w:noProof/>
              </w:rPr>
              <w:t>ogrāfija, 82 Gamma kameras, 53 Gamma kameras/CT (datortomogrāfija), 34 PET (pozitronu emisijas tomogrāfija) CT (datortomogrāfija), 295 Mamogrāfija, 928 ultraskaņa).</w:t>
            </w:r>
          </w:p>
          <w:p w14:paraId="14AFDD5E" w14:textId="3D0A1557" w:rsidR="00C972CB" w:rsidRDefault="002457F6">
            <w:pPr>
              <w:pStyle w:val="P68B1DB1-Normal36"/>
              <w:spacing w:before="120" w:after="120"/>
              <w:rPr>
                <w:noProof/>
                <w:color w:val="006100"/>
              </w:rPr>
            </w:pPr>
            <w:r>
              <w:rPr>
                <w:noProof/>
              </w:rPr>
              <w:t>Aizstātās iekārtas likvidēs vai atkārtoti izmantos citās NHS vietās.</w:t>
            </w:r>
          </w:p>
        </w:tc>
      </w:tr>
      <w:tr w:rsidR="00C972CB" w14:paraId="58D18F6A" w14:textId="77777777">
        <w:trPr>
          <w:trHeight w:val="313"/>
          <w:jc w:val="center"/>
        </w:trPr>
        <w:tc>
          <w:tcPr>
            <w:tcW w:w="1129" w:type="dxa"/>
            <w:shd w:val="clear" w:color="auto" w:fill="C6EFCE"/>
            <w:noWrap/>
            <w:vAlign w:val="center"/>
          </w:tcPr>
          <w:p w14:paraId="658E8ED0" w14:textId="77777777" w:rsidR="00C972CB" w:rsidRDefault="002457F6">
            <w:pPr>
              <w:pStyle w:val="P68B1DB1-Normal11"/>
              <w:spacing w:before="120" w:after="120"/>
              <w:jc w:val="center"/>
              <w:rPr>
                <w:noProof/>
              </w:rPr>
            </w:pPr>
            <w:r>
              <w:rPr>
                <w:noProof/>
              </w:rPr>
              <w:t>M6C2–7</w:t>
            </w:r>
          </w:p>
        </w:tc>
        <w:tc>
          <w:tcPr>
            <w:tcW w:w="1701" w:type="dxa"/>
            <w:shd w:val="clear" w:color="auto" w:fill="C6EFCE"/>
            <w:noWrap/>
            <w:vAlign w:val="center"/>
          </w:tcPr>
          <w:p w14:paraId="2909A299" w14:textId="77777777" w:rsidR="00C972CB" w:rsidRDefault="002457F6">
            <w:pPr>
              <w:pStyle w:val="P68B1DB1-Normal36"/>
              <w:spacing w:before="120" w:after="120"/>
              <w:jc w:val="center"/>
              <w:rPr>
                <w:noProof/>
                <w:color w:val="006100"/>
              </w:rPr>
            </w:pPr>
            <w:r>
              <w:rPr>
                <w:noProof/>
              </w:rPr>
              <w:t xml:space="preserve">Ieguldījums </w:t>
            </w:r>
            <w:r>
              <w:rPr>
                <w:noProof/>
              </w:rPr>
              <w:t>1.1: Slimnīcu tehnoloģiskā aprīkojuma digitālā atjaunināšana</w:t>
            </w:r>
          </w:p>
        </w:tc>
        <w:tc>
          <w:tcPr>
            <w:tcW w:w="1134" w:type="dxa"/>
            <w:shd w:val="clear" w:color="auto" w:fill="C6EFCE"/>
            <w:noWrap/>
            <w:vAlign w:val="center"/>
          </w:tcPr>
          <w:p w14:paraId="71AF83AC" w14:textId="77777777" w:rsidR="00C972CB" w:rsidRDefault="002457F6">
            <w:pPr>
              <w:pStyle w:val="P68B1DB1-Normal36"/>
              <w:spacing w:before="120" w:after="120"/>
              <w:jc w:val="center"/>
              <w:rPr>
                <w:noProof/>
                <w:color w:val="006100"/>
              </w:rPr>
            </w:pPr>
            <w:r>
              <w:rPr>
                <w:noProof/>
              </w:rPr>
              <w:t>Starpposma mērķis</w:t>
            </w:r>
          </w:p>
        </w:tc>
        <w:tc>
          <w:tcPr>
            <w:tcW w:w="1560" w:type="dxa"/>
            <w:shd w:val="clear" w:color="auto" w:fill="C6EFCE"/>
            <w:noWrap/>
            <w:vAlign w:val="center"/>
          </w:tcPr>
          <w:p w14:paraId="755B513F" w14:textId="77777777" w:rsidR="00C972CB" w:rsidRDefault="002457F6">
            <w:pPr>
              <w:pStyle w:val="P68B1DB1-Normal36"/>
              <w:spacing w:before="120" w:after="120"/>
              <w:jc w:val="center"/>
              <w:rPr>
                <w:noProof/>
                <w:color w:val="006100"/>
              </w:rPr>
            </w:pPr>
            <w:r>
              <w:rPr>
                <w:noProof/>
              </w:rPr>
              <w:t>Visu publiskā iepirkuma līgumu slēgšanas tiesību piešķiršana</w:t>
            </w:r>
          </w:p>
        </w:tc>
        <w:tc>
          <w:tcPr>
            <w:tcW w:w="1559" w:type="dxa"/>
            <w:shd w:val="clear" w:color="auto" w:fill="C6EFCE"/>
            <w:noWrap/>
            <w:vAlign w:val="center"/>
          </w:tcPr>
          <w:p w14:paraId="4B48D027" w14:textId="77777777" w:rsidR="00C972CB" w:rsidRDefault="002457F6">
            <w:pPr>
              <w:pStyle w:val="P68B1DB1-Normal36"/>
              <w:spacing w:before="120" w:after="120"/>
              <w:jc w:val="center"/>
              <w:rPr>
                <w:noProof/>
                <w:color w:val="006100"/>
              </w:rPr>
            </w:pPr>
            <w:r>
              <w:rPr>
                <w:noProof/>
              </w:rPr>
              <w:t>Paziņošana par visiem piešķirtajiem publiskajiem līgumiem.</w:t>
            </w:r>
          </w:p>
        </w:tc>
        <w:tc>
          <w:tcPr>
            <w:tcW w:w="1276" w:type="dxa"/>
            <w:shd w:val="clear" w:color="auto" w:fill="C6EFCE"/>
            <w:noWrap/>
            <w:vAlign w:val="center"/>
          </w:tcPr>
          <w:p w14:paraId="43664228" w14:textId="77777777" w:rsidR="00C972CB" w:rsidRDefault="002457F6">
            <w:pPr>
              <w:pStyle w:val="P68B1DB1-Normal36"/>
              <w:spacing w:before="120" w:after="120"/>
              <w:jc w:val="center"/>
              <w:rPr>
                <w:noProof/>
                <w:color w:val="006100"/>
              </w:rPr>
            </w:pPr>
            <w:r>
              <w:rPr>
                <w:noProof/>
              </w:rPr>
              <w:t>NEPIEMĒRO</w:t>
            </w:r>
          </w:p>
        </w:tc>
        <w:tc>
          <w:tcPr>
            <w:tcW w:w="992" w:type="dxa"/>
            <w:shd w:val="clear" w:color="auto" w:fill="C6EFCE"/>
            <w:noWrap/>
            <w:vAlign w:val="center"/>
          </w:tcPr>
          <w:p w14:paraId="4504D824" w14:textId="77777777" w:rsidR="00C972CB" w:rsidRDefault="002457F6">
            <w:pPr>
              <w:pStyle w:val="P68B1DB1-Normal36"/>
              <w:spacing w:before="120" w:after="120"/>
              <w:jc w:val="center"/>
              <w:rPr>
                <w:noProof/>
                <w:color w:val="006100"/>
              </w:rPr>
            </w:pPr>
            <w:r>
              <w:rPr>
                <w:noProof/>
              </w:rPr>
              <w:t>NEPIEMĒRO</w:t>
            </w:r>
          </w:p>
        </w:tc>
        <w:tc>
          <w:tcPr>
            <w:tcW w:w="850" w:type="dxa"/>
            <w:shd w:val="clear" w:color="auto" w:fill="C6EFCE"/>
            <w:noWrap/>
            <w:vAlign w:val="center"/>
          </w:tcPr>
          <w:p w14:paraId="65E4AE39" w14:textId="77777777" w:rsidR="00C972CB" w:rsidRDefault="002457F6">
            <w:pPr>
              <w:pStyle w:val="P68B1DB1-Normal36"/>
              <w:spacing w:before="120" w:after="120"/>
              <w:jc w:val="center"/>
              <w:rPr>
                <w:noProof/>
                <w:color w:val="006100"/>
              </w:rPr>
            </w:pPr>
            <w:r>
              <w:rPr>
                <w:noProof/>
              </w:rPr>
              <w:t>NEPIEMĒRO</w:t>
            </w:r>
          </w:p>
        </w:tc>
        <w:tc>
          <w:tcPr>
            <w:tcW w:w="851" w:type="dxa"/>
            <w:shd w:val="clear" w:color="auto" w:fill="C6EFCE"/>
            <w:noWrap/>
            <w:vAlign w:val="center"/>
          </w:tcPr>
          <w:p w14:paraId="10FCB60C" w14:textId="77777777" w:rsidR="00C972CB" w:rsidRDefault="002457F6">
            <w:pPr>
              <w:pStyle w:val="P68B1DB1-Normal36"/>
              <w:spacing w:before="120" w:after="120"/>
              <w:jc w:val="center"/>
              <w:rPr>
                <w:noProof/>
                <w:color w:val="006100"/>
              </w:rPr>
            </w:pPr>
            <w:r>
              <w:rPr>
                <w:noProof/>
              </w:rPr>
              <w:t>4. CET.</w:t>
            </w:r>
          </w:p>
        </w:tc>
        <w:tc>
          <w:tcPr>
            <w:tcW w:w="709" w:type="dxa"/>
            <w:shd w:val="clear" w:color="auto" w:fill="C6EFCE"/>
            <w:noWrap/>
            <w:vAlign w:val="center"/>
          </w:tcPr>
          <w:p w14:paraId="49E0AF11" w14:textId="77777777" w:rsidR="00C972CB" w:rsidRDefault="002457F6">
            <w:pPr>
              <w:pStyle w:val="P68B1DB1-Normal36"/>
              <w:spacing w:before="120" w:after="120"/>
              <w:jc w:val="center"/>
              <w:rPr>
                <w:noProof/>
                <w:color w:val="006100"/>
              </w:rPr>
            </w:pPr>
            <w:r>
              <w:rPr>
                <w:noProof/>
              </w:rPr>
              <w:t>2022</w:t>
            </w:r>
          </w:p>
        </w:tc>
        <w:tc>
          <w:tcPr>
            <w:tcW w:w="2835" w:type="dxa"/>
            <w:shd w:val="clear" w:color="auto" w:fill="C6EFCE"/>
            <w:noWrap/>
            <w:vAlign w:val="center"/>
          </w:tcPr>
          <w:p w14:paraId="4BA90EAB" w14:textId="77777777" w:rsidR="00C972CB" w:rsidRDefault="002457F6">
            <w:pPr>
              <w:pStyle w:val="P68B1DB1-Normal36"/>
              <w:spacing w:before="120" w:after="120"/>
              <w:rPr>
                <w:noProof/>
              </w:rPr>
            </w:pPr>
            <w:r>
              <w:rPr>
                <w:noProof/>
              </w:rPr>
              <w:t xml:space="preserve">Konkursa </w:t>
            </w:r>
            <w:r>
              <w:rPr>
                <w:noProof/>
              </w:rPr>
              <w:t>procedūru publicēšana (Consip pamatnolīgums) un līgumu slēgšana ar pakalpojumu sniedzējiem un to slimnīcu digitalizācija, kas klasificētas kā DEA I un II līmenis)</w:t>
            </w:r>
          </w:p>
          <w:p w14:paraId="2FA49AC0" w14:textId="77777777" w:rsidR="00C972CB" w:rsidRDefault="002457F6">
            <w:pPr>
              <w:pStyle w:val="P68B1DB1-Normal36"/>
              <w:spacing w:before="120" w:after="120"/>
              <w:rPr>
                <w:noProof/>
                <w:color w:val="006100"/>
              </w:rPr>
            </w:pPr>
            <w:r>
              <w:rPr>
                <w:noProof/>
              </w:rPr>
              <w:t>Līgumi ietver: datu apstrādes centrs (DPC), tostarp IKT un jebkādi palīgdarbi, kas vajadzīgi,</w:t>
            </w:r>
            <w:r>
              <w:rPr>
                <w:noProof/>
              </w:rPr>
              <w:t xml:space="preserve"> lai datorizētu visu slimnīcu struktūru, b) datortehnikas un/vai programmatūras informācijas tehnoloģijas, elektromedicīnas tehnoloģiju, kā arī papildu tehnoloģiju un jebkādu palīgdarbu iegāde, kas vajadzīgi slimnīcu nodaļu datorizācijai. Pašreizējā digita</w:t>
            </w:r>
            <w:r>
              <w:rPr>
                <w:noProof/>
              </w:rPr>
              <w:t>lizēšanas līmeņa novērtējums pirms intervences īstenošanas ļauj precizēt šo novērtējumu atbilstoši katra reģiona/slimnīcas faktiskajām vajadzībām.</w:t>
            </w:r>
          </w:p>
        </w:tc>
      </w:tr>
      <w:tr w:rsidR="00C972CB" w14:paraId="3FD8D62D" w14:textId="77777777">
        <w:trPr>
          <w:trHeight w:val="313"/>
          <w:jc w:val="center"/>
        </w:trPr>
        <w:tc>
          <w:tcPr>
            <w:tcW w:w="1129" w:type="dxa"/>
            <w:shd w:val="clear" w:color="auto" w:fill="C6EFCE"/>
            <w:noWrap/>
            <w:vAlign w:val="center"/>
          </w:tcPr>
          <w:p w14:paraId="7A77C346" w14:textId="77777777" w:rsidR="00C972CB" w:rsidRDefault="002457F6">
            <w:pPr>
              <w:pStyle w:val="P68B1DB1-Normal11"/>
              <w:spacing w:before="120" w:after="120"/>
              <w:jc w:val="center"/>
              <w:rPr>
                <w:noProof/>
              </w:rPr>
            </w:pPr>
            <w:r>
              <w:rPr>
                <w:noProof/>
              </w:rPr>
              <w:t>M6C2–8</w:t>
            </w:r>
          </w:p>
        </w:tc>
        <w:tc>
          <w:tcPr>
            <w:tcW w:w="1701" w:type="dxa"/>
            <w:shd w:val="clear" w:color="auto" w:fill="C6EFCE"/>
            <w:noWrap/>
            <w:vAlign w:val="center"/>
          </w:tcPr>
          <w:p w14:paraId="5F8B589A" w14:textId="77777777" w:rsidR="00C972CB" w:rsidRDefault="002457F6">
            <w:pPr>
              <w:pStyle w:val="P68B1DB1-Normal36"/>
              <w:spacing w:before="120" w:after="120"/>
              <w:jc w:val="center"/>
              <w:rPr>
                <w:noProof/>
                <w:color w:val="006100"/>
              </w:rPr>
            </w:pPr>
            <w:r>
              <w:rPr>
                <w:noProof/>
              </w:rPr>
              <w:t>Ieguldījums 1.1: Slimnīcu tehnoloģiskā aprīkojuma digitālā atjaunināšana</w:t>
            </w:r>
          </w:p>
        </w:tc>
        <w:tc>
          <w:tcPr>
            <w:tcW w:w="1134" w:type="dxa"/>
            <w:shd w:val="clear" w:color="auto" w:fill="C6EFCE"/>
            <w:noWrap/>
            <w:vAlign w:val="center"/>
          </w:tcPr>
          <w:p w14:paraId="7FD2F5AA" w14:textId="77777777" w:rsidR="00C972CB" w:rsidRDefault="002457F6">
            <w:pPr>
              <w:pStyle w:val="P68B1DB1-Normal36"/>
              <w:spacing w:before="120" w:after="120"/>
              <w:jc w:val="center"/>
              <w:rPr>
                <w:noProof/>
                <w:color w:val="006100"/>
              </w:rPr>
            </w:pPr>
            <w:r>
              <w:rPr>
                <w:noProof/>
              </w:rPr>
              <w:t>Mērķa</w:t>
            </w:r>
          </w:p>
        </w:tc>
        <w:tc>
          <w:tcPr>
            <w:tcW w:w="1560" w:type="dxa"/>
            <w:shd w:val="clear" w:color="auto" w:fill="C6EFCE"/>
            <w:noWrap/>
            <w:vAlign w:val="center"/>
          </w:tcPr>
          <w:p w14:paraId="5B278646" w14:textId="77777777" w:rsidR="00C972CB" w:rsidRDefault="002457F6">
            <w:pPr>
              <w:pStyle w:val="P68B1DB1-Normal36"/>
              <w:spacing w:before="120" w:after="120"/>
              <w:jc w:val="center"/>
              <w:rPr>
                <w:rFonts w:eastAsia="Calibri"/>
                <w:noProof/>
              </w:rPr>
            </w:pPr>
            <w:r>
              <w:rPr>
                <w:noProof/>
              </w:rPr>
              <w:t xml:space="preserve">Slimnīcas tiek </w:t>
            </w:r>
            <w:r>
              <w:rPr>
                <w:noProof/>
              </w:rPr>
              <w:t>digitalizētas (DEA — Ārkārtas un uzņemšanas departamenti — I un II līmenis)</w:t>
            </w:r>
          </w:p>
        </w:tc>
        <w:tc>
          <w:tcPr>
            <w:tcW w:w="1559" w:type="dxa"/>
            <w:shd w:val="clear" w:color="auto" w:fill="C6EFCE"/>
            <w:noWrap/>
            <w:vAlign w:val="center"/>
          </w:tcPr>
          <w:p w14:paraId="16570DAA" w14:textId="77777777" w:rsidR="00C972CB" w:rsidRDefault="002457F6">
            <w:pPr>
              <w:pStyle w:val="P68B1DB1-Normal36"/>
              <w:spacing w:before="120" w:after="120"/>
              <w:jc w:val="center"/>
              <w:rPr>
                <w:noProof/>
                <w:color w:val="006100"/>
              </w:rPr>
            </w:pPr>
            <w:r>
              <w:rPr>
                <w:noProof/>
              </w:rPr>
              <w:t>NEPIEMĒRO</w:t>
            </w:r>
          </w:p>
        </w:tc>
        <w:tc>
          <w:tcPr>
            <w:tcW w:w="1276" w:type="dxa"/>
            <w:shd w:val="clear" w:color="auto" w:fill="C6EFCE"/>
            <w:noWrap/>
            <w:vAlign w:val="center"/>
          </w:tcPr>
          <w:p w14:paraId="24B3EB41" w14:textId="77777777" w:rsidR="00C972CB" w:rsidRDefault="002457F6">
            <w:pPr>
              <w:pStyle w:val="P68B1DB1-Normal36"/>
              <w:spacing w:before="120" w:after="120"/>
              <w:jc w:val="center"/>
              <w:rPr>
                <w:rFonts w:eastAsia="Calibri"/>
                <w:noProof/>
              </w:rPr>
            </w:pPr>
            <w:r>
              <w:rPr>
                <w:noProof/>
              </w:rPr>
              <w:t xml:space="preserve">Skaits </w:t>
            </w:r>
          </w:p>
        </w:tc>
        <w:tc>
          <w:tcPr>
            <w:tcW w:w="992" w:type="dxa"/>
            <w:shd w:val="clear" w:color="auto" w:fill="C6EFCE"/>
            <w:noWrap/>
            <w:vAlign w:val="center"/>
          </w:tcPr>
          <w:p w14:paraId="2554F4CE" w14:textId="77777777" w:rsidR="00C972CB" w:rsidRDefault="002457F6">
            <w:pPr>
              <w:pStyle w:val="P68B1DB1-Normal36"/>
              <w:spacing w:before="120" w:after="120"/>
              <w:jc w:val="center"/>
              <w:rPr>
                <w:noProof/>
                <w:color w:val="006100"/>
              </w:rPr>
            </w:pPr>
            <w:r>
              <w:rPr>
                <w:noProof/>
              </w:rPr>
              <w:t>0</w:t>
            </w:r>
          </w:p>
        </w:tc>
        <w:tc>
          <w:tcPr>
            <w:tcW w:w="850" w:type="dxa"/>
            <w:shd w:val="clear" w:color="auto" w:fill="C6EFCE"/>
            <w:noWrap/>
            <w:vAlign w:val="center"/>
          </w:tcPr>
          <w:p w14:paraId="474054A8" w14:textId="77777777" w:rsidR="00C972CB" w:rsidRDefault="002457F6">
            <w:pPr>
              <w:pStyle w:val="P68B1DB1-Normal36"/>
              <w:spacing w:before="120" w:after="120"/>
              <w:jc w:val="center"/>
              <w:rPr>
                <w:noProof/>
                <w:color w:val="006100"/>
              </w:rPr>
            </w:pPr>
            <w:r>
              <w:rPr>
                <w:noProof/>
              </w:rPr>
              <w:t>280</w:t>
            </w:r>
          </w:p>
        </w:tc>
        <w:tc>
          <w:tcPr>
            <w:tcW w:w="851" w:type="dxa"/>
            <w:shd w:val="clear" w:color="auto" w:fill="C6EFCE"/>
            <w:noWrap/>
            <w:vAlign w:val="center"/>
          </w:tcPr>
          <w:p w14:paraId="09FC985C" w14:textId="77777777" w:rsidR="00C972CB" w:rsidRDefault="002457F6">
            <w:pPr>
              <w:pStyle w:val="P68B1DB1-Normal36"/>
              <w:spacing w:before="120" w:after="120"/>
              <w:jc w:val="center"/>
              <w:rPr>
                <w:noProof/>
                <w:color w:val="006100"/>
              </w:rPr>
            </w:pPr>
            <w:r>
              <w:rPr>
                <w:noProof/>
              </w:rPr>
              <w:t>4. CET.</w:t>
            </w:r>
          </w:p>
        </w:tc>
        <w:tc>
          <w:tcPr>
            <w:tcW w:w="709" w:type="dxa"/>
            <w:shd w:val="clear" w:color="auto" w:fill="C6EFCE"/>
            <w:noWrap/>
            <w:vAlign w:val="center"/>
          </w:tcPr>
          <w:p w14:paraId="3A6DC768" w14:textId="77777777" w:rsidR="00C972CB" w:rsidRDefault="002457F6">
            <w:pPr>
              <w:pStyle w:val="P68B1DB1-Normal36"/>
              <w:spacing w:before="120" w:after="120"/>
              <w:jc w:val="center"/>
              <w:rPr>
                <w:noProof/>
                <w:color w:val="006100"/>
              </w:rPr>
            </w:pPr>
            <w:r>
              <w:rPr>
                <w:noProof/>
              </w:rPr>
              <w:t>2025</w:t>
            </w:r>
          </w:p>
        </w:tc>
        <w:tc>
          <w:tcPr>
            <w:tcW w:w="2835" w:type="dxa"/>
            <w:shd w:val="clear" w:color="auto" w:fill="C6EFCE"/>
            <w:noWrap/>
            <w:vAlign w:val="center"/>
          </w:tcPr>
          <w:p w14:paraId="2087AD49" w14:textId="77777777" w:rsidR="00C972CB" w:rsidRDefault="002457F6">
            <w:pPr>
              <w:pStyle w:val="P68B1DB1-Normal36"/>
              <w:spacing w:before="120" w:after="120"/>
              <w:rPr>
                <w:noProof/>
              </w:rPr>
            </w:pPr>
            <w:r>
              <w:rPr>
                <w:noProof/>
              </w:rPr>
              <w:t>Katrai digitalizētajai slimnīcai ir datu apstrādes centrs (DPC), kas vajadzīgs, lai nodrošinātu visas slimnīcas struktūras datorizāciju un piet</w:t>
            </w:r>
            <w:r>
              <w:rPr>
                <w:noProof/>
              </w:rPr>
              <w:t>iekamu datortehnikas un/vai programmatūras informācijas tehnoloģiju, elektromedicīniskās tehnoloģijas, kā arī papildu tehnoloģijas, kas vajadzīgas, lai panāktu katras slimnīcas nodaļas datorizāciju.</w:t>
            </w:r>
          </w:p>
          <w:p w14:paraId="100F8E75" w14:textId="75EB6615" w:rsidR="00C972CB" w:rsidRDefault="002457F6">
            <w:pPr>
              <w:pStyle w:val="P68B1DB1-Normal36"/>
              <w:spacing w:before="120" w:after="120"/>
              <w:rPr>
                <w:noProof/>
                <w:color w:val="006100"/>
              </w:rPr>
            </w:pPr>
            <w:bookmarkStart w:id="5" w:name="_Hlk149126432"/>
            <w:r>
              <w:rPr>
                <w:noProof/>
              </w:rPr>
              <w:t>Papildus tiem, kas noslēgti līdz 2022. gada 31. decembrim</w:t>
            </w:r>
            <w:r>
              <w:rPr>
                <w:noProof/>
              </w:rPr>
              <w:t>, Consip darīti pieejami iepirkuma instrumenti, kā arī Mepa/SDAPA ir atļauti papildu pirkumiem.</w:t>
            </w:r>
            <w:bookmarkEnd w:id="5"/>
          </w:p>
        </w:tc>
      </w:tr>
      <w:tr w:rsidR="00C972CB" w14:paraId="4537CA75" w14:textId="77777777">
        <w:trPr>
          <w:trHeight w:val="313"/>
          <w:jc w:val="center"/>
        </w:trPr>
        <w:tc>
          <w:tcPr>
            <w:tcW w:w="1129" w:type="dxa"/>
            <w:shd w:val="clear" w:color="auto" w:fill="C6EFCE"/>
            <w:noWrap/>
            <w:vAlign w:val="center"/>
          </w:tcPr>
          <w:p w14:paraId="7C9D549C" w14:textId="77777777" w:rsidR="00C972CB" w:rsidRDefault="002457F6">
            <w:pPr>
              <w:pStyle w:val="P68B1DB1-Normal11"/>
              <w:spacing w:before="120" w:after="120"/>
              <w:jc w:val="center"/>
              <w:rPr>
                <w:noProof/>
              </w:rPr>
            </w:pPr>
            <w:r>
              <w:rPr>
                <w:noProof/>
              </w:rPr>
              <w:t>M6C2–9</w:t>
            </w:r>
          </w:p>
        </w:tc>
        <w:tc>
          <w:tcPr>
            <w:tcW w:w="1701" w:type="dxa"/>
            <w:shd w:val="clear" w:color="auto" w:fill="C6EFCE"/>
            <w:noWrap/>
            <w:vAlign w:val="center"/>
          </w:tcPr>
          <w:p w14:paraId="3AC3E3D3" w14:textId="77777777" w:rsidR="00C972CB" w:rsidRDefault="002457F6">
            <w:pPr>
              <w:pStyle w:val="P68B1DB1-Normal36"/>
              <w:spacing w:before="120" w:after="120"/>
              <w:jc w:val="center"/>
              <w:rPr>
                <w:noProof/>
                <w:color w:val="006100"/>
              </w:rPr>
            </w:pPr>
            <w:r>
              <w:rPr>
                <w:noProof/>
              </w:rPr>
              <w:t>Ieguldījums 1.1: Slimnīcu tehnoloģiskā aprīkojuma digitālā atjaunināšana</w:t>
            </w:r>
          </w:p>
        </w:tc>
        <w:tc>
          <w:tcPr>
            <w:tcW w:w="1134" w:type="dxa"/>
            <w:shd w:val="clear" w:color="auto" w:fill="C6EFCE"/>
            <w:noWrap/>
            <w:vAlign w:val="center"/>
          </w:tcPr>
          <w:p w14:paraId="0807F8F0" w14:textId="77777777" w:rsidR="00C972CB" w:rsidRDefault="002457F6">
            <w:pPr>
              <w:pStyle w:val="P68B1DB1-Normal36"/>
              <w:spacing w:before="120" w:after="120"/>
              <w:jc w:val="center"/>
              <w:rPr>
                <w:noProof/>
                <w:color w:val="006100"/>
              </w:rPr>
            </w:pPr>
            <w:r>
              <w:rPr>
                <w:noProof/>
              </w:rPr>
              <w:t>Mērķa</w:t>
            </w:r>
          </w:p>
        </w:tc>
        <w:tc>
          <w:tcPr>
            <w:tcW w:w="1560" w:type="dxa"/>
            <w:shd w:val="clear" w:color="auto" w:fill="C6EFCE"/>
            <w:noWrap/>
            <w:vAlign w:val="center"/>
          </w:tcPr>
          <w:p w14:paraId="1DD8D29D" w14:textId="5B2524B1" w:rsidR="00C972CB" w:rsidRDefault="002457F6">
            <w:pPr>
              <w:pStyle w:val="P68B1DB1-Normal36"/>
              <w:spacing w:before="120" w:after="120"/>
              <w:jc w:val="center"/>
              <w:rPr>
                <w:noProof/>
              </w:rPr>
            </w:pPr>
            <w:r>
              <w:rPr>
                <w:noProof/>
              </w:rPr>
              <w:t>Papildu gultas, ko nodrošina ICU, un subintensīvā aprūpe</w:t>
            </w:r>
          </w:p>
        </w:tc>
        <w:tc>
          <w:tcPr>
            <w:tcW w:w="1559" w:type="dxa"/>
            <w:shd w:val="clear" w:color="auto" w:fill="C6EFCE"/>
            <w:noWrap/>
            <w:vAlign w:val="center"/>
          </w:tcPr>
          <w:p w14:paraId="22148736" w14:textId="77777777" w:rsidR="00C972CB" w:rsidRDefault="002457F6">
            <w:pPr>
              <w:pStyle w:val="P68B1DB1-Normal36"/>
              <w:spacing w:before="120" w:after="120"/>
              <w:jc w:val="center"/>
              <w:rPr>
                <w:noProof/>
                <w:color w:val="006100"/>
              </w:rPr>
            </w:pPr>
            <w:r>
              <w:rPr>
                <w:noProof/>
              </w:rPr>
              <w:t>NEPIEMĒRO</w:t>
            </w:r>
          </w:p>
        </w:tc>
        <w:tc>
          <w:tcPr>
            <w:tcW w:w="1276" w:type="dxa"/>
            <w:shd w:val="clear" w:color="auto" w:fill="C6EFCE"/>
            <w:noWrap/>
            <w:vAlign w:val="center"/>
          </w:tcPr>
          <w:p w14:paraId="0893E29C" w14:textId="77777777" w:rsidR="00C972CB" w:rsidRDefault="002457F6">
            <w:pPr>
              <w:pStyle w:val="P68B1DB1-Normal36"/>
              <w:spacing w:before="120" w:after="120"/>
              <w:jc w:val="center"/>
              <w:rPr>
                <w:rFonts w:eastAsia="Calibri"/>
                <w:noProof/>
              </w:rPr>
            </w:pPr>
            <w:r>
              <w:rPr>
                <w:noProof/>
              </w:rPr>
              <w:t xml:space="preserve">Skaits </w:t>
            </w:r>
          </w:p>
        </w:tc>
        <w:tc>
          <w:tcPr>
            <w:tcW w:w="992" w:type="dxa"/>
            <w:shd w:val="clear" w:color="auto" w:fill="C6EFCE"/>
            <w:noWrap/>
            <w:vAlign w:val="center"/>
          </w:tcPr>
          <w:p w14:paraId="2C6932CB" w14:textId="77777777" w:rsidR="00C972CB" w:rsidRDefault="002457F6">
            <w:pPr>
              <w:pStyle w:val="P68B1DB1-Normal36"/>
              <w:spacing w:before="120" w:after="120"/>
              <w:jc w:val="center"/>
              <w:rPr>
                <w:noProof/>
                <w:color w:val="006100"/>
              </w:rPr>
            </w:pPr>
            <w:r>
              <w:rPr>
                <w:noProof/>
              </w:rPr>
              <w:t>0</w:t>
            </w:r>
          </w:p>
        </w:tc>
        <w:tc>
          <w:tcPr>
            <w:tcW w:w="850" w:type="dxa"/>
            <w:shd w:val="clear" w:color="auto" w:fill="C6EFCE"/>
            <w:noWrap/>
            <w:vAlign w:val="center"/>
          </w:tcPr>
          <w:p w14:paraId="5ACE7175" w14:textId="18A932DB" w:rsidR="00C972CB" w:rsidRDefault="002457F6">
            <w:pPr>
              <w:pStyle w:val="P68B1DB1-Normal19"/>
              <w:spacing w:before="120" w:after="120"/>
              <w:jc w:val="center"/>
              <w:rPr>
                <w:noProof/>
                <w:color w:val="006100"/>
              </w:rPr>
            </w:pPr>
            <w:r>
              <w:rPr>
                <w:noProof/>
                <w:color w:val="006600"/>
              </w:rPr>
              <w:t>5</w:t>
            </w:r>
            <w:r>
              <w:rPr>
                <w:noProof/>
                <w:color w:val="006100"/>
              </w:rPr>
              <w:t xml:space="preserve"> </w:t>
            </w:r>
            <w:r>
              <w:rPr>
                <w:noProof/>
                <w:color w:val="006600"/>
              </w:rPr>
              <w:t>922</w:t>
            </w:r>
          </w:p>
        </w:tc>
        <w:tc>
          <w:tcPr>
            <w:tcW w:w="851" w:type="dxa"/>
            <w:shd w:val="clear" w:color="auto" w:fill="C6EFCE"/>
            <w:noWrap/>
            <w:vAlign w:val="center"/>
          </w:tcPr>
          <w:p w14:paraId="3CE37BEE" w14:textId="77777777" w:rsidR="00C972CB" w:rsidRDefault="002457F6">
            <w:pPr>
              <w:pStyle w:val="P68B1DB1-Normal36"/>
              <w:spacing w:before="120" w:after="120"/>
              <w:jc w:val="center"/>
              <w:rPr>
                <w:noProof/>
                <w:color w:val="006100"/>
              </w:rPr>
            </w:pPr>
            <w:r>
              <w:rPr>
                <w:noProof/>
              </w:rPr>
              <w:t>2. CET.</w:t>
            </w:r>
          </w:p>
        </w:tc>
        <w:tc>
          <w:tcPr>
            <w:tcW w:w="709" w:type="dxa"/>
            <w:shd w:val="clear" w:color="auto" w:fill="C6EFCE"/>
            <w:noWrap/>
            <w:vAlign w:val="center"/>
          </w:tcPr>
          <w:p w14:paraId="7E163EE9" w14:textId="77777777" w:rsidR="00C972CB" w:rsidRDefault="002457F6">
            <w:pPr>
              <w:pStyle w:val="P68B1DB1-Normal36"/>
              <w:spacing w:before="120" w:after="120"/>
              <w:jc w:val="center"/>
              <w:rPr>
                <w:noProof/>
                <w:color w:val="006100"/>
              </w:rPr>
            </w:pPr>
            <w:r>
              <w:rPr>
                <w:noProof/>
              </w:rPr>
              <w:t>2026</w:t>
            </w:r>
          </w:p>
        </w:tc>
        <w:tc>
          <w:tcPr>
            <w:tcW w:w="2835" w:type="dxa"/>
            <w:shd w:val="clear" w:color="auto" w:fill="C6EFCE"/>
            <w:noWrap/>
            <w:vAlign w:val="center"/>
          </w:tcPr>
          <w:p w14:paraId="36786E9A" w14:textId="4F2C237F" w:rsidR="00C972CB" w:rsidRDefault="002457F6">
            <w:pPr>
              <w:pStyle w:val="P68B1DB1-Normal19"/>
              <w:spacing w:before="120" w:after="120"/>
              <w:rPr>
                <w:rFonts w:eastAsia="Calibri"/>
                <w:noProof/>
                <w:color w:val="006600"/>
              </w:rPr>
            </w:pPr>
            <w:r>
              <w:rPr>
                <w:noProof/>
                <w:color w:val="006600"/>
              </w:rPr>
              <w:t>Vismaz 2692 intensīvās</w:t>
            </w:r>
            <w:r>
              <w:rPr>
                <w:noProof/>
                <w:color w:val="006100"/>
              </w:rPr>
              <w:t xml:space="preserve"> </w:t>
            </w:r>
            <w:r>
              <w:rPr>
                <w:noProof/>
                <w:color w:val="006600"/>
              </w:rPr>
              <w:t>terapijas gultu un 3230</w:t>
            </w:r>
            <w:r>
              <w:rPr>
                <w:noProof/>
                <w:color w:val="006100"/>
              </w:rPr>
              <w:t xml:space="preserve"> </w:t>
            </w:r>
            <w:r>
              <w:rPr>
                <w:noProof/>
                <w:color w:val="006600"/>
              </w:rPr>
              <w:t>gultu nodrošināšana daļēji intensīvā teritorijā ar saistītām ventilācijas iekārtām ir strukturāla (atbilstoši pandēmijas gultu skaita pieaugumam par aptuveni 60 %).</w:t>
            </w:r>
          </w:p>
        </w:tc>
      </w:tr>
      <w:tr w:rsidR="00C972CB" w14:paraId="50A154FD" w14:textId="77777777">
        <w:trPr>
          <w:trHeight w:val="313"/>
          <w:jc w:val="center"/>
        </w:trPr>
        <w:tc>
          <w:tcPr>
            <w:tcW w:w="1129" w:type="dxa"/>
            <w:shd w:val="clear" w:color="auto" w:fill="C6EFCE"/>
            <w:noWrap/>
            <w:vAlign w:val="center"/>
          </w:tcPr>
          <w:p w14:paraId="085ED368" w14:textId="77777777" w:rsidR="00C972CB" w:rsidRDefault="002457F6">
            <w:pPr>
              <w:pStyle w:val="P68B1DB1-Normal11"/>
              <w:spacing w:before="120" w:after="120"/>
              <w:jc w:val="center"/>
              <w:rPr>
                <w:noProof/>
              </w:rPr>
            </w:pPr>
            <w:r>
              <w:rPr>
                <w:noProof/>
              </w:rPr>
              <w:t>M6C2–10</w:t>
            </w:r>
          </w:p>
        </w:tc>
        <w:tc>
          <w:tcPr>
            <w:tcW w:w="1701" w:type="dxa"/>
            <w:shd w:val="clear" w:color="auto" w:fill="C6EFCE"/>
            <w:noWrap/>
            <w:vAlign w:val="center"/>
          </w:tcPr>
          <w:p w14:paraId="38E0FBA6" w14:textId="77777777" w:rsidR="00C972CB" w:rsidRDefault="002457F6">
            <w:pPr>
              <w:pStyle w:val="P68B1DB1-Normal36"/>
              <w:spacing w:before="120" w:after="120"/>
              <w:jc w:val="center"/>
              <w:rPr>
                <w:noProof/>
                <w:color w:val="006100"/>
              </w:rPr>
            </w:pPr>
            <w:r>
              <w:rPr>
                <w:noProof/>
              </w:rPr>
              <w:t>Ieguldījums 1.2: Ceļā uz drošu un ilgtspējīgu slimnīcu</w:t>
            </w:r>
          </w:p>
        </w:tc>
        <w:tc>
          <w:tcPr>
            <w:tcW w:w="1134" w:type="dxa"/>
            <w:shd w:val="clear" w:color="auto" w:fill="C6EFCE"/>
            <w:noWrap/>
            <w:vAlign w:val="center"/>
          </w:tcPr>
          <w:p w14:paraId="2A22D1FE" w14:textId="77777777" w:rsidR="00C972CB" w:rsidRDefault="002457F6">
            <w:pPr>
              <w:pStyle w:val="P68B1DB1-Normal36"/>
              <w:spacing w:before="120" w:after="120"/>
              <w:jc w:val="center"/>
              <w:rPr>
                <w:noProof/>
                <w:color w:val="006100"/>
              </w:rPr>
            </w:pPr>
            <w:r>
              <w:rPr>
                <w:noProof/>
              </w:rPr>
              <w:t>Mērķa</w:t>
            </w:r>
          </w:p>
        </w:tc>
        <w:tc>
          <w:tcPr>
            <w:tcW w:w="1560" w:type="dxa"/>
            <w:shd w:val="clear" w:color="auto" w:fill="C6EFCE"/>
            <w:noWrap/>
            <w:vAlign w:val="center"/>
          </w:tcPr>
          <w:p w14:paraId="14DECA14" w14:textId="77777777" w:rsidR="00C972CB" w:rsidRDefault="002457F6">
            <w:pPr>
              <w:pStyle w:val="P68B1DB1-Normal36"/>
              <w:spacing w:before="120" w:after="120"/>
              <w:jc w:val="center"/>
              <w:rPr>
                <w:rFonts w:eastAsia="Calibri"/>
                <w:noProof/>
              </w:rPr>
            </w:pPr>
            <w:r>
              <w:rPr>
                <w:noProof/>
              </w:rPr>
              <w:t>Ir pabeigta antiseismiska iejaukšanās slimnīcu telpās</w:t>
            </w:r>
          </w:p>
        </w:tc>
        <w:tc>
          <w:tcPr>
            <w:tcW w:w="1559" w:type="dxa"/>
            <w:shd w:val="clear" w:color="auto" w:fill="C6EFCE"/>
            <w:noWrap/>
            <w:vAlign w:val="center"/>
          </w:tcPr>
          <w:p w14:paraId="41FB1BB6" w14:textId="77777777" w:rsidR="00C972CB" w:rsidRDefault="002457F6">
            <w:pPr>
              <w:pStyle w:val="P68B1DB1-Normal36"/>
              <w:spacing w:before="120" w:after="120"/>
              <w:jc w:val="center"/>
              <w:rPr>
                <w:noProof/>
                <w:color w:val="006100"/>
              </w:rPr>
            </w:pPr>
            <w:r>
              <w:rPr>
                <w:noProof/>
              </w:rPr>
              <w:t>NEPIEMĒRO</w:t>
            </w:r>
          </w:p>
        </w:tc>
        <w:tc>
          <w:tcPr>
            <w:tcW w:w="1276" w:type="dxa"/>
            <w:shd w:val="clear" w:color="auto" w:fill="C6EFCE"/>
            <w:noWrap/>
            <w:vAlign w:val="center"/>
          </w:tcPr>
          <w:p w14:paraId="5962E2AB" w14:textId="77777777" w:rsidR="00C972CB" w:rsidRDefault="002457F6">
            <w:pPr>
              <w:pStyle w:val="P68B1DB1-Normal36"/>
              <w:spacing w:before="120" w:after="120"/>
              <w:jc w:val="center"/>
              <w:rPr>
                <w:rFonts w:eastAsia="Calibri"/>
                <w:noProof/>
              </w:rPr>
            </w:pPr>
            <w:r>
              <w:rPr>
                <w:noProof/>
              </w:rPr>
              <w:t xml:space="preserve">Skaits </w:t>
            </w:r>
          </w:p>
        </w:tc>
        <w:tc>
          <w:tcPr>
            <w:tcW w:w="992" w:type="dxa"/>
            <w:shd w:val="clear" w:color="auto" w:fill="C6EFCE"/>
            <w:noWrap/>
            <w:vAlign w:val="center"/>
          </w:tcPr>
          <w:p w14:paraId="419E93E3" w14:textId="77777777" w:rsidR="00C972CB" w:rsidRDefault="002457F6">
            <w:pPr>
              <w:pStyle w:val="P68B1DB1-Normal36"/>
              <w:spacing w:before="120" w:after="120"/>
              <w:jc w:val="center"/>
              <w:rPr>
                <w:noProof/>
                <w:color w:val="006100"/>
              </w:rPr>
            </w:pPr>
            <w:r>
              <w:rPr>
                <w:noProof/>
              </w:rPr>
              <w:t>0</w:t>
            </w:r>
          </w:p>
        </w:tc>
        <w:tc>
          <w:tcPr>
            <w:tcW w:w="850" w:type="dxa"/>
            <w:shd w:val="clear" w:color="auto" w:fill="C6EFCE"/>
            <w:noWrap/>
            <w:vAlign w:val="center"/>
          </w:tcPr>
          <w:p w14:paraId="7B9C362A" w14:textId="10F3809D" w:rsidR="00C972CB" w:rsidRDefault="002457F6">
            <w:pPr>
              <w:pStyle w:val="P68B1DB1-Normal36"/>
              <w:spacing w:before="120" w:after="120"/>
              <w:jc w:val="center"/>
              <w:rPr>
                <w:noProof/>
              </w:rPr>
            </w:pPr>
            <w:r>
              <w:rPr>
                <w:noProof/>
              </w:rPr>
              <w:t>84</w:t>
            </w:r>
          </w:p>
        </w:tc>
        <w:tc>
          <w:tcPr>
            <w:tcW w:w="851" w:type="dxa"/>
            <w:shd w:val="clear" w:color="auto" w:fill="C6EFCE"/>
            <w:noWrap/>
            <w:vAlign w:val="center"/>
          </w:tcPr>
          <w:p w14:paraId="32D6ED22" w14:textId="77777777" w:rsidR="00C972CB" w:rsidRDefault="002457F6">
            <w:pPr>
              <w:pStyle w:val="P68B1DB1-Normal36"/>
              <w:spacing w:before="120" w:after="120"/>
              <w:jc w:val="center"/>
              <w:rPr>
                <w:noProof/>
                <w:color w:val="006100"/>
              </w:rPr>
            </w:pPr>
            <w:r>
              <w:rPr>
                <w:noProof/>
              </w:rPr>
              <w:t>2. CET.</w:t>
            </w:r>
          </w:p>
        </w:tc>
        <w:tc>
          <w:tcPr>
            <w:tcW w:w="709" w:type="dxa"/>
            <w:shd w:val="clear" w:color="auto" w:fill="C6EFCE"/>
            <w:noWrap/>
            <w:vAlign w:val="center"/>
          </w:tcPr>
          <w:p w14:paraId="7A53FF33" w14:textId="77777777" w:rsidR="00C972CB" w:rsidRDefault="002457F6">
            <w:pPr>
              <w:pStyle w:val="P68B1DB1-Normal36"/>
              <w:spacing w:before="120" w:after="120"/>
              <w:jc w:val="center"/>
              <w:rPr>
                <w:noProof/>
                <w:color w:val="006100"/>
              </w:rPr>
            </w:pPr>
            <w:r>
              <w:rPr>
                <w:noProof/>
              </w:rPr>
              <w:t>2026</w:t>
            </w:r>
          </w:p>
        </w:tc>
        <w:tc>
          <w:tcPr>
            <w:tcW w:w="2835" w:type="dxa"/>
            <w:shd w:val="clear" w:color="auto" w:fill="C6EFCE"/>
            <w:noWrap/>
            <w:vAlign w:val="center"/>
          </w:tcPr>
          <w:p w14:paraId="03723D2B" w14:textId="7066FF54" w:rsidR="00C972CB" w:rsidRDefault="002457F6">
            <w:pPr>
              <w:pStyle w:val="P68B1DB1-Normal36"/>
              <w:spacing w:before="120" w:after="120"/>
              <w:rPr>
                <w:noProof/>
              </w:rPr>
            </w:pPr>
            <w:r>
              <w:rPr>
                <w:noProof/>
              </w:rPr>
              <w:t xml:space="preserve">Ir pabeigti vismaz 84 antiseismiski iejaukšanās slimnīcu objektos, lai tos saskaņotu ar seismiskajiem </w:t>
            </w:r>
            <w:r>
              <w:rPr>
                <w:noProof/>
              </w:rPr>
              <w:t>noteikumiem.</w:t>
            </w:r>
          </w:p>
        </w:tc>
      </w:tr>
      <w:tr w:rsidR="00C972CB" w14:paraId="48D5EC61" w14:textId="77777777">
        <w:trPr>
          <w:trHeight w:val="313"/>
          <w:jc w:val="center"/>
        </w:trPr>
        <w:tc>
          <w:tcPr>
            <w:tcW w:w="1129" w:type="dxa"/>
            <w:shd w:val="clear" w:color="auto" w:fill="C6EFCE"/>
            <w:noWrap/>
            <w:vAlign w:val="center"/>
          </w:tcPr>
          <w:p w14:paraId="58465ADB" w14:textId="77777777" w:rsidR="00C972CB" w:rsidRDefault="002457F6">
            <w:pPr>
              <w:pStyle w:val="P68B1DB1-Normal11"/>
              <w:jc w:val="center"/>
              <w:rPr>
                <w:noProof/>
              </w:rPr>
            </w:pPr>
            <w:r>
              <w:rPr>
                <w:noProof/>
              </w:rPr>
              <w:t>M6C2–10 bis</w:t>
            </w:r>
          </w:p>
        </w:tc>
        <w:tc>
          <w:tcPr>
            <w:tcW w:w="1701" w:type="dxa"/>
            <w:shd w:val="clear" w:color="auto" w:fill="C6EFCE"/>
            <w:noWrap/>
            <w:vAlign w:val="center"/>
          </w:tcPr>
          <w:p w14:paraId="285F1CBF" w14:textId="5D8CDE5D" w:rsidR="00C972CB" w:rsidRDefault="002457F6">
            <w:pPr>
              <w:pStyle w:val="P68B1DB1-Normal36"/>
              <w:spacing w:before="120" w:after="120" w:line="276" w:lineRule="auto"/>
              <w:jc w:val="center"/>
              <w:rPr>
                <w:noProof/>
              </w:rPr>
            </w:pPr>
            <w:r>
              <w:rPr>
                <w:noProof/>
              </w:rPr>
              <w:t>Ieguldījums 1.2: Ceļā uz drošu un ilgtspējīgu slimnīcu</w:t>
            </w:r>
          </w:p>
        </w:tc>
        <w:tc>
          <w:tcPr>
            <w:tcW w:w="1134" w:type="dxa"/>
            <w:shd w:val="clear" w:color="auto" w:fill="C6EFCE"/>
            <w:noWrap/>
            <w:vAlign w:val="center"/>
          </w:tcPr>
          <w:p w14:paraId="63DE860E" w14:textId="77777777" w:rsidR="00C972CB" w:rsidRDefault="002457F6">
            <w:pPr>
              <w:pStyle w:val="P68B1DB1-Normal36"/>
              <w:jc w:val="center"/>
              <w:rPr>
                <w:noProof/>
              </w:rPr>
            </w:pPr>
            <w:r>
              <w:rPr>
                <w:noProof/>
              </w:rPr>
              <w:t xml:space="preserve">Mērķa </w:t>
            </w:r>
          </w:p>
        </w:tc>
        <w:tc>
          <w:tcPr>
            <w:tcW w:w="1560" w:type="dxa"/>
            <w:shd w:val="clear" w:color="auto" w:fill="C6EFCE"/>
            <w:noWrap/>
            <w:vAlign w:val="center"/>
          </w:tcPr>
          <w:p w14:paraId="6AC9A98A" w14:textId="77777777" w:rsidR="00C972CB" w:rsidRDefault="002457F6">
            <w:pPr>
              <w:pStyle w:val="P68B1DB1-Normal36"/>
              <w:spacing w:before="120" w:after="120"/>
              <w:jc w:val="center"/>
              <w:rPr>
                <w:rFonts w:eastAsia="Calibri"/>
                <w:noProof/>
              </w:rPr>
            </w:pPr>
            <w:r>
              <w:rPr>
                <w:noProof/>
              </w:rPr>
              <w:t>ANM resursu izmaksa projektiem saskaņā ar Finanšu likuma 67/88 20. pantu “Veselības aprūpes ēka”</w:t>
            </w:r>
          </w:p>
        </w:tc>
        <w:tc>
          <w:tcPr>
            <w:tcW w:w="1559" w:type="dxa"/>
            <w:shd w:val="clear" w:color="auto" w:fill="C6EFCE"/>
            <w:noWrap/>
            <w:vAlign w:val="center"/>
          </w:tcPr>
          <w:p w14:paraId="557A06E5" w14:textId="77777777" w:rsidR="00C972CB" w:rsidRDefault="002457F6">
            <w:pPr>
              <w:pStyle w:val="P68B1DB1-Normal36"/>
              <w:jc w:val="center"/>
              <w:rPr>
                <w:noProof/>
              </w:rPr>
            </w:pPr>
            <w:r>
              <w:rPr>
                <w:noProof/>
              </w:rPr>
              <w:t>NEPIEMĒRO</w:t>
            </w:r>
          </w:p>
        </w:tc>
        <w:tc>
          <w:tcPr>
            <w:tcW w:w="1276" w:type="dxa"/>
            <w:shd w:val="clear" w:color="auto" w:fill="C6EFCE"/>
            <w:noWrap/>
            <w:vAlign w:val="center"/>
          </w:tcPr>
          <w:p w14:paraId="45677175" w14:textId="77777777" w:rsidR="00C972CB" w:rsidRDefault="002457F6">
            <w:pPr>
              <w:pStyle w:val="P68B1DB1-Normal36"/>
              <w:jc w:val="center"/>
              <w:rPr>
                <w:rFonts w:eastAsia="Calibri"/>
                <w:noProof/>
              </w:rPr>
            </w:pPr>
            <w:r>
              <w:rPr>
                <w:noProof/>
              </w:rPr>
              <w:t xml:space="preserve">Procentuālā daļa </w:t>
            </w:r>
          </w:p>
        </w:tc>
        <w:tc>
          <w:tcPr>
            <w:tcW w:w="992" w:type="dxa"/>
            <w:shd w:val="clear" w:color="auto" w:fill="C6EFCE"/>
            <w:noWrap/>
            <w:vAlign w:val="center"/>
          </w:tcPr>
          <w:p w14:paraId="2C786F6B" w14:textId="77777777" w:rsidR="00C972CB" w:rsidRDefault="002457F6">
            <w:pPr>
              <w:pStyle w:val="P68B1DB1-Normal36"/>
              <w:jc w:val="center"/>
              <w:rPr>
                <w:noProof/>
              </w:rPr>
            </w:pPr>
            <w:r>
              <w:rPr>
                <w:noProof/>
              </w:rPr>
              <w:t>0</w:t>
            </w:r>
          </w:p>
        </w:tc>
        <w:tc>
          <w:tcPr>
            <w:tcW w:w="850" w:type="dxa"/>
            <w:shd w:val="clear" w:color="auto" w:fill="C6EFCE"/>
            <w:noWrap/>
            <w:vAlign w:val="center"/>
          </w:tcPr>
          <w:p w14:paraId="23573483" w14:textId="7A22B824" w:rsidR="00C972CB" w:rsidRDefault="002457F6">
            <w:pPr>
              <w:pStyle w:val="P68B1DB1-Normal36"/>
              <w:jc w:val="center"/>
              <w:rPr>
                <w:noProof/>
              </w:rPr>
            </w:pPr>
            <w:r>
              <w:rPr>
                <w:noProof/>
              </w:rPr>
              <w:t xml:space="preserve">90 %  </w:t>
            </w:r>
          </w:p>
        </w:tc>
        <w:tc>
          <w:tcPr>
            <w:tcW w:w="851" w:type="dxa"/>
            <w:shd w:val="clear" w:color="auto" w:fill="C6EFCE"/>
            <w:noWrap/>
            <w:vAlign w:val="center"/>
          </w:tcPr>
          <w:p w14:paraId="63865ADB" w14:textId="77777777" w:rsidR="00C972CB" w:rsidRDefault="002457F6">
            <w:pPr>
              <w:pStyle w:val="P68B1DB1-Normal36"/>
              <w:jc w:val="center"/>
              <w:rPr>
                <w:noProof/>
              </w:rPr>
            </w:pPr>
            <w:r>
              <w:rPr>
                <w:noProof/>
              </w:rPr>
              <w:t>2. CET.</w:t>
            </w:r>
          </w:p>
        </w:tc>
        <w:tc>
          <w:tcPr>
            <w:tcW w:w="709" w:type="dxa"/>
            <w:shd w:val="clear" w:color="auto" w:fill="C6EFCE"/>
            <w:noWrap/>
            <w:vAlign w:val="center"/>
          </w:tcPr>
          <w:p w14:paraId="34587886" w14:textId="77777777" w:rsidR="00C972CB" w:rsidRDefault="002457F6">
            <w:pPr>
              <w:pStyle w:val="P68B1DB1-Normal36"/>
              <w:jc w:val="center"/>
              <w:rPr>
                <w:noProof/>
              </w:rPr>
            </w:pPr>
            <w:r>
              <w:rPr>
                <w:noProof/>
              </w:rPr>
              <w:t>2026</w:t>
            </w:r>
          </w:p>
        </w:tc>
        <w:tc>
          <w:tcPr>
            <w:tcW w:w="2835" w:type="dxa"/>
            <w:shd w:val="clear" w:color="auto" w:fill="C6EFCE"/>
            <w:noWrap/>
            <w:vAlign w:val="center"/>
          </w:tcPr>
          <w:p w14:paraId="411474E9" w14:textId="78C3AFE4" w:rsidR="00C972CB" w:rsidRDefault="002457F6">
            <w:pPr>
              <w:pStyle w:val="P68B1DB1-Normal19"/>
              <w:rPr>
                <w:rFonts w:eastAsia="Calibri"/>
                <w:noProof/>
                <w:color w:val="006600"/>
              </w:rPr>
            </w:pPr>
            <w:r>
              <w:rPr>
                <w:noProof/>
                <w:color w:val="006600"/>
              </w:rPr>
              <w:t xml:space="preserve">Vismaz 90 % no EUR </w:t>
            </w:r>
            <w:r>
              <w:rPr>
                <w:noProof/>
                <w:color w:val="006600"/>
              </w:rPr>
              <w:t>250000000</w:t>
            </w:r>
            <w:r>
              <w:rPr>
                <w:noProof/>
                <w:color w:val="006100"/>
              </w:rPr>
              <w:t xml:space="preserve"> </w:t>
            </w:r>
            <w:r>
              <w:rPr>
                <w:noProof/>
                <w:color w:val="006600"/>
              </w:rPr>
              <w:t>tiek</w:t>
            </w:r>
            <w:r>
              <w:rPr>
                <w:noProof/>
                <w:color w:val="006100"/>
              </w:rPr>
              <w:t xml:space="preserve"> </w:t>
            </w:r>
            <w:r>
              <w:rPr>
                <w:noProof/>
                <w:color w:val="006600"/>
              </w:rPr>
              <w:t>izmaksāti slimnīcu pārstrukturēšanas un modernizācijas projektiem, kas saistīti ar programmu nolīgumiem saskaņā ar 20. L. 67/88. pantu un ko īsteno Veselības ministrija ar attiecīgo reģionu.</w:t>
            </w:r>
          </w:p>
        </w:tc>
      </w:tr>
      <w:tr w:rsidR="00C972CB" w14:paraId="48470D11" w14:textId="77777777">
        <w:trPr>
          <w:trHeight w:val="313"/>
          <w:jc w:val="center"/>
        </w:trPr>
        <w:tc>
          <w:tcPr>
            <w:tcW w:w="1129" w:type="dxa"/>
            <w:shd w:val="clear" w:color="auto" w:fill="C6EFCE"/>
            <w:noWrap/>
            <w:vAlign w:val="center"/>
          </w:tcPr>
          <w:p w14:paraId="51DA27FE" w14:textId="77777777" w:rsidR="00C972CB" w:rsidRDefault="002457F6">
            <w:pPr>
              <w:pStyle w:val="P68B1DB1-Normal11"/>
              <w:spacing w:before="120" w:after="120"/>
              <w:jc w:val="center"/>
              <w:rPr>
                <w:noProof/>
              </w:rPr>
            </w:pPr>
            <w:r>
              <w:rPr>
                <w:noProof/>
              </w:rPr>
              <w:t>M6C2–11</w:t>
            </w:r>
          </w:p>
        </w:tc>
        <w:tc>
          <w:tcPr>
            <w:tcW w:w="1701" w:type="dxa"/>
            <w:shd w:val="clear" w:color="auto" w:fill="C6EFCE"/>
            <w:noWrap/>
            <w:vAlign w:val="center"/>
          </w:tcPr>
          <w:p w14:paraId="393D248C" w14:textId="77777777" w:rsidR="00C972CB" w:rsidRDefault="002457F6">
            <w:pPr>
              <w:pStyle w:val="P68B1DB1-Normal36"/>
              <w:spacing w:before="120" w:after="120"/>
              <w:jc w:val="center"/>
              <w:rPr>
                <w:noProof/>
                <w:color w:val="006100"/>
              </w:rPr>
            </w:pPr>
            <w:r>
              <w:rPr>
                <w:noProof/>
              </w:rPr>
              <w:t xml:space="preserve">Ieguldījums 1.3. Tehnoloģiskās </w:t>
            </w:r>
            <w:r>
              <w:rPr>
                <w:noProof/>
              </w:rPr>
              <w:t>infrastruktūras un datu vākšanas, datu apstrādes, datu analīzes un simulācijas rīku stiprināšana</w:t>
            </w:r>
          </w:p>
        </w:tc>
        <w:tc>
          <w:tcPr>
            <w:tcW w:w="1134" w:type="dxa"/>
            <w:shd w:val="clear" w:color="auto" w:fill="C6EFCE"/>
            <w:noWrap/>
            <w:vAlign w:val="center"/>
          </w:tcPr>
          <w:p w14:paraId="79AFF090" w14:textId="77777777" w:rsidR="00C972CB" w:rsidRDefault="002457F6">
            <w:pPr>
              <w:pStyle w:val="P68B1DB1-Normal36"/>
              <w:spacing w:before="120" w:after="120"/>
              <w:jc w:val="center"/>
              <w:rPr>
                <w:noProof/>
                <w:color w:val="006100"/>
              </w:rPr>
            </w:pPr>
            <w:r>
              <w:rPr>
                <w:noProof/>
              </w:rPr>
              <w:t>Mērķa</w:t>
            </w:r>
          </w:p>
        </w:tc>
        <w:tc>
          <w:tcPr>
            <w:tcW w:w="1560" w:type="dxa"/>
            <w:shd w:val="clear" w:color="auto" w:fill="C6EFCE"/>
            <w:noWrap/>
            <w:vAlign w:val="center"/>
          </w:tcPr>
          <w:p w14:paraId="1DB2ED58" w14:textId="3D778920" w:rsidR="00C972CB" w:rsidRDefault="002457F6">
            <w:pPr>
              <w:pStyle w:val="P68B1DB1-Normal36"/>
              <w:spacing w:before="120" w:after="120"/>
              <w:jc w:val="center"/>
              <w:rPr>
                <w:noProof/>
              </w:rPr>
            </w:pPr>
            <w:r>
              <w:rPr>
                <w:noProof/>
              </w:rPr>
              <w:t>Ģimenes ārsti, kas uztur elektronisko veselības karti.</w:t>
            </w:r>
          </w:p>
        </w:tc>
        <w:tc>
          <w:tcPr>
            <w:tcW w:w="1559" w:type="dxa"/>
            <w:shd w:val="clear" w:color="auto" w:fill="C6EFCE"/>
            <w:noWrap/>
            <w:vAlign w:val="center"/>
          </w:tcPr>
          <w:p w14:paraId="744801FC" w14:textId="77777777" w:rsidR="00C972CB" w:rsidRDefault="002457F6">
            <w:pPr>
              <w:pStyle w:val="P68B1DB1-Normal36"/>
              <w:spacing w:before="120" w:after="120"/>
              <w:jc w:val="center"/>
              <w:rPr>
                <w:noProof/>
                <w:color w:val="006100"/>
              </w:rPr>
            </w:pPr>
            <w:r>
              <w:rPr>
                <w:noProof/>
              </w:rPr>
              <w:t>NEPIEMĒRO</w:t>
            </w:r>
          </w:p>
        </w:tc>
        <w:tc>
          <w:tcPr>
            <w:tcW w:w="1276" w:type="dxa"/>
            <w:shd w:val="clear" w:color="auto" w:fill="C6EFCE"/>
            <w:noWrap/>
            <w:vAlign w:val="center"/>
          </w:tcPr>
          <w:p w14:paraId="09812985" w14:textId="77777777" w:rsidR="00C972CB" w:rsidRDefault="002457F6">
            <w:pPr>
              <w:pStyle w:val="P68B1DB1-Normal36"/>
              <w:spacing w:before="120" w:after="120"/>
              <w:jc w:val="center"/>
              <w:rPr>
                <w:rFonts w:eastAsia="Calibri"/>
                <w:noProof/>
              </w:rPr>
            </w:pPr>
            <w:r>
              <w:rPr>
                <w:noProof/>
              </w:rPr>
              <w:t xml:space="preserve">Procentuālā daļa </w:t>
            </w:r>
          </w:p>
        </w:tc>
        <w:tc>
          <w:tcPr>
            <w:tcW w:w="992" w:type="dxa"/>
            <w:shd w:val="clear" w:color="auto" w:fill="C6EFCE"/>
            <w:noWrap/>
            <w:vAlign w:val="center"/>
          </w:tcPr>
          <w:p w14:paraId="3B22884B" w14:textId="77777777" w:rsidR="00C972CB" w:rsidRDefault="002457F6">
            <w:pPr>
              <w:pStyle w:val="P68B1DB1-Normal36"/>
              <w:spacing w:before="120" w:after="120"/>
              <w:jc w:val="center"/>
              <w:rPr>
                <w:noProof/>
                <w:color w:val="006100"/>
              </w:rPr>
            </w:pPr>
            <w:r>
              <w:rPr>
                <w:noProof/>
              </w:rPr>
              <w:t>0</w:t>
            </w:r>
          </w:p>
        </w:tc>
        <w:tc>
          <w:tcPr>
            <w:tcW w:w="850" w:type="dxa"/>
            <w:shd w:val="clear" w:color="auto" w:fill="C6EFCE"/>
            <w:noWrap/>
            <w:vAlign w:val="center"/>
          </w:tcPr>
          <w:p w14:paraId="36D368D5" w14:textId="77777777" w:rsidR="00C972CB" w:rsidRDefault="002457F6">
            <w:pPr>
              <w:pStyle w:val="P68B1DB1-Normal36"/>
              <w:spacing w:before="120" w:after="120"/>
              <w:jc w:val="center"/>
              <w:rPr>
                <w:noProof/>
                <w:color w:val="006100"/>
              </w:rPr>
            </w:pPr>
            <w:r>
              <w:rPr>
                <w:noProof/>
              </w:rPr>
              <w:t>85</w:t>
            </w:r>
          </w:p>
        </w:tc>
        <w:tc>
          <w:tcPr>
            <w:tcW w:w="851" w:type="dxa"/>
            <w:shd w:val="clear" w:color="auto" w:fill="C6EFCE"/>
            <w:noWrap/>
            <w:vAlign w:val="center"/>
          </w:tcPr>
          <w:p w14:paraId="67698712" w14:textId="77777777" w:rsidR="00C972CB" w:rsidRDefault="002457F6">
            <w:pPr>
              <w:pStyle w:val="P68B1DB1-Normal36"/>
              <w:spacing w:before="120" w:after="120"/>
              <w:jc w:val="center"/>
              <w:rPr>
                <w:noProof/>
                <w:color w:val="006100"/>
              </w:rPr>
            </w:pPr>
            <w:r>
              <w:rPr>
                <w:noProof/>
              </w:rPr>
              <w:t>4. CET.</w:t>
            </w:r>
          </w:p>
        </w:tc>
        <w:tc>
          <w:tcPr>
            <w:tcW w:w="709" w:type="dxa"/>
            <w:shd w:val="clear" w:color="auto" w:fill="C6EFCE"/>
            <w:noWrap/>
            <w:vAlign w:val="center"/>
          </w:tcPr>
          <w:p w14:paraId="566FB99F" w14:textId="77777777" w:rsidR="00C972CB" w:rsidRDefault="002457F6">
            <w:pPr>
              <w:pStyle w:val="P68B1DB1-Normal36"/>
              <w:spacing w:before="120" w:after="120"/>
              <w:jc w:val="center"/>
              <w:rPr>
                <w:noProof/>
                <w:color w:val="006100"/>
              </w:rPr>
            </w:pPr>
            <w:r>
              <w:rPr>
                <w:noProof/>
              </w:rPr>
              <w:t>2025</w:t>
            </w:r>
          </w:p>
        </w:tc>
        <w:tc>
          <w:tcPr>
            <w:tcW w:w="2835" w:type="dxa"/>
            <w:shd w:val="clear" w:color="auto" w:fill="C6EFCE"/>
            <w:noWrap/>
            <w:vAlign w:val="center"/>
          </w:tcPr>
          <w:p w14:paraId="1730DAD0" w14:textId="77777777" w:rsidR="00C972CB" w:rsidRDefault="002457F6">
            <w:pPr>
              <w:pStyle w:val="P68B1DB1-Normal36"/>
              <w:spacing w:before="120" w:after="120"/>
              <w:rPr>
                <w:noProof/>
              </w:rPr>
            </w:pPr>
            <w:r>
              <w:rPr>
                <w:noProof/>
              </w:rPr>
              <w:t xml:space="preserve">Šo mērķrādītāju sasniedz, palielinot EVPK </w:t>
            </w:r>
            <w:r>
              <w:rPr>
                <w:noProof/>
              </w:rPr>
              <w:t>digitalizēto digitālo dokumentu veidu skaitu un izmantojot specializētu atbalstu un apmācību, lai panāktu ģimenes ārstu digitālo prasmju pilnveidi visā valstī.</w:t>
            </w:r>
          </w:p>
        </w:tc>
      </w:tr>
      <w:tr w:rsidR="00C972CB" w14:paraId="72A25B65" w14:textId="77777777">
        <w:trPr>
          <w:trHeight w:val="313"/>
          <w:jc w:val="center"/>
        </w:trPr>
        <w:tc>
          <w:tcPr>
            <w:tcW w:w="1129" w:type="dxa"/>
            <w:shd w:val="clear" w:color="auto" w:fill="C6EFCE"/>
            <w:noWrap/>
            <w:vAlign w:val="center"/>
          </w:tcPr>
          <w:p w14:paraId="68CD2528" w14:textId="77777777" w:rsidR="00C972CB" w:rsidRDefault="002457F6">
            <w:pPr>
              <w:pStyle w:val="P68B1DB1-Normal11"/>
              <w:spacing w:before="120" w:after="120"/>
              <w:jc w:val="center"/>
              <w:rPr>
                <w:noProof/>
              </w:rPr>
            </w:pPr>
            <w:r>
              <w:rPr>
                <w:noProof/>
              </w:rPr>
              <w:t>M6C2–12</w:t>
            </w:r>
          </w:p>
        </w:tc>
        <w:tc>
          <w:tcPr>
            <w:tcW w:w="1701" w:type="dxa"/>
            <w:shd w:val="clear" w:color="auto" w:fill="C6EFCE"/>
            <w:noWrap/>
            <w:vAlign w:val="center"/>
          </w:tcPr>
          <w:p w14:paraId="21176386" w14:textId="77777777" w:rsidR="00C972CB" w:rsidRDefault="002457F6">
            <w:pPr>
              <w:pStyle w:val="P68B1DB1-Normal36"/>
              <w:spacing w:before="120" w:after="120"/>
              <w:jc w:val="center"/>
              <w:rPr>
                <w:noProof/>
                <w:color w:val="006100"/>
              </w:rPr>
            </w:pPr>
            <w:r>
              <w:rPr>
                <w:noProof/>
              </w:rPr>
              <w:t xml:space="preserve">Ieguldījums 1.3. Tehnoloģiskās infrastruktūras un datu vākšanas, datu apstrādes, datu </w:t>
            </w:r>
            <w:r>
              <w:rPr>
                <w:noProof/>
              </w:rPr>
              <w:t>analīzes un simulācijas rīku stiprināšana</w:t>
            </w:r>
          </w:p>
        </w:tc>
        <w:tc>
          <w:tcPr>
            <w:tcW w:w="1134" w:type="dxa"/>
            <w:shd w:val="clear" w:color="auto" w:fill="C6EFCE"/>
            <w:noWrap/>
            <w:vAlign w:val="center"/>
          </w:tcPr>
          <w:p w14:paraId="1951C60D" w14:textId="77777777" w:rsidR="00C972CB" w:rsidRDefault="002457F6">
            <w:pPr>
              <w:pStyle w:val="P68B1DB1-Normal36"/>
              <w:spacing w:before="120" w:after="120"/>
              <w:jc w:val="center"/>
              <w:rPr>
                <w:noProof/>
                <w:color w:val="006100"/>
              </w:rPr>
            </w:pPr>
            <w:r>
              <w:rPr>
                <w:noProof/>
              </w:rPr>
              <w:t>Starpposma mērķis</w:t>
            </w:r>
          </w:p>
        </w:tc>
        <w:tc>
          <w:tcPr>
            <w:tcW w:w="1560" w:type="dxa"/>
            <w:shd w:val="clear" w:color="auto" w:fill="C6EFCE"/>
            <w:noWrap/>
            <w:vAlign w:val="center"/>
          </w:tcPr>
          <w:p w14:paraId="4F820A1C" w14:textId="01412897" w:rsidR="00C972CB" w:rsidRDefault="002457F6">
            <w:pPr>
              <w:pStyle w:val="P68B1DB1-Normal36"/>
              <w:spacing w:before="120" w:after="120"/>
              <w:jc w:val="center"/>
              <w:rPr>
                <w:noProof/>
              </w:rPr>
            </w:pPr>
            <w:r>
              <w:rPr>
                <w:noProof/>
              </w:rPr>
              <w:t>Veselības apdrošināšanas karšu sistēma un infrastruktūra e-veselības pacienta karšu sadarbspējai pilnībā darbojas.</w:t>
            </w:r>
          </w:p>
        </w:tc>
        <w:tc>
          <w:tcPr>
            <w:tcW w:w="1559" w:type="dxa"/>
            <w:shd w:val="clear" w:color="auto" w:fill="C6EFCE"/>
            <w:noWrap/>
            <w:vAlign w:val="center"/>
          </w:tcPr>
          <w:p w14:paraId="4ACABC2C" w14:textId="77777777" w:rsidR="00C972CB" w:rsidRDefault="002457F6">
            <w:pPr>
              <w:pStyle w:val="P68B1DB1-Normal10"/>
              <w:spacing w:before="120" w:after="120"/>
              <w:jc w:val="center"/>
              <w:rPr>
                <w:noProof/>
                <w:sz w:val="20"/>
              </w:rPr>
            </w:pPr>
            <w:r>
              <w:rPr>
                <w:noProof/>
                <w:color w:val="006600"/>
                <w:sz w:val="20"/>
              </w:rPr>
              <w:t>Veselības apdrošināšanas karšu sistēmas nodošana ekspluatācijā</w:t>
            </w:r>
            <w:r>
              <w:rPr>
                <w:noProof/>
              </w:rPr>
              <w:t xml:space="preserve"> </w:t>
            </w:r>
            <w:r>
              <w:rPr>
                <w:noProof/>
              </w:rPr>
              <w:br/>
            </w:r>
            <w:r>
              <w:rPr>
                <w:noProof/>
                <w:color w:val="006600"/>
                <w:sz w:val="20"/>
              </w:rPr>
              <w:t xml:space="preserve">un EVPK </w:t>
            </w:r>
            <w:r>
              <w:rPr>
                <w:noProof/>
                <w:color w:val="006600"/>
                <w:sz w:val="20"/>
              </w:rPr>
              <w:t>sadarbspējas infrastruktūru.</w:t>
            </w:r>
          </w:p>
        </w:tc>
        <w:tc>
          <w:tcPr>
            <w:tcW w:w="1276" w:type="dxa"/>
            <w:shd w:val="clear" w:color="auto" w:fill="C6EFCE"/>
            <w:noWrap/>
            <w:vAlign w:val="center"/>
          </w:tcPr>
          <w:p w14:paraId="5EA1C251" w14:textId="77777777" w:rsidR="00C972CB" w:rsidRDefault="002457F6">
            <w:pPr>
              <w:pStyle w:val="P68B1DB1-Normal36"/>
              <w:spacing w:before="120" w:after="120"/>
              <w:jc w:val="center"/>
              <w:rPr>
                <w:noProof/>
                <w:color w:val="006100"/>
              </w:rPr>
            </w:pPr>
            <w:r>
              <w:rPr>
                <w:noProof/>
              </w:rPr>
              <w:t>NEPIEMĒRO</w:t>
            </w:r>
          </w:p>
        </w:tc>
        <w:tc>
          <w:tcPr>
            <w:tcW w:w="992" w:type="dxa"/>
            <w:shd w:val="clear" w:color="auto" w:fill="C6EFCE"/>
            <w:noWrap/>
            <w:vAlign w:val="center"/>
          </w:tcPr>
          <w:p w14:paraId="7EA89190" w14:textId="77777777" w:rsidR="00C972CB" w:rsidRDefault="002457F6">
            <w:pPr>
              <w:pStyle w:val="P68B1DB1-Normal36"/>
              <w:spacing w:before="120" w:after="120"/>
              <w:jc w:val="center"/>
              <w:rPr>
                <w:noProof/>
                <w:color w:val="006100"/>
              </w:rPr>
            </w:pPr>
            <w:r>
              <w:rPr>
                <w:noProof/>
              </w:rPr>
              <w:t>NEPIEMĒRO</w:t>
            </w:r>
          </w:p>
        </w:tc>
        <w:tc>
          <w:tcPr>
            <w:tcW w:w="850" w:type="dxa"/>
            <w:shd w:val="clear" w:color="auto" w:fill="C6EFCE"/>
            <w:noWrap/>
            <w:vAlign w:val="center"/>
          </w:tcPr>
          <w:p w14:paraId="23E52FFC" w14:textId="77777777" w:rsidR="00C972CB" w:rsidRDefault="002457F6">
            <w:pPr>
              <w:pStyle w:val="P68B1DB1-Normal36"/>
              <w:spacing w:before="120" w:after="120"/>
              <w:jc w:val="center"/>
              <w:rPr>
                <w:noProof/>
                <w:color w:val="006100"/>
              </w:rPr>
            </w:pPr>
            <w:r>
              <w:rPr>
                <w:noProof/>
              </w:rPr>
              <w:t>NEPIEMĒRO</w:t>
            </w:r>
          </w:p>
        </w:tc>
        <w:tc>
          <w:tcPr>
            <w:tcW w:w="851" w:type="dxa"/>
            <w:shd w:val="clear" w:color="auto" w:fill="C6EFCE"/>
            <w:noWrap/>
            <w:vAlign w:val="center"/>
          </w:tcPr>
          <w:p w14:paraId="2A6E94F7" w14:textId="77777777" w:rsidR="00C972CB" w:rsidRDefault="002457F6">
            <w:pPr>
              <w:pStyle w:val="P68B1DB1-Normal36"/>
              <w:spacing w:before="120" w:after="120"/>
              <w:jc w:val="center"/>
              <w:rPr>
                <w:noProof/>
                <w:color w:val="006100"/>
              </w:rPr>
            </w:pPr>
            <w:r>
              <w:rPr>
                <w:noProof/>
              </w:rPr>
              <w:t>2. CET.</w:t>
            </w:r>
          </w:p>
        </w:tc>
        <w:tc>
          <w:tcPr>
            <w:tcW w:w="709" w:type="dxa"/>
            <w:shd w:val="clear" w:color="auto" w:fill="C6EFCE"/>
            <w:noWrap/>
            <w:vAlign w:val="center"/>
          </w:tcPr>
          <w:p w14:paraId="6F5586F8" w14:textId="77777777" w:rsidR="00C972CB" w:rsidRDefault="002457F6">
            <w:pPr>
              <w:pStyle w:val="P68B1DB1-Normal36"/>
              <w:spacing w:before="120" w:after="120"/>
              <w:jc w:val="center"/>
              <w:rPr>
                <w:noProof/>
                <w:color w:val="006100"/>
              </w:rPr>
            </w:pPr>
            <w:r>
              <w:rPr>
                <w:noProof/>
              </w:rPr>
              <w:t>2026</w:t>
            </w:r>
          </w:p>
        </w:tc>
        <w:tc>
          <w:tcPr>
            <w:tcW w:w="2835" w:type="dxa"/>
            <w:shd w:val="clear" w:color="auto" w:fill="C6EFCE"/>
            <w:noWrap/>
            <w:vAlign w:val="center"/>
          </w:tcPr>
          <w:p w14:paraId="3F27BD9F" w14:textId="77777777" w:rsidR="00C972CB" w:rsidRDefault="002457F6">
            <w:pPr>
              <w:pStyle w:val="P68B1DB1-Normal36"/>
              <w:spacing w:before="120" w:after="120"/>
              <w:rPr>
                <w:rFonts w:eastAsia="Calibri"/>
                <w:noProof/>
              </w:rPr>
            </w:pPr>
            <w:r>
              <w:rPr>
                <w:noProof/>
              </w:rPr>
              <w:t>Veselības apdrošināšanas karšu sistēmas un elektroniskās veselības kartes sadarbspējas infrastruktūras nodošana ekspluatācijā: Centrāla repozitorija, sadarbspējas un pakalpojumu platfo</w:t>
            </w:r>
            <w:r>
              <w:rPr>
                <w:noProof/>
              </w:rPr>
              <w:t>rmas īstenošana saskaņā ar ātrās veselības aprūpes sadarbspējas resursu standartu, izmantojot jau esošo pieredzi šajā jomā, nodrošinot uzglabāšanas, drošības un sadarbspējas standartus.</w:t>
            </w:r>
          </w:p>
        </w:tc>
      </w:tr>
      <w:tr w:rsidR="00C972CB" w14:paraId="4B518E1D"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91B57" w14:textId="77777777" w:rsidR="00C972CB" w:rsidRDefault="002457F6">
            <w:pPr>
              <w:pStyle w:val="P68B1DB1-Normal11"/>
              <w:spacing w:before="120" w:after="120"/>
              <w:jc w:val="center"/>
              <w:rPr>
                <w:noProof/>
              </w:rPr>
            </w:pPr>
            <w:r>
              <w:rPr>
                <w:noProof/>
              </w:rPr>
              <w:t>M6C2–13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AB6F0" w14:textId="77777777" w:rsidR="00C972CB" w:rsidRDefault="002457F6">
            <w:pPr>
              <w:pStyle w:val="P68B1DB1-Normal36"/>
              <w:spacing w:before="120" w:after="120"/>
              <w:jc w:val="center"/>
              <w:rPr>
                <w:noProof/>
                <w:color w:val="006100"/>
              </w:rPr>
            </w:pPr>
            <w:r>
              <w:rPr>
                <w:noProof/>
              </w:rPr>
              <w:t xml:space="preserve">Ieguldījums 1.3. Tehnoloģiskās infrastruktūras un datu </w:t>
            </w:r>
            <w:r>
              <w:rPr>
                <w:noProof/>
              </w:rPr>
              <w:t>vākšanas, datu apstrādes, datu analīzes un simulācijas rīku stiprināšana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90953" w14:textId="77777777" w:rsidR="00C972CB" w:rsidRDefault="002457F6">
            <w:pPr>
              <w:pStyle w:val="P68B1DB1-Normal36"/>
              <w:spacing w:before="120" w:after="120"/>
              <w:jc w:val="center"/>
              <w:rPr>
                <w:noProof/>
                <w:color w:val="006100"/>
              </w:rPr>
            </w:pPr>
            <w:r>
              <w:rPr>
                <w:noProof/>
              </w:rPr>
              <w:t>Mērķa</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7A3D3" w14:textId="77777777" w:rsidR="00C972CB" w:rsidRDefault="002457F6">
            <w:pPr>
              <w:pStyle w:val="P68B1DB1-Normal36"/>
              <w:spacing w:before="120" w:after="120"/>
              <w:jc w:val="center"/>
              <w:rPr>
                <w:rFonts w:eastAsia="Calibri"/>
                <w:noProof/>
              </w:rPr>
            </w:pPr>
            <w:r>
              <w:rPr>
                <w:noProof/>
              </w:rPr>
              <w:t>Visi reģioni ir pieņēmuši un izmanto EVK</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1493FE" w14:textId="77777777" w:rsidR="00C972CB" w:rsidRDefault="002457F6">
            <w:pPr>
              <w:pStyle w:val="P68B1DB1-Normal36"/>
              <w:spacing w:before="120" w:after="120"/>
              <w:jc w:val="center"/>
              <w:rPr>
                <w:noProof/>
                <w:color w:val="006100"/>
              </w:rPr>
            </w:pPr>
            <w:r>
              <w:rPr>
                <w:noProof/>
              </w:rPr>
              <w:t>NEPIEMĒRO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E55E8" w14:textId="77777777" w:rsidR="00C972CB" w:rsidRDefault="002457F6">
            <w:pPr>
              <w:pStyle w:val="P68B1DB1-Normal36"/>
              <w:spacing w:before="120" w:after="120"/>
              <w:jc w:val="center"/>
              <w:rPr>
                <w:rFonts w:eastAsia="Arial"/>
                <w:noProof/>
              </w:rPr>
            </w:pPr>
            <w:r>
              <w:rPr>
                <w:noProof/>
              </w:rPr>
              <w:t>Skaits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8EEF" w14:textId="77777777" w:rsidR="00C972CB" w:rsidRDefault="002457F6">
            <w:pPr>
              <w:pStyle w:val="P68B1DB1-Normal36"/>
              <w:spacing w:before="120" w:after="120"/>
              <w:jc w:val="center"/>
              <w:rPr>
                <w:noProof/>
                <w:color w:val="006100"/>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221EA5" w14:textId="77777777" w:rsidR="00C972CB" w:rsidRDefault="002457F6">
            <w:pPr>
              <w:pStyle w:val="P68B1DB1-Normal36"/>
              <w:spacing w:before="120" w:after="120"/>
              <w:jc w:val="center"/>
              <w:rPr>
                <w:noProof/>
                <w:color w:val="006100"/>
              </w:rPr>
            </w:pPr>
            <w:r>
              <w:rPr>
                <w:noProof/>
              </w:rPr>
              <w:t>21</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E8626" w14:textId="77777777" w:rsidR="00C972CB" w:rsidRDefault="002457F6">
            <w:pPr>
              <w:pStyle w:val="P68B1DB1-Normal36"/>
              <w:spacing w:before="120" w:after="120"/>
              <w:jc w:val="center"/>
              <w:rPr>
                <w:noProof/>
                <w:color w:val="006100"/>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D09FC" w14:textId="77777777" w:rsidR="00C972CB" w:rsidRDefault="002457F6">
            <w:pPr>
              <w:pStyle w:val="P68B1DB1-Normal36"/>
              <w:spacing w:before="120" w:after="120"/>
              <w:jc w:val="center"/>
              <w:rPr>
                <w:noProof/>
                <w:color w:val="006100"/>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5D5B3D" w14:textId="77777777" w:rsidR="00C972CB" w:rsidRDefault="002457F6">
            <w:pPr>
              <w:pStyle w:val="P68B1DB1-Normal36"/>
              <w:spacing w:before="120" w:after="120"/>
              <w:rPr>
                <w:noProof/>
              </w:rPr>
            </w:pPr>
            <w:r>
              <w:rPr>
                <w:noProof/>
              </w:rPr>
              <w:t xml:space="preserve">Visi reģioni EVPK izveido, izmanto un augšupielādē digitāli vietējos dokumentus. Plāns jo īpaši ietver:        </w:t>
            </w:r>
          </w:p>
          <w:p w14:paraId="79D4C8A2" w14:textId="09B0D162" w:rsidR="00C972CB" w:rsidRDefault="002457F6">
            <w:pPr>
              <w:pStyle w:val="P68B1DB1-Normal36"/>
              <w:spacing w:before="120" w:after="120"/>
              <w:rPr>
                <w:rFonts w:eastAsia="Calibri"/>
                <w:noProof/>
              </w:rPr>
            </w:pPr>
            <w:r>
              <w:rPr>
                <w:noProof/>
              </w:rPr>
              <w:t>— Digitalizētie dokumenti tiek augšupielādēti EVK, kā minēts 2022. gada 18. maija dekrētā un turpmākajos dekrētos par EVK saturu.</w:t>
            </w:r>
          </w:p>
          <w:p w14:paraId="6C75799B" w14:textId="77777777" w:rsidR="00C972CB" w:rsidRDefault="002457F6">
            <w:pPr>
              <w:pStyle w:val="P68B1DB1-Normal36"/>
              <w:spacing w:before="120" w:after="120"/>
              <w:rPr>
                <w:noProof/>
              </w:rPr>
            </w:pPr>
            <w:r>
              <w:rPr>
                <w:noProof/>
              </w:rPr>
              <w:t>Finansiāls atb</w:t>
            </w:r>
            <w:r>
              <w:rPr>
                <w:noProof/>
              </w:rPr>
              <w:t xml:space="preserve">alsts veselības aprūpes sniedzējiem, lai atjauninātu savu aprīkojumu un nodrošinātu, ka veselības aprūpes dati, metadati un dokumentācija tiek ģenerēti kā digitāli vietējie.    </w:t>
            </w:r>
          </w:p>
          <w:p w14:paraId="27E5A932" w14:textId="39D31367" w:rsidR="00C972CB" w:rsidRDefault="002457F6">
            <w:pPr>
              <w:pStyle w:val="P68B1DB1-Normal36"/>
              <w:spacing w:before="120" w:after="120"/>
              <w:rPr>
                <w:noProof/>
              </w:rPr>
            </w:pPr>
            <w:r>
              <w:rPr>
                <w:noProof/>
              </w:rPr>
              <w:t>Finansiāls atbalsts veselības aprūpes sniedzējiem, kas vēlas pieņemt valsts pl</w:t>
            </w:r>
            <w:r>
              <w:rPr>
                <w:noProof/>
              </w:rPr>
              <w:t xml:space="preserve">atformu, sadarbspēju un UI/UX standartus.  </w:t>
            </w:r>
          </w:p>
          <w:p w14:paraId="0A2512DE" w14:textId="06710B81" w:rsidR="00C972CB" w:rsidRDefault="002457F6">
            <w:pPr>
              <w:pStyle w:val="P68B1DB1-Normal36"/>
              <w:spacing w:before="120" w:after="120"/>
              <w:rPr>
                <w:rFonts w:eastAsia="Calibri"/>
                <w:noProof/>
              </w:rPr>
            </w:pPr>
            <w:r>
              <w:rPr>
                <w:noProof/>
              </w:rPr>
              <w:t>Atbalsts kompetencei (cilvēkkapitāls) veselības aprūpes sniedzējiem un reģionālajām veselības aizsardzības iestādēm infrastruktūras un datu izmaiņu ieviešanai, lai pieņemtu valsts e-veselības pacienta karti.</w:t>
            </w:r>
          </w:p>
        </w:tc>
      </w:tr>
      <w:tr w:rsidR="00C972CB" w14:paraId="3020EA7C" w14:textId="77777777">
        <w:trPr>
          <w:trHeight w:val="313"/>
          <w:jc w:val="center"/>
        </w:trPr>
        <w:tc>
          <w:tcPr>
            <w:tcW w:w="1129" w:type="dxa"/>
            <w:shd w:val="clear" w:color="auto" w:fill="C6EFCE"/>
            <w:noWrap/>
            <w:vAlign w:val="center"/>
          </w:tcPr>
          <w:p w14:paraId="12C5C29C" w14:textId="77777777" w:rsidR="00C972CB" w:rsidRDefault="002457F6">
            <w:pPr>
              <w:pStyle w:val="P68B1DB1-Normal11"/>
              <w:spacing w:before="120" w:after="120"/>
              <w:jc w:val="center"/>
              <w:rPr>
                <w:noProof/>
              </w:rPr>
            </w:pPr>
            <w:r>
              <w:rPr>
                <w:noProof/>
              </w:rPr>
              <w:t>M6C2–14</w:t>
            </w:r>
          </w:p>
        </w:tc>
        <w:tc>
          <w:tcPr>
            <w:tcW w:w="1701" w:type="dxa"/>
            <w:shd w:val="clear" w:color="auto" w:fill="C6EFCE"/>
            <w:noWrap/>
            <w:vAlign w:val="center"/>
          </w:tcPr>
          <w:p w14:paraId="47C78681" w14:textId="77777777" w:rsidR="00C972CB" w:rsidRDefault="002457F6">
            <w:pPr>
              <w:pStyle w:val="P68B1DB1-Normal36"/>
              <w:spacing w:before="120" w:after="120"/>
              <w:jc w:val="center"/>
              <w:rPr>
                <w:noProof/>
                <w:color w:val="006100"/>
              </w:rPr>
            </w:pPr>
            <w:r>
              <w:rPr>
                <w:noProof/>
              </w:rPr>
              <w:t>Ieguldījums 2.2.: Veselības aprūpes sistēmas speciālistu tehnisko, profesionālo, digitālo un vadības prasmju attīstīšana</w:t>
            </w:r>
          </w:p>
        </w:tc>
        <w:tc>
          <w:tcPr>
            <w:tcW w:w="1134" w:type="dxa"/>
            <w:shd w:val="clear" w:color="auto" w:fill="C6EFCE"/>
            <w:noWrap/>
            <w:vAlign w:val="center"/>
          </w:tcPr>
          <w:p w14:paraId="4C7FE6AB" w14:textId="77777777" w:rsidR="00C972CB" w:rsidRDefault="002457F6">
            <w:pPr>
              <w:pStyle w:val="P68B1DB1-Normal36"/>
              <w:spacing w:before="120" w:after="120"/>
              <w:jc w:val="center"/>
              <w:rPr>
                <w:noProof/>
                <w:color w:val="006100"/>
              </w:rPr>
            </w:pPr>
            <w:r>
              <w:rPr>
                <w:noProof/>
              </w:rPr>
              <w:t>Mērķa</w:t>
            </w:r>
          </w:p>
        </w:tc>
        <w:tc>
          <w:tcPr>
            <w:tcW w:w="1560" w:type="dxa"/>
            <w:shd w:val="clear" w:color="auto" w:fill="C6EFCE"/>
            <w:noWrap/>
            <w:vAlign w:val="center"/>
          </w:tcPr>
          <w:p w14:paraId="450ABDA9" w14:textId="02EC35A8" w:rsidR="00C972CB" w:rsidRDefault="002457F6">
            <w:pPr>
              <w:pStyle w:val="P68B1DB1-Normal36"/>
              <w:spacing w:before="120" w:after="120"/>
              <w:jc w:val="center"/>
              <w:rPr>
                <w:noProof/>
              </w:rPr>
            </w:pPr>
            <w:r>
              <w:rPr>
                <w:noProof/>
              </w:rPr>
              <w:t>Tiek piešķirtas stipendijas speciālām mācībām vispārējās medicīnas praksē.</w:t>
            </w:r>
          </w:p>
        </w:tc>
        <w:tc>
          <w:tcPr>
            <w:tcW w:w="1559" w:type="dxa"/>
            <w:shd w:val="clear" w:color="auto" w:fill="C6EFCE"/>
            <w:noWrap/>
            <w:vAlign w:val="center"/>
          </w:tcPr>
          <w:p w14:paraId="481AD615" w14:textId="77777777" w:rsidR="00C972CB" w:rsidRDefault="002457F6">
            <w:pPr>
              <w:pStyle w:val="P68B1DB1-Normal36"/>
              <w:spacing w:before="120" w:after="120"/>
              <w:jc w:val="center"/>
              <w:rPr>
                <w:noProof/>
                <w:color w:val="006100"/>
              </w:rPr>
            </w:pPr>
            <w:r>
              <w:rPr>
                <w:noProof/>
              </w:rPr>
              <w:t>NEPIEMĒRO</w:t>
            </w:r>
          </w:p>
        </w:tc>
        <w:tc>
          <w:tcPr>
            <w:tcW w:w="1276" w:type="dxa"/>
            <w:shd w:val="clear" w:color="auto" w:fill="C6EFCE"/>
            <w:noWrap/>
            <w:vAlign w:val="center"/>
          </w:tcPr>
          <w:p w14:paraId="4893CDBA" w14:textId="77777777" w:rsidR="00C972CB" w:rsidRDefault="002457F6">
            <w:pPr>
              <w:pStyle w:val="P68B1DB1-Normal36"/>
              <w:spacing w:before="120" w:after="120"/>
              <w:jc w:val="center"/>
              <w:rPr>
                <w:rFonts w:eastAsia="Calibri"/>
                <w:noProof/>
              </w:rPr>
            </w:pPr>
            <w:r>
              <w:rPr>
                <w:noProof/>
              </w:rPr>
              <w:t xml:space="preserve">Skaits </w:t>
            </w:r>
          </w:p>
        </w:tc>
        <w:tc>
          <w:tcPr>
            <w:tcW w:w="992" w:type="dxa"/>
            <w:shd w:val="clear" w:color="auto" w:fill="C6EFCE"/>
            <w:noWrap/>
            <w:vAlign w:val="center"/>
          </w:tcPr>
          <w:p w14:paraId="69483A33" w14:textId="77777777" w:rsidR="00C972CB" w:rsidRDefault="002457F6">
            <w:pPr>
              <w:pStyle w:val="P68B1DB1-Normal36"/>
              <w:spacing w:before="120" w:after="120"/>
              <w:jc w:val="center"/>
              <w:rPr>
                <w:noProof/>
                <w:color w:val="006100"/>
              </w:rPr>
            </w:pPr>
            <w:r>
              <w:rPr>
                <w:noProof/>
              </w:rPr>
              <w:t>0</w:t>
            </w:r>
          </w:p>
        </w:tc>
        <w:tc>
          <w:tcPr>
            <w:tcW w:w="850" w:type="dxa"/>
            <w:shd w:val="clear" w:color="auto" w:fill="C6EFCE"/>
            <w:noWrap/>
            <w:vAlign w:val="center"/>
          </w:tcPr>
          <w:p w14:paraId="12EDAA5F" w14:textId="10222395" w:rsidR="00C972CB" w:rsidRDefault="002457F6">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851" w:type="dxa"/>
            <w:shd w:val="clear" w:color="auto" w:fill="C6EFCE"/>
            <w:noWrap/>
            <w:vAlign w:val="center"/>
          </w:tcPr>
          <w:p w14:paraId="42ADAAF2" w14:textId="77777777" w:rsidR="00C972CB" w:rsidRDefault="002457F6">
            <w:pPr>
              <w:pStyle w:val="P68B1DB1-Normal36"/>
              <w:spacing w:before="120" w:after="120"/>
              <w:jc w:val="center"/>
              <w:rPr>
                <w:noProof/>
                <w:color w:val="006100"/>
              </w:rPr>
            </w:pPr>
            <w:r>
              <w:rPr>
                <w:noProof/>
              </w:rPr>
              <w:t>2. CET.</w:t>
            </w:r>
          </w:p>
        </w:tc>
        <w:tc>
          <w:tcPr>
            <w:tcW w:w="709" w:type="dxa"/>
            <w:shd w:val="clear" w:color="auto" w:fill="C6EFCE"/>
            <w:noWrap/>
            <w:vAlign w:val="center"/>
          </w:tcPr>
          <w:p w14:paraId="1B83D4BE" w14:textId="77777777" w:rsidR="00C972CB" w:rsidRDefault="002457F6">
            <w:pPr>
              <w:pStyle w:val="P68B1DB1-Normal36"/>
              <w:spacing w:before="120" w:after="120"/>
              <w:jc w:val="center"/>
              <w:rPr>
                <w:noProof/>
                <w:color w:val="006100"/>
              </w:rPr>
            </w:pPr>
            <w:r>
              <w:rPr>
                <w:noProof/>
              </w:rPr>
              <w:t>2023</w:t>
            </w:r>
          </w:p>
        </w:tc>
        <w:tc>
          <w:tcPr>
            <w:tcW w:w="2835" w:type="dxa"/>
            <w:shd w:val="clear" w:color="auto" w:fill="C6EFCE"/>
            <w:noWrap/>
            <w:vAlign w:val="center"/>
          </w:tcPr>
          <w:p w14:paraId="2B8533CC" w14:textId="77777777" w:rsidR="00C972CB" w:rsidRDefault="002457F6">
            <w:pPr>
              <w:pStyle w:val="P68B1DB1-Normal36"/>
              <w:spacing w:before="120" w:after="120"/>
              <w:rPr>
                <w:rFonts w:eastAsia="Calibri"/>
                <w:noProof/>
              </w:rPr>
            </w:pPr>
            <w:r>
              <w:rPr>
                <w:noProof/>
              </w:rPr>
              <w:t xml:space="preserve">Šis </w:t>
            </w:r>
            <w:r>
              <w:rPr>
                <w:noProof/>
              </w:rPr>
              <w:t>ieguldījums palielina stipendijas konkrētam vispārējās medicīnas kursam, garantējot 3 trīs gadu mācību ciklu pabeigšanu;</w:t>
            </w:r>
          </w:p>
        </w:tc>
      </w:tr>
      <w:tr w:rsidR="00C972CB" w14:paraId="5C9B3B3B" w14:textId="77777777">
        <w:trPr>
          <w:trHeight w:val="313"/>
          <w:jc w:val="center"/>
        </w:trPr>
        <w:tc>
          <w:tcPr>
            <w:tcW w:w="1129" w:type="dxa"/>
            <w:shd w:val="clear" w:color="auto" w:fill="C6EFCE"/>
            <w:noWrap/>
            <w:vAlign w:val="center"/>
          </w:tcPr>
          <w:p w14:paraId="79D0548F" w14:textId="77777777" w:rsidR="00C972CB" w:rsidRDefault="002457F6">
            <w:pPr>
              <w:pStyle w:val="P68B1DB1-Normal11"/>
              <w:spacing w:before="120" w:after="120"/>
              <w:jc w:val="center"/>
              <w:rPr>
                <w:noProof/>
              </w:rPr>
            </w:pPr>
            <w:r>
              <w:rPr>
                <w:noProof/>
              </w:rPr>
              <w:t>M6C2–15</w:t>
            </w:r>
          </w:p>
        </w:tc>
        <w:tc>
          <w:tcPr>
            <w:tcW w:w="1701" w:type="dxa"/>
            <w:shd w:val="clear" w:color="auto" w:fill="C6EFCE"/>
            <w:noWrap/>
            <w:vAlign w:val="center"/>
          </w:tcPr>
          <w:p w14:paraId="4848F706" w14:textId="77777777" w:rsidR="00C972CB" w:rsidRDefault="002457F6">
            <w:pPr>
              <w:pStyle w:val="P68B1DB1-Normal36"/>
              <w:spacing w:before="120" w:after="120"/>
              <w:jc w:val="center"/>
              <w:rPr>
                <w:noProof/>
                <w:color w:val="006100"/>
              </w:rPr>
            </w:pPr>
            <w:r>
              <w:rPr>
                <w:noProof/>
              </w:rPr>
              <w:t>Ieguldījums 2.2.: Veselības aprūpes sistēmas speciālistu tehnisko, profesionālo, digitālo un vadības prasmju attīstīšana</w:t>
            </w:r>
          </w:p>
        </w:tc>
        <w:tc>
          <w:tcPr>
            <w:tcW w:w="1134" w:type="dxa"/>
            <w:shd w:val="clear" w:color="auto" w:fill="C6EFCE"/>
            <w:noWrap/>
            <w:vAlign w:val="center"/>
          </w:tcPr>
          <w:p w14:paraId="32396B6F" w14:textId="77777777" w:rsidR="00C972CB" w:rsidRDefault="002457F6">
            <w:pPr>
              <w:pStyle w:val="P68B1DB1-Normal36"/>
              <w:spacing w:before="120" w:after="120"/>
              <w:jc w:val="center"/>
              <w:rPr>
                <w:noProof/>
                <w:color w:val="006100"/>
              </w:rPr>
            </w:pPr>
            <w:r>
              <w:rPr>
                <w:noProof/>
              </w:rPr>
              <w:t>Mērķa</w:t>
            </w:r>
          </w:p>
        </w:tc>
        <w:tc>
          <w:tcPr>
            <w:tcW w:w="1560" w:type="dxa"/>
            <w:shd w:val="clear" w:color="auto" w:fill="C6EFCE"/>
            <w:noWrap/>
            <w:vAlign w:val="center"/>
          </w:tcPr>
          <w:p w14:paraId="5FDB5B63" w14:textId="77777777" w:rsidR="00C972CB" w:rsidRDefault="002457F6">
            <w:pPr>
              <w:pStyle w:val="P68B1DB1-Normal36"/>
              <w:spacing w:before="120" w:after="120"/>
              <w:jc w:val="center"/>
              <w:rPr>
                <w:noProof/>
              </w:rPr>
            </w:pPr>
            <w:r>
              <w:rPr>
                <w:noProof/>
              </w:rPr>
              <w:t>Tiek piešķirtas papildu stipendijas īpašām mācībām vispārējās medicīnas praksē.</w:t>
            </w:r>
          </w:p>
        </w:tc>
        <w:tc>
          <w:tcPr>
            <w:tcW w:w="1559" w:type="dxa"/>
            <w:shd w:val="clear" w:color="auto" w:fill="C6EFCE"/>
            <w:noWrap/>
            <w:vAlign w:val="center"/>
          </w:tcPr>
          <w:p w14:paraId="7D4DCB8A" w14:textId="77777777" w:rsidR="00C972CB" w:rsidRDefault="002457F6">
            <w:pPr>
              <w:pStyle w:val="P68B1DB1-Normal36"/>
              <w:spacing w:before="120" w:after="120"/>
              <w:jc w:val="center"/>
              <w:rPr>
                <w:noProof/>
                <w:color w:val="006100"/>
              </w:rPr>
            </w:pPr>
            <w:r>
              <w:rPr>
                <w:noProof/>
              </w:rPr>
              <w:t>NEPIEMĒRO</w:t>
            </w:r>
          </w:p>
        </w:tc>
        <w:tc>
          <w:tcPr>
            <w:tcW w:w="1276" w:type="dxa"/>
            <w:shd w:val="clear" w:color="auto" w:fill="C6EFCE"/>
            <w:noWrap/>
            <w:vAlign w:val="center"/>
          </w:tcPr>
          <w:p w14:paraId="2C866086" w14:textId="77777777" w:rsidR="00C972CB" w:rsidRDefault="002457F6">
            <w:pPr>
              <w:pStyle w:val="P68B1DB1-Normal36"/>
              <w:spacing w:before="120" w:after="120"/>
              <w:jc w:val="center"/>
              <w:rPr>
                <w:rFonts w:eastAsia="Calibri"/>
                <w:noProof/>
              </w:rPr>
            </w:pPr>
            <w:r>
              <w:rPr>
                <w:noProof/>
              </w:rPr>
              <w:t xml:space="preserve">Skaits </w:t>
            </w:r>
          </w:p>
        </w:tc>
        <w:tc>
          <w:tcPr>
            <w:tcW w:w="992" w:type="dxa"/>
            <w:shd w:val="clear" w:color="auto" w:fill="C6EFCE"/>
            <w:noWrap/>
            <w:vAlign w:val="center"/>
          </w:tcPr>
          <w:p w14:paraId="3A31C408" w14:textId="271E7FE0" w:rsidR="00C972CB" w:rsidRDefault="002457F6">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850" w:type="dxa"/>
            <w:shd w:val="clear" w:color="auto" w:fill="C6EFCE"/>
            <w:noWrap/>
            <w:vAlign w:val="center"/>
          </w:tcPr>
          <w:p w14:paraId="223A2819" w14:textId="5A3DE903" w:rsidR="00C972CB" w:rsidRDefault="002457F6">
            <w:pPr>
              <w:pStyle w:val="P68B1DB1-Normal19"/>
              <w:spacing w:before="120" w:after="120"/>
              <w:jc w:val="center"/>
              <w:rPr>
                <w:noProof/>
                <w:color w:val="006100"/>
              </w:rPr>
            </w:pPr>
            <w:r>
              <w:rPr>
                <w:noProof/>
                <w:color w:val="006600"/>
              </w:rPr>
              <w:t>2</w:t>
            </w:r>
            <w:r>
              <w:rPr>
                <w:noProof/>
                <w:color w:val="006100"/>
              </w:rPr>
              <w:t xml:space="preserve"> </w:t>
            </w:r>
            <w:r>
              <w:rPr>
                <w:noProof/>
                <w:color w:val="006600"/>
              </w:rPr>
              <w:t>700</w:t>
            </w:r>
          </w:p>
        </w:tc>
        <w:tc>
          <w:tcPr>
            <w:tcW w:w="851" w:type="dxa"/>
            <w:shd w:val="clear" w:color="auto" w:fill="C6EFCE"/>
            <w:noWrap/>
            <w:vAlign w:val="center"/>
          </w:tcPr>
          <w:p w14:paraId="2C20FB9C" w14:textId="77777777" w:rsidR="00C972CB" w:rsidRDefault="002457F6">
            <w:pPr>
              <w:pStyle w:val="P68B1DB1-Normal36"/>
              <w:spacing w:before="120" w:after="120"/>
              <w:jc w:val="center"/>
              <w:rPr>
                <w:noProof/>
                <w:color w:val="006100"/>
              </w:rPr>
            </w:pPr>
            <w:r>
              <w:rPr>
                <w:noProof/>
              </w:rPr>
              <w:t>2. CET.</w:t>
            </w:r>
          </w:p>
        </w:tc>
        <w:tc>
          <w:tcPr>
            <w:tcW w:w="709" w:type="dxa"/>
            <w:shd w:val="clear" w:color="auto" w:fill="C6EFCE"/>
            <w:noWrap/>
            <w:vAlign w:val="center"/>
          </w:tcPr>
          <w:p w14:paraId="08614FD0" w14:textId="77777777" w:rsidR="00C972CB" w:rsidRDefault="002457F6">
            <w:pPr>
              <w:pStyle w:val="P68B1DB1-Normal36"/>
              <w:spacing w:before="120" w:after="120"/>
              <w:jc w:val="center"/>
              <w:rPr>
                <w:noProof/>
                <w:color w:val="006100"/>
              </w:rPr>
            </w:pPr>
            <w:r>
              <w:rPr>
                <w:noProof/>
              </w:rPr>
              <w:t>2024</w:t>
            </w:r>
          </w:p>
        </w:tc>
        <w:tc>
          <w:tcPr>
            <w:tcW w:w="2835" w:type="dxa"/>
            <w:shd w:val="clear" w:color="auto" w:fill="C6EFCE"/>
            <w:noWrap/>
            <w:vAlign w:val="center"/>
          </w:tcPr>
          <w:p w14:paraId="183FA4A0" w14:textId="77777777" w:rsidR="00C972CB" w:rsidRDefault="002457F6">
            <w:pPr>
              <w:pStyle w:val="P68B1DB1-Normal36"/>
              <w:spacing w:before="120" w:after="120"/>
              <w:rPr>
                <w:rFonts w:eastAsia="Calibri"/>
                <w:noProof/>
              </w:rPr>
            </w:pPr>
            <w:r>
              <w:rPr>
                <w:noProof/>
              </w:rPr>
              <w:t>Šis ieguldījums palielina stipendijas konkrētam vispārējās medicīnas kursam, garantējot 3 trīs gadu mācību ciklu pabeigšanu.</w:t>
            </w:r>
          </w:p>
        </w:tc>
      </w:tr>
      <w:tr w:rsidR="00C972CB" w14:paraId="4D87EC04" w14:textId="77777777">
        <w:trPr>
          <w:trHeight w:val="313"/>
          <w:jc w:val="center"/>
        </w:trPr>
        <w:tc>
          <w:tcPr>
            <w:tcW w:w="1129" w:type="dxa"/>
            <w:shd w:val="clear" w:color="auto" w:fill="C6EFCE"/>
            <w:noWrap/>
            <w:vAlign w:val="center"/>
          </w:tcPr>
          <w:p w14:paraId="01AE9816" w14:textId="1C4A8D7D" w:rsidR="00C972CB" w:rsidRDefault="002457F6">
            <w:pPr>
              <w:pStyle w:val="P68B1DB1-Normal11"/>
              <w:spacing w:before="120" w:after="120"/>
              <w:jc w:val="center"/>
              <w:rPr>
                <w:noProof/>
              </w:rPr>
            </w:pPr>
            <w:r>
              <w:rPr>
                <w:noProof/>
              </w:rPr>
              <w:t>M6C2–16</w:t>
            </w:r>
          </w:p>
        </w:tc>
        <w:tc>
          <w:tcPr>
            <w:tcW w:w="1701" w:type="dxa"/>
            <w:shd w:val="clear" w:color="auto" w:fill="C6EFCE"/>
            <w:noWrap/>
            <w:vAlign w:val="center"/>
          </w:tcPr>
          <w:p w14:paraId="220D3260" w14:textId="77777777" w:rsidR="00C972CB" w:rsidRDefault="002457F6">
            <w:pPr>
              <w:pStyle w:val="P68B1DB1-Normal36"/>
              <w:spacing w:before="120" w:after="120"/>
              <w:jc w:val="center"/>
              <w:rPr>
                <w:noProof/>
                <w:color w:val="006100"/>
              </w:rPr>
            </w:pPr>
            <w:r>
              <w:rPr>
                <w:noProof/>
              </w:rPr>
              <w:t>Ieguldījums 2.2.: Veselības aprūpes sistēmas speciālistu tehnisko, profesionālo, digitālo un vadības prasmju attīstīšana</w:t>
            </w:r>
          </w:p>
        </w:tc>
        <w:tc>
          <w:tcPr>
            <w:tcW w:w="1134" w:type="dxa"/>
            <w:shd w:val="clear" w:color="auto" w:fill="C6EFCE"/>
            <w:noWrap/>
            <w:vAlign w:val="center"/>
          </w:tcPr>
          <w:p w14:paraId="6F52510F" w14:textId="77777777" w:rsidR="00C972CB" w:rsidRDefault="002457F6">
            <w:pPr>
              <w:pStyle w:val="P68B1DB1-Normal36"/>
              <w:spacing w:before="120" w:after="120"/>
              <w:jc w:val="center"/>
              <w:rPr>
                <w:noProof/>
                <w:color w:val="006100"/>
              </w:rPr>
            </w:pPr>
            <w:r>
              <w:rPr>
                <w:noProof/>
              </w:rPr>
              <w:t>Mērķa</w:t>
            </w:r>
          </w:p>
        </w:tc>
        <w:tc>
          <w:tcPr>
            <w:tcW w:w="1560" w:type="dxa"/>
            <w:shd w:val="clear" w:color="auto" w:fill="C6EFCE"/>
            <w:noWrap/>
            <w:vAlign w:val="center"/>
          </w:tcPr>
          <w:p w14:paraId="43FCA888" w14:textId="52E4DA8B" w:rsidR="00C972CB" w:rsidRDefault="002457F6">
            <w:pPr>
              <w:pStyle w:val="P68B1DB1-Normal36"/>
              <w:spacing w:before="120" w:after="120"/>
              <w:jc w:val="center"/>
              <w:rPr>
                <w:noProof/>
                <w:color w:val="006100"/>
              </w:rPr>
            </w:pPr>
            <w:r>
              <w:rPr>
                <w:noProof/>
              </w:rPr>
              <w:t>Valsts veselības dienesta darbiniekiem nodrošinātā apmācība par vadības un digitālajām prasmēm</w:t>
            </w:r>
          </w:p>
        </w:tc>
        <w:tc>
          <w:tcPr>
            <w:tcW w:w="1559" w:type="dxa"/>
            <w:shd w:val="clear" w:color="auto" w:fill="C6EFCE"/>
            <w:noWrap/>
            <w:vAlign w:val="center"/>
          </w:tcPr>
          <w:p w14:paraId="4EDA3B74" w14:textId="77777777" w:rsidR="00C972CB" w:rsidRDefault="002457F6">
            <w:pPr>
              <w:pStyle w:val="P68B1DB1-Normal36"/>
              <w:spacing w:before="120" w:after="120"/>
              <w:jc w:val="center"/>
              <w:rPr>
                <w:noProof/>
                <w:color w:val="006100"/>
              </w:rPr>
            </w:pPr>
            <w:r>
              <w:rPr>
                <w:noProof/>
              </w:rPr>
              <w:t>NEPIEMĒRO</w:t>
            </w:r>
          </w:p>
        </w:tc>
        <w:tc>
          <w:tcPr>
            <w:tcW w:w="1276" w:type="dxa"/>
            <w:shd w:val="clear" w:color="auto" w:fill="C6EFCE"/>
            <w:noWrap/>
            <w:vAlign w:val="center"/>
          </w:tcPr>
          <w:p w14:paraId="2527A703" w14:textId="77777777" w:rsidR="00C972CB" w:rsidRDefault="002457F6">
            <w:pPr>
              <w:pStyle w:val="P68B1DB1-Normal36"/>
              <w:spacing w:before="120" w:after="120"/>
              <w:jc w:val="center"/>
              <w:rPr>
                <w:noProof/>
                <w:color w:val="006100"/>
              </w:rPr>
            </w:pPr>
            <w:r>
              <w:rPr>
                <w:noProof/>
              </w:rPr>
              <w:t>Skaits</w:t>
            </w:r>
          </w:p>
        </w:tc>
        <w:tc>
          <w:tcPr>
            <w:tcW w:w="992" w:type="dxa"/>
            <w:shd w:val="clear" w:color="auto" w:fill="C6EFCE"/>
            <w:noWrap/>
            <w:vAlign w:val="center"/>
          </w:tcPr>
          <w:p w14:paraId="7D3ED7B5" w14:textId="77777777" w:rsidR="00C972CB" w:rsidRDefault="002457F6">
            <w:pPr>
              <w:pStyle w:val="P68B1DB1-Normal36"/>
              <w:spacing w:before="120" w:after="120"/>
              <w:jc w:val="center"/>
              <w:rPr>
                <w:noProof/>
                <w:color w:val="006100"/>
              </w:rPr>
            </w:pPr>
            <w:r>
              <w:rPr>
                <w:noProof/>
              </w:rPr>
              <w:t>0</w:t>
            </w:r>
          </w:p>
        </w:tc>
        <w:tc>
          <w:tcPr>
            <w:tcW w:w="850" w:type="dxa"/>
            <w:shd w:val="clear" w:color="auto" w:fill="C6EFCE"/>
            <w:noWrap/>
            <w:vAlign w:val="center"/>
          </w:tcPr>
          <w:p w14:paraId="6EE62EBE" w14:textId="536BD567" w:rsidR="00C972CB" w:rsidRDefault="002457F6">
            <w:pPr>
              <w:pStyle w:val="P68B1DB1-Normal19"/>
              <w:spacing w:before="120" w:after="120"/>
              <w:jc w:val="center"/>
              <w:rPr>
                <w:noProof/>
                <w:color w:val="006100"/>
              </w:rPr>
            </w:pPr>
            <w:r>
              <w:rPr>
                <w:noProof/>
                <w:color w:val="006600"/>
              </w:rPr>
              <w:t>4</w:t>
            </w:r>
            <w:r>
              <w:rPr>
                <w:noProof/>
                <w:color w:val="006100"/>
              </w:rPr>
              <w:t xml:space="preserve"> </w:t>
            </w:r>
            <w:r>
              <w:rPr>
                <w:noProof/>
                <w:color w:val="006600"/>
              </w:rPr>
              <w:t>500</w:t>
            </w:r>
          </w:p>
        </w:tc>
        <w:tc>
          <w:tcPr>
            <w:tcW w:w="851" w:type="dxa"/>
            <w:shd w:val="clear" w:color="auto" w:fill="C6EFCE"/>
            <w:noWrap/>
            <w:vAlign w:val="center"/>
          </w:tcPr>
          <w:p w14:paraId="0F9C0FC2" w14:textId="77777777" w:rsidR="00C972CB" w:rsidRDefault="002457F6">
            <w:pPr>
              <w:pStyle w:val="P68B1DB1-Normal36"/>
              <w:spacing w:before="120" w:after="120"/>
              <w:jc w:val="center"/>
              <w:rPr>
                <w:noProof/>
                <w:color w:val="006100"/>
              </w:rPr>
            </w:pPr>
            <w:r>
              <w:rPr>
                <w:noProof/>
              </w:rPr>
              <w:t>2. CET.</w:t>
            </w:r>
          </w:p>
        </w:tc>
        <w:tc>
          <w:tcPr>
            <w:tcW w:w="709" w:type="dxa"/>
            <w:shd w:val="clear" w:color="auto" w:fill="C6EFCE"/>
            <w:noWrap/>
            <w:vAlign w:val="center"/>
          </w:tcPr>
          <w:p w14:paraId="71154C22" w14:textId="77777777" w:rsidR="00C972CB" w:rsidRDefault="002457F6">
            <w:pPr>
              <w:pStyle w:val="P68B1DB1-Normal36"/>
              <w:spacing w:before="120" w:after="120"/>
              <w:jc w:val="center"/>
              <w:rPr>
                <w:noProof/>
                <w:color w:val="006100"/>
              </w:rPr>
            </w:pPr>
            <w:r>
              <w:rPr>
                <w:noProof/>
              </w:rPr>
              <w:t>2026</w:t>
            </w:r>
          </w:p>
        </w:tc>
        <w:tc>
          <w:tcPr>
            <w:tcW w:w="2835" w:type="dxa"/>
            <w:shd w:val="clear" w:color="auto" w:fill="C6EFCE"/>
            <w:noWrap/>
            <w:vAlign w:val="center"/>
          </w:tcPr>
          <w:p w14:paraId="59169934" w14:textId="2E3B365B" w:rsidR="00C972CB" w:rsidRDefault="002457F6">
            <w:pPr>
              <w:pStyle w:val="P68B1DB1-Normal19"/>
              <w:spacing w:before="120" w:after="120"/>
              <w:rPr>
                <w:noProof/>
              </w:rPr>
            </w:pPr>
            <w:r>
              <w:rPr>
                <w:noProof/>
                <w:color w:val="006600"/>
              </w:rPr>
              <w:t>Apmācība par vadības un digitālajām prasmēm tiek nodrošināta 4500 Nacionālā veselības dienesta</w:t>
            </w:r>
            <w:r>
              <w:rPr>
                <w:noProof/>
                <w:color w:val="006100"/>
              </w:rPr>
              <w:t xml:space="preserve"> </w:t>
            </w:r>
            <w:r>
              <w:rPr>
                <w:noProof/>
                <w:color w:val="006600"/>
              </w:rPr>
              <w:t>darbinieku.</w:t>
            </w:r>
          </w:p>
          <w:p w14:paraId="53004C9C" w14:textId="77777777" w:rsidR="00C972CB" w:rsidRDefault="002457F6">
            <w:pPr>
              <w:pStyle w:val="P68B1DB1-Normal36"/>
              <w:spacing w:before="120" w:after="120"/>
              <w:rPr>
                <w:rFonts w:eastAsia="Calibri"/>
                <w:noProof/>
              </w:rPr>
            </w:pPr>
            <w:r>
              <w:rPr>
                <w:noProof/>
              </w:rPr>
              <w:t>Ar šo ieguldījumu aktivizē apmācības ceļu personālam, kuram ir vadošās funkcijas NHS struktūrās, lai viņi varētu apgūt nepieciešamās vad</w:t>
            </w:r>
            <w:r>
              <w:rPr>
                <w:noProof/>
              </w:rPr>
              <w:t>ības un digitālās prasmes un spējas risināt pašreizējās un turpmākās veselības problēmas integrētā, ilgtspējīgā, inovatīvā, elastīgā un uz rezultātiem vērstā perspektīvā.</w:t>
            </w:r>
          </w:p>
        </w:tc>
      </w:tr>
      <w:tr w:rsidR="00C972CB" w14:paraId="7B8A8A3B" w14:textId="77777777">
        <w:trPr>
          <w:trHeight w:val="313"/>
          <w:jc w:val="center"/>
        </w:trPr>
        <w:tc>
          <w:tcPr>
            <w:tcW w:w="1129" w:type="dxa"/>
            <w:shd w:val="clear" w:color="auto" w:fill="C6EFCE"/>
            <w:noWrap/>
            <w:vAlign w:val="center"/>
          </w:tcPr>
          <w:p w14:paraId="72762C24" w14:textId="77777777" w:rsidR="00C972CB" w:rsidRDefault="002457F6">
            <w:pPr>
              <w:pStyle w:val="P68B1DB1-Normal36"/>
              <w:spacing w:before="120" w:after="120"/>
              <w:jc w:val="center"/>
              <w:rPr>
                <w:rFonts w:eastAsia="Calibri"/>
                <w:noProof/>
              </w:rPr>
            </w:pPr>
            <w:r>
              <w:rPr>
                <w:noProof/>
              </w:rPr>
              <w:t>M6C2–17</w:t>
            </w:r>
          </w:p>
        </w:tc>
        <w:tc>
          <w:tcPr>
            <w:tcW w:w="1701" w:type="dxa"/>
            <w:shd w:val="clear" w:color="auto" w:fill="C6EFCE"/>
            <w:noWrap/>
            <w:vAlign w:val="center"/>
          </w:tcPr>
          <w:p w14:paraId="3A88675A" w14:textId="77777777" w:rsidR="00C972CB" w:rsidRDefault="002457F6">
            <w:pPr>
              <w:pStyle w:val="P68B1DB1-Normal36"/>
              <w:spacing w:before="120" w:after="120"/>
              <w:jc w:val="center"/>
              <w:rPr>
                <w:rFonts w:eastAsia="Calibri"/>
                <w:noProof/>
              </w:rPr>
            </w:pPr>
            <w:r>
              <w:rPr>
                <w:noProof/>
              </w:rPr>
              <w:t xml:space="preserve">Ieguldījums 2.2.: Veselības aprūpes sistēmas speciālistu tehnisko, </w:t>
            </w:r>
            <w:r>
              <w:rPr>
                <w:noProof/>
              </w:rPr>
              <w:t>profesionālo, digitālo un vadības prasmju attīstīšana</w:t>
            </w:r>
          </w:p>
        </w:tc>
        <w:tc>
          <w:tcPr>
            <w:tcW w:w="1134" w:type="dxa"/>
            <w:shd w:val="clear" w:color="auto" w:fill="C6EFCE"/>
            <w:noWrap/>
            <w:vAlign w:val="center"/>
          </w:tcPr>
          <w:p w14:paraId="1DF1AE5B" w14:textId="77777777" w:rsidR="00C972CB" w:rsidRDefault="002457F6">
            <w:pPr>
              <w:pStyle w:val="P68B1DB1-Normal36"/>
              <w:spacing w:before="120" w:after="120"/>
              <w:jc w:val="center"/>
              <w:rPr>
                <w:rFonts w:eastAsia="Calibri"/>
                <w:noProof/>
              </w:rPr>
            </w:pPr>
            <w:r>
              <w:rPr>
                <w:noProof/>
              </w:rPr>
              <w:t>Mērķa</w:t>
            </w:r>
          </w:p>
        </w:tc>
        <w:tc>
          <w:tcPr>
            <w:tcW w:w="1560" w:type="dxa"/>
            <w:shd w:val="clear" w:color="auto" w:fill="C6EFCE"/>
            <w:noWrap/>
            <w:vAlign w:val="center"/>
          </w:tcPr>
          <w:p w14:paraId="5BBA978C" w14:textId="77777777" w:rsidR="00C972CB" w:rsidRDefault="002457F6">
            <w:pPr>
              <w:pStyle w:val="P68B1DB1-Normal36"/>
              <w:spacing w:before="120" w:after="120"/>
              <w:jc w:val="center"/>
              <w:rPr>
                <w:rFonts w:eastAsia="Calibri"/>
                <w:noProof/>
              </w:rPr>
            </w:pPr>
            <w:r>
              <w:rPr>
                <w:noProof/>
              </w:rPr>
              <w:t>Finansēto medicīnisko pakalpojumu līgumu skaits — speciālistu apmācības līgumi</w:t>
            </w:r>
          </w:p>
        </w:tc>
        <w:tc>
          <w:tcPr>
            <w:tcW w:w="1559" w:type="dxa"/>
            <w:shd w:val="clear" w:color="auto" w:fill="C6EFCE"/>
            <w:noWrap/>
            <w:vAlign w:val="center"/>
          </w:tcPr>
          <w:p w14:paraId="2054C26F" w14:textId="77777777" w:rsidR="00C972CB" w:rsidRDefault="002457F6">
            <w:pPr>
              <w:pStyle w:val="P68B1DB1-Normal36"/>
              <w:spacing w:before="120" w:after="120"/>
              <w:jc w:val="center"/>
              <w:rPr>
                <w:rFonts w:eastAsia="Calibri"/>
                <w:noProof/>
              </w:rPr>
            </w:pPr>
            <w:r>
              <w:rPr>
                <w:noProof/>
              </w:rPr>
              <w:t>NEPIEMĒRO</w:t>
            </w:r>
          </w:p>
        </w:tc>
        <w:tc>
          <w:tcPr>
            <w:tcW w:w="1276" w:type="dxa"/>
            <w:shd w:val="clear" w:color="auto" w:fill="C6EFCE"/>
            <w:noWrap/>
            <w:vAlign w:val="center"/>
          </w:tcPr>
          <w:p w14:paraId="6EB3D75D" w14:textId="77777777" w:rsidR="00C972CB" w:rsidRDefault="002457F6">
            <w:pPr>
              <w:pStyle w:val="P68B1DB1-Normal36"/>
              <w:spacing w:before="120" w:after="120"/>
              <w:jc w:val="center"/>
              <w:rPr>
                <w:rFonts w:eastAsia="Calibri"/>
                <w:noProof/>
              </w:rPr>
            </w:pPr>
            <w:r>
              <w:rPr>
                <w:noProof/>
              </w:rPr>
              <w:t>Skaits</w:t>
            </w:r>
          </w:p>
        </w:tc>
        <w:tc>
          <w:tcPr>
            <w:tcW w:w="992" w:type="dxa"/>
            <w:shd w:val="clear" w:color="auto" w:fill="C6EFCE"/>
            <w:noWrap/>
            <w:vAlign w:val="center"/>
          </w:tcPr>
          <w:p w14:paraId="045A1016" w14:textId="77777777" w:rsidR="00C972CB" w:rsidRDefault="002457F6">
            <w:pPr>
              <w:pStyle w:val="P68B1DB1-Normal36"/>
              <w:spacing w:before="120" w:after="120"/>
              <w:jc w:val="center"/>
              <w:rPr>
                <w:rFonts w:eastAsia="Calibri"/>
                <w:noProof/>
              </w:rPr>
            </w:pPr>
            <w:r>
              <w:rPr>
                <w:noProof/>
              </w:rPr>
              <w:t>0</w:t>
            </w:r>
          </w:p>
        </w:tc>
        <w:tc>
          <w:tcPr>
            <w:tcW w:w="850" w:type="dxa"/>
            <w:shd w:val="clear" w:color="auto" w:fill="C6EFCE"/>
            <w:noWrap/>
            <w:vAlign w:val="center"/>
          </w:tcPr>
          <w:p w14:paraId="0E27D4DE" w14:textId="2F1340EB" w:rsidR="00C972CB" w:rsidRDefault="002457F6">
            <w:pPr>
              <w:pStyle w:val="P68B1DB1-Normal19"/>
              <w:spacing w:before="120" w:after="120"/>
              <w:jc w:val="center"/>
              <w:rPr>
                <w:rFonts w:eastAsia="Calibri"/>
                <w:noProof/>
                <w:color w:val="006600"/>
              </w:rPr>
            </w:pPr>
            <w:r>
              <w:rPr>
                <w:noProof/>
                <w:color w:val="006600"/>
              </w:rPr>
              <w:t>4</w:t>
            </w:r>
            <w:r>
              <w:rPr>
                <w:noProof/>
                <w:color w:val="006100"/>
              </w:rPr>
              <w:t xml:space="preserve"> </w:t>
            </w:r>
            <w:r>
              <w:rPr>
                <w:noProof/>
                <w:color w:val="006600"/>
              </w:rPr>
              <w:t>200</w:t>
            </w:r>
          </w:p>
        </w:tc>
        <w:tc>
          <w:tcPr>
            <w:tcW w:w="851" w:type="dxa"/>
            <w:shd w:val="clear" w:color="auto" w:fill="C6EFCE"/>
            <w:noWrap/>
            <w:vAlign w:val="center"/>
          </w:tcPr>
          <w:p w14:paraId="291DF6F5" w14:textId="77777777" w:rsidR="00C972CB" w:rsidRDefault="002457F6">
            <w:pPr>
              <w:pStyle w:val="P68B1DB1-Normal36"/>
              <w:spacing w:before="120" w:after="120"/>
              <w:jc w:val="center"/>
              <w:rPr>
                <w:rFonts w:eastAsia="Calibri"/>
                <w:noProof/>
              </w:rPr>
            </w:pPr>
            <w:r>
              <w:rPr>
                <w:noProof/>
              </w:rPr>
              <w:t>2. CET.</w:t>
            </w:r>
          </w:p>
        </w:tc>
        <w:tc>
          <w:tcPr>
            <w:tcW w:w="709" w:type="dxa"/>
            <w:shd w:val="clear" w:color="auto" w:fill="C6EFCE"/>
            <w:noWrap/>
            <w:vAlign w:val="center"/>
          </w:tcPr>
          <w:p w14:paraId="7D97D238" w14:textId="77777777" w:rsidR="00C972CB" w:rsidRDefault="002457F6">
            <w:pPr>
              <w:pStyle w:val="P68B1DB1-Normal36"/>
              <w:spacing w:before="120" w:after="120"/>
              <w:jc w:val="center"/>
              <w:rPr>
                <w:rFonts w:eastAsia="Calibri"/>
                <w:noProof/>
              </w:rPr>
            </w:pPr>
            <w:r>
              <w:rPr>
                <w:noProof/>
              </w:rPr>
              <w:t>2026</w:t>
            </w:r>
          </w:p>
        </w:tc>
        <w:tc>
          <w:tcPr>
            <w:tcW w:w="2835" w:type="dxa"/>
            <w:shd w:val="clear" w:color="auto" w:fill="C6EFCE"/>
            <w:noWrap/>
            <w:vAlign w:val="center"/>
          </w:tcPr>
          <w:p w14:paraId="4468978B" w14:textId="08CAA92D" w:rsidR="00C972CB" w:rsidRDefault="002457F6">
            <w:pPr>
              <w:pStyle w:val="P68B1DB1-Normal19"/>
              <w:spacing w:before="120" w:after="120"/>
              <w:rPr>
                <w:rFonts w:eastAsia="Calibri"/>
                <w:noProof/>
                <w:color w:val="006600"/>
              </w:rPr>
            </w:pPr>
            <w:r>
              <w:rPr>
                <w:noProof/>
                <w:color w:val="006600"/>
              </w:rPr>
              <w:t xml:space="preserve">Šis ieguldījums nodrošina finansējumu specializētas medicīniskās apmācības </w:t>
            </w:r>
            <w:r>
              <w:rPr>
                <w:noProof/>
                <w:color w:val="006600"/>
              </w:rPr>
              <w:t>līgumiem, kas ļaus finansēt papildu</w:t>
            </w:r>
            <w:r>
              <w:rPr>
                <w:noProof/>
                <w:color w:val="006100"/>
              </w:rPr>
              <w:t xml:space="preserve"> </w:t>
            </w:r>
            <w:r>
              <w:rPr>
                <w:noProof/>
                <w:color w:val="006600"/>
              </w:rPr>
              <w:t>4200 mācību līgumus pilnam studiju ciklam (5 gadi).</w:t>
            </w:r>
          </w:p>
        </w:tc>
      </w:tr>
    </w:tbl>
    <w:p w14:paraId="513DF4F3" w14:textId="77777777" w:rsidR="00C972CB" w:rsidRDefault="00C972CB">
      <w:pPr>
        <w:pStyle w:val="Text1"/>
        <w:ind w:left="0"/>
        <w:rPr>
          <w:rFonts w:eastAsiaTheme="majorEastAsia"/>
          <w:b/>
          <w:smallCaps/>
          <w:noProof/>
        </w:rPr>
        <w:sectPr w:rsidR="00C972CB" w:rsidSect="00CC151E">
          <w:headerReference w:type="even" r:id="rId380"/>
          <w:headerReference w:type="default" r:id="rId381"/>
          <w:footerReference w:type="even" r:id="rId382"/>
          <w:footerReference w:type="default" r:id="rId383"/>
          <w:headerReference w:type="first" r:id="rId384"/>
          <w:footerReference w:type="first" r:id="rId385"/>
          <w:pgSz w:w="16839" w:h="11907" w:orient="landscape"/>
          <w:pgMar w:top="1440" w:right="1440" w:bottom="1440" w:left="1440" w:header="567" w:footer="567" w:gutter="0"/>
          <w:cols w:space="720"/>
          <w:docGrid w:linePitch="360"/>
        </w:sectPr>
      </w:pPr>
    </w:p>
    <w:p w14:paraId="17D35748" w14:textId="5A6A3DB6" w:rsidR="00C972CB" w:rsidRDefault="002457F6">
      <w:pPr>
        <w:pStyle w:val="Heading2"/>
        <w:numPr>
          <w:ilvl w:val="0"/>
          <w:numId w:val="21"/>
        </w:numPr>
        <w:spacing w:before="0"/>
        <w:rPr>
          <w:noProof/>
        </w:rPr>
      </w:pPr>
      <w:r>
        <w:rPr>
          <w:noProof/>
        </w:rPr>
        <w:t>KOMANDĒJUMS: REPowerEU</w:t>
      </w:r>
    </w:p>
    <w:p w14:paraId="7E53E370" w14:textId="693937AE" w:rsidR="00C972CB" w:rsidRDefault="002457F6">
      <w:pPr>
        <w:pStyle w:val="paragraph"/>
        <w:spacing w:before="0" w:beforeAutospacing="0" w:after="120" w:afterAutospacing="0"/>
        <w:jc w:val="both"/>
        <w:textAlignment w:val="baseline"/>
        <w:rPr>
          <w:noProof/>
        </w:rPr>
      </w:pPr>
      <w:r>
        <w:rPr>
          <w:noProof/>
        </w:rPr>
        <w:t xml:space="preserve">REPowerEU nodaļas mērķis ir stiprināt sadales un sadales tīklus, tostarp tos, kas saistīti </w:t>
      </w:r>
      <w:r>
        <w:rPr>
          <w:noProof/>
        </w:rPr>
        <w:t>ar gāzi; paātrināt atjaunīgās enerģijas ražošanu, samazināt enerģijas pieprasījumu, palielināt energoefektivitāti un radīt prasmes publiskajā un privātajā sektorā zaļās pārkārtošanās procesam; veicināt atjaunīgās enerģijas un ūdeņraža vērtības ķēdes, izman</w:t>
      </w:r>
      <w:r>
        <w:rPr>
          <w:noProof/>
        </w:rPr>
        <w:t>tojot pasākumus, kas atvieglo piekļuvi kredītiem un nodokļu kredītiem.</w:t>
      </w:r>
    </w:p>
    <w:p w14:paraId="522CD23B" w14:textId="2DDB93C6" w:rsidR="00C972CB" w:rsidRDefault="002457F6">
      <w:pPr>
        <w:pStyle w:val="paragraph"/>
        <w:spacing w:before="0" w:beforeAutospacing="0" w:after="120" w:afterAutospacing="0"/>
        <w:jc w:val="both"/>
        <w:textAlignment w:val="baseline"/>
        <w:rPr>
          <w:noProof/>
        </w:rPr>
      </w:pPr>
      <w:r>
        <w:rPr>
          <w:noProof/>
        </w:rPr>
        <w:t>Komponents attiecas uz Itālijai 2022. un 2023. gadā adresētajiem ieteikumiem. Konkrētāk, tās mērķis ir paātrināt papildu atjaunīgās enerģijas jaudas izvēršanu, ieguldot lielos elektroen</w:t>
      </w:r>
      <w:r>
        <w:rPr>
          <w:noProof/>
        </w:rPr>
        <w:t>erģijas starpsavienojumu projektos (proti, divos starpsavienojumos, kas savieno Sardīniju un Sicīliju ar kontinentālo daļu, un trīs starpsavienojumos starp Austriju, Slovēniju un Itāliju), modernizējot valsts pārvades tīklu un racionalizējot atļauju piešķi</w:t>
      </w:r>
      <w:r>
        <w:rPr>
          <w:noProof/>
        </w:rPr>
        <w:t>ršanas procedūras. Tas palīdz palielināt iekšējās gāzes pārvades jaudu, lai pārvarētu sastrēgumus, dažādotu enerģijas importu un stiprinātu piegādes drošību. Tā veicina ilgtspējīgu mobilitāti, samazinot videi kaitīgas subsīdijas un stiprinot dzelzceļa park</w:t>
      </w:r>
      <w:r>
        <w:rPr>
          <w:noProof/>
        </w:rPr>
        <w:t xml:space="preserve">u. Tas palīdz samazināt atkarību no fosilā kurināmā, elektrificējot mājsaimniecību patēriņu un palielinot tīkla noturību. Tas palīdz palielināt energoefektivitāti dzīvojamo ēku un uzņēmumu sektorā, tostarp izmantojot mērķtiecīgas stimulu shēmas un finanšu </w:t>
      </w:r>
      <w:r>
        <w:rPr>
          <w:noProof/>
        </w:rPr>
        <w:t>instrumentus. Visbeidzot, tas ietver reformas un investīcijas, kuru mērķis ir uzlabot zaļās pārkārtošanās īstenošanai nepieciešamo prasmju nodrošināšanu un apguvi gan privātajā, gan publiskajā sektorā.</w:t>
      </w:r>
    </w:p>
    <w:p w14:paraId="7A192329" w14:textId="59794F5A" w:rsidR="00C972CB" w:rsidRDefault="002457F6">
      <w:pPr>
        <w:pStyle w:val="paragraph"/>
        <w:spacing w:before="0" w:beforeAutospacing="0" w:after="120" w:afterAutospacing="0"/>
        <w:jc w:val="both"/>
        <w:textAlignment w:val="baseline"/>
        <w:rPr>
          <w:rFonts w:eastAsia="Calibri"/>
          <w:noProof/>
        </w:rPr>
      </w:pPr>
      <w:r>
        <w:rPr>
          <w:noProof/>
        </w:rPr>
        <w:t>Deviņiem projektiem ir pārrobežu dimensija. Trim no ti</w:t>
      </w:r>
      <w:r>
        <w:rPr>
          <w:noProof/>
        </w:rPr>
        <w:t>em ir tieša pārrobežu ietekme: Investīcijas, kuru mērķis ir palielināt esošo elektroenerģijas starpsavienojumu nominālo jaudu starp Itāliju, Austriju un Slovēniju; 2) ieguldījums elektrotīklu starpsavienojuma būvniecībā starp Sardīniju, Korsiku un Toskānu;</w:t>
      </w:r>
      <w:r>
        <w:rPr>
          <w:noProof/>
        </w:rPr>
        <w:t xml:space="preserve"> Investīcijas kompresoru stacijās, kas palielina gāzes eksportu uz Centrāleiropu. Citi projekti netieši dod labumu pārrobežu dalībvalstīm, novēršot iekšējās enerģijas pārvades un sadales vājās vietas un palielinot tīkla efektivitāti un noturību.</w:t>
      </w:r>
    </w:p>
    <w:p w14:paraId="6ED85939" w14:textId="4DD3F082" w:rsidR="00C972CB" w:rsidRDefault="002457F6">
      <w:pPr>
        <w:spacing w:after="120"/>
        <w:jc w:val="both"/>
        <w:rPr>
          <w:noProof/>
        </w:rPr>
      </w:pPr>
      <w:r>
        <w:rPr>
          <w:noProof/>
        </w:rPr>
        <w:t>Paredzams,</w:t>
      </w:r>
      <w:r>
        <w:rPr>
          <w:noProof/>
        </w:rPr>
        <w:t xml:space="preserve"> ka neviens pasākums šajā komponentā nenodarīs būtisku kaitējumu vides mērķiem Regulas (ES) 2020/852 17. panta nozīmē, ņemot vērā pasākumu aprakstu un mazināšanas pasākumus, kas izklāstīti atveseļošanas un noturības plānā saskaņā ar Tehniskajiem norādījumi</w:t>
      </w:r>
      <w:r>
        <w:rPr>
          <w:noProof/>
        </w:rPr>
        <w:t xml:space="preserve">em “nenodari būtisku kaitējumu” </w:t>
      </w:r>
      <w:r>
        <w:rPr>
          <w:noProof/>
          <w:color w:val="000000" w:themeColor="text1"/>
        </w:rPr>
        <w:t>(</w:t>
      </w:r>
      <w:r>
        <w:rPr>
          <w:noProof/>
        </w:rPr>
        <w:t>C(2023) 6454 final</w:t>
      </w:r>
      <w:r>
        <w:rPr>
          <w:noProof/>
          <w:color w:val="000000" w:themeColor="text1"/>
        </w:rPr>
        <w:t>)</w:t>
      </w:r>
      <w:r>
        <w:rPr>
          <w:noProof/>
        </w:rPr>
        <w:t xml:space="preserve">, savukārt princips “nenodari būtisku kaitējumu” neattiecas uz investīcijām 11 — Adrijas jūras līnijas 1. posms (Sulmonas kompresorstacija un Sestino-Minerbio gāzes cauruļvads) un investīcijām 12 — gāzes </w:t>
      </w:r>
      <w:r>
        <w:rPr>
          <w:noProof/>
        </w:rPr>
        <w:t>pārrobežu eksporta infrastruktūra saskaņā ar Regulas (ES) 2021/241 21.c panta 6. punkta f) apakšpunktu.</w:t>
      </w:r>
    </w:p>
    <w:p w14:paraId="453D7599" w14:textId="7F7100C1" w:rsidR="00C972CB" w:rsidRDefault="002457F6">
      <w:pPr>
        <w:pStyle w:val="Heading3"/>
        <w:numPr>
          <w:ilvl w:val="0"/>
          <w:numId w:val="0"/>
        </w:numPr>
        <w:spacing w:before="0"/>
        <w:ind w:left="850" w:hanging="850"/>
        <w:rPr>
          <w:b/>
          <w:i w:val="0"/>
          <w:noProof/>
          <w:u w:val="single"/>
        </w:rPr>
      </w:pPr>
      <w:r>
        <w:rPr>
          <w:b/>
          <w:i w:val="0"/>
          <w:noProof/>
          <w:u w:val="single"/>
        </w:rPr>
        <w:t xml:space="preserve">Q.1. </w:t>
      </w:r>
      <w:r>
        <w:rPr>
          <w:noProof/>
        </w:rPr>
        <w:tab/>
      </w:r>
      <w:r>
        <w:rPr>
          <w:b/>
          <w:i w:val="0"/>
          <w:noProof/>
          <w:u w:val="single"/>
        </w:rPr>
        <w:t>Neatmaksājamam finansiālajam atbalstam pieteikto reformu un investīciju apraksts</w:t>
      </w:r>
    </w:p>
    <w:p w14:paraId="39E6FE7D" w14:textId="6F2B7823" w:rsidR="00C972CB" w:rsidRDefault="002457F6">
      <w:pPr>
        <w:pStyle w:val="Heading4"/>
        <w:numPr>
          <w:ilvl w:val="3"/>
          <w:numId w:val="0"/>
        </w:numPr>
        <w:rPr>
          <w:rStyle w:val="normaltextrun"/>
          <w:b/>
          <w:noProof/>
        </w:rPr>
      </w:pPr>
      <w:r>
        <w:rPr>
          <w:rStyle w:val="normaltextrun"/>
          <w:b/>
          <w:noProof/>
        </w:rPr>
        <w:t>Reforma. Atjaunojamo energoresursu enerģijas atļauju piešķiršanas</w:t>
      </w:r>
      <w:r>
        <w:rPr>
          <w:rStyle w:val="normaltextrun"/>
          <w:b/>
          <w:noProof/>
        </w:rPr>
        <w:t xml:space="preserve"> procedūru racionalizēšana centrālā un vietējā līmenī </w:t>
      </w:r>
    </w:p>
    <w:p w14:paraId="5487FC06" w14:textId="5B3DC0F4" w:rsidR="00C972CB" w:rsidRDefault="002457F6">
      <w:pPr>
        <w:pStyle w:val="Text1"/>
        <w:spacing w:before="0"/>
        <w:ind w:left="0"/>
        <w:rPr>
          <w:noProof/>
        </w:rPr>
      </w:pPr>
      <w:r>
        <w:rPr>
          <w:noProof/>
        </w:rPr>
        <w:t>Šīs reformas mērķis ir konsolidēt un racionalizēt spēkā esošos tiesību aktus un noteikumus, kas reglamentē atjaunojamo energoresursu izmantošanu.</w:t>
      </w:r>
    </w:p>
    <w:p w14:paraId="3E16A519" w14:textId="13ACFCEC" w:rsidR="00C972CB" w:rsidRDefault="002457F6">
      <w:pPr>
        <w:pStyle w:val="Text1"/>
        <w:spacing w:before="0"/>
        <w:ind w:left="0"/>
        <w:rPr>
          <w:noProof/>
        </w:rPr>
      </w:pPr>
      <w:r>
        <w:rPr>
          <w:noProof/>
        </w:rPr>
        <w:t>Reforma ietver viena primārā tiesību akta (saukts arī p</w:t>
      </w:r>
      <w:r>
        <w:rPr>
          <w:noProof/>
        </w:rPr>
        <w:t xml:space="preserve">ar </w:t>
      </w:r>
      <w:r>
        <w:rPr>
          <w:i/>
          <w:noProof/>
        </w:rPr>
        <w:t>Testo Unico</w:t>
      </w:r>
      <w:r>
        <w:rPr>
          <w:noProof/>
        </w:rPr>
        <w:t>) pieņemšanu un stāšanos spēkā, ar ko apkopo, apkopo un konsolidē visas normas, kas reglamentē atjaunojamo energoresursu izmantošanu, un aizstāj visus attiecīgos iepriekšējos tiesību aktus. Tiesību aktā nosaka arī principus atjaunojamo energo</w:t>
      </w:r>
      <w:r>
        <w:rPr>
          <w:noProof/>
        </w:rPr>
        <w:t>resursu atļauju piešķiršanas procedūru racionalizēšanai un saskaņošanai vietējā un reģionālajā līmenī.</w:t>
      </w:r>
    </w:p>
    <w:p w14:paraId="045822D3" w14:textId="55B8CC90" w:rsidR="00C972CB" w:rsidRDefault="002457F6">
      <w:pPr>
        <w:pStyle w:val="Text1"/>
        <w:spacing w:before="0"/>
        <w:ind w:left="0"/>
        <w:rPr>
          <w:noProof/>
        </w:rPr>
      </w:pPr>
      <w:r>
        <w:rPr>
          <w:i/>
          <w:noProof/>
        </w:rPr>
        <w:t xml:space="preserve">Testo Unico </w:t>
      </w:r>
      <w:r>
        <w:rPr>
          <w:noProof/>
        </w:rPr>
        <w:t>ir šādas galvenās prioritātes:</w:t>
      </w:r>
    </w:p>
    <w:p w14:paraId="443C9A4C" w14:textId="0CB051C4" w:rsidR="00C972CB" w:rsidRDefault="002457F6">
      <w:pPr>
        <w:pStyle w:val="Text1"/>
        <w:numPr>
          <w:ilvl w:val="0"/>
          <w:numId w:val="30"/>
        </w:numPr>
        <w:spacing w:before="0"/>
        <w:rPr>
          <w:noProof/>
        </w:rPr>
      </w:pPr>
      <w:r>
        <w:rPr>
          <w:noProof/>
        </w:rPr>
        <w:t>Noteikt “atjaunojamo energoresursu paātrināšanas jomas” saskaņā ar pārskatīto Atjaunojamo energoresursu direkt</w:t>
      </w:r>
      <w:r>
        <w:rPr>
          <w:noProof/>
        </w:rPr>
        <w:t>īvu. Šādas teritorijas nosaka arī saskaņā ar jūras telpiskajiem plāniem, lai paātrinātu atkrastes vēja enerģijas izmantošanu.</w:t>
      </w:r>
    </w:p>
    <w:p w14:paraId="63F81E70" w14:textId="6F8365E3" w:rsidR="00C972CB" w:rsidRDefault="002457F6">
      <w:pPr>
        <w:pStyle w:val="Text1"/>
        <w:numPr>
          <w:ilvl w:val="0"/>
          <w:numId w:val="30"/>
        </w:numPr>
        <w:spacing w:before="0"/>
        <w:rPr>
          <w:noProof/>
        </w:rPr>
      </w:pPr>
      <w:r>
        <w:rPr>
          <w:noProof/>
        </w:rPr>
        <w:t>Noteikt principus atjaunojamo energoresursu atļauju piešķiršanas procedūru racionalizēšanai un saskaņošanai vietējā un reģionālajā</w:t>
      </w:r>
      <w:r>
        <w:rPr>
          <w:noProof/>
        </w:rPr>
        <w:t xml:space="preserve"> līmenī. Konkrēti, </w:t>
      </w:r>
      <w:r>
        <w:rPr>
          <w:i/>
          <w:noProof/>
        </w:rPr>
        <w:t>Testo Unico</w:t>
      </w:r>
      <w:r>
        <w:rPr>
          <w:noProof/>
        </w:rPr>
        <w:t xml:space="preserve"> nosaka “maksimālos noteikumus”, t. i., reģioni nevar īstenot stingrākus atļauju piešķiršanas noteikumus par tiem, kas paredzēti valsts tiesību aktos.  </w:t>
      </w:r>
    </w:p>
    <w:p w14:paraId="5920AF27" w14:textId="3C030B23" w:rsidR="00C972CB" w:rsidRDefault="002457F6">
      <w:pPr>
        <w:pStyle w:val="Text1"/>
        <w:numPr>
          <w:ilvl w:val="0"/>
          <w:numId w:val="30"/>
        </w:numPr>
        <w:spacing w:before="0"/>
        <w:rPr>
          <w:noProof/>
        </w:rPr>
      </w:pPr>
      <w:r>
        <w:rPr>
          <w:noProof/>
        </w:rPr>
        <w:t>Nodrošināt, ka tiek izveidota un ieviesta vienota digitālā platforma, lai</w:t>
      </w:r>
      <w:r>
        <w:rPr>
          <w:noProof/>
        </w:rPr>
        <w:t xml:space="preserve"> saņemtu visas atļaujas valsts un reģionālā līmenī, kas vajadzīgas atjaunīgo energoresursu uzstādīšanai un izvēršanai. Jo īpaši </w:t>
      </w:r>
      <w:r>
        <w:rPr>
          <w:i/>
          <w:noProof/>
        </w:rPr>
        <w:t xml:space="preserve">Testo Unico </w:t>
      </w:r>
      <w:r>
        <w:rPr>
          <w:noProof/>
        </w:rPr>
        <w:t>nodrošina, ka platforma ir veidota, pamatojoties uz vienreizējas iesniegšanas principu, saskaņā ar kuru pretendentie</w:t>
      </w:r>
      <w:r>
        <w:rPr>
          <w:noProof/>
        </w:rPr>
        <w:t>m vienu un to pašu informāciju vai dokumentus publiskām iestādēm iesniedz tikai vienu reizi.</w:t>
      </w:r>
    </w:p>
    <w:p w14:paraId="4628866A" w14:textId="6D9A3035" w:rsidR="00C972CB" w:rsidRDefault="002457F6">
      <w:pPr>
        <w:pStyle w:val="Heading4"/>
        <w:numPr>
          <w:ilvl w:val="3"/>
          <w:numId w:val="0"/>
        </w:numPr>
        <w:rPr>
          <w:rStyle w:val="normaltextrun"/>
          <w:b/>
          <w:noProof/>
        </w:rPr>
      </w:pPr>
      <w:r>
        <w:rPr>
          <w:rStyle w:val="normaltextrun"/>
          <w:b/>
          <w:noProof/>
        </w:rPr>
        <w:t>Reforma. Videi kaitīgu subsīdiju samazināšana</w:t>
      </w:r>
    </w:p>
    <w:p w14:paraId="65CDC7D3" w14:textId="77777777" w:rsidR="00C972CB" w:rsidRDefault="002457F6">
      <w:pPr>
        <w:spacing w:after="120"/>
        <w:jc w:val="both"/>
        <w:rPr>
          <w:noProof/>
        </w:rPr>
      </w:pPr>
      <w:r>
        <w:rPr>
          <w:noProof/>
        </w:rPr>
        <w:t>Šīs reformas mērķis ir samazināt videi kaitīgas subsīdijas (EHS), pamatojoties uz MASE publicēto ikgadējo videi kaitī</w:t>
      </w:r>
      <w:r>
        <w:rPr>
          <w:noProof/>
        </w:rPr>
        <w:t xml:space="preserve">gu subsīdiju katalogu. </w:t>
      </w:r>
    </w:p>
    <w:p w14:paraId="01EA80B3" w14:textId="7850BB5E" w:rsidR="00C972CB" w:rsidRDefault="002457F6">
      <w:pPr>
        <w:pStyle w:val="Heading4"/>
        <w:numPr>
          <w:ilvl w:val="3"/>
          <w:numId w:val="0"/>
        </w:numPr>
        <w:ind w:left="850" w:hanging="850"/>
        <w:rPr>
          <w:rStyle w:val="normaltextrun"/>
          <w:b/>
          <w:noProof/>
        </w:rPr>
      </w:pPr>
      <w:r>
        <w:rPr>
          <w:rStyle w:val="normaltextrun"/>
          <w:b/>
          <w:noProof/>
        </w:rPr>
        <w:t>Reforma. Biometāna pieslēguma gāzes tīklam izmaksu samazināšana</w:t>
      </w:r>
    </w:p>
    <w:p w14:paraId="56D37B6C" w14:textId="0FE146EC" w:rsidR="00C972CB" w:rsidRDefault="002457F6">
      <w:pPr>
        <w:pStyle w:val="Text1"/>
        <w:spacing w:before="0"/>
        <w:ind w:left="0"/>
        <w:rPr>
          <w:noProof/>
        </w:rPr>
      </w:pPr>
      <w:r>
        <w:rPr>
          <w:noProof/>
        </w:rPr>
        <w:t xml:space="preserve">Reformas mērķis ir veicināt biometāna iekļaušanu energosistēmā un enerģijas tirgū un radīt jaunu ilgtspējīgu biometāna ražošanas jaudu saskaņā ar Direktīvu (ES) </w:t>
      </w:r>
      <w:r>
        <w:rPr>
          <w:noProof/>
        </w:rPr>
        <w:t>2018/2001 (Atjaunojamo energoresursu direktīva) un tās deleģētajiem aktiem. Mērķis ir veicināt dabasgāzes tīkla elastību un efektivitāti, veicinot pāreju uz biometānu. Paredzams, ka lielāka elastība un efektivitāte veicinās energosistēmas dekarbonizāciju u</w:t>
      </w:r>
      <w:r>
        <w:rPr>
          <w:noProof/>
        </w:rPr>
        <w:t>n enerģētisko neatkarību.</w:t>
      </w:r>
    </w:p>
    <w:p w14:paraId="0CEC7D7F" w14:textId="1F7DB292" w:rsidR="00C972CB" w:rsidRDefault="002457F6">
      <w:pPr>
        <w:pStyle w:val="Text1"/>
        <w:spacing w:before="0"/>
        <w:ind w:left="0"/>
        <w:rPr>
          <w:noProof/>
        </w:rPr>
      </w:pPr>
      <w:r>
        <w:rPr>
          <w:noProof/>
        </w:rPr>
        <w:t>Reformas īstenošana 1) samazina ilgtspējīgu biometāna ražotņu pieslēguma izmaksas un 2) veicina investīcijas, kuru mērķis ir tikai ilgtspējīga biometāna ieviešana dabasgāzes tīklos. Reforma atbalsta: lielāka pārvades un sadales tī</w:t>
      </w:r>
      <w:r>
        <w:rPr>
          <w:noProof/>
        </w:rPr>
        <w:t>klu integrācija; II) mehānismu ieviešana, lai sadalītu izmaksas, kas saistītas ar ieguldījumiem tīkla savienošanā. Šie mehānismi novirza izmaksas no biometāna ražotāja uz visu kopienu, kas gūst labumu no ilgtspējīga biometāna.</w:t>
      </w:r>
    </w:p>
    <w:p w14:paraId="6920BB39" w14:textId="00309181" w:rsidR="00C972CB" w:rsidRDefault="002457F6">
      <w:pPr>
        <w:pStyle w:val="P68B1DB1-Heading437"/>
        <w:numPr>
          <w:ilvl w:val="0"/>
          <w:numId w:val="0"/>
        </w:numPr>
        <w:rPr>
          <w:noProof/>
        </w:rPr>
      </w:pPr>
      <w:r>
        <w:rPr>
          <w:noProof/>
        </w:rPr>
        <w:t>Reforma. Ar atjaunojamiem EPL</w:t>
      </w:r>
      <w:r>
        <w:rPr>
          <w:noProof/>
        </w:rPr>
        <w:t xml:space="preserve"> saistītā finanšu riska mazināšana (pašu pirkuma līgumi)</w:t>
      </w:r>
    </w:p>
    <w:p w14:paraId="539096E8" w14:textId="4C4834BD" w:rsidR="00C972CB" w:rsidRDefault="002457F6">
      <w:pPr>
        <w:pStyle w:val="Text1"/>
        <w:spacing w:before="0"/>
        <w:ind w:left="0"/>
        <w:rPr>
          <w:noProof/>
        </w:rPr>
      </w:pPr>
      <w:r>
        <w:rPr>
          <w:noProof/>
        </w:rPr>
        <w:t xml:space="preserve">Reformas mērķis ir izveidot garantiju sistēmu, lai mazinātu finansiālo risku, kas saistīts ar atjaunojamās enerģijas pirkuma līgumiem, kuru termiņš ir vismaz trīs gadi. </w:t>
      </w:r>
    </w:p>
    <w:p w14:paraId="7D116E4F" w14:textId="77777777" w:rsidR="00C972CB" w:rsidRDefault="002457F6">
      <w:pPr>
        <w:pStyle w:val="Text1"/>
        <w:spacing w:before="0"/>
        <w:ind w:left="0"/>
        <w:rPr>
          <w:noProof/>
        </w:rPr>
      </w:pPr>
      <w:r>
        <w:rPr>
          <w:noProof/>
        </w:rPr>
        <w:t xml:space="preserve">Reforma: </w:t>
      </w:r>
    </w:p>
    <w:p w14:paraId="1B16BA98" w14:textId="77777777" w:rsidR="00C972CB" w:rsidRDefault="002457F6">
      <w:pPr>
        <w:pStyle w:val="Text1"/>
        <w:numPr>
          <w:ilvl w:val="0"/>
          <w:numId w:val="36"/>
        </w:numPr>
        <w:spacing w:before="0"/>
        <w:rPr>
          <w:noProof/>
        </w:rPr>
      </w:pPr>
      <w:r>
        <w:rPr>
          <w:noProof/>
        </w:rPr>
        <w:t>pieprasīt, lai katr</w:t>
      </w:r>
      <w:r>
        <w:rPr>
          <w:noProof/>
        </w:rPr>
        <w:t xml:space="preserve">s operators garantētu elektroenerģijas pirkuma līgumu pretvērtības daļēju segšanu, izmantojot garantiju instrumentus, kas pieejami elektroenerģijas tirgū; </w:t>
      </w:r>
    </w:p>
    <w:p w14:paraId="22793A31" w14:textId="6BD2A92C" w:rsidR="00C972CB" w:rsidRDefault="002457F6">
      <w:pPr>
        <w:pStyle w:val="Text1"/>
        <w:numPr>
          <w:ilvl w:val="0"/>
          <w:numId w:val="36"/>
        </w:numPr>
        <w:spacing w:before="0"/>
        <w:rPr>
          <w:noProof/>
        </w:rPr>
      </w:pPr>
      <w:r>
        <w:rPr>
          <w:noProof/>
        </w:rPr>
        <w:t>ieviest pasākumus saistību neizpildes riska mazināšanai, tostarp prasības un ierobežojumus solītājam</w:t>
      </w:r>
      <w:r>
        <w:rPr>
          <w:noProof/>
        </w:rPr>
        <w:t xml:space="preserve"> un regulatīvas sankcijas ražotāja saistību neizpildes gadījumā;</w:t>
      </w:r>
    </w:p>
    <w:p w14:paraId="6C8AC32A" w14:textId="6C12017F" w:rsidR="00C972CB" w:rsidRDefault="002457F6">
      <w:pPr>
        <w:pStyle w:val="Text1"/>
        <w:numPr>
          <w:ilvl w:val="0"/>
          <w:numId w:val="36"/>
        </w:numPr>
        <w:spacing w:before="0"/>
        <w:rPr>
          <w:noProof/>
        </w:rPr>
      </w:pPr>
      <w:r>
        <w:rPr>
          <w:noProof/>
        </w:rPr>
        <w:t>nosaka institucionālu vienību, kurai jāuzņemas pēdējās instances pārdevēja/pircēja loma un kurš pārņemtu bankrotējošo darījuma partneri un nodrošinātu saistību izpildi attiecībā pret izpildīt</w:t>
      </w:r>
      <w:r>
        <w:rPr>
          <w:noProof/>
        </w:rPr>
        <w:t xml:space="preserve">āju.  </w:t>
      </w:r>
    </w:p>
    <w:p w14:paraId="22572316" w14:textId="6F71CA18" w:rsidR="00C972CB" w:rsidRDefault="002457F6">
      <w:pPr>
        <w:pStyle w:val="P68B1DB1-Heading437"/>
        <w:numPr>
          <w:ilvl w:val="3"/>
          <w:numId w:val="0"/>
        </w:numPr>
        <w:ind w:left="850" w:hanging="850"/>
        <w:rPr>
          <w:noProof/>
        </w:rPr>
      </w:pPr>
      <w:r>
        <w:rPr>
          <w:noProof/>
        </w:rPr>
        <w:t>Reforma. “Jaunu prasmju plāns — pārkārtošanās”</w:t>
      </w:r>
    </w:p>
    <w:p w14:paraId="01017212" w14:textId="7970938A" w:rsidR="00C972CB" w:rsidRDefault="002457F6">
      <w:pPr>
        <w:spacing w:after="120"/>
        <w:jc w:val="both"/>
        <w:rPr>
          <w:noProof/>
        </w:rPr>
      </w:pPr>
      <w:r>
        <w:rPr>
          <w:noProof/>
        </w:rPr>
        <w:t>Reformas mērķis ir atjaunināt apmācības tiesisko regulējumu un īstenot instrumentus prasmju neatbilstības apkarošanai. Reforma atjaunina jauno prasmju plānu, kas pieņemts ar 2021. gada 14. decembra dekr</w:t>
      </w:r>
      <w:r>
        <w:rPr>
          <w:noProof/>
        </w:rPr>
        <w:t>ētu un publicēts 2021. gada 28. decembra Gazzetta Ufficiale n.307. Mērķis ir stiprināt mehānismus, kas apmācības kursu plānošanu saista ar darba tirgus vajadzībām, ar konkrētu mērķi labāk atbalstīt zaļo un digitālo pārkārtošanos, iesaistot attiecīgos dalīb</w:t>
      </w:r>
      <w:r>
        <w:rPr>
          <w:noProof/>
        </w:rPr>
        <w:t>niekus īpašajos Prasmju paktos. Reformas mērķis ir stiprināt privātā sektora lomu apmācībā un uzlabot prasmju atzīšanu, tostarp to prasmju atzīšanu, kas iegūtas darbavietā, un izmantojot īsus apmācības moduļus. Izmēģinājuma projektus saskaņā ar investīcijā</w:t>
      </w:r>
      <w:r>
        <w:rPr>
          <w:noProof/>
        </w:rPr>
        <w:t xml:space="preserve">m [10] pirms reformas un to rezultātus ņem vērā, izstrādājot un īstenojot reformu. </w:t>
      </w:r>
    </w:p>
    <w:p w14:paraId="6FDD71A2" w14:textId="24E7571B" w:rsidR="00C972CB" w:rsidRDefault="002457F6">
      <w:pPr>
        <w:spacing w:after="120"/>
        <w:jc w:val="both"/>
        <w:rPr>
          <w:noProof/>
        </w:rPr>
      </w:pPr>
      <w:r>
        <w:rPr>
          <w:noProof/>
          <w:color w:val="000000" w:themeColor="text1"/>
        </w:rPr>
        <w:t xml:space="preserve">Apmācība, ko atbalsta ar šo reformu, nav saistīta ar: </w:t>
      </w:r>
      <w:r>
        <w:rPr>
          <w:noProof/>
        </w:rPr>
        <w:t>darbības un aktīvi, kas saistīti ar fosilajiem kurināmajiem un fosilajiem kurināmajiem, tostarp lejupējo izmantošanu</w:t>
      </w:r>
      <w:r>
        <w:rPr>
          <w:rStyle w:val="FootnoteReference"/>
          <w:noProof/>
        </w:rPr>
        <w:footnoteReference w:id="123"/>
      </w:r>
      <w:r>
        <w:rPr>
          <w:noProof/>
        </w:rPr>
        <w:t>,</w:t>
      </w:r>
      <w:r>
        <w:rPr>
          <w:noProof/>
        </w:rPr>
        <w:t xml:space="preserve"> ii) darbības un aktīvi saskaņā ar ES emisijas kvotu tirdzniecības sistēmu (ETS), sasniedzot prognozētās siltumnīcefekta gāzu emisijas, kas nav zemākas par attiecīgajām līmeņatzīmēm</w:t>
      </w:r>
      <w:r>
        <w:rPr>
          <w:noProof/>
        </w:rPr>
        <w:footnoteReference w:id="124"/>
      </w:r>
      <w:r>
        <w:rPr>
          <w:noProof/>
        </w:rPr>
        <w:t>, iii) darbības un aktīvi, kas saistīti ar atkritumu poligoniem, sadedzinā</w:t>
      </w:r>
      <w:r>
        <w:rPr>
          <w:noProof/>
        </w:rPr>
        <w:t>šanas iekārtām</w:t>
      </w:r>
      <w:r>
        <w:rPr>
          <w:rStyle w:val="FootnoteReference"/>
          <w:noProof/>
        </w:rPr>
        <w:footnoteReference w:id="125"/>
      </w:r>
      <w:r>
        <w:rPr>
          <w:noProof/>
        </w:rPr>
        <w:t xml:space="preserve"> un mehāniski bioloģiskās apstrādes iekārtām</w:t>
      </w:r>
      <w:r>
        <w:rPr>
          <w:rStyle w:val="FootnoteReference"/>
          <w:noProof/>
        </w:rPr>
        <w:footnoteReference w:id="126"/>
      </w:r>
      <w:r>
        <w:rPr>
          <w:noProof/>
        </w:rPr>
        <w:t>.</w:t>
      </w:r>
      <w:r>
        <w:rPr>
          <w:noProof/>
          <w:color w:val="000000" w:themeColor="text1"/>
        </w:rPr>
        <w:t> Darba uzdevumā papildus nosaka, ka var atlasīt tikai tās darbības, kas atbilst attiecīgajiem ES un valsts tiesību aktiem vides jomā.</w:t>
      </w:r>
    </w:p>
    <w:p w14:paraId="7685E201" w14:textId="46CD6203" w:rsidR="00C972CB" w:rsidRDefault="002457F6">
      <w:pPr>
        <w:pStyle w:val="Heading4"/>
        <w:numPr>
          <w:ilvl w:val="3"/>
          <w:numId w:val="0"/>
        </w:numPr>
        <w:ind w:left="850" w:hanging="850"/>
        <w:rPr>
          <w:rStyle w:val="normaltextrun"/>
          <w:b/>
          <w:noProof/>
        </w:rPr>
      </w:pPr>
      <w:r>
        <w:rPr>
          <w:rStyle w:val="normaltextrun"/>
          <w:b/>
          <w:noProof/>
        </w:rPr>
        <w:t>Ieguldījums 1. Izvērsts pasākums: Viedo tīklu stiprināšana</w:t>
      </w:r>
    </w:p>
    <w:p w14:paraId="2848A292" w14:textId="0E1AF4D4" w:rsidR="00C972CB" w:rsidRDefault="002457F6">
      <w:pPr>
        <w:pStyle w:val="Text1"/>
        <w:spacing w:before="0"/>
        <w:ind w:left="0"/>
        <w:rPr>
          <w:noProof/>
        </w:rPr>
      </w:pPr>
      <w:r>
        <w:rPr>
          <w:noProof/>
        </w:rPr>
        <w:t>Šā ieguldījuma mērķis ir palielināt 2. misijas 2. komponenta ieguldījumu 2.1. (viedo tīklu stiprināšana). Izvēršanas investīcijas sastāv no intervences vidēja sprieguma un zemsprieguma tīkla daļās, tādējādi elektrificējot enerģijas patēriņu par vismaz 2300</w:t>
      </w:r>
      <w:r>
        <w:rPr>
          <w:noProof/>
        </w:rPr>
        <w:t xml:space="preserve">00 vairāk iedzīvotāju, nekā tas jau ir paredzēts pašreizējā pasākumā. Esošās investīcijas un palielinātā daļa kopā elektrificē patēriņu vismaz 1730000 iedzīvotāju. </w:t>
      </w:r>
    </w:p>
    <w:p w14:paraId="5E1F0903" w14:textId="30F145D5" w:rsidR="00C972CB" w:rsidRDefault="002457F6">
      <w:pPr>
        <w:pStyle w:val="Heading4"/>
        <w:numPr>
          <w:ilvl w:val="0"/>
          <w:numId w:val="0"/>
        </w:numPr>
        <w:ind w:left="850" w:hanging="850"/>
        <w:rPr>
          <w:rStyle w:val="normaltextrun"/>
          <w:b/>
          <w:noProof/>
        </w:rPr>
      </w:pPr>
      <w:r>
        <w:rPr>
          <w:rStyle w:val="normaltextrun"/>
          <w:b/>
          <w:noProof/>
        </w:rPr>
        <w:t>Ieguldījums 2. Izvēršanas pasākums: Pasākumi elektrotīkla noturības palielināšanai</w:t>
      </w:r>
    </w:p>
    <w:p w14:paraId="67A998D2" w14:textId="0C5CC4C9" w:rsidR="00C972CB" w:rsidRDefault="002457F6">
      <w:pPr>
        <w:pStyle w:val="Text1"/>
        <w:spacing w:before="0"/>
        <w:ind w:left="0"/>
        <w:rPr>
          <w:noProof/>
        </w:rPr>
      </w:pPr>
      <w:r>
        <w:rPr>
          <w:noProof/>
        </w:rPr>
        <w:t>Šis iegu</w:t>
      </w:r>
      <w:r>
        <w:rPr>
          <w:noProof/>
        </w:rPr>
        <w:t>ldījums palielina ieguldījumu 2.2. 2. misijas 2. komponentā. Palielinātās investīcijas sastāv no intervencēm, kuru mērķis ir uzlabot elektrotīkla noturību vismaz 648 km garumā, kas pārsniedz to, kas jau paredzēts pašreizējā pasākumā. Piemēro tos pašus nosa</w:t>
      </w:r>
      <w:r>
        <w:rPr>
          <w:noProof/>
        </w:rPr>
        <w:t>cījumus, kas jau paredzēti spēkā esošajā pasākumā. Esošās investīcijas un augošās investīcijas kopā uzlabo noturību vismaz par 4 648 km.</w:t>
      </w:r>
    </w:p>
    <w:p w14:paraId="207053E4" w14:textId="3D29B69C" w:rsidR="00C972CB" w:rsidRDefault="002457F6">
      <w:pPr>
        <w:pStyle w:val="P68B1DB1-Heading437"/>
        <w:numPr>
          <w:ilvl w:val="0"/>
          <w:numId w:val="0"/>
        </w:numPr>
        <w:rPr>
          <w:noProof/>
        </w:rPr>
      </w:pPr>
      <w:r>
        <w:rPr>
          <w:noProof/>
        </w:rPr>
        <w:t>Ieguldījums 3. Izvēršanas pasākums: Ūdeņraža ražošana degradētās teritorijās (Ūdeņraža ielejās)</w:t>
      </w:r>
    </w:p>
    <w:p w14:paraId="5A0B541D" w14:textId="5CE8E48E" w:rsidR="00C972CB" w:rsidRDefault="002457F6">
      <w:pPr>
        <w:pStyle w:val="Text1"/>
        <w:spacing w:before="0"/>
        <w:ind w:left="0"/>
        <w:rPr>
          <w:noProof/>
        </w:rPr>
      </w:pPr>
      <w:r>
        <w:rPr>
          <w:noProof/>
        </w:rPr>
        <w:t>Šīs investīcijas ir Itā</w:t>
      </w:r>
      <w:r>
        <w:rPr>
          <w:noProof/>
        </w:rPr>
        <w:t>lijas atveseļošanas un noturības plāna 2. misijas 2. misijas 2. komponenta “Investīcija 3.1” izvērsta versija. Paplašināmās investīcijas paredz pabeigt vēl divus projektus ūdeņraža ražošanai pamestās rūpniecības teritorijās, nekā tas jau paredzēts pašreizē</w:t>
      </w:r>
      <w:r>
        <w:rPr>
          <w:noProof/>
        </w:rPr>
        <w:t xml:space="preserve">jā pasākumā. Esošās investīcijas un augošās investīcijas kopā atbalsta vismaz 12 projektu pabeigšanu. </w:t>
      </w:r>
    </w:p>
    <w:p w14:paraId="6B98C51C" w14:textId="434E4F06" w:rsidR="00C972CB" w:rsidRDefault="002457F6">
      <w:pPr>
        <w:pStyle w:val="Text1"/>
        <w:spacing w:before="0"/>
        <w:ind w:left="0"/>
        <w:rPr>
          <w:noProof/>
        </w:rPr>
      </w:pPr>
      <w:r>
        <w:rPr>
          <w:noProof/>
        </w:rPr>
        <w:t>Pasākums atbalsta tikai atjaunīgā ūdeņraža ražošanu elektrolīzes veidā saskaņā ar Direktīvu (ES) 2018/2001 (Atjaunojamo energoresursu direktīva) un tās d</w:t>
      </w:r>
      <w:r>
        <w:rPr>
          <w:noProof/>
        </w:rPr>
        <w:t>eleģētajiem aktiem. Piemēro visus pārējos nosacījumus, kas jau paredzēti spēkā esošajā pasākumā.</w:t>
      </w:r>
    </w:p>
    <w:p w14:paraId="0F835446" w14:textId="034C3AC1" w:rsidR="00C972CB" w:rsidRDefault="002457F6">
      <w:pPr>
        <w:pStyle w:val="P68B1DB1-Heading437"/>
        <w:numPr>
          <w:ilvl w:val="0"/>
          <w:numId w:val="0"/>
        </w:numPr>
        <w:ind w:left="850" w:hanging="850"/>
        <w:rPr>
          <w:noProof/>
        </w:rPr>
      </w:pPr>
      <w:r>
        <w:rPr>
          <w:noProof/>
        </w:rPr>
        <w:t>Ieguldījums 4. Tirēnu savienojums</w:t>
      </w:r>
    </w:p>
    <w:p w14:paraId="005B7781" w14:textId="634D035D" w:rsidR="00C972CB" w:rsidRDefault="002457F6">
      <w:pPr>
        <w:pStyle w:val="Text1"/>
        <w:spacing w:before="0"/>
        <w:ind w:left="0"/>
        <w:rPr>
          <w:noProof/>
        </w:rPr>
      </w:pPr>
      <w:r>
        <w:rPr>
          <w:noProof/>
        </w:rPr>
        <w:t>Šā ieguldījuma mērķis ir paplašināt elektroenerģijas pārvades infrastruktūru, lai varētu savākt jaudu no atjaunojamiem enerģi</w:t>
      </w:r>
      <w:r>
        <w:rPr>
          <w:noProof/>
        </w:rPr>
        <w:t>jas avotiem Itālijas dienvidos un integrēt to valsts pārvades tīklā.</w:t>
      </w:r>
    </w:p>
    <w:p w14:paraId="6E35C249" w14:textId="4B95EEE1" w:rsidR="00C972CB" w:rsidRDefault="002457F6">
      <w:pPr>
        <w:pStyle w:val="Text1"/>
        <w:spacing w:before="0"/>
        <w:ind w:left="0"/>
        <w:rPr>
          <w:noProof/>
        </w:rPr>
      </w:pPr>
      <w:r>
        <w:rPr>
          <w:noProof/>
        </w:rPr>
        <w:t xml:space="preserve">Šis ieguldījums atbalsta “Tirēnu savienojuma” un jo īpaši “austrumu starpsavienojuma līnijas” būvniecību starp Sicīliju un Kampāniju. Ar šo ieguldījumu finansē 514 km zemūdens kabeļu </w:t>
      </w:r>
      <w:r>
        <w:rPr>
          <w:noProof/>
        </w:rPr>
        <w:t>ierīkošanu no punkta līdz punktam (HVDC) starp Eboli un Caracoli. Ieguldījumu pabeidz līdz 2026. gada 31. augustam.</w:t>
      </w:r>
    </w:p>
    <w:p w14:paraId="5D1B94D1" w14:textId="114FF4CF" w:rsidR="00C972CB" w:rsidRDefault="002457F6">
      <w:pPr>
        <w:pStyle w:val="P68B1DB1-Heading437"/>
        <w:numPr>
          <w:ilvl w:val="0"/>
          <w:numId w:val="0"/>
        </w:numPr>
        <w:ind w:left="850" w:hanging="850"/>
        <w:rPr>
          <w:noProof/>
        </w:rPr>
      </w:pPr>
      <w:r>
        <w:rPr>
          <w:noProof/>
        </w:rPr>
        <w:t>Ieguldījums 5. SA.CO.I.3</w:t>
      </w:r>
    </w:p>
    <w:p w14:paraId="20392F5A" w14:textId="23869E6E" w:rsidR="00C972CB" w:rsidRDefault="002457F6">
      <w:pPr>
        <w:pStyle w:val="Text1"/>
        <w:spacing w:before="0"/>
        <w:ind w:left="0"/>
        <w:rPr>
          <w:noProof/>
        </w:rPr>
      </w:pPr>
      <w:r>
        <w:rPr>
          <w:noProof/>
        </w:rPr>
        <w:t>Šā ieguldījuma mērķis ir modernizēt elektroenerģijas pārvades infrastruktūru, kas savieno Sardīniju ar pārējo Itāli</w:t>
      </w:r>
      <w:r>
        <w:rPr>
          <w:noProof/>
        </w:rPr>
        <w:t>ju caur Korsiku, lai Sardīnijā varētu savākt jaudu no atjaunojamiem enerģijas avotiem un integrēt to valsts pārvades tīklā.</w:t>
      </w:r>
    </w:p>
    <w:p w14:paraId="33E955FD" w14:textId="23BF5B29" w:rsidR="00C972CB" w:rsidRDefault="002457F6">
      <w:pPr>
        <w:pStyle w:val="Text1"/>
        <w:spacing w:before="0"/>
        <w:ind w:left="0"/>
        <w:rPr>
          <w:noProof/>
        </w:rPr>
      </w:pPr>
      <w:r>
        <w:rPr>
          <w:noProof/>
        </w:rPr>
        <w:t>Šis ieguldījuma mērķis ir atbalstīt starpsavienojuma projekta “Sardīnija-Korsika-Itālija 3” būvniecību. Tās mērķis ir pabeigt pārbūv</w:t>
      </w:r>
      <w:r>
        <w:rPr>
          <w:noProof/>
        </w:rPr>
        <w:t>es staciju čaumalu būvniecību Codrongianos, Sardīnijā un Suvereto, Toskānā. “Helnes” ir kompresoru staciju ārējā infrastruktūra un neietver iekārtas vai citas iekārtas, kas tajās jāuzstāda pēc šo ieguldījumu pabeigšanas. Ieguldījumu pabeidz līdz 2026. gada</w:t>
      </w:r>
      <w:r>
        <w:rPr>
          <w:noProof/>
        </w:rPr>
        <w:t xml:space="preserve"> 31. augustam.</w:t>
      </w:r>
    </w:p>
    <w:p w14:paraId="52767708" w14:textId="03513092" w:rsidR="00C972CB" w:rsidRDefault="002457F6">
      <w:pPr>
        <w:pStyle w:val="P68B1DB1-Heading437"/>
        <w:numPr>
          <w:ilvl w:val="0"/>
          <w:numId w:val="0"/>
        </w:numPr>
        <w:rPr>
          <w:noProof/>
        </w:rPr>
      </w:pPr>
      <w:r>
        <w:rPr>
          <w:noProof/>
        </w:rPr>
        <w:t>Ieguldījums 6. Pārrobežu elektroenerģijas starpsavienojumu projekti starp Itāliju un kaimiņvalstīm</w:t>
      </w:r>
    </w:p>
    <w:p w14:paraId="170AB7F0" w14:textId="19977BAA" w:rsidR="00C972CB" w:rsidRDefault="002457F6">
      <w:pPr>
        <w:pStyle w:val="Text1"/>
        <w:spacing w:before="0"/>
        <w:ind w:left="0"/>
        <w:rPr>
          <w:noProof/>
        </w:rPr>
      </w:pPr>
      <w:r>
        <w:rPr>
          <w:noProof/>
        </w:rPr>
        <w:t xml:space="preserve">Šā ieguldījuma mērķis ir paplašināt un modernizēt elektroenerģijas pārvades infrastruktūru starp Itāliju, Austriju un Slovēniju. Investīcijas </w:t>
      </w:r>
      <w:r>
        <w:rPr>
          <w:noProof/>
        </w:rPr>
        <w:t xml:space="preserve">jo īpaši ietver šādu pārrobežu starpsavienojumu pabeigšanu: </w:t>
      </w:r>
    </w:p>
    <w:p w14:paraId="525E4EFD" w14:textId="29317D6C" w:rsidR="00C972CB" w:rsidRDefault="002457F6">
      <w:pPr>
        <w:pStyle w:val="Text1"/>
        <w:numPr>
          <w:ilvl w:val="0"/>
          <w:numId w:val="28"/>
        </w:numPr>
        <w:spacing w:before="0"/>
        <w:rPr>
          <w:noProof/>
        </w:rPr>
      </w:pPr>
      <w:r>
        <w:rPr>
          <w:noProof/>
        </w:rPr>
        <w:t>“Somplago (Itālija)-Würmlach (Austrija), esošo starpsavienojumu nominālās jaudas palielināšana par 300 MW;</w:t>
      </w:r>
    </w:p>
    <w:p w14:paraId="000DCAFE" w14:textId="3FDBBF81" w:rsidR="00C972CB" w:rsidRDefault="002457F6">
      <w:pPr>
        <w:pStyle w:val="Text1"/>
        <w:numPr>
          <w:ilvl w:val="0"/>
          <w:numId w:val="28"/>
        </w:numPr>
        <w:spacing w:before="0"/>
        <w:rPr>
          <w:noProof/>
        </w:rPr>
      </w:pPr>
      <w:r>
        <w:rPr>
          <w:noProof/>
        </w:rPr>
        <w:t>“Zaule (Itālija)-Dekani (Slovēnija)”</w:t>
      </w:r>
    </w:p>
    <w:p w14:paraId="4F18A2AE" w14:textId="7E0CCFF0" w:rsidR="00C972CB" w:rsidRDefault="002457F6">
      <w:pPr>
        <w:pStyle w:val="Text1"/>
        <w:numPr>
          <w:ilvl w:val="0"/>
          <w:numId w:val="28"/>
        </w:numPr>
        <w:spacing w:before="0"/>
        <w:rPr>
          <w:noProof/>
        </w:rPr>
      </w:pPr>
      <w:r>
        <w:rPr>
          <w:noProof/>
        </w:rPr>
        <w:t>“Redipuglia (Itālija) — Vrtojba (Slovēnija)”</w:t>
      </w:r>
    </w:p>
    <w:p w14:paraId="76AE3EB9" w14:textId="2551E5B4" w:rsidR="00C972CB" w:rsidRDefault="002457F6">
      <w:pPr>
        <w:pStyle w:val="Text1"/>
        <w:spacing w:before="0"/>
        <w:ind w:left="0"/>
        <w:rPr>
          <w:noProof/>
        </w:rPr>
      </w:pPr>
      <w:r>
        <w:rPr>
          <w:noProof/>
        </w:rPr>
        <w:t>Pabeid</w:t>
      </w:r>
      <w:r>
        <w:rPr>
          <w:noProof/>
        </w:rPr>
        <w:t>zot Zaule-Dekani un Redipuglia-Vrtojba starpsavienojumu darbus, Itālijas un Slovēnijas starpsavienojumu kumulatīvo nominālo jaudu palielina par 250 MW.</w:t>
      </w:r>
    </w:p>
    <w:p w14:paraId="4B8D526C" w14:textId="0A5F2DC8" w:rsidR="00C972CB" w:rsidRDefault="002457F6">
      <w:pPr>
        <w:pStyle w:val="Text1"/>
        <w:spacing w:before="0"/>
        <w:ind w:left="0"/>
        <w:rPr>
          <w:noProof/>
        </w:rPr>
      </w:pPr>
      <w:r>
        <w:rPr>
          <w:noProof/>
        </w:rPr>
        <w:t>Investīcijas attiecas tikai uz starpsavienojuma daļas pabeigšanu Itālijas pusē līdz 2026. gada 31. augus</w:t>
      </w:r>
      <w:r>
        <w:rPr>
          <w:noProof/>
        </w:rPr>
        <w:t>tam. Pabeidzot darbus, infrastruktūrai jābūt gatavai sākt darbību pēc pārējās infrastruktūras pabeigšanas un darbības uzsākšanas Austrijas un Slovēnijas pusē.</w:t>
      </w:r>
    </w:p>
    <w:p w14:paraId="15ECF94E" w14:textId="69B8D4F7" w:rsidR="00C972CB" w:rsidRDefault="002457F6">
      <w:pPr>
        <w:pStyle w:val="Text1"/>
        <w:spacing w:before="0"/>
        <w:ind w:left="0"/>
        <w:rPr>
          <w:noProof/>
        </w:rPr>
      </w:pPr>
      <w:r>
        <w:rPr>
          <w:noProof/>
        </w:rPr>
        <w:t>Lai novērstu pārmērīgas kompensācijas risku, Itālija līdz 2026. gada 31. augustam iesniedz Komisi</w:t>
      </w:r>
      <w:r>
        <w:rPr>
          <w:noProof/>
        </w:rPr>
        <w:t>jai ziņojumu. Ziņojumā pierāda, ka trim starpsavienojumiem piešķirtie atbrīvojumi no enerģijas tirgus noteikumiem joprojām ir pamatoti. Turklāt tā novērtē, vai ir ieviesti atbilstoši aizsardzības pasākumi, lai nodrošinātu, ka joprojām tiek izpildīti Elektr</w:t>
      </w:r>
      <w:r>
        <w:rPr>
          <w:noProof/>
        </w:rPr>
        <w:t xml:space="preserve">oenerģijas regulas (ES) 2019/943 63. panta 1. punkta nosacījumi. Novērtējumā ņem vērā to, cik lielā mērā attiecīgie ES un publiskie līdzekļi ietekmē nosacījumus, kas saistīti ar projektu riskantumu. </w:t>
      </w:r>
    </w:p>
    <w:p w14:paraId="4DEE24E6" w14:textId="70DD4FE5" w:rsidR="00C972CB" w:rsidRDefault="002457F6">
      <w:pPr>
        <w:pStyle w:val="P68B1DB1-Heading437"/>
        <w:numPr>
          <w:ilvl w:val="0"/>
          <w:numId w:val="0"/>
        </w:numPr>
        <w:rPr>
          <w:noProof/>
        </w:rPr>
      </w:pPr>
      <w:r>
        <w:rPr>
          <w:noProof/>
        </w:rPr>
        <w:t xml:space="preserve">Ieguldījums 7. Viedais nacionālais pārvades tīkls </w:t>
      </w:r>
    </w:p>
    <w:p w14:paraId="43116AA8" w14:textId="48019067" w:rsidR="00C972CB" w:rsidRDefault="002457F6">
      <w:pPr>
        <w:pStyle w:val="Text1"/>
        <w:spacing w:before="0"/>
        <w:ind w:left="0"/>
        <w:rPr>
          <w:noProof/>
        </w:rPr>
      </w:pPr>
      <w:r>
        <w:rPr>
          <w:noProof/>
        </w:rPr>
        <w:t>Inves</w:t>
      </w:r>
      <w:r>
        <w:rPr>
          <w:noProof/>
        </w:rPr>
        <w:t>tīciju mērķis ir digitalizēt nacionālo pārvades tīklu (NTG) un uzlabot pārvades sistēmas operatora pārvaldīto pārvaldības un kontroles sistēmu. Investīcijas ir vērstas gan uz pārvades tīklu, gan tā programmatūras komponentiem un veicina patērētāju un ražoj</w:t>
      </w:r>
      <w:r>
        <w:rPr>
          <w:noProof/>
        </w:rPr>
        <w:t>ošo patērētāju integrāciju enerģijas tirgū, paātrina atjaunīgo energoresursu izmantošanu un palielina tīkla noturību.</w:t>
      </w:r>
    </w:p>
    <w:p w14:paraId="66EC5B6A" w14:textId="28B38513" w:rsidR="00C972CB" w:rsidRDefault="002457F6">
      <w:pPr>
        <w:pStyle w:val="Text1"/>
        <w:spacing w:before="0"/>
        <w:ind w:left="0"/>
        <w:rPr>
          <w:noProof/>
        </w:rPr>
      </w:pPr>
      <w:r>
        <w:rPr>
          <w:noProof/>
        </w:rPr>
        <w:t>Ieguldījums ietver:</w:t>
      </w:r>
    </w:p>
    <w:p w14:paraId="643CC1A2" w14:textId="43890D01" w:rsidR="00C972CB" w:rsidRDefault="002457F6">
      <w:pPr>
        <w:pStyle w:val="Text1"/>
        <w:numPr>
          <w:ilvl w:val="0"/>
          <w:numId w:val="29"/>
        </w:numPr>
        <w:spacing w:before="0"/>
        <w:rPr>
          <w:noProof/>
        </w:rPr>
      </w:pPr>
      <w:r>
        <w:rPr>
          <w:noProof/>
        </w:rPr>
        <w:t>droša 104. protokola uzstādīšana vismaz 250 elektrostacijās. Pēc uzstādīšanas un sinerģijā ar informācijas un komunikā</w:t>
      </w:r>
      <w:r>
        <w:rPr>
          <w:noProof/>
        </w:rPr>
        <w:t>cijas tehnoloģiju (IKT) arhitektūru visi dati plūst caur centrālo vadības un kontroles sistēmu.</w:t>
      </w:r>
    </w:p>
    <w:p w14:paraId="64DD29D5" w14:textId="5706ED17" w:rsidR="00C972CB" w:rsidRDefault="002457F6">
      <w:pPr>
        <w:pStyle w:val="Text1"/>
        <w:numPr>
          <w:ilvl w:val="0"/>
          <w:numId w:val="29"/>
        </w:numPr>
        <w:spacing w:before="0"/>
        <w:rPr>
          <w:noProof/>
        </w:rPr>
      </w:pPr>
      <w:r>
        <w:rPr>
          <w:noProof/>
        </w:rPr>
        <w:t>5G iekārtu vai IKT arhitektūras uzstādīšana vismaz 40 elektrostacijās.</w:t>
      </w:r>
    </w:p>
    <w:p w14:paraId="0E3410AF" w14:textId="6EBEDB15" w:rsidR="00C972CB" w:rsidRDefault="002457F6">
      <w:pPr>
        <w:pStyle w:val="Text1"/>
        <w:numPr>
          <w:ilvl w:val="0"/>
          <w:numId w:val="29"/>
        </w:numPr>
        <w:spacing w:before="0"/>
        <w:rPr>
          <w:noProof/>
        </w:rPr>
      </w:pPr>
      <w:r>
        <w:rPr>
          <w:noProof/>
        </w:rPr>
        <w:t>Rūpnieciskās lietu interneta monitoringa sistēmas uzstādīšana vismaz 1500 elektroenerģija</w:t>
      </w:r>
      <w:r>
        <w:rPr>
          <w:noProof/>
        </w:rPr>
        <w:t>s torņos, lai savāktu datus, ko var apstrādāt pārvaldības sistēmā.</w:t>
      </w:r>
    </w:p>
    <w:p w14:paraId="6FF578C0" w14:textId="39A04F28" w:rsidR="00C972CB" w:rsidRDefault="002457F6">
      <w:pPr>
        <w:spacing w:after="120"/>
        <w:jc w:val="both"/>
        <w:rPr>
          <w:noProof/>
        </w:rPr>
      </w:pPr>
      <w:r>
        <w:rPr>
          <w:noProof/>
        </w:rPr>
        <w:t>Aprīkojums, kas uzstādīts ar šo ieguldījumu, vajadzības gadījumā atbilst ar enerģiju saistītajām prasībām, kas noteiktas saskaņā ar Direktīvu 2009/125/EK attiecībā uz serveriem un datu glab</w:t>
      </w:r>
      <w:r>
        <w:rPr>
          <w:noProof/>
        </w:rPr>
        <w:t>āšanu vai datoriem un datoru serveriem vai elektroniskajiem displejiem. Ieguldījums demonstrē vislabākos centienus īstenot attiecīgo praksi, piemēram, IT aprīkojumu un pakalpojumus, kas Eiropas Datu centru energoefektivitātes rīcības kodeksa jaunākajā reda</w:t>
      </w:r>
      <w:r>
        <w:rPr>
          <w:noProof/>
        </w:rPr>
        <w:t>kcijā vai CEN-CENELEC dokumentā CLC TR50600–99–1 "Datu centru iekārtas un infrastruktūras — 99–1. daļa: Ieteicamā energopārvaldības prakse”.</w:t>
      </w:r>
    </w:p>
    <w:p w14:paraId="0B43DE95" w14:textId="6EC61DAD" w:rsidR="00C972CB" w:rsidRDefault="002457F6">
      <w:pPr>
        <w:pStyle w:val="P68B1DB1-Heading437"/>
        <w:numPr>
          <w:ilvl w:val="3"/>
          <w:numId w:val="0"/>
        </w:numPr>
        <w:ind w:left="850" w:hanging="850"/>
        <w:rPr>
          <w:noProof/>
        </w:rPr>
      </w:pPr>
      <w:r>
        <w:rPr>
          <w:noProof/>
        </w:rPr>
        <w:t>Ieguldījums 8. Ilgtspējīga, apritīga un droša kritiski svarīgo izejvielu piegāde</w:t>
      </w:r>
    </w:p>
    <w:p w14:paraId="03E3D777" w14:textId="7D739775" w:rsidR="00C972CB" w:rsidRDefault="002457F6">
      <w:pPr>
        <w:pStyle w:val="Text1"/>
        <w:spacing w:before="0"/>
        <w:ind w:left="0"/>
        <w:rPr>
          <w:noProof/>
        </w:rPr>
      </w:pPr>
      <w:r>
        <w:rPr>
          <w:noProof/>
        </w:rPr>
        <w:t>Šo investīciju mērķis ir atbalstīt</w:t>
      </w:r>
      <w:r>
        <w:rPr>
          <w:noProof/>
        </w:rPr>
        <w:t xml:space="preserve"> kritiski svarīgo izejvielu atgūšanu un reciklēšanu un tādējādi ar zaļo pārkārtošanos saistīto kritiski svarīgo izejvielu un tehnoloģiju vērtības ķēdes. </w:t>
      </w:r>
    </w:p>
    <w:p w14:paraId="5D02A7C3" w14:textId="3A0805C7" w:rsidR="00C972CB" w:rsidRDefault="002457F6">
      <w:pPr>
        <w:pStyle w:val="Text1"/>
        <w:spacing w:before="0"/>
        <w:ind w:left="0"/>
        <w:rPr>
          <w:noProof/>
        </w:rPr>
      </w:pPr>
      <w:r>
        <w:rPr>
          <w:noProof/>
        </w:rPr>
        <w:t xml:space="preserve">Ieguldījumam ir četri galvenie darbības virzieni: </w:t>
      </w:r>
    </w:p>
    <w:p w14:paraId="345D9D97" w14:textId="79762EE9" w:rsidR="00C972CB" w:rsidRDefault="002457F6">
      <w:pPr>
        <w:pStyle w:val="Text1"/>
        <w:numPr>
          <w:ilvl w:val="0"/>
          <w:numId w:val="136"/>
        </w:numPr>
        <w:spacing w:before="0"/>
        <w:rPr>
          <w:noProof/>
        </w:rPr>
      </w:pPr>
      <w:r>
        <w:rPr>
          <w:noProof/>
        </w:rPr>
        <w:t>Ekodizains: šīs intervences līnijas mērķis ir izprast kritiski svarīgo izejvielu (KSI) vajadzības un ekodizaina potenciālu samazināt pieprasījumu pēc kritiski svarīgām izejvielām, veicinot ar enerģētikas pārkārtošanu saistītu rūpniecības piegādes ķēžu apri</w:t>
      </w:r>
      <w:r>
        <w:rPr>
          <w:noProof/>
        </w:rPr>
        <w:t xml:space="preserve">tes pieeju. </w:t>
      </w:r>
    </w:p>
    <w:p w14:paraId="0F9D9943" w14:textId="2C6B600E" w:rsidR="00C972CB" w:rsidRDefault="002457F6">
      <w:pPr>
        <w:pStyle w:val="Text1"/>
        <w:spacing w:before="0"/>
        <w:ind w:left="720"/>
        <w:rPr>
          <w:noProof/>
        </w:rPr>
      </w:pPr>
      <w:r>
        <w:rPr>
          <w:noProof/>
        </w:rPr>
        <w:t>Paredzamais rezultāts šajā darbības virzienā ir ziņojums, kurā analizē kritiski svarīgo izejvielu nākotnes vajadzības. Ziņojumā novērtē ekodizaina potenciālu samazināt pieprasījumu pēc kritiski svarīgām izejvielām un veicināt to reciklējamību.</w:t>
      </w:r>
    </w:p>
    <w:p w14:paraId="053A9C00" w14:textId="15B5DE37" w:rsidR="00C972CB" w:rsidRDefault="002457F6">
      <w:pPr>
        <w:pStyle w:val="Text1"/>
        <w:numPr>
          <w:ilvl w:val="0"/>
          <w:numId w:val="27"/>
        </w:numPr>
        <w:spacing w:before="0"/>
        <w:rPr>
          <w:noProof/>
        </w:rPr>
      </w:pPr>
      <w:r>
        <w:rPr>
          <w:noProof/>
        </w:rPr>
        <w:t>Pētniecības un izstrādes projekti, kas vērsti uz ekodizainu un elektrisko un elektronisko iekārtu atkritumu, tostarp vējturbīnu lāpstiņu un fotoelementu paneļu, savākšanas, loģistikas un pārstrādes uzlabošanu. Projekti ir vērsti uz šādiem trim pētniecības</w:t>
      </w:r>
      <w:r>
        <w:rPr>
          <w:noProof/>
        </w:rPr>
        <w:t>, attīstības un inovācijas virzieniem:</w:t>
      </w:r>
    </w:p>
    <w:p w14:paraId="1BDD6CC8" w14:textId="77777777" w:rsidR="00C972CB" w:rsidRDefault="002457F6">
      <w:pPr>
        <w:pStyle w:val="Text1"/>
        <w:numPr>
          <w:ilvl w:val="1"/>
          <w:numId w:val="27"/>
        </w:numPr>
        <w:spacing w:before="0"/>
        <w:rPr>
          <w:noProof/>
        </w:rPr>
      </w:pPr>
      <w:r>
        <w:rPr>
          <w:noProof/>
        </w:rPr>
        <w:t>Jaunas vai uzlabotas tehnoloģijas, informācijas sistēmas un uzņēmējdarbības metodes kritiski svarīgu un stratēģisku izejvielu atkritumu atgūšanai, pārstrādei un apstrādei;</w:t>
      </w:r>
    </w:p>
    <w:p w14:paraId="50FD92AD" w14:textId="77777777" w:rsidR="00C972CB" w:rsidRDefault="002457F6">
      <w:pPr>
        <w:pStyle w:val="ListParagraph"/>
        <w:numPr>
          <w:ilvl w:val="1"/>
          <w:numId w:val="27"/>
        </w:numPr>
        <w:spacing w:before="0"/>
        <w:contextualSpacing w:val="0"/>
        <w:rPr>
          <w:noProof/>
        </w:rPr>
      </w:pPr>
      <w:r>
        <w:rPr>
          <w:noProof/>
        </w:rPr>
        <w:t xml:space="preserve">Ekodizaina integrācija sarežģītu produktu un </w:t>
      </w:r>
      <w:r>
        <w:rPr>
          <w:noProof/>
        </w:rPr>
        <w:t xml:space="preserve">sistēmu ražošanā un tirgus un patēriņa procesos; </w:t>
      </w:r>
    </w:p>
    <w:p w14:paraId="7EC415D0" w14:textId="06D5BE98" w:rsidR="00C972CB" w:rsidRDefault="002457F6">
      <w:pPr>
        <w:pStyle w:val="ListParagraph"/>
        <w:numPr>
          <w:ilvl w:val="1"/>
          <w:numId w:val="27"/>
        </w:numPr>
        <w:spacing w:before="0"/>
        <w:contextualSpacing w:val="0"/>
        <w:rPr>
          <w:noProof/>
        </w:rPr>
      </w:pPr>
      <w:r>
        <w:rPr>
          <w:noProof/>
        </w:rPr>
        <w:t>Komunālo atkritumu savākšanas un šķirošanas optimizācija, lai nodrošinātu konsekventu un kvalitatīvu KSI piegādi urbānās ieguves darbībām.</w:t>
      </w:r>
    </w:p>
    <w:p w14:paraId="7462A610" w14:textId="07B7AE09" w:rsidR="00C972CB" w:rsidRDefault="002457F6">
      <w:pPr>
        <w:pStyle w:val="Text1"/>
        <w:numPr>
          <w:ilvl w:val="0"/>
          <w:numId w:val="27"/>
        </w:numPr>
        <w:spacing w:before="0"/>
        <w:rPr>
          <w:noProof/>
        </w:rPr>
      </w:pPr>
      <w:r>
        <w:rPr>
          <w:noProof/>
        </w:rPr>
        <w:t>Urbānā kalnrūpniecība: šīs intervences līnijas mērķis ir aplēst pot</w:t>
      </w:r>
      <w:r>
        <w:rPr>
          <w:noProof/>
        </w:rPr>
        <w:t>enciālu, ko rada derīgo izrakteņu ieguve pilsētās un jau esošie atkritumi, kas radušies pārtrauktās ieguves darbībās.</w:t>
      </w:r>
    </w:p>
    <w:p w14:paraId="73A6EAC1" w14:textId="0789B9A3" w:rsidR="00C972CB" w:rsidRDefault="002457F6">
      <w:pPr>
        <w:pStyle w:val="Text1"/>
        <w:spacing w:before="0"/>
        <w:ind w:left="720"/>
        <w:rPr>
          <w:noProof/>
        </w:rPr>
      </w:pPr>
      <w:r>
        <w:rPr>
          <w:noProof/>
        </w:rPr>
        <w:t>Šajā darbības virzienā paredzamā izlaide ir publiska datubāze (ģeogrāfiskās informācijas sistēma), kas ļauj ģeolokalizēt un vizualizēt pil</w:t>
      </w:r>
      <w:r>
        <w:rPr>
          <w:noProof/>
        </w:rPr>
        <w:t>sētās izkliedēto reciklējamo resursu vai materiālu sadali (pilsētu raktuvēs), kā arī esošos atkritumus pamestās raktuvēs.</w:t>
      </w:r>
    </w:p>
    <w:p w14:paraId="1770AEAD" w14:textId="5BC8FAD7" w:rsidR="00C972CB" w:rsidRDefault="002457F6">
      <w:pPr>
        <w:pStyle w:val="Text1"/>
        <w:numPr>
          <w:ilvl w:val="0"/>
          <w:numId w:val="27"/>
        </w:numPr>
        <w:spacing w:before="0"/>
        <w:rPr>
          <w:noProof/>
        </w:rPr>
      </w:pPr>
      <w:r>
        <w:rPr>
          <w:noProof/>
        </w:rPr>
        <w:t>Pilsētvides ieguves un ekodizaina tehnoloģiskā centra izveide vai aprīkošana. Centrs ir laboratoriju tīkls, kas veicina mijiedarbību s</w:t>
      </w:r>
      <w:r>
        <w:rPr>
          <w:noProof/>
        </w:rPr>
        <w:t>tarp privātiem uzņēmumiem un pētniecības iestādēm, lai uzlabotu nolietotu kompleksu produktu un izejvielu ar zemu aprites beigu pārstrādes līmeni (Eol-RIR) atgūšanu un reciklēšanu no piegādes ķēdes, kas saistīta ar zaļo pārkārtošanos (tostarp litiju, neodī</w:t>
      </w:r>
      <w:r>
        <w:rPr>
          <w:noProof/>
        </w:rPr>
        <w:t>mu un silīcija metālu).</w:t>
      </w:r>
    </w:p>
    <w:p w14:paraId="27477CDB" w14:textId="7F5F4903" w:rsidR="00C972CB" w:rsidRDefault="002457F6">
      <w:pPr>
        <w:pStyle w:val="Text1"/>
        <w:spacing w:before="0"/>
        <w:ind w:left="720"/>
        <w:rPr>
          <w:noProof/>
        </w:rPr>
      </w:pPr>
      <w:r>
        <w:rPr>
          <w:noProof/>
        </w:rPr>
        <w:t>Šajā darbības virzienā gaidāmais rezultāts ir šo laboratoriju aprīkojums.</w:t>
      </w:r>
    </w:p>
    <w:p w14:paraId="66A532F1" w14:textId="02084917" w:rsidR="00C972CB" w:rsidRDefault="002457F6">
      <w:pPr>
        <w:pStyle w:val="P68B1DB1-Heading437"/>
        <w:numPr>
          <w:ilvl w:val="3"/>
          <w:numId w:val="0"/>
        </w:numPr>
        <w:rPr>
          <w:noProof/>
        </w:rPr>
      </w:pPr>
      <w:r>
        <w:rPr>
          <w:noProof/>
        </w:rPr>
        <w:t>Ieguldījums 9. Izvēršanas pasākums: sniegt tehnisko palīdzību un stiprināt spēju veidošanu Itālijas atveseļošanas un noturības plāna īstenošanai</w:t>
      </w:r>
    </w:p>
    <w:p w14:paraId="7E811563" w14:textId="26098330" w:rsidR="00C972CB" w:rsidRDefault="002457F6">
      <w:pPr>
        <w:spacing w:after="120"/>
        <w:ind w:right="-45"/>
        <w:jc w:val="both"/>
        <w:rPr>
          <w:noProof/>
        </w:rPr>
      </w:pPr>
      <w:r>
        <w:rPr>
          <w:noProof/>
        </w:rPr>
        <w:t>Šīs investīci</w:t>
      </w:r>
      <w:r>
        <w:rPr>
          <w:noProof/>
        </w:rPr>
        <w:t xml:space="preserve">jas palielina investīcijas 1,9 Itālijas atveseļošanas un noturības plāna 1. misijas 1. apakškomponentā. </w:t>
      </w:r>
    </w:p>
    <w:p w14:paraId="4E7F1728" w14:textId="2097165C" w:rsidR="00C972CB" w:rsidRDefault="002457F6">
      <w:pPr>
        <w:spacing w:after="120"/>
        <w:ind w:right="-45"/>
        <w:jc w:val="both"/>
        <w:rPr>
          <w:noProof/>
        </w:rPr>
      </w:pPr>
      <w:r>
        <w:rPr>
          <w:noProof/>
        </w:rPr>
        <w:t xml:space="preserve">Šis pasākums palielina esošās investīcijas, papildinot esošo mācību programmu, kas piedāvāta mācību platformā www.syllabus.gov.it, </w:t>
      </w:r>
      <w:hyperlink r:id="rId386">
        <w:r>
          <w:rPr>
            <w:rStyle w:val="Hyperlink"/>
            <w:noProof/>
          </w:rPr>
          <w:t>ar</w:t>
        </w:r>
      </w:hyperlink>
      <w:r>
        <w:rPr>
          <w:noProof/>
        </w:rPr>
        <w:t xml:space="preserve"> apmācības moduļiem, kas sagatavo vietējos ierēdņus zaļās pārkārtošanās procesam.</w:t>
      </w:r>
    </w:p>
    <w:p w14:paraId="63F3D019" w14:textId="7BDAEFB9" w:rsidR="00C972CB" w:rsidRDefault="002457F6">
      <w:pPr>
        <w:spacing w:after="120"/>
        <w:ind w:right="-45"/>
        <w:jc w:val="both"/>
        <w:rPr>
          <w:noProof/>
        </w:rPr>
      </w:pPr>
      <w:r>
        <w:rPr>
          <w:noProof/>
        </w:rPr>
        <w:t>Apmācības moduļos aplūko vismaz šādus tematus: atļauju piešķiršanas procesi iekārtām, kurās izmanto atjaunojamos energoresursus; atjaunojamās enerģijas kopienu veicināšana; valsts pārvaldes energotaupības atbalstīšana un organizēšana; videi draudzīgs e-iep</w:t>
      </w:r>
      <w:r>
        <w:rPr>
          <w:noProof/>
        </w:rPr>
        <w:t>irkums enerģētikā un produktos ar mazāku ietekmi uz vidi;  ēku energoefektivitātes iepirkumu; valsts pārvaldes vadošā loma energoefektivitātes un ilgtspējīgas uzvedības jomā enerģētikas jomā: paraugpraksi un ilgtspējas kultūras izplatīšanu; modeļi ilgtspēj</w:t>
      </w:r>
      <w:r>
        <w:rPr>
          <w:noProof/>
        </w:rPr>
        <w:t xml:space="preserve">īgas mobilitātes veicināšanai energotaupības nolūkā. </w:t>
      </w:r>
    </w:p>
    <w:p w14:paraId="4ED1CCA4" w14:textId="612E0BEA" w:rsidR="00C972CB" w:rsidRDefault="002457F6">
      <w:pPr>
        <w:pStyle w:val="P68B1DB1-Heading437"/>
        <w:numPr>
          <w:ilvl w:val="0"/>
          <w:numId w:val="0"/>
        </w:numPr>
        <w:ind w:left="850" w:hanging="850"/>
        <w:rPr>
          <w:noProof/>
        </w:rPr>
      </w:pPr>
      <w:r>
        <w:rPr>
          <w:noProof/>
        </w:rPr>
        <w:t>Ieguldījums 10. Izmēģinājuma projekti par prasmēm “Crescere Green”</w:t>
      </w:r>
    </w:p>
    <w:p w14:paraId="074B3238" w14:textId="15A73F9D" w:rsidR="00C972CB" w:rsidRDefault="002457F6">
      <w:pPr>
        <w:pStyle w:val="P68B1DB1-Normal16"/>
        <w:spacing w:after="120"/>
        <w:jc w:val="both"/>
        <w:rPr>
          <w:noProof/>
        </w:rPr>
      </w:pPr>
      <w:r>
        <w:rPr>
          <w:noProof/>
        </w:rPr>
        <w:t>Šā ieguldījuma mērķis ir attīstīt zaļās prasmes pārreģionālā mērogā, iesaistot uzņēmumus un privāto sektoru un koncentrējoties uz nozar</w:t>
      </w:r>
      <w:r>
        <w:rPr>
          <w:noProof/>
        </w:rPr>
        <w:t xml:space="preserve">ēm. </w:t>
      </w:r>
    </w:p>
    <w:p w14:paraId="5C3B186E" w14:textId="68708F94" w:rsidR="00C972CB" w:rsidRDefault="002457F6">
      <w:pPr>
        <w:pStyle w:val="P68B1DB1-Normal16"/>
        <w:spacing w:after="120"/>
        <w:jc w:val="both"/>
        <w:rPr>
          <w:noProof/>
        </w:rPr>
      </w:pPr>
      <w:r>
        <w:rPr>
          <w:noProof/>
        </w:rPr>
        <w:t>Īstermiņa apmācības intervences pasākumi ir vērsti uz profesionālajām prasmēm, kas visvairāk nepieciešamas zaļās pārkārtošanās īstenošanai darba tirgū. Skartās profesijas identificē, izmantojot Prasmju pilnveides paktus 5. reformā: “Jaunu prasmju plān</w:t>
      </w:r>
      <w:r>
        <w:rPr>
          <w:noProof/>
        </w:rPr>
        <w:t>s — pārkārtošanās”. Saņēmējus norāda starp Valsts darba ņēmēju nodarbinātības garantijas programmas (GOL) dalībniekiem (saskaņā ar 5. uzdevumu: Komponents — 1. reforma”), kas pēc novērtēšanas procesa dodas ceļā ar īpašu apmācības komponentu. Ieguldījumu mē</w:t>
      </w:r>
      <w:r>
        <w:rPr>
          <w:noProof/>
        </w:rPr>
        <w:t xml:space="preserve">rķis ir arī palielināt apmācības pasākumu plānošanā iesaistīto pārvaldes iestāžu, iestāžu un partneru spējas. </w:t>
      </w:r>
    </w:p>
    <w:p w14:paraId="641AC457" w14:textId="4E96EF84" w:rsidR="00C972CB" w:rsidRDefault="002457F6">
      <w:pPr>
        <w:spacing w:after="120"/>
        <w:jc w:val="both"/>
        <w:rPr>
          <w:noProof/>
        </w:rPr>
      </w:pPr>
      <w:r>
        <w:rPr>
          <w:noProof/>
        </w:rPr>
        <w:t>Apmācība, ko atbalsta ar šo ieguldījumu, nav saistīta ar: darbības un aktīvi, kas saistīti ar fosilajiem kurināmajiem un fosilajiem kurināmajiem,</w:t>
      </w:r>
      <w:r>
        <w:rPr>
          <w:noProof/>
        </w:rPr>
        <w:t xml:space="preserve"> tostarp lejupējo izmantošanu</w:t>
      </w:r>
      <w:r>
        <w:rPr>
          <w:rStyle w:val="FootnoteReference"/>
          <w:noProof/>
        </w:rPr>
        <w:footnoteReference w:id="127"/>
      </w:r>
      <w:r>
        <w:rPr>
          <w:noProof/>
        </w:rPr>
        <w:t>, ii) darbības un aktīvi saskaņā ar ES emisijas kvotu tirdzniecības sistēmu (ETS), sasniedzot prognozētās siltumnīcefekta gāzu emisijas, kas nav zemākas par attiecīgajām līmeņatzīmēm</w:t>
      </w:r>
      <w:r>
        <w:rPr>
          <w:noProof/>
        </w:rPr>
        <w:footnoteReference w:id="128"/>
      </w:r>
      <w:r>
        <w:rPr>
          <w:noProof/>
        </w:rPr>
        <w:t xml:space="preserve">, iii) darbības un aktīvi, kas saistīti ar </w:t>
      </w:r>
      <w:r>
        <w:rPr>
          <w:noProof/>
        </w:rPr>
        <w:t>atkritumu poligoniem, sadedzināšanas iekārtām</w:t>
      </w:r>
      <w:r>
        <w:rPr>
          <w:rStyle w:val="FootnoteReference"/>
          <w:noProof/>
        </w:rPr>
        <w:footnoteReference w:id="129"/>
      </w:r>
      <w:r>
        <w:rPr>
          <w:noProof/>
        </w:rPr>
        <w:t xml:space="preserve"> un mehāniski bioloģiskās apstrādes iekārtām</w:t>
      </w:r>
      <w:r>
        <w:rPr>
          <w:rStyle w:val="FootnoteReference"/>
          <w:noProof/>
        </w:rPr>
        <w:footnoteReference w:id="130"/>
      </w:r>
      <w:r>
        <w:rPr>
          <w:noProof/>
        </w:rPr>
        <w:t>. Darba uzdevumā papildus nosaka, ka var atlasīt tikai tās darbības, kas atbilst attiecīgajiem ES un valsts tiesību aktiem vides jomā.</w:t>
      </w:r>
    </w:p>
    <w:p w14:paraId="7DE826A7" w14:textId="0980EDF5" w:rsidR="00C972CB" w:rsidRDefault="002457F6">
      <w:pPr>
        <w:pStyle w:val="P68B1DB1-Heading437"/>
        <w:numPr>
          <w:ilvl w:val="3"/>
          <w:numId w:val="0"/>
        </w:numPr>
        <w:rPr>
          <w:noProof/>
        </w:rPr>
      </w:pPr>
      <w:r>
        <w:rPr>
          <w:noProof/>
        </w:rPr>
        <w:t>Ieguldījums 11. Paplašināšana:</w:t>
      </w:r>
      <w:r>
        <w:rPr>
          <w:noProof/>
        </w:rPr>
        <w:t xml:space="preserve"> Reģionālā sabiedriskā transporta dzelzceļa parka stiprināšana ar bezemisiju vilcieniem un universālo pakalpojumu</w:t>
      </w:r>
    </w:p>
    <w:p w14:paraId="69C2C28B" w14:textId="62E06265" w:rsidR="00C972CB" w:rsidRDefault="002457F6">
      <w:pPr>
        <w:spacing w:before="120" w:after="120"/>
        <w:jc w:val="both"/>
        <w:rPr>
          <w:noProof/>
        </w:rPr>
      </w:pPr>
      <w:r>
        <w:rPr>
          <w:noProof/>
        </w:rPr>
        <w:t>Šīs investīcijas ietver vismaz 69 bezemisiju pasažieru vilcienu iepirkumu un nodošanu ekspluatācijā (kur vilcienu veido vismaz viena lokomotīve un ietver pasažieru vagonus) un 30 papildu vagonus universālajam pakalpojumam. Kopumā ieguldījums nodrošina vism</w:t>
      </w:r>
      <w:r>
        <w:rPr>
          <w:noProof/>
        </w:rPr>
        <w:t xml:space="preserve">az 342 vienības, no kurām vismaz 69 vienības ir lokomotīves. Atbalsttiesīgi ir tikai elektriskie vai ūdeņraža kurināmā elementi. Divmodālie vilcieni nav atbilstīgi. </w:t>
      </w:r>
    </w:p>
    <w:p w14:paraId="5CC1CC30" w14:textId="5687483F" w:rsidR="00C972CB" w:rsidRDefault="002457F6">
      <w:pPr>
        <w:pStyle w:val="P68B1DB1-Heading437"/>
        <w:numPr>
          <w:ilvl w:val="3"/>
          <w:numId w:val="0"/>
        </w:numPr>
        <w:rPr>
          <w:noProof/>
        </w:rPr>
      </w:pPr>
      <w:r>
        <w:rPr>
          <w:noProof/>
        </w:rPr>
        <w:t>Ieguldījums 12: Dotāciju shēma starptautiskas, rūpnieciskas un pētniecības un izstrādes va</w:t>
      </w:r>
      <w:r>
        <w:rPr>
          <w:noProof/>
        </w:rPr>
        <w:t>došās lomas attīstīšanai elektrisko autobusu jomā</w:t>
      </w:r>
    </w:p>
    <w:p w14:paraId="4D095BA9" w14:textId="33A155F8" w:rsidR="00C972CB" w:rsidRDefault="002457F6">
      <w:pPr>
        <w:spacing w:after="120"/>
        <w:jc w:val="both"/>
        <w:rPr>
          <w:noProof/>
        </w:rPr>
      </w:pPr>
      <w:r>
        <w:rPr>
          <w:noProof/>
        </w:rPr>
        <w:t>Šis pasākums ietver publiskas investīcijas dotāciju shēmā “Starptautiskās, rūpnieciskās un pētniecības un izstrādes vadošās lomas attīstīšana elektrisko autobusu jomā”, lai stimulētu privātās investīcijas u</w:t>
      </w:r>
      <w:r>
        <w:rPr>
          <w:noProof/>
        </w:rPr>
        <w:t>n uzlabotu piekļuvi finansējumam Itālijā nolūkā atbalstīt investīcijas bezemisiju elektroautobusu ražošanas piegādes ķēdē. Shēma darbojas, piešķirot dotācijas tieši privātajam sektoram. Pamatojoties uz ANM investīcijām, shēmas mērķis sākotnēji ir nodrošinā</w:t>
      </w:r>
      <w:r>
        <w:rPr>
          <w:noProof/>
        </w:rPr>
        <w:t>t dotācijas vismaz</w:t>
      </w:r>
      <w:r>
        <w:rPr>
          <w:rFonts w:ascii="Arial Narrow" w:hAnsi="Arial Narrow"/>
          <w:noProof/>
          <w:color w:val="006100"/>
          <w:sz w:val="20"/>
        </w:rPr>
        <w:t xml:space="preserve"> </w:t>
      </w:r>
      <w:r>
        <w:rPr>
          <w:noProof/>
        </w:rPr>
        <w:t>100000000 EUR</w:t>
      </w:r>
      <w:r>
        <w:rPr>
          <w:rFonts w:ascii="Arial Narrow" w:hAnsi="Arial Narrow"/>
          <w:noProof/>
          <w:color w:val="006100"/>
          <w:sz w:val="20"/>
        </w:rPr>
        <w:t xml:space="preserve"> </w:t>
      </w:r>
      <w:r>
        <w:rPr>
          <w:noProof/>
        </w:rPr>
        <w:t>apmērā.</w:t>
      </w:r>
    </w:p>
    <w:p w14:paraId="61E0C844" w14:textId="195C1E99" w:rsidR="00C972CB" w:rsidRDefault="002457F6">
      <w:pPr>
        <w:spacing w:after="120"/>
        <w:jc w:val="both"/>
        <w:rPr>
          <w:noProof/>
        </w:rPr>
      </w:pPr>
      <w:r>
        <w:rPr>
          <w:noProof/>
        </w:rPr>
        <w:t>Shēmu pārvalda Invitalia S.p.A. kā īstenošanas partneris. Shēmā iekļauj šādu produktu līniju:</w:t>
      </w:r>
    </w:p>
    <w:p w14:paraId="7BA95377" w14:textId="0A716822" w:rsidR="00C972CB" w:rsidRDefault="002457F6">
      <w:pPr>
        <w:pStyle w:val="ListParagraph"/>
        <w:numPr>
          <w:ilvl w:val="0"/>
          <w:numId w:val="138"/>
        </w:numPr>
        <w:spacing w:before="0"/>
        <w:rPr>
          <w:noProof/>
        </w:rPr>
      </w:pPr>
      <w:r>
        <w:rPr>
          <w:noProof/>
        </w:rPr>
        <w:t xml:space="preserve"> Dotācijas uzņēmumiem bezemisiju elektroautobusu ražošanas piegādes ķēdē. Hibrīdautobusi nav tiesīgi saņemt atbalstu.</w:t>
      </w:r>
    </w:p>
    <w:p w14:paraId="644D7A2D" w14:textId="1A128C9F" w:rsidR="00C972CB" w:rsidRDefault="002457F6">
      <w:pPr>
        <w:spacing w:after="120"/>
        <w:jc w:val="both"/>
        <w:rPr>
          <w:noProof/>
        </w:rPr>
      </w:pPr>
      <w:r>
        <w:rPr>
          <w:noProof/>
        </w:rPr>
        <w:t>Lai</w:t>
      </w:r>
      <w:r>
        <w:rPr>
          <w:noProof/>
        </w:rPr>
        <w:t xml:space="preserve"> īstenotu ieguldījumu shēmā, Itālija un Invitalia S.p.A. paraksta īstenošanas nolīgumu, kurā iekļauj šādu saturu:</w:t>
      </w:r>
    </w:p>
    <w:p w14:paraId="370FFFA8" w14:textId="52795A27" w:rsidR="00C972CB" w:rsidRDefault="002457F6">
      <w:pPr>
        <w:pStyle w:val="ListParagraph"/>
        <w:numPr>
          <w:ilvl w:val="0"/>
          <w:numId w:val="137"/>
        </w:numPr>
        <w:spacing w:before="0"/>
        <w:rPr>
          <w:noProof/>
        </w:rPr>
      </w:pPr>
      <w:r>
        <w:rPr>
          <w:noProof/>
        </w:rPr>
        <w:t>Shēmas lēmumu pieņemšanas procesa apraksts: Galīgo lēmumu par shēmas piešķiršanu pieņem ieguldījumu komiteja vai cita attiecīga līdzvērtīga pā</w:t>
      </w:r>
      <w:r>
        <w:rPr>
          <w:noProof/>
        </w:rPr>
        <w:t>rvaldes struktūra, un to apstiprina ar to locekļu balsu vairākumu, kuri ir neatkarīgi no valdības.</w:t>
      </w:r>
    </w:p>
    <w:p w14:paraId="743473B7" w14:textId="211B7AB6" w:rsidR="00C972CB" w:rsidRDefault="002457F6">
      <w:pPr>
        <w:pStyle w:val="ListParagraph"/>
        <w:numPr>
          <w:ilvl w:val="0"/>
          <w:numId w:val="137"/>
        </w:numPr>
        <w:spacing w:before="0"/>
        <w:rPr>
          <w:noProof/>
        </w:rPr>
      </w:pPr>
      <w:r>
        <w:rPr>
          <w:noProof/>
        </w:rPr>
        <w:t>Saistītās dotāciju politikas galvenās prasības, kas ietver:</w:t>
      </w:r>
    </w:p>
    <w:p w14:paraId="720C8E16" w14:textId="22494275" w:rsidR="00C972CB" w:rsidRDefault="002457F6">
      <w:pPr>
        <w:pStyle w:val="ListParagraph"/>
        <w:numPr>
          <w:ilvl w:val="1"/>
          <w:numId w:val="137"/>
        </w:numPr>
        <w:spacing w:before="0"/>
        <w:rPr>
          <w:noProof/>
        </w:rPr>
      </w:pPr>
      <w:r>
        <w:rPr>
          <w:noProof/>
        </w:rPr>
        <w:t xml:space="preserve">Sniegto dotāciju un atbalsttiesīgo galasaņēmēju apraksts. </w:t>
      </w:r>
    </w:p>
    <w:p w14:paraId="1B3DCB83" w14:textId="22EE56B6" w:rsidR="00C972CB" w:rsidRDefault="002457F6">
      <w:pPr>
        <w:pStyle w:val="ListParagraph"/>
        <w:numPr>
          <w:ilvl w:val="1"/>
          <w:numId w:val="137"/>
        </w:numPr>
        <w:spacing w:before="0"/>
        <w:rPr>
          <w:noProof/>
        </w:rPr>
      </w:pPr>
      <w:r>
        <w:rPr>
          <w:noProof/>
        </w:rPr>
        <w:t>Prasība, lai visi atbalstītie ieguldīj</w:t>
      </w:r>
      <w:r>
        <w:rPr>
          <w:noProof/>
        </w:rPr>
        <w:t>umi būtu ekonomiski dzīvotspējīgi.</w:t>
      </w:r>
    </w:p>
    <w:p w14:paraId="77394CEB" w14:textId="50E7FBC0" w:rsidR="00C972CB" w:rsidRDefault="002457F6">
      <w:pPr>
        <w:pStyle w:val="ListParagraph"/>
        <w:numPr>
          <w:ilvl w:val="1"/>
          <w:numId w:val="137"/>
        </w:numPr>
        <w:spacing w:before="0"/>
        <w:rPr>
          <w:noProof/>
        </w:rPr>
      </w:pPr>
      <w:r>
        <w:rPr>
          <w:noProof/>
        </w:rPr>
        <w:t>Prasība ievērot principu “nenodari būtisku kaitējumu” (DNSH), kā noteikts NBK tehniskajās norādēs (2021/C58/01). Jo īpaši dotāciju politika izslēdz no atbilstības šādu darbību un aktīvu sarakstu: darbības un aktīvi, kas s</w:t>
      </w:r>
      <w:r>
        <w:rPr>
          <w:noProof/>
        </w:rPr>
        <w:t>aistīti ar fosilajiem kurināmajiem un fosilajiem kurināmajiem, tostarp lejupējo izmantošanu</w:t>
      </w:r>
      <w:r>
        <w:rPr>
          <w:noProof/>
        </w:rPr>
        <w:footnoteReference w:id="131"/>
      </w:r>
      <w:r>
        <w:rPr>
          <w:noProof/>
        </w:rPr>
        <w:t>, ii) darbības un aktīvi saskaņā ar ES emisijas kvotu tirdzniecības sistēmu (ETS), sasniedzot prognozētās siltumnīcefekta gāzu emisijas, kas nav zemākas par attiecī</w:t>
      </w:r>
      <w:r>
        <w:rPr>
          <w:noProof/>
        </w:rPr>
        <w:t>gajām līmeņatzīmēm</w:t>
      </w:r>
      <w:r>
        <w:rPr>
          <w:noProof/>
        </w:rPr>
        <w:footnoteReference w:id="132"/>
      </w:r>
      <w:r>
        <w:rPr>
          <w:noProof/>
        </w:rPr>
        <w:t>, iii) darbības un aktīvi, kas saistīti ar atkritumu poligoniem, sadedzināšanas iekārtām</w:t>
      </w:r>
      <w:r>
        <w:rPr>
          <w:noProof/>
        </w:rPr>
        <w:footnoteReference w:id="133"/>
      </w:r>
      <w:r>
        <w:rPr>
          <w:noProof/>
        </w:rPr>
        <w:t xml:space="preserve"> un mehāniski bioloģiskās apstrādes iekārtām</w:t>
      </w:r>
      <w:r>
        <w:rPr>
          <w:noProof/>
        </w:rPr>
        <w:footnoteReference w:id="134"/>
      </w:r>
      <w:r>
        <w:rPr>
          <w:noProof/>
        </w:rPr>
        <w:t xml:space="preserve">. </w:t>
      </w:r>
    </w:p>
    <w:p w14:paraId="7CED7B82" w14:textId="2E224CB3" w:rsidR="00C972CB" w:rsidRDefault="002457F6">
      <w:pPr>
        <w:pStyle w:val="ListParagraph"/>
        <w:numPr>
          <w:ilvl w:val="1"/>
          <w:numId w:val="137"/>
        </w:numPr>
        <w:spacing w:before="0"/>
        <w:rPr>
          <w:noProof/>
        </w:rPr>
      </w:pPr>
      <w:r>
        <w:rPr>
          <w:noProof/>
        </w:rPr>
        <w:t>Prasība, ka shēmas galasaņēmēji nesaņem atbalstu no citiem Savienības instrumentiem, lai segtu tās p</w:t>
      </w:r>
      <w:r>
        <w:rPr>
          <w:noProof/>
        </w:rPr>
        <w:t>ašas izmaksas.</w:t>
      </w:r>
    </w:p>
    <w:p w14:paraId="6FACCBD5" w14:textId="47FA24DC" w:rsidR="00C972CB" w:rsidRDefault="002457F6">
      <w:pPr>
        <w:pStyle w:val="ListParagraph"/>
        <w:numPr>
          <w:ilvl w:val="0"/>
          <w:numId w:val="137"/>
        </w:numPr>
        <w:spacing w:before="0"/>
        <w:rPr>
          <w:noProof/>
        </w:rPr>
      </w:pPr>
      <w:r>
        <w:rPr>
          <w:noProof/>
        </w:rPr>
        <w:t>Summa, uz kuru attiecas īstenošanas nolīgums, īstenošanas partnera maksu struktūra un prasība visus neizmantotos ieņēmumus no shēmas, tostarp pēc 2026. gada, izmantot tiem pašiem politikas mērķiem.</w:t>
      </w:r>
    </w:p>
    <w:p w14:paraId="458B87BA" w14:textId="3C13CAD3" w:rsidR="00C972CB" w:rsidRDefault="002457F6">
      <w:pPr>
        <w:pStyle w:val="ListParagraph"/>
        <w:numPr>
          <w:ilvl w:val="0"/>
          <w:numId w:val="137"/>
        </w:numPr>
        <w:spacing w:before="0"/>
        <w:rPr>
          <w:noProof/>
        </w:rPr>
      </w:pPr>
      <w:r>
        <w:rPr>
          <w:noProof/>
        </w:rPr>
        <w:t>Uzraudzības, revīzijas un kontroles prasība</w:t>
      </w:r>
      <w:r>
        <w:rPr>
          <w:noProof/>
        </w:rPr>
        <w:t>s, tostarp:</w:t>
      </w:r>
    </w:p>
    <w:p w14:paraId="6E557D1B" w14:textId="4007A0CD" w:rsidR="00C972CB" w:rsidRDefault="002457F6">
      <w:pPr>
        <w:pStyle w:val="ListParagraph"/>
        <w:numPr>
          <w:ilvl w:val="1"/>
          <w:numId w:val="30"/>
        </w:numPr>
        <w:spacing w:before="0"/>
        <w:rPr>
          <w:noProof/>
        </w:rPr>
      </w:pPr>
      <w:r>
        <w:rPr>
          <w:noProof/>
        </w:rPr>
        <w:t>Īstenošanas partnera uzraudzības sistēmas apraksts ziņošanai par mobilizētajām dotācijām.</w:t>
      </w:r>
    </w:p>
    <w:p w14:paraId="683D43D9" w14:textId="018FCD4C" w:rsidR="00C972CB" w:rsidRDefault="002457F6">
      <w:pPr>
        <w:pStyle w:val="ListParagraph"/>
        <w:numPr>
          <w:ilvl w:val="1"/>
          <w:numId w:val="30"/>
        </w:numPr>
        <w:spacing w:before="0"/>
        <w:rPr>
          <w:noProof/>
        </w:rPr>
      </w:pPr>
      <w:r>
        <w:rPr>
          <w:noProof/>
        </w:rPr>
        <w:t xml:space="preserve">Īstenošanas partnera procedūru aprakstu, kas nodrošina krāpšanas, korupcijas un interešu konfliktu novēršanu, atklāšanu un labošanu. </w:t>
      </w:r>
    </w:p>
    <w:p w14:paraId="623F26A0" w14:textId="599A447D" w:rsidR="00C972CB" w:rsidRDefault="002457F6">
      <w:pPr>
        <w:pStyle w:val="ListParagraph"/>
        <w:numPr>
          <w:ilvl w:val="1"/>
          <w:numId w:val="30"/>
        </w:numPr>
        <w:spacing w:before="0"/>
        <w:rPr>
          <w:noProof/>
        </w:rPr>
      </w:pPr>
      <w:r>
        <w:rPr>
          <w:noProof/>
        </w:rPr>
        <w:t>Pienākums pirms dotā</w:t>
      </w:r>
      <w:r>
        <w:rPr>
          <w:noProof/>
        </w:rPr>
        <w:t>cijas piešķiršanas darbībai pārbaudīt katras darbības atbilstību saskaņā ar īstenošanas nolīgumā noteiktajām prasībām.</w:t>
      </w:r>
    </w:p>
    <w:p w14:paraId="194EFD15" w14:textId="56A344B3" w:rsidR="00C972CB" w:rsidRDefault="002457F6">
      <w:pPr>
        <w:pStyle w:val="ListParagraph"/>
        <w:numPr>
          <w:ilvl w:val="1"/>
          <w:numId w:val="30"/>
        </w:numPr>
        <w:spacing w:before="0"/>
        <w:rPr>
          <w:noProof/>
        </w:rPr>
      </w:pPr>
      <w:r>
        <w:rPr>
          <w:noProof/>
        </w:rPr>
        <w:t>Pienākums veikt uz risku balstītas ex post revīzijas saskaņā ar Invitalia S.p.A. revīzijas plānu. Šīs revīzijas pārbauda i) kontroles sis</w:t>
      </w:r>
      <w:r>
        <w:rPr>
          <w:noProof/>
        </w:rPr>
        <w:t xml:space="preserve">tēmu efektivitāti, tostarp krāpšanas, korupcijas un interešu konflikta atklāšanu; atbilstība NBK principam, valsts atbalsta noteikumiem, klimata prasībām; un iii) tiek ievērota prasība, ka shēmas galīgie saņēmēji nav saņēmuši atbalstu no citiem Savienības </w:t>
      </w:r>
      <w:r>
        <w:rPr>
          <w:noProof/>
        </w:rPr>
        <w:t xml:space="preserve">instrumentiem, lai segtu tās pašas izmaksas. Revīzijās pārbauda arī darījumu likumību un to, vai tiek ievēroti piemērojamā īstenošanas nolīguma un dotācijas nolīguma nosacījumi. </w:t>
      </w:r>
    </w:p>
    <w:p w14:paraId="398BF9E9" w14:textId="087866D6" w:rsidR="00C972CB" w:rsidRDefault="002457F6">
      <w:pPr>
        <w:pStyle w:val="ListParagraph"/>
        <w:numPr>
          <w:ilvl w:val="0"/>
          <w:numId w:val="137"/>
        </w:numPr>
        <w:spacing w:before="0"/>
        <w:rPr>
          <w:noProof/>
        </w:rPr>
      </w:pPr>
      <w:r>
        <w:rPr>
          <w:noProof/>
        </w:rPr>
        <w:t>Prasības attiecībā uz īstenošanas partnera veiktajām investīcijām klimata jom</w:t>
      </w:r>
      <w:r>
        <w:rPr>
          <w:noProof/>
        </w:rPr>
        <w:t>ā: vismaz 100000000</w:t>
      </w:r>
      <w:r>
        <w:rPr>
          <w:rFonts w:ascii="Arial Narrow" w:hAnsi="Arial Narrow"/>
          <w:noProof/>
          <w:color w:val="006100"/>
          <w:sz w:val="20"/>
        </w:rPr>
        <w:t xml:space="preserve"> </w:t>
      </w:r>
      <w:r>
        <w:rPr>
          <w:noProof/>
        </w:rPr>
        <w:t>EUR</w:t>
      </w:r>
      <w:r>
        <w:rPr>
          <w:rFonts w:ascii="Arial Narrow" w:hAnsi="Arial Narrow"/>
          <w:noProof/>
          <w:color w:val="006100"/>
          <w:sz w:val="20"/>
        </w:rPr>
        <w:t xml:space="preserve"> </w:t>
      </w:r>
      <w:r>
        <w:rPr>
          <w:noProof/>
        </w:rPr>
        <w:t>no ANM ieguldījumiem shēmā veicina klimata pārmaiņu mērķu sasniegšanu saskaņā ar ANM regulas VI pielikumu.</w:t>
      </w:r>
      <w:r>
        <w:rPr>
          <w:noProof/>
        </w:rPr>
        <w:footnoteReference w:id="135"/>
      </w:r>
      <w:r>
        <w:rPr>
          <w:noProof/>
        </w:rPr>
        <w:t xml:space="preserve"> </w:t>
      </w:r>
    </w:p>
    <w:p w14:paraId="0E0DD325" w14:textId="77777777" w:rsidR="00C972CB" w:rsidRDefault="002457F6">
      <w:pPr>
        <w:spacing w:after="120"/>
        <w:jc w:val="both"/>
        <w:rPr>
          <w:noProof/>
        </w:rPr>
        <w:sectPr w:rsidR="00C972CB" w:rsidSect="00A932FE">
          <w:headerReference w:type="even" r:id="rId387"/>
          <w:headerReference w:type="default" r:id="rId388"/>
          <w:footerReference w:type="even" r:id="rId389"/>
          <w:footerReference w:type="default" r:id="rId390"/>
          <w:headerReference w:type="first" r:id="rId391"/>
          <w:footerReference w:type="first" r:id="rId392"/>
          <w:pgSz w:w="11907" w:h="16839"/>
          <w:pgMar w:top="1440" w:right="1440" w:bottom="1440" w:left="1440" w:header="567" w:footer="567" w:gutter="0"/>
          <w:cols w:space="720"/>
          <w:docGrid w:linePitch="360"/>
        </w:sectPr>
      </w:pPr>
      <w:r>
        <w:rPr>
          <w:noProof/>
        </w:rPr>
        <w:t xml:space="preserve">Pasākuma īstenošanu pabeidz līdz 2026. gada 31. augustam. </w:t>
      </w:r>
    </w:p>
    <w:p w14:paraId="2D55E1BF" w14:textId="5B7A3DCF" w:rsidR="00C972CB" w:rsidRDefault="002457F6">
      <w:pPr>
        <w:pStyle w:val="Heading3"/>
        <w:numPr>
          <w:ilvl w:val="2"/>
          <w:numId w:val="0"/>
        </w:numPr>
        <w:rPr>
          <w:b/>
          <w:i w:val="0"/>
          <w:noProof/>
          <w:u w:val="single"/>
        </w:rPr>
      </w:pPr>
      <w:r>
        <w:rPr>
          <w:b/>
          <w:i w:val="0"/>
          <w:noProof/>
          <w:u w:val="single"/>
        </w:rPr>
        <w:t xml:space="preserve">Q.2. </w:t>
      </w:r>
      <w:r>
        <w:rPr>
          <w:noProof/>
        </w:rPr>
        <w:tab/>
      </w:r>
      <w:r>
        <w:rPr>
          <w:b/>
          <w:i w:val="0"/>
          <w:noProof/>
          <w:u w:val="single"/>
        </w:rPr>
        <w:t>Atskaites punkti, mērķrādītāji, citi rādītāji un neatmaksājamā finansiālā atbalsta uzraudzības un īstenošanas grafiks</w:t>
      </w:r>
    </w:p>
    <w:tbl>
      <w:tblPr>
        <w:tblW w:w="5275"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993"/>
        <w:gridCol w:w="992"/>
        <w:gridCol w:w="992"/>
        <w:gridCol w:w="709"/>
        <w:gridCol w:w="3261"/>
      </w:tblGrid>
      <w:tr w:rsidR="00C972CB" w14:paraId="72E8302D" w14:textId="77777777">
        <w:trPr>
          <w:trHeight w:val="765"/>
          <w:tblHeader/>
        </w:trPr>
        <w:tc>
          <w:tcPr>
            <w:tcW w:w="1185" w:type="dxa"/>
            <w:vMerge w:val="restart"/>
            <w:shd w:val="clear" w:color="auto" w:fill="BDD7EE"/>
            <w:vAlign w:val="center"/>
            <w:hideMark/>
          </w:tcPr>
          <w:p w14:paraId="2A380CE4" w14:textId="77777777" w:rsidR="00C972CB" w:rsidRDefault="002457F6">
            <w:pPr>
              <w:pStyle w:val="P68B1DB1-Normal9"/>
              <w:spacing w:after="120"/>
              <w:jc w:val="center"/>
              <w:rPr>
                <w:noProof/>
              </w:rPr>
            </w:pPr>
            <w:r>
              <w:rPr>
                <w:noProof/>
              </w:rPr>
              <w:t>Kārtas numurs</w:t>
            </w:r>
          </w:p>
        </w:tc>
        <w:tc>
          <w:tcPr>
            <w:tcW w:w="1559" w:type="dxa"/>
            <w:vMerge w:val="restart"/>
            <w:shd w:val="clear" w:color="auto" w:fill="BDD7EE"/>
            <w:vAlign w:val="center"/>
            <w:hideMark/>
          </w:tcPr>
          <w:p w14:paraId="43535281" w14:textId="77777777" w:rsidR="00C972CB" w:rsidRDefault="002457F6">
            <w:pPr>
              <w:pStyle w:val="P68B1DB1-Normal9"/>
              <w:spacing w:after="120"/>
              <w:jc w:val="center"/>
              <w:rPr>
                <w:noProof/>
              </w:rPr>
            </w:pPr>
            <w:r>
              <w:rPr>
                <w:noProof/>
              </w:rPr>
              <w:t>Pasākums (reforma vai investīcija)</w:t>
            </w:r>
          </w:p>
        </w:tc>
        <w:tc>
          <w:tcPr>
            <w:tcW w:w="1134" w:type="dxa"/>
            <w:vMerge w:val="restart"/>
            <w:shd w:val="clear" w:color="auto" w:fill="BDD7EE"/>
            <w:vAlign w:val="center"/>
            <w:hideMark/>
          </w:tcPr>
          <w:p w14:paraId="6E910A3C" w14:textId="77777777" w:rsidR="00C972CB" w:rsidRDefault="002457F6">
            <w:pPr>
              <w:pStyle w:val="P68B1DB1-Normal9"/>
              <w:spacing w:after="120"/>
              <w:jc w:val="center"/>
              <w:rPr>
                <w:noProof/>
              </w:rPr>
            </w:pPr>
            <w:r>
              <w:rPr>
                <w:noProof/>
              </w:rPr>
              <w:t>Starpposma mērķis</w:t>
            </w:r>
          </w:p>
          <w:p w14:paraId="4D4284CD" w14:textId="77777777" w:rsidR="00C972CB" w:rsidRDefault="002457F6">
            <w:pPr>
              <w:pStyle w:val="P68B1DB1-Normal9"/>
              <w:spacing w:after="120"/>
              <w:jc w:val="center"/>
              <w:rPr>
                <w:noProof/>
              </w:rPr>
            </w:pPr>
            <w:r>
              <w:rPr>
                <w:noProof/>
              </w:rPr>
              <w:t>/Mērķis</w:t>
            </w:r>
          </w:p>
        </w:tc>
        <w:tc>
          <w:tcPr>
            <w:tcW w:w="1418" w:type="dxa"/>
            <w:vMerge w:val="restart"/>
            <w:shd w:val="clear" w:color="auto" w:fill="BDD7EE"/>
            <w:vAlign w:val="center"/>
            <w:hideMark/>
          </w:tcPr>
          <w:p w14:paraId="0BED809F" w14:textId="77777777" w:rsidR="00C972CB" w:rsidRDefault="002457F6">
            <w:pPr>
              <w:pStyle w:val="P68B1DB1-Normal9"/>
              <w:spacing w:after="120"/>
              <w:jc w:val="center"/>
              <w:rPr>
                <w:noProof/>
              </w:rPr>
            </w:pPr>
            <w:r>
              <w:rPr>
                <w:noProof/>
              </w:rPr>
              <w:t>Uzvārds</w:t>
            </w:r>
          </w:p>
        </w:tc>
        <w:tc>
          <w:tcPr>
            <w:tcW w:w="1984" w:type="dxa"/>
            <w:vMerge w:val="restart"/>
            <w:shd w:val="clear" w:color="auto" w:fill="BDD7EE"/>
            <w:vAlign w:val="center"/>
            <w:hideMark/>
          </w:tcPr>
          <w:p w14:paraId="316C0690" w14:textId="77777777" w:rsidR="00C972CB" w:rsidRDefault="002457F6">
            <w:pPr>
              <w:pStyle w:val="P68B1DB1-Normal10"/>
              <w:spacing w:after="12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119" w:type="dxa"/>
            <w:gridSpan w:val="3"/>
            <w:shd w:val="clear" w:color="auto" w:fill="BDD7EE"/>
            <w:vAlign w:val="center"/>
            <w:hideMark/>
          </w:tcPr>
          <w:p w14:paraId="1844A200" w14:textId="77777777" w:rsidR="00C972CB" w:rsidRDefault="002457F6">
            <w:pPr>
              <w:pStyle w:val="P68B1DB1-Normal10"/>
              <w:spacing w:after="12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701" w:type="dxa"/>
            <w:gridSpan w:val="2"/>
            <w:shd w:val="clear" w:color="auto" w:fill="BDD7EE"/>
            <w:vAlign w:val="center"/>
            <w:hideMark/>
          </w:tcPr>
          <w:p w14:paraId="1C078BC1" w14:textId="77777777" w:rsidR="00C972CB" w:rsidRDefault="002457F6">
            <w:pPr>
              <w:pStyle w:val="P68B1DB1-Normal9"/>
              <w:spacing w:after="120"/>
              <w:jc w:val="center"/>
              <w:rPr>
                <w:noProof/>
              </w:rPr>
            </w:pPr>
            <w:r>
              <w:rPr>
                <w:noProof/>
              </w:rPr>
              <w:t>Orientējošs pabeigšanas termiņš</w:t>
            </w:r>
          </w:p>
        </w:tc>
        <w:tc>
          <w:tcPr>
            <w:tcW w:w="3261" w:type="dxa"/>
            <w:vMerge w:val="restart"/>
            <w:shd w:val="clear" w:color="auto" w:fill="BDD7EE"/>
            <w:vAlign w:val="center"/>
            <w:hideMark/>
          </w:tcPr>
          <w:p w14:paraId="688935F7" w14:textId="77777777" w:rsidR="00C972CB" w:rsidRDefault="002457F6">
            <w:pPr>
              <w:pStyle w:val="P68B1DB1-Normal9"/>
              <w:spacing w:after="120"/>
              <w:jc w:val="center"/>
              <w:rPr>
                <w:noProof/>
              </w:rPr>
            </w:pPr>
            <w:r>
              <w:rPr>
                <w:noProof/>
              </w:rPr>
              <w:t>Apraksts par katru atskaites punktu un mērķrādītāju</w:t>
            </w:r>
          </w:p>
        </w:tc>
      </w:tr>
      <w:tr w:rsidR="00C972CB" w14:paraId="5E0F712C" w14:textId="77777777">
        <w:trPr>
          <w:trHeight w:val="691"/>
          <w:tblHeader/>
        </w:trPr>
        <w:tc>
          <w:tcPr>
            <w:tcW w:w="1185" w:type="dxa"/>
            <w:vMerge/>
            <w:vAlign w:val="center"/>
            <w:hideMark/>
          </w:tcPr>
          <w:p w14:paraId="508D1A52" w14:textId="77777777" w:rsidR="00C972CB" w:rsidRDefault="00C972CB">
            <w:pPr>
              <w:spacing w:after="120"/>
              <w:jc w:val="center"/>
              <w:rPr>
                <w:rFonts w:ascii="Arial Narrow" w:hAnsi="Arial Narrow"/>
                <w:b/>
                <w:noProof/>
                <w:sz w:val="20"/>
              </w:rPr>
            </w:pPr>
          </w:p>
        </w:tc>
        <w:tc>
          <w:tcPr>
            <w:tcW w:w="1559" w:type="dxa"/>
            <w:vMerge/>
            <w:vAlign w:val="center"/>
            <w:hideMark/>
          </w:tcPr>
          <w:p w14:paraId="50378BE3" w14:textId="77777777" w:rsidR="00C972CB" w:rsidRDefault="00C972CB">
            <w:pPr>
              <w:spacing w:after="120"/>
              <w:jc w:val="center"/>
              <w:rPr>
                <w:rFonts w:ascii="Arial Narrow" w:hAnsi="Arial Narrow"/>
                <w:b/>
                <w:noProof/>
                <w:sz w:val="20"/>
              </w:rPr>
            </w:pPr>
          </w:p>
        </w:tc>
        <w:tc>
          <w:tcPr>
            <w:tcW w:w="1134" w:type="dxa"/>
            <w:vMerge/>
            <w:vAlign w:val="center"/>
            <w:hideMark/>
          </w:tcPr>
          <w:p w14:paraId="7DFE63F8" w14:textId="77777777" w:rsidR="00C972CB" w:rsidRDefault="00C972CB">
            <w:pPr>
              <w:spacing w:after="120"/>
              <w:jc w:val="center"/>
              <w:rPr>
                <w:rFonts w:ascii="Arial Narrow" w:hAnsi="Arial Narrow"/>
                <w:b/>
                <w:noProof/>
                <w:sz w:val="20"/>
              </w:rPr>
            </w:pPr>
          </w:p>
        </w:tc>
        <w:tc>
          <w:tcPr>
            <w:tcW w:w="1418" w:type="dxa"/>
            <w:vMerge/>
            <w:vAlign w:val="center"/>
            <w:hideMark/>
          </w:tcPr>
          <w:p w14:paraId="234E1F80" w14:textId="77777777" w:rsidR="00C972CB" w:rsidRDefault="00C972CB">
            <w:pPr>
              <w:spacing w:after="120"/>
              <w:jc w:val="center"/>
              <w:rPr>
                <w:rFonts w:ascii="Arial Narrow" w:hAnsi="Arial Narrow"/>
                <w:b/>
                <w:noProof/>
                <w:sz w:val="20"/>
              </w:rPr>
            </w:pPr>
          </w:p>
        </w:tc>
        <w:tc>
          <w:tcPr>
            <w:tcW w:w="1984" w:type="dxa"/>
            <w:vMerge/>
            <w:vAlign w:val="center"/>
            <w:hideMark/>
          </w:tcPr>
          <w:p w14:paraId="071B3577" w14:textId="77777777" w:rsidR="00C972CB" w:rsidRDefault="00C972CB">
            <w:pPr>
              <w:spacing w:after="120"/>
              <w:jc w:val="center"/>
              <w:rPr>
                <w:rFonts w:ascii="Arial Narrow" w:hAnsi="Arial Narrow"/>
                <w:b/>
                <w:noProof/>
                <w:sz w:val="20"/>
              </w:rPr>
            </w:pPr>
          </w:p>
        </w:tc>
        <w:tc>
          <w:tcPr>
            <w:tcW w:w="1134" w:type="dxa"/>
            <w:shd w:val="clear" w:color="auto" w:fill="BDD7EE"/>
            <w:vAlign w:val="center"/>
            <w:hideMark/>
          </w:tcPr>
          <w:p w14:paraId="317A271C" w14:textId="2065E7E3" w:rsidR="00C972CB" w:rsidRDefault="002457F6">
            <w:pPr>
              <w:pStyle w:val="P68B1DB1-Normal9"/>
              <w:spacing w:after="120"/>
              <w:jc w:val="center"/>
              <w:rPr>
                <w:noProof/>
              </w:rPr>
            </w:pPr>
            <w:r>
              <w:rPr>
                <w:noProof/>
              </w:rPr>
              <w:t>Mēra vienība</w:t>
            </w:r>
          </w:p>
        </w:tc>
        <w:tc>
          <w:tcPr>
            <w:tcW w:w="993" w:type="dxa"/>
            <w:shd w:val="clear" w:color="auto" w:fill="BDD7EE"/>
            <w:vAlign w:val="center"/>
            <w:hideMark/>
          </w:tcPr>
          <w:p w14:paraId="363B3118" w14:textId="77777777" w:rsidR="00C972CB" w:rsidRDefault="002457F6">
            <w:pPr>
              <w:pStyle w:val="P68B1DB1-Normal9"/>
              <w:spacing w:after="120"/>
              <w:jc w:val="center"/>
              <w:rPr>
                <w:noProof/>
              </w:rPr>
            </w:pPr>
            <w:r>
              <w:rPr>
                <w:noProof/>
              </w:rPr>
              <w:t>Pamatscenārijs</w:t>
            </w:r>
          </w:p>
        </w:tc>
        <w:tc>
          <w:tcPr>
            <w:tcW w:w="992" w:type="dxa"/>
            <w:shd w:val="clear" w:color="auto" w:fill="BDD7EE"/>
            <w:vAlign w:val="center"/>
            <w:hideMark/>
          </w:tcPr>
          <w:p w14:paraId="17D729FB" w14:textId="77777777" w:rsidR="00C972CB" w:rsidRDefault="002457F6">
            <w:pPr>
              <w:pStyle w:val="P68B1DB1-Normal9"/>
              <w:spacing w:after="120"/>
              <w:jc w:val="center"/>
              <w:rPr>
                <w:noProof/>
              </w:rPr>
            </w:pPr>
            <w:r>
              <w:rPr>
                <w:noProof/>
              </w:rPr>
              <w:t>Mērķis</w:t>
            </w:r>
          </w:p>
        </w:tc>
        <w:tc>
          <w:tcPr>
            <w:tcW w:w="992" w:type="dxa"/>
            <w:shd w:val="clear" w:color="auto" w:fill="BDD7EE"/>
            <w:vAlign w:val="center"/>
            <w:hideMark/>
          </w:tcPr>
          <w:p w14:paraId="347247DE" w14:textId="77777777" w:rsidR="00C972CB" w:rsidRDefault="002457F6">
            <w:pPr>
              <w:pStyle w:val="P68B1DB1-Normal9"/>
              <w:spacing w:after="120"/>
              <w:jc w:val="center"/>
              <w:rPr>
                <w:noProof/>
              </w:rPr>
            </w:pPr>
            <w:r>
              <w:rPr>
                <w:noProof/>
              </w:rPr>
              <w:t>Ceturtdaļa</w:t>
            </w:r>
          </w:p>
        </w:tc>
        <w:tc>
          <w:tcPr>
            <w:tcW w:w="709" w:type="dxa"/>
            <w:shd w:val="clear" w:color="auto" w:fill="BDD7EE"/>
            <w:vAlign w:val="center"/>
            <w:hideMark/>
          </w:tcPr>
          <w:p w14:paraId="1F3BE6A4" w14:textId="77777777" w:rsidR="00C972CB" w:rsidRDefault="002457F6">
            <w:pPr>
              <w:pStyle w:val="P68B1DB1-Normal9"/>
              <w:spacing w:after="120"/>
              <w:jc w:val="center"/>
              <w:rPr>
                <w:noProof/>
              </w:rPr>
            </w:pPr>
            <w:r>
              <w:rPr>
                <w:noProof/>
              </w:rPr>
              <w:t>Gadā</w:t>
            </w:r>
          </w:p>
        </w:tc>
        <w:tc>
          <w:tcPr>
            <w:tcW w:w="3261" w:type="dxa"/>
            <w:vMerge/>
            <w:vAlign w:val="center"/>
            <w:hideMark/>
          </w:tcPr>
          <w:p w14:paraId="580BF6FF" w14:textId="77777777" w:rsidR="00C972CB" w:rsidRDefault="00C972CB">
            <w:pPr>
              <w:spacing w:after="120"/>
              <w:jc w:val="center"/>
              <w:rPr>
                <w:rFonts w:ascii="Arial Narrow" w:hAnsi="Arial Narrow"/>
                <w:b/>
                <w:noProof/>
                <w:sz w:val="20"/>
              </w:rPr>
            </w:pPr>
          </w:p>
        </w:tc>
      </w:tr>
      <w:tr w:rsidR="00C972CB" w14:paraId="44F06FAA" w14:textId="77777777">
        <w:trPr>
          <w:trHeight w:val="309"/>
        </w:trPr>
        <w:tc>
          <w:tcPr>
            <w:tcW w:w="1185" w:type="dxa"/>
            <w:shd w:val="clear" w:color="auto" w:fill="C6EFCE"/>
            <w:noWrap/>
            <w:vAlign w:val="center"/>
          </w:tcPr>
          <w:p w14:paraId="30EFFFF9" w14:textId="4A126292" w:rsidR="00C972CB" w:rsidRDefault="002457F6">
            <w:pPr>
              <w:pStyle w:val="P68B1DB1-Normal11"/>
              <w:spacing w:after="120"/>
              <w:jc w:val="center"/>
              <w:rPr>
                <w:noProof/>
              </w:rPr>
            </w:pPr>
            <w:r>
              <w:rPr>
                <w:noProof/>
              </w:rPr>
              <w:t>M7–1</w:t>
            </w:r>
          </w:p>
        </w:tc>
        <w:tc>
          <w:tcPr>
            <w:tcW w:w="1559" w:type="dxa"/>
            <w:shd w:val="clear" w:color="auto" w:fill="C6EFCE"/>
            <w:noWrap/>
          </w:tcPr>
          <w:p w14:paraId="023BB33A" w14:textId="57A7F75C" w:rsidR="00C972CB" w:rsidRDefault="002457F6">
            <w:pPr>
              <w:pStyle w:val="P68B1DB1-Normal11"/>
              <w:spacing w:after="120"/>
              <w:jc w:val="center"/>
              <w:rPr>
                <w:noProof/>
              </w:rPr>
            </w:pPr>
            <w:r>
              <w:rPr>
                <w:noProof/>
              </w:rPr>
              <w:t xml:space="preserve">Reforma: Atjaunīgās enerģijas atļauju piešķiršanas procedūru </w:t>
            </w:r>
            <w:r>
              <w:rPr>
                <w:noProof/>
              </w:rPr>
              <w:t>racionalizēšana</w:t>
            </w:r>
          </w:p>
        </w:tc>
        <w:tc>
          <w:tcPr>
            <w:tcW w:w="1134" w:type="dxa"/>
            <w:shd w:val="clear" w:color="auto" w:fill="C6EFCE"/>
            <w:noWrap/>
          </w:tcPr>
          <w:p w14:paraId="47575B49" w14:textId="61C976D6" w:rsidR="00C972CB" w:rsidRDefault="002457F6">
            <w:pPr>
              <w:pStyle w:val="P68B1DB1-Normal11"/>
              <w:spacing w:after="120"/>
              <w:jc w:val="center"/>
              <w:rPr>
                <w:noProof/>
              </w:rPr>
            </w:pPr>
            <w:r>
              <w:rPr>
                <w:noProof/>
              </w:rPr>
              <w:t>Starpposma mērķis</w:t>
            </w:r>
          </w:p>
        </w:tc>
        <w:tc>
          <w:tcPr>
            <w:tcW w:w="1418" w:type="dxa"/>
            <w:shd w:val="clear" w:color="auto" w:fill="C6EFCE"/>
            <w:noWrap/>
          </w:tcPr>
          <w:p w14:paraId="7D55E798" w14:textId="08E0D799" w:rsidR="00C972CB" w:rsidRDefault="002457F6">
            <w:pPr>
              <w:pStyle w:val="P68B1DB1-Normal11"/>
              <w:spacing w:after="120"/>
              <w:jc w:val="center"/>
              <w:rPr>
                <w:noProof/>
              </w:rPr>
            </w:pPr>
            <w:r>
              <w:rPr>
                <w:noProof/>
              </w:rPr>
              <w:t>“Atjaunojamo energoresursu paātrinājuma zonu” noteikšana</w:t>
            </w:r>
          </w:p>
        </w:tc>
        <w:tc>
          <w:tcPr>
            <w:tcW w:w="1984" w:type="dxa"/>
            <w:shd w:val="clear" w:color="auto" w:fill="C6EFCE"/>
            <w:noWrap/>
          </w:tcPr>
          <w:p w14:paraId="63A2AE86" w14:textId="3D8132F6" w:rsidR="00C972CB" w:rsidRDefault="002457F6">
            <w:pPr>
              <w:pStyle w:val="P68B1DB1-Normal11"/>
              <w:spacing w:after="120"/>
              <w:jc w:val="center"/>
              <w:rPr>
                <w:noProof/>
              </w:rPr>
            </w:pPr>
            <w:r>
              <w:rPr>
                <w:noProof/>
              </w:rPr>
              <w:t>Tiesību akta noteikums, kas norāda, ka stājas spēkā primārie tiesību akti par atjaunīgo energoresursu paātrinātas izmantošanas teritoriju noteikšanu</w:t>
            </w:r>
          </w:p>
        </w:tc>
        <w:tc>
          <w:tcPr>
            <w:tcW w:w="1134" w:type="dxa"/>
            <w:shd w:val="clear" w:color="auto" w:fill="C6EFCE"/>
            <w:noWrap/>
            <w:vAlign w:val="center"/>
          </w:tcPr>
          <w:p w14:paraId="730E31B4" w14:textId="77777777"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0295BD3B"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45893735"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3C17BDA1" w14:textId="554296E6" w:rsidR="00C972CB" w:rsidRDefault="002457F6">
            <w:pPr>
              <w:pStyle w:val="P68B1DB1-Normal11"/>
              <w:spacing w:after="120"/>
              <w:jc w:val="center"/>
              <w:rPr>
                <w:noProof/>
              </w:rPr>
            </w:pPr>
            <w:r>
              <w:rPr>
                <w:noProof/>
              </w:rPr>
              <w:t>4. CET.</w:t>
            </w:r>
          </w:p>
        </w:tc>
        <w:tc>
          <w:tcPr>
            <w:tcW w:w="709" w:type="dxa"/>
            <w:shd w:val="clear" w:color="auto" w:fill="C6EFCE"/>
            <w:noWrap/>
            <w:vAlign w:val="center"/>
          </w:tcPr>
          <w:p w14:paraId="75D29E01" w14:textId="0671DAB1" w:rsidR="00C972CB" w:rsidRDefault="002457F6">
            <w:pPr>
              <w:pStyle w:val="P68B1DB1-Normal11"/>
              <w:spacing w:after="120"/>
              <w:jc w:val="center"/>
              <w:rPr>
                <w:noProof/>
              </w:rPr>
            </w:pPr>
            <w:r>
              <w:rPr>
                <w:noProof/>
              </w:rPr>
              <w:t>2024</w:t>
            </w:r>
          </w:p>
        </w:tc>
        <w:tc>
          <w:tcPr>
            <w:tcW w:w="3261" w:type="dxa"/>
            <w:shd w:val="clear" w:color="auto" w:fill="C6EFCE"/>
            <w:noWrap/>
          </w:tcPr>
          <w:p w14:paraId="2C04885F" w14:textId="797D15A6" w:rsidR="00C972CB" w:rsidRDefault="002457F6">
            <w:pPr>
              <w:pStyle w:val="P68B1DB1-Normal11"/>
              <w:spacing w:after="120"/>
              <w:rPr>
                <w:noProof/>
              </w:rPr>
            </w:pPr>
            <w:r>
              <w:rPr>
                <w:noProof/>
              </w:rPr>
              <w:t>Stājas spēkā primārie tiesību akti, kas nosaka “atjaunojamo energoresursu paātrinājuma zonas” vietējā un reģionālajās administratīvajās vienībās.</w:t>
            </w:r>
          </w:p>
        </w:tc>
      </w:tr>
      <w:tr w:rsidR="00C972CB" w14:paraId="1DE14B87" w14:textId="77777777">
        <w:trPr>
          <w:trHeight w:val="309"/>
        </w:trPr>
        <w:tc>
          <w:tcPr>
            <w:tcW w:w="1185" w:type="dxa"/>
            <w:shd w:val="clear" w:color="auto" w:fill="C6EFCE"/>
            <w:noWrap/>
          </w:tcPr>
          <w:p w14:paraId="4B9F4738" w14:textId="75A73F20" w:rsidR="00C972CB" w:rsidRDefault="002457F6">
            <w:pPr>
              <w:pStyle w:val="P68B1DB1-Normal11"/>
              <w:spacing w:after="120"/>
              <w:jc w:val="center"/>
              <w:rPr>
                <w:noProof/>
              </w:rPr>
            </w:pPr>
            <w:r>
              <w:rPr>
                <w:noProof/>
              </w:rPr>
              <w:t>M7–2</w:t>
            </w:r>
          </w:p>
        </w:tc>
        <w:tc>
          <w:tcPr>
            <w:tcW w:w="1559" w:type="dxa"/>
            <w:shd w:val="clear" w:color="auto" w:fill="C6EFCE"/>
            <w:noWrap/>
          </w:tcPr>
          <w:p w14:paraId="387C01FE" w14:textId="60343CE4" w:rsidR="00C972CB" w:rsidRDefault="002457F6">
            <w:pPr>
              <w:pStyle w:val="P68B1DB1-Normal11"/>
              <w:spacing w:after="120"/>
              <w:jc w:val="center"/>
              <w:rPr>
                <w:noProof/>
              </w:rPr>
            </w:pPr>
            <w:r>
              <w:rPr>
                <w:noProof/>
              </w:rPr>
              <w:t>Reforma: Atjaunīgās enerģijas atļauju piešķiršanas procedūru racionalizēšana</w:t>
            </w:r>
          </w:p>
        </w:tc>
        <w:tc>
          <w:tcPr>
            <w:tcW w:w="1134" w:type="dxa"/>
            <w:shd w:val="clear" w:color="auto" w:fill="C6EFCE"/>
            <w:noWrap/>
          </w:tcPr>
          <w:p w14:paraId="08652E2A" w14:textId="4F10D10B" w:rsidR="00C972CB" w:rsidRDefault="002457F6">
            <w:pPr>
              <w:pStyle w:val="P68B1DB1-Normal11"/>
              <w:spacing w:after="120"/>
              <w:jc w:val="center"/>
              <w:rPr>
                <w:noProof/>
              </w:rPr>
            </w:pPr>
            <w:r>
              <w:rPr>
                <w:noProof/>
              </w:rPr>
              <w:t>Starpposma mērķis</w:t>
            </w:r>
          </w:p>
        </w:tc>
        <w:tc>
          <w:tcPr>
            <w:tcW w:w="1418" w:type="dxa"/>
            <w:shd w:val="clear" w:color="auto" w:fill="C6EFCE"/>
            <w:noWrap/>
          </w:tcPr>
          <w:p w14:paraId="2CA8C046" w14:textId="53306125" w:rsidR="00C972CB" w:rsidRDefault="002457F6">
            <w:pPr>
              <w:pStyle w:val="P68B1DB1-Normal11"/>
              <w:spacing w:after="120"/>
              <w:jc w:val="center"/>
              <w:rPr>
                <w:noProof/>
              </w:rPr>
            </w:pPr>
            <w:r>
              <w:rPr>
                <w:noProof/>
              </w:rPr>
              <w:t xml:space="preserve">Primāro tiesību aktu stāšanās spēkā (Testo Unico) </w:t>
            </w:r>
          </w:p>
        </w:tc>
        <w:tc>
          <w:tcPr>
            <w:tcW w:w="1984" w:type="dxa"/>
            <w:shd w:val="clear" w:color="auto" w:fill="C6EFCE"/>
            <w:noWrap/>
          </w:tcPr>
          <w:p w14:paraId="60E50E0D" w14:textId="7853D677" w:rsidR="00C972CB" w:rsidRDefault="002457F6">
            <w:pPr>
              <w:pStyle w:val="P68B1DB1-Normal11"/>
              <w:spacing w:after="120"/>
              <w:jc w:val="center"/>
              <w:rPr>
                <w:noProof/>
              </w:rPr>
            </w:pPr>
            <w:r>
              <w:rPr>
                <w:noProof/>
              </w:rPr>
              <w:t>Likuma norma, kas norāda uz primāro tiesību aktu stāšanos spēkā</w:t>
            </w:r>
          </w:p>
        </w:tc>
        <w:tc>
          <w:tcPr>
            <w:tcW w:w="1134" w:type="dxa"/>
            <w:shd w:val="clear" w:color="auto" w:fill="C6EFCE"/>
            <w:noWrap/>
          </w:tcPr>
          <w:p w14:paraId="4E58F3A5" w14:textId="77777777" w:rsidR="00C972CB" w:rsidRDefault="00C972CB">
            <w:pPr>
              <w:spacing w:after="120"/>
              <w:jc w:val="center"/>
              <w:rPr>
                <w:rFonts w:ascii="Arial Narrow" w:hAnsi="Arial Narrow"/>
                <w:noProof/>
                <w:color w:val="006100"/>
                <w:sz w:val="20"/>
              </w:rPr>
            </w:pPr>
          </w:p>
        </w:tc>
        <w:tc>
          <w:tcPr>
            <w:tcW w:w="993" w:type="dxa"/>
            <w:shd w:val="clear" w:color="auto" w:fill="C6EFCE"/>
            <w:noWrap/>
          </w:tcPr>
          <w:p w14:paraId="4587E27F"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09090F03"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3B9196A5" w14:textId="2D442670"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5B4D0664" w14:textId="0E5B89E9" w:rsidR="00C972CB" w:rsidRDefault="002457F6">
            <w:pPr>
              <w:pStyle w:val="P68B1DB1-Normal11"/>
              <w:spacing w:after="120"/>
              <w:jc w:val="center"/>
              <w:rPr>
                <w:noProof/>
              </w:rPr>
            </w:pPr>
            <w:r>
              <w:rPr>
                <w:noProof/>
              </w:rPr>
              <w:t>2025</w:t>
            </w:r>
          </w:p>
        </w:tc>
        <w:tc>
          <w:tcPr>
            <w:tcW w:w="3261" w:type="dxa"/>
            <w:shd w:val="clear" w:color="auto" w:fill="C6EFCE"/>
            <w:noWrap/>
          </w:tcPr>
          <w:p w14:paraId="34FB0AFD" w14:textId="0675F336" w:rsidR="00C972CB" w:rsidRDefault="002457F6">
            <w:pPr>
              <w:pStyle w:val="P68B1DB1-Normal11"/>
              <w:spacing w:after="120"/>
              <w:rPr>
                <w:noProof/>
              </w:rPr>
            </w:pPr>
            <w:r>
              <w:rPr>
                <w:noProof/>
              </w:rPr>
              <w:t xml:space="preserve">Stājas spēkā Testo Unico (primārie tiesību akti), kas apkopo, apkopo un konsolidē visas normas, kas reglamentē atjaunojamo energoresursu izmantošanu, un aizstāj visus attiecīgos iepriekšējos tiesību aktus. </w:t>
            </w:r>
          </w:p>
        </w:tc>
      </w:tr>
      <w:tr w:rsidR="00C972CB" w14:paraId="1A7D1303" w14:textId="77777777">
        <w:trPr>
          <w:trHeight w:val="309"/>
        </w:trPr>
        <w:tc>
          <w:tcPr>
            <w:tcW w:w="1185" w:type="dxa"/>
            <w:shd w:val="clear" w:color="auto" w:fill="C6EFCE"/>
            <w:noWrap/>
          </w:tcPr>
          <w:p w14:paraId="4CD7482F" w14:textId="001B58FD" w:rsidR="00C972CB" w:rsidRDefault="002457F6">
            <w:pPr>
              <w:pStyle w:val="P68B1DB1-Normal11"/>
              <w:spacing w:after="120"/>
              <w:jc w:val="center"/>
              <w:rPr>
                <w:noProof/>
              </w:rPr>
            </w:pPr>
            <w:r>
              <w:rPr>
                <w:noProof/>
              </w:rPr>
              <w:t>M7–3</w:t>
            </w:r>
          </w:p>
        </w:tc>
        <w:tc>
          <w:tcPr>
            <w:tcW w:w="1559" w:type="dxa"/>
            <w:shd w:val="clear" w:color="auto" w:fill="C6EFCE"/>
            <w:noWrap/>
          </w:tcPr>
          <w:p w14:paraId="3E4A2597" w14:textId="77777777" w:rsidR="00C972CB" w:rsidRDefault="002457F6">
            <w:pPr>
              <w:pStyle w:val="P68B1DB1-Normal11"/>
              <w:spacing w:after="120"/>
              <w:jc w:val="center"/>
              <w:rPr>
                <w:noProof/>
              </w:rPr>
            </w:pPr>
            <w:r>
              <w:rPr>
                <w:noProof/>
              </w:rPr>
              <w:t xml:space="preserve">Reforma: Atjaunīgās enerģijas atļauju </w:t>
            </w:r>
            <w:r>
              <w:rPr>
                <w:noProof/>
              </w:rPr>
              <w:t>piešķiršanas procedūru racionalizēšana</w:t>
            </w:r>
          </w:p>
          <w:p w14:paraId="79F91A8C" w14:textId="5D34ADBB" w:rsidR="00C972CB" w:rsidRDefault="00C972CB">
            <w:pPr>
              <w:spacing w:after="120"/>
              <w:rPr>
                <w:rFonts w:ascii="Arial Narrow" w:hAnsi="Arial Narrow"/>
                <w:noProof/>
                <w:color w:val="006100"/>
                <w:sz w:val="20"/>
              </w:rPr>
            </w:pPr>
          </w:p>
        </w:tc>
        <w:tc>
          <w:tcPr>
            <w:tcW w:w="1134" w:type="dxa"/>
            <w:shd w:val="clear" w:color="auto" w:fill="C6EFCE"/>
            <w:noWrap/>
          </w:tcPr>
          <w:p w14:paraId="647C6724" w14:textId="6C6CDE6B" w:rsidR="00C972CB" w:rsidRDefault="002457F6">
            <w:pPr>
              <w:pStyle w:val="P68B1DB1-Normal11"/>
              <w:spacing w:after="120"/>
              <w:jc w:val="center"/>
              <w:rPr>
                <w:noProof/>
              </w:rPr>
            </w:pPr>
            <w:r>
              <w:rPr>
                <w:noProof/>
              </w:rPr>
              <w:t>Starpposma mērķis</w:t>
            </w:r>
          </w:p>
        </w:tc>
        <w:tc>
          <w:tcPr>
            <w:tcW w:w="1418" w:type="dxa"/>
            <w:shd w:val="clear" w:color="auto" w:fill="C6EFCE"/>
            <w:noWrap/>
          </w:tcPr>
          <w:p w14:paraId="138DBAB4" w14:textId="009A457C" w:rsidR="00C972CB" w:rsidRDefault="002457F6">
            <w:pPr>
              <w:pStyle w:val="P68B1DB1-Normal11"/>
              <w:spacing w:after="120"/>
              <w:jc w:val="center"/>
              <w:rPr>
                <w:noProof/>
              </w:rPr>
            </w:pPr>
            <w:r>
              <w:rPr>
                <w:noProof/>
              </w:rPr>
              <w:t>Ar atjaunīgajiem energoresursiem saistītās vienotās digitālās platformas izveide un darbības sākšana</w:t>
            </w:r>
          </w:p>
        </w:tc>
        <w:tc>
          <w:tcPr>
            <w:tcW w:w="1984" w:type="dxa"/>
            <w:shd w:val="clear" w:color="auto" w:fill="C6EFCE"/>
            <w:noWrap/>
          </w:tcPr>
          <w:p w14:paraId="3F405113" w14:textId="225C1079" w:rsidR="00C972CB" w:rsidRDefault="002457F6">
            <w:pPr>
              <w:pStyle w:val="P68B1DB1-Normal11"/>
              <w:spacing w:after="120"/>
              <w:jc w:val="center"/>
              <w:rPr>
                <w:noProof/>
              </w:rPr>
            </w:pPr>
            <w:r>
              <w:rPr>
                <w:noProof/>
              </w:rPr>
              <w:t xml:space="preserve">Ar atjaunīgajiem energoresursiem saistītas atļauju izsniegšanas vienotās digitālās platformas </w:t>
            </w:r>
            <w:r>
              <w:rPr>
                <w:noProof/>
              </w:rPr>
              <w:t>izveide un darbības sākšana</w:t>
            </w:r>
          </w:p>
        </w:tc>
        <w:tc>
          <w:tcPr>
            <w:tcW w:w="1134" w:type="dxa"/>
            <w:shd w:val="clear" w:color="auto" w:fill="C6EFCE"/>
            <w:noWrap/>
          </w:tcPr>
          <w:p w14:paraId="21731CE5" w14:textId="407C090A" w:rsidR="00C972CB" w:rsidRDefault="00C972CB">
            <w:pPr>
              <w:spacing w:after="120"/>
              <w:jc w:val="center"/>
              <w:rPr>
                <w:rFonts w:ascii="Arial Narrow" w:hAnsi="Arial Narrow"/>
                <w:noProof/>
                <w:color w:val="006100"/>
                <w:sz w:val="20"/>
              </w:rPr>
            </w:pPr>
          </w:p>
        </w:tc>
        <w:tc>
          <w:tcPr>
            <w:tcW w:w="993" w:type="dxa"/>
            <w:shd w:val="clear" w:color="auto" w:fill="C6EFCE"/>
            <w:noWrap/>
          </w:tcPr>
          <w:p w14:paraId="5828529C" w14:textId="7173970D"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1DF60736" w14:textId="7A76C66E"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027F629C" w14:textId="6478B7D5" w:rsidR="00C972CB" w:rsidRDefault="002457F6">
            <w:pPr>
              <w:pStyle w:val="P68B1DB1-Normal11"/>
              <w:spacing w:after="120"/>
              <w:jc w:val="center"/>
              <w:rPr>
                <w:noProof/>
              </w:rPr>
            </w:pPr>
            <w:r>
              <w:rPr>
                <w:noProof/>
              </w:rPr>
              <w:t>4. CET.</w:t>
            </w:r>
          </w:p>
        </w:tc>
        <w:tc>
          <w:tcPr>
            <w:tcW w:w="709" w:type="dxa"/>
            <w:shd w:val="clear" w:color="auto" w:fill="C6EFCE"/>
            <w:noWrap/>
            <w:vAlign w:val="center"/>
          </w:tcPr>
          <w:p w14:paraId="6BF6B2CA" w14:textId="2F0B6162" w:rsidR="00C972CB" w:rsidRDefault="002457F6">
            <w:pPr>
              <w:pStyle w:val="P68B1DB1-Normal11"/>
              <w:spacing w:after="120"/>
              <w:jc w:val="center"/>
              <w:rPr>
                <w:noProof/>
              </w:rPr>
            </w:pPr>
            <w:r>
              <w:rPr>
                <w:noProof/>
              </w:rPr>
              <w:t>2025</w:t>
            </w:r>
          </w:p>
        </w:tc>
        <w:tc>
          <w:tcPr>
            <w:tcW w:w="3261" w:type="dxa"/>
            <w:shd w:val="clear" w:color="auto" w:fill="C6EFCE"/>
            <w:noWrap/>
          </w:tcPr>
          <w:p w14:paraId="7235F175" w14:textId="2E0123E7" w:rsidR="00C972CB" w:rsidRDefault="002457F6">
            <w:pPr>
              <w:pStyle w:val="P68B1DB1-Normal11"/>
              <w:spacing w:after="120"/>
              <w:rPr>
                <w:noProof/>
              </w:rPr>
            </w:pPr>
            <w:r>
              <w:rPr>
                <w:noProof/>
              </w:rPr>
              <w:t>Tiek izveidota un ieviesta vienota digitālā platforma visu atļauju saņemšanai saistībā ar atjaunīgo energoresursu uzstādīšanu un izvēršanu valsts un reģionālā līmenī. “Vienreizējas iesniegšanas” princips ir spēkā</w:t>
            </w:r>
            <w:r>
              <w:rPr>
                <w:noProof/>
              </w:rPr>
              <w:t>.</w:t>
            </w:r>
          </w:p>
        </w:tc>
      </w:tr>
      <w:tr w:rsidR="00C972CB" w14:paraId="19F658A3" w14:textId="77777777">
        <w:trPr>
          <w:trHeight w:val="309"/>
        </w:trPr>
        <w:tc>
          <w:tcPr>
            <w:tcW w:w="1185" w:type="dxa"/>
            <w:shd w:val="clear" w:color="auto" w:fill="C6EFCE"/>
            <w:noWrap/>
          </w:tcPr>
          <w:p w14:paraId="728A284F" w14:textId="63349832" w:rsidR="00C972CB" w:rsidRDefault="002457F6">
            <w:pPr>
              <w:pStyle w:val="P68B1DB1-Normal11"/>
              <w:spacing w:after="120"/>
              <w:jc w:val="center"/>
              <w:rPr>
                <w:noProof/>
              </w:rPr>
            </w:pPr>
            <w:r>
              <w:rPr>
                <w:noProof/>
              </w:rPr>
              <w:t>M7–4</w:t>
            </w:r>
          </w:p>
        </w:tc>
        <w:tc>
          <w:tcPr>
            <w:tcW w:w="1559" w:type="dxa"/>
            <w:shd w:val="clear" w:color="auto" w:fill="C6EFCE"/>
            <w:noWrap/>
          </w:tcPr>
          <w:p w14:paraId="39395742" w14:textId="4EB28DB5" w:rsidR="00C972CB" w:rsidRDefault="002457F6">
            <w:pPr>
              <w:pStyle w:val="P68B1DB1-Normal11"/>
              <w:spacing w:after="120"/>
              <w:jc w:val="center"/>
              <w:rPr>
                <w:noProof/>
              </w:rPr>
            </w:pPr>
            <w:r>
              <w:rPr>
                <w:noProof/>
              </w:rPr>
              <w:t>Reforma: Videi kaitīgu subsīdiju samazināšana</w:t>
            </w:r>
          </w:p>
        </w:tc>
        <w:tc>
          <w:tcPr>
            <w:tcW w:w="1134" w:type="dxa"/>
            <w:shd w:val="clear" w:color="auto" w:fill="C6EFCE"/>
            <w:noWrap/>
          </w:tcPr>
          <w:p w14:paraId="67D562DB" w14:textId="46463822" w:rsidR="00C972CB" w:rsidRDefault="002457F6">
            <w:pPr>
              <w:pStyle w:val="P68B1DB1-Normal11"/>
              <w:spacing w:after="120"/>
              <w:jc w:val="center"/>
              <w:rPr>
                <w:noProof/>
              </w:rPr>
            </w:pPr>
            <w:r>
              <w:rPr>
                <w:noProof/>
              </w:rPr>
              <w:t>Starpposma mērķis</w:t>
            </w:r>
          </w:p>
        </w:tc>
        <w:tc>
          <w:tcPr>
            <w:tcW w:w="1418" w:type="dxa"/>
            <w:shd w:val="clear" w:color="auto" w:fill="C6EFCE"/>
            <w:noWrap/>
          </w:tcPr>
          <w:p w14:paraId="003E4A46" w14:textId="4C58FF4F" w:rsidR="00C972CB" w:rsidRDefault="002457F6">
            <w:pPr>
              <w:pStyle w:val="P68B1DB1-Normal11"/>
              <w:spacing w:after="120"/>
              <w:jc w:val="center"/>
              <w:rPr>
                <w:noProof/>
              </w:rPr>
            </w:pPr>
            <w:r>
              <w:rPr>
                <w:noProof/>
              </w:rPr>
              <w:t xml:space="preserve">Valdības ziņojuma pieņemšana, pamatojoties uz rezultātiem, kas gūti valdības apspriedēs ar ieinteresētajām personām, lai noteiktu ceļvedi videi kaitīgu subsīdiju samazināšanai līdz </w:t>
            </w:r>
            <w:r>
              <w:rPr>
                <w:noProof/>
              </w:rPr>
              <w:t>2030. gadam.</w:t>
            </w:r>
          </w:p>
        </w:tc>
        <w:tc>
          <w:tcPr>
            <w:tcW w:w="1984" w:type="dxa"/>
            <w:shd w:val="clear" w:color="auto" w:fill="C6EFCE"/>
            <w:noWrap/>
          </w:tcPr>
          <w:p w14:paraId="70B40351" w14:textId="0D0CCFCE" w:rsidR="00C972CB" w:rsidRDefault="002457F6">
            <w:pPr>
              <w:pStyle w:val="P68B1DB1-Normal11"/>
              <w:spacing w:after="120"/>
              <w:jc w:val="center"/>
              <w:rPr>
                <w:noProof/>
              </w:rPr>
            </w:pPr>
            <w:r>
              <w:rPr>
                <w:noProof/>
              </w:rPr>
              <w:t>Valdības ziņojuma pieņemšana</w:t>
            </w:r>
          </w:p>
        </w:tc>
        <w:tc>
          <w:tcPr>
            <w:tcW w:w="1134" w:type="dxa"/>
            <w:shd w:val="clear" w:color="auto" w:fill="C6EFCE"/>
            <w:noWrap/>
          </w:tcPr>
          <w:p w14:paraId="44F03ADB" w14:textId="09A4DE4D" w:rsidR="00C972CB" w:rsidRDefault="00C972CB">
            <w:pPr>
              <w:spacing w:after="120"/>
              <w:jc w:val="center"/>
              <w:rPr>
                <w:rFonts w:ascii="Arial Narrow" w:hAnsi="Arial Narrow"/>
                <w:noProof/>
                <w:color w:val="006100"/>
                <w:sz w:val="20"/>
              </w:rPr>
            </w:pPr>
          </w:p>
        </w:tc>
        <w:tc>
          <w:tcPr>
            <w:tcW w:w="993" w:type="dxa"/>
            <w:shd w:val="clear" w:color="auto" w:fill="C6EFCE"/>
            <w:noWrap/>
          </w:tcPr>
          <w:p w14:paraId="4F0EB228" w14:textId="3BB77F8B"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01D59721" w14:textId="603F004E"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7A13845B" w14:textId="23FC43CA" w:rsidR="00C972CB" w:rsidRDefault="002457F6">
            <w:pPr>
              <w:pStyle w:val="P68B1DB1-Normal11"/>
              <w:spacing w:after="120"/>
              <w:jc w:val="center"/>
              <w:rPr>
                <w:noProof/>
              </w:rPr>
            </w:pPr>
            <w:r>
              <w:rPr>
                <w:noProof/>
              </w:rPr>
              <w:t>4. CET.</w:t>
            </w:r>
          </w:p>
        </w:tc>
        <w:tc>
          <w:tcPr>
            <w:tcW w:w="709" w:type="dxa"/>
            <w:shd w:val="clear" w:color="auto" w:fill="C6EFCE"/>
            <w:noWrap/>
            <w:vAlign w:val="center"/>
          </w:tcPr>
          <w:p w14:paraId="59C9A02E" w14:textId="2403EEC6" w:rsidR="00C972CB" w:rsidRDefault="002457F6">
            <w:pPr>
              <w:pStyle w:val="P68B1DB1-Normal11"/>
              <w:spacing w:after="120"/>
              <w:jc w:val="center"/>
              <w:rPr>
                <w:noProof/>
              </w:rPr>
            </w:pPr>
            <w:r>
              <w:rPr>
                <w:noProof/>
              </w:rPr>
              <w:t>2024</w:t>
            </w:r>
          </w:p>
        </w:tc>
        <w:tc>
          <w:tcPr>
            <w:tcW w:w="3261" w:type="dxa"/>
            <w:shd w:val="clear" w:color="auto" w:fill="C6EFCE"/>
            <w:noWrap/>
          </w:tcPr>
          <w:p w14:paraId="2712DEB4" w14:textId="6F07C090" w:rsidR="00C972CB" w:rsidRDefault="002457F6">
            <w:pPr>
              <w:pStyle w:val="P68B1DB1-Normal11"/>
              <w:spacing w:after="120"/>
              <w:rPr>
                <w:noProof/>
              </w:rPr>
            </w:pPr>
            <w:r>
              <w:rPr>
                <w:noProof/>
              </w:rPr>
              <w:t xml:space="preserve">Reforma paredz samazināt videi kaitīgas subsīdijas, kas noteiktas “2022. gada katalogā par videi kaitīgām subsīdijām”. Ziņojumā izklāsta pasākumus, kas veikti, lai apspriestos ar attiecīgajām </w:t>
            </w:r>
            <w:r>
              <w:rPr>
                <w:noProof/>
              </w:rPr>
              <w:t>ieinteresētajām personām par iepriekš minēto videi kaitīgu subsīdiju reformu, tostarp ieinteresēto personu sniegto informāciju. Ieinteresētās personas, ar kurām apspriežas, ietver attiecīgās publiskās struktūras un privātās ieinteresētās personas.</w:t>
            </w:r>
          </w:p>
        </w:tc>
      </w:tr>
      <w:tr w:rsidR="00C972CB" w14:paraId="3668A8C0" w14:textId="77777777">
        <w:trPr>
          <w:trHeight w:val="309"/>
        </w:trPr>
        <w:tc>
          <w:tcPr>
            <w:tcW w:w="1185" w:type="dxa"/>
            <w:shd w:val="clear" w:color="auto" w:fill="C6EFCE"/>
            <w:noWrap/>
          </w:tcPr>
          <w:p w14:paraId="3178006C" w14:textId="2999C93E" w:rsidR="00C972CB" w:rsidRDefault="002457F6">
            <w:pPr>
              <w:pStyle w:val="P68B1DB1-Normal11"/>
              <w:spacing w:after="120"/>
              <w:jc w:val="center"/>
              <w:rPr>
                <w:noProof/>
              </w:rPr>
            </w:pPr>
            <w:r>
              <w:rPr>
                <w:noProof/>
              </w:rPr>
              <w:t>M7–5</w:t>
            </w:r>
          </w:p>
        </w:tc>
        <w:tc>
          <w:tcPr>
            <w:tcW w:w="1559" w:type="dxa"/>
            <w:shd w:val="clear" w:color="auto" w:fill="C6EFCE"/>
            <w:noWrap/>
          </w:tcPr>
          <w:p w14:paraId="63B4F225" w14:textId="372AE438" w:rsidR="00C972CB" w:rsidRDefault="002457F6">
            <w:pPr>
              <w:pStyle w:val="P68B1DB1-Normal11"/>
              <w:spacing w:after="120"/>
              <w:jc w:val="center"/>
              <w:rPr>
                <w:noProof/>
              </w:rPr>
            </w:pPr>
            <w:r>
              <w:rPr>
                <w:noProof/>
              </w:rPr>
              <w:t>Reforma: Videi kaitīgu subsīdiju samazināšana</w:t>
            </w:r>
          </w:p>
        </w:tc>
        <w:tc>
          <w:tcPr>
            <w:tcW w:w="1134" w:type="dxa"/>
            <w:shd w:val="clear" w:color="auto" w:fill="C6EFCE"/>
            <w:noWrap/>
          </w:tcPr>
          <w:p w14:paraId="2FBA5726" w14:textId="4591120E" w:rsidR="00C972CB" w:rsidRDefault="002457F6">
            <w:pPr>
              <w:pStyle w:val="P68B1DB1-Normal11"/>
              <w:spacing w:after="120"/>
              <w:jc w:val="center"/>
              <w:rPr>
                <w:noProof/>
              </w:rPr>
            </w:pPr>
            <w:r>
              <w:rPr>
                <w:noProof/>
              </w:rPr>
              <w:t>Starpposma mērķis</w:t>
            </w:r>
          </w:p>
        </w:tc>
        <w:tc>
          <w:tcPr>
            <w:tcW w:w="1418" w:type="dxa"/>
            <w:shd w:val="clear" w:color="auto" w:fill="C6EFCE"/>
            <w:noWrap/>
          </w:tcPr>
          <w:p w14:paraId="1AAE2140" w14:textId="2429B4A8" w:rsidR="00C972CB" w:rsidRDefault="002457F6">
            <w:pPr>
              <w:pStyle w:val="P68B1DB1-Normal11"/>
              <w:spacing w:after="120"/>
              <w:jc w:val="center"/>
              <w:rPr>
                <w:noProof/>
              </w:rPr>
            </w:pPr>
            <w:r>
              <w:rPr>
                <w:noProof/>
              </w:rPr>
              <w:t>Primāro un sekundāro tiesību aktu stāšanās spēkā.</w:t>
            </w:r>
          </w:p>
        </w:tc>
        <w:tc>
          <w:tcPr>
            <w:tcW w:w="1984" w:type="dxa"/>
            <w:shd w:val="clear" w:color="auto" w:fill="C6EFCE"/>
            <w:noWrap/>
            <w:vAlign w:val="center"/>
          </w:tcPr>
          <w:p w14:paraId="253E62ED" w14:textId="4ACAF97C" w:rsidR="00C972CB" w:rsidRDefault="002457F6">
            <w:pPr>
              <w:pStyle w:val="P68B1DB1-Normal11"/>
              <w:spacing w:after="120"/>
              <w:jc w:val="center"/>
              <w:rPr>
                <w:noProof/>
              </w:rPr>
            </w:pPr>
            <w:r>
              <w:rPr>
                <w:noProof/>
              </w:rPr>
              <w:t>Tiesību norma, kas norāda, ka stājas spēkā primārie un sekundārie tiesību akti.</w:t>
            </w:r>
          </w:p>
        </w:tc>
        <w:tc>
          <w:tcPr>
            <w:tcW w:w="1134" w:type="dxa"/>
            <w:shd w:val="clear" w:color="auto" w:fill="C6EFCE"/>
            <w:noWrap/>
            <w:vAlign w:val="center"/>
          </w:tcPr>
          <w:p w14:paraId="6565ED4B" w14:textId="1A93E095"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124D563A" w14:textId="0B5D6FBA"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3BF1ABD6" w14:textId="020B6CE6"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415A167F" w14:textId="26874490" w:rsidR="00C972CB" w:rsidRDefault="002457F6">
            <w:pPr>
              <w:pStyle w:val="P68B1DB1-Normal11"/>
              <w:spacing w:after="120"/>
              <w:jc w:val="center"/>
              <w:rPr>
                <w:noProof/>
              </w:rPr>
            </w:pPr>
            <w:r>
              <w:rPr>
                <w:noProof/>
              </w:rPr>
              <w:t>4. CET.</w:t>
            </w:r>
          </w:p>
        </w:tc>
        <w:tc>
          <w:tcPr>
            <w:tcW w:w="709" w:type="dxa"/>
            <w:shd w:val="clear" w:color="auto" w:fill="C6EFCE"/>
            <w:noWrap/>
            <w:vAlign w:val="center"/>
          </w:tcPr>
          <w:p w14:paraId="381DD33D" w14:textId="7621FB5A" w:rsidR="00C972CB" w:rsidRDefault="002457F6">
            <w:pPr>
              <w:pStyle w:val="P68B1DB1-Normal11"/>
              <w:spacing w:after="120"/>
              <w:jc w:val="center"/>
              <w:rPr>
                <w:noProof/>
              </w:rPr>
            </w:pPr>
            <w:r>
              <w:rPr>
                <w:noProof/>
              </w:rPr>
              <w:t>2025</w:t>
            </w:r>
          </w:p>
        </w:tc>
        <w:tc>
          <w:tcPr>
            <w:tcW w:w="3261" w:type="dxa"/>
            <w:shd w:val="clear" w:color="auto" w:fill="C6EFCE"/>
            <w:noWrap/>
            <w:vAlign w:val="center"/>
          </w:tcPr>
          <w:p w14:paraId="3B1D13A5" w14:textId="74449713" w:rsidR="00C972CB" w:rsidRDefault="002457F6">
            <w:pPr>
              <w:pStyle w:val="P68B1DB1-Normal11"/>
              <w:spacing w:after="120"/>
              <w:rPr>
                <w:noProof/>
              </w:rPr>
            </w:pPr>
            <w:r>
              <w:rPr>
                <w:noProof/>
              </w:rPr>
              <w:t xml:space="preserve">Videi kaitīgu subsīdiju reformas īstenošana sākas, 2026. gadā samazinot videi kaitīgas subsīdijas vismaz par 2 miljardiem EUR. </w:t>
            </w:r>
          </w:p>
          <w:p w14:paraId="6B3DA17A" w14:textId="46C300C9" w:rsidR="00C972CB" w:rsidRDefault="002457F6">
            <w:pPr>
              <w:pStyle w:val="P68B1DB1-Normal11"/>
              <w:spacing w:after="120"/>
              <w:rPr>
                <w:noProof/>
              </w:rPr>
            </w:pPr>
            <w:r>
              <w:rPr>
                <w:noProof/>
              </w:rPr>
              <w:t>Turklāt tiesību aktos nosaka grafiku videi kaitīgu subsīdiju turpmākai samazināšanai vismaz par 3,5 miljardiem EUR līdz 2030. ga</w:t>
            </w:r>
            <w:r>
              <w:rPr>
                <w:noProof/>
              </w:rPr>
              <w:t>dam.</w:t>
            </w:r>
          </w:p>
        </w:tc>
      </w:tr>
      <w:tr w:rsidR="00C972CB" w14:paraId="0C2134E5" w14:textId="77777777">
        <w:trPr>
          <w:trHeight w:val="309"/>
        </w:trPr>
        <w:tc>
          <w:tcPr>
            <w:tcW w:w="1185" w:type="dxa"/>
            <w:shd w:val="clear" w:color="auto" w:fill="C6EFCE"/>
            <w:noWrap/>
            <w:vAlign w:val="center"/>
          </w:tcPr>
          <w:p w14:paraId="6DA6CFE3" w14:textId="2FC7A135" w:rsidR="00C972CB" w:rsidRDefault="002457F6">
            <w:pPr>
              <w:pStyle w:val="P68B1DB1-Normal11"/>
              <w:spacing w:after="120"/>
              <w:jc w:val="center"/>
              <w:rPr>
                <w:noProof/>
              </w:rPr>
            </w:pPr>
            <w:r>
              <w:rPr>
                <w:noProof/>
              </w:rPr>
              <w:t>M7–6</w:t>
            </w:r>
          </w:p>
        </w:tc>
        <w:tc>
          <w:tcPr>
            <w:tcW w:w="1559" w:type="dxa"/>
            <w:shd w:val="clear" w:color="auto" w:fill="C6EFCE"/>
            <w:noWrap/>
          </w:tcPr>
          <w:p w14:paraId="33823AD1" w14:textId="726DCE1B" w:rsidR="00C972CB" w:rsidRDefault="002457F6">
            <w:pPr>
              <w:pStyle w:val="P68B1DB1-Normal11"/>
              <w:spacing w:after="120"/>
              <w:jc w:val="center"/>
              <w:rPr>
                <w:noProof/>
              </w:rPr>
            </w:pPr>
            <w:r>
              <w:rPr>
                <w:noProof/>
              </w:rPr>
              <w:t>Reforma. Biometāna pieslēguma gāzes tīklam izmaksu samazināšana</w:t>
            </w:r>
          </w:p>
        </w:tc>
        <w:tc>
          <w:tcPr>
            <w:tcW w:w="1134" w:type="dxa"/>
            <w:shd w:val="clear" w:color="auto" w:fill="C6EFCE"/>
            <w:noWrap/>
          </w:tcPr>
          <w:p w14:paraId="26172770" w14:textId="68278193" w:rsidR="00C972CB" w:rsidRDefault="002457F6">
            <w:pPr>
              <w:pStyle w:val="P68B1DB1-Normal11"/>
              <w:spacing w:after="120"/>
              <w:jc w:val="center"/>
              <w:rPr>
                <w:noProof/>
              </w:rPr>
            </w:pPr>
            <w:r>
              <w:rPr>
                <w:noProof/>
              </w:rPr>
              <w:t>Starpposma mērķis</w:t>
            </w:r>
          </w:p>
        </w:tc>
        <w:tc>
          <w:tcPr>
            <w:tcW w:w="1418" w:type="dxa"/>
            <w:shd w:val="clear" w:color="auto" w:fill="C6EFCE"/>
            <w:noWrap/>
          </w:tcPr>
          <w:p w14:paraId="6150C06A" w14:textId="4EA2CBF4" w:rsidR="00C972CB" w:rsidRDefault="002457F6">
            <w:pPr>
              <w:pStyle w:val="P68B1DB1-Normal11"/>
              <w:spacing w:after="120"/>
              <w:jc w:val="center"/>
              <w:rPr>
                <w:noProof/>
              </w:rPr>
            </w:pPr>
            <w:r>
              <w:rPr>
                <w:noProof/>
              </w:rPr>
              <w:t xml:space="preserve">Tiesību aktu stāšanās spēkā, lai samazinātu izmaksas, kas saistītas ar biometāna ražotņu pieslēgšanu gāzes tīklam </w:t>
            </w:r>
          </w:p>
        </w:tc>
        <w:tc>
          <w:tcPr>
            <w:tcW w:w="1984" w:type="dxa"/>
            <w:shd w:val="clear" w:color="auto" w:fill="C6EFCE"/>
            <w:noWrap/>
          </w:tcPr>
          <w:p w14:paraId="71F27C58" w14:textId="7FDED245" w:rsidR="00C972CB" w:rsidRDefault="002457F6">
            <w:pPr>
              <w:pStyle w:val="P68B1DB1-Normal11"/>
              <w:spacing w:after="120"/>
              <w:jc w:val="center"/>
              <w:rPr>
                <w:noProof/>
              </w:rPr>
            </w:pPr>
            <w:r>
              <w:rPr>
                <w:noProof/>
              </w:rPr>
              <w:t xml:space="preserve">Tiesību norma, kas norāda, ka stājas spēkā </w:t>
            </w:r>
            <w:r>
              <w:rPr>
                <w:noProof/>
              </w:rPr>
              <w:t>primārie un sekundārie tiesību akti.</w:t>
            </w:r>
          </w:p>
        </w:tc>
        <w:tc>
          <w:tcPr>
            <w:tcW w:w="1134" w:type="dxa"/>
            <w:shd w:val="clear" w:color="auto" w:fill="C6EFCE"/>
            <w:noWrap/>
          </w:tcPr>
          <w:p w14:paraId="7E993400" w14:textId="77777777" w:rsidR="00C972CB" w:rsidRDefault="00C972CB">
            <w:pPr>
              <w:spacing w:after="120"/>
              <w:jc w:val="center"/>
              <w:rPr>
                <w:rFonts w:ascii="Arial Narrow" w:hAnsi="Arial Narrow"/>
                <w:noProof/>
                <w:color w:val="006100"/>
                <w:sz w:val="20"/>
              </w:rPr>
            </w:pPr>
          </w:p>
        </w:tc>
        <w:tc>
          <w:tcPr>
            <w:tcW w:w="993" w:type="dxa"/>
            <w:shd w:val="clear" w:color="auto" w:fill="C6EFCE"/>
            <w:noWrap/>
          </w:tcPr>
          <w:p w14:paraId="566CE3E7" w14:textId="77777777" w:rsidR="00C972CB" w:rsidRDefault="00C972CB">
            <w:pPr>
              <w:spacing w:after="120"/>
              <w:jc w:val="center"/>
              <w:rPr>
                <w:rFonts w:ascii="Arial Narrow" w:hAnsi="Arial Narrow"/>
                <w:noProof/>
                <w:color w:val="006100"/>
                <w:sz w:val="20"/>
              </w:rPr>
            </w:pPr>
          </w:p>
        </w:tc>
        <w:tc>
          <w:tcPr>
            <w:tcW w:w="992" w:type="dxa"/>
            <w:shd w:val="clear" w:color="auto" w:fill="C6EFCE"/>
            <w:noWrap/>
          </w:tcPr>
          <w:p w14:paraId="2A6FF128" w14:textId="77777777" w:rsidR="00C972CB" w:rsidRDefault="00C972CB">
            <w:pPr>
              <w:spacing w:after="120"/>
              <w:jc w:val="center"/>
              <w:rPr>
                <w:rFonts w:ascii="Arial Narrow" w:hAnsi="Arial Narrow"/>
                <w:noProof/>
                <w:color w:val="006100"/>
                <w:sz w:val="20"/>
              </w:rPr>
            </w:pPr>
          </w:p>
        </w:tc>
        <w:tc>
          <w:tcPr>
            <w:tcW w:w="992" w:type="dxa"/>
            <w:shd w:val="clear" w:color="auto" w:fill="C6EFCE"/>
            <w:noWrap/>
          </w:tcPr>
          <w:p w14:paraId="23835603" w14:textId="34A7638C" w:rsidR="00C972CB" w:rsidRDefault="002457F6">
            <w:pPr>
              <w:pStyle w:val="P68B1DB1-Normal11"/>
              <w:spacing w:after="120"/>
              <w:jc w:val="center"/>
              <w:rPr>
                <w:noProof/>
              </w:rPr>
            </w:pPr>
            <w:r>
              <w:rPr>
                <w:noProof/>
              </w:rPr>
              <w:t>3. CET.</w:t>
            </w:r>
          </w:p>
        </w:tc>
        <w:tc>
          <w:tcPr>
            <w:tcW w:w="709" w:type="dxa"/>
            <w:shd w:val="clear" w:color="auto" w:fill="C6EFCE"/>
            <w:noWrap/>
          </w:tcPr>
          <w:p w14:paraId="008779B3" w14:textId="327DF627" w:rsidR="00C972CB" w:rsidRDefault="002457F6">
            <w:pPr>
              <w:pStyle w:val="P68B1DB1-Normal11"/>
              <w:spacing w:after="120"/>
              <w:jc w:val="center"/>
              <w:rPr>
                <w:noProof/>
              </w:rPr>
            </w:pPr>
            <w:r>
              <w:rPr>
                <w:noProof/>
              </w:rPr>
              <w:t>2025</w:t>
            </w:r>
          </w:p>
        </w:tc>
        <w:tc>
          <w:tcPr>
            <w:tcW w:w="3261" w:type="dxa"/>
            <w:shd w:val="clear" w:color="auto" w:fill="C6EFCE"/>
            <w:noWrap/>
          </w:tcPr>
          <w:p w14:paraId="417685D7" w14:textId="7A05AA87" w:rsidR="00C972CB" w:rsidRDefault="002457F6">
            <w:pPr>
              <w:pStyle w:val="P68B1DB1-Normal11"/>
              <w:spacing w:after="120"/>
              <w:rPr>
                <w:noProof/>
              </w:rPr>
            </w:pPr>
            <w:r>
              <w:rPr>
                <w:noProof/>
              </w:rPr>
              <w:t>Tiesību akti:</w:t>
            </w:r>
          </w:p>
          <w:p w14:paraId="34A689E4" w14:textId="544F8599" w:rsidR="00C972CB" w:rsidRDefault="002457F6">
            <w:pPr>
              <w:pStyle w:val="P68B1DB1-ListParagraph13"/>
              <w:numPr>
                <w:ilvl w:val="3"/>
                <w:numId w:val="23"/>
              </w:numPr>
              <w:spacing w:before="0"/>
              <w:ind w:left="382"/>
              <w:contextualSpacing w:val="0"/>
              <w:rPr>
                <w:noProof/>
              </w:rPr>
            </w:pPr>
            <w:r>
              <w:rPr>
                <w:noProof/>
              </w:rPr>
              <w:t>Samazināt izmaksas par biometāna ražotņu pieslēgšanu gāzes tīklam ražotājam.</w:t>
            </w:r>
          </w:p>
          <w:p w14:paraId="68547BE0" w14:textId="05607472" w:rsidR="00C972CB" w:rsidRDefault="002457F6">
            <w:pPr>
              <w:pStyle w:val="P68B1DB1-ListParagraph13"/>
              <w:numPr>
                <w:ilvl w:val="3"/>
                <w:numId w:val="23"/>
              </w:numPr>
              <w:spacing w:before="0"/>
              <w:ind w:left="382"/>
              <w:contextualSpacing w:val="0"/>
              <w:rPr>
                <w:noProof/>
              </w:rPr>
            </w:pPr>
            <w:r>
              <w:rPr>
                <w:noProof/>
              </w:rPr>
              <w:t xml:space="preserve">Nodrošināt regulatīvus stimulus investēt gāzes tīklā, lai attīstītu atjaunīgas gāzes. </w:t>
            </w:r>
          </w:p>
        </w:tc>
      </w:tr>
      <w:tr w:rsidR="00C972CB" w14:paraId="6164198F" w14:textId="77777777">
        <w:trPr>
          <w:trHeight w:val="309"/>
        </w:trPr>
        <w:tc>
          <w:tcPr>
            <w:tcW w:w="1185" w:type="dxa"/>
            <w:shd w:val="clear" w:color="auto" w:fill="C6EFCE"/>
            <w:noWrap/>
            <w:vAlign w:val="center"/>
          </w:tcPr>
          <w:p w14:paraId="52E5373C" w14:textId="7F92AAC4" w:rsidR="00C972CB" w:rsidRDefault="002457F6">
            <w:pPr>
              <w:pStyle w:val="P68B1DB1-Normal11"/>
              <w:spacing w:after="120"/>
              <w:jc w:val="center"/>
              <w:rPr>
                <w:noProof/>
              </w:rPr>
            </w:pPr>
            <w:r>
              <w:rPr>
                <w:noProof/>
              </w:rPr>
              <w:t>M7–7</w:t>
            </w:r>
          </w:p>
        </w:tc>
        <w:tc>
          <w:tcPr>
            <w:tcW w:w="1559" w:type="dxa"/>
            <w:shd w:val="clear" w:color="auto" w:fill="C6EFCE"/>
            <w:noWrap/>
            <w:vAlign w:val="center"/>
          </w:tcPr>
          <w:p w14:paraId="3E84D9D4" w14:textId="74E578B3" w:rsidR="00C972CB" w:rsidRDefault="002457F6">
            <w:pPr>
              <w:pStyle w:val="P68B1DB1-Normal11"/>
              <w:spacing w:after="120"/>
              <w:jc w:val="center"/>
              <w:rPr>
                <w:noProof/>
              </w:rPr>
            </w:pPr>
            <w:r>
              <w:rPr>
                <w:noProof/>
              </w:rPr>
              <w:t xml:space="preserve">Reforma. Ar </w:t>
            </w:r>
            <w:r>
              <w:rPr>
                <w:noProof/>
              </w:rPr>
              <w:t>atjaunojamiem EPL saistītā finanšu riska mazināšana (pašu pirkuma līgumi)</w:t>
            </w:r>
          </w:p>
        </w:tc>
        <w:tc>
          <w:tcPr>
            <w:tcW w:w="1134" w:type="dxa"/>
            <w:shd w:val="clear" w:color="auto" w:fill="C6EFCE"/>
            <w:noWrap/>
            <w:vAlign w:val="center"/>
          </w:tcPr>
          <w:p w14:paraId="09A57C7A" w14:textId="4BF82F31"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2CA4FB5C" w14:textId="0B3753EE" w:rsidR="00C972CB" w:rsidRDefault="002457F6">
            <w:pPr>
              <w:pStyle w:val="P68B1DB1-Normal11"/>
              <w:spacing w:after="120"/>
              <w:jc w:val="center"/>
              <w:rPr>
                <w:noProof/>
              </w:rPr>
            </w:pPr>
            <w:r>
              <w:rPr>
                <w:noProof/>
              </w:rPr>
              <w:t>Primāro tiesību aktu stāšanās spēkā</w:t>
            </w:r>
          </w:p>
        </w:tc>
        <w:tc>
          <w:tcPr>
            <w:tcW w:w="1984" w:type="dxa"/>
            <w:shd w:val="clear" w:color="auto" w:fill="C6EFCE"/>
            <w:noWrap/>
            <w:vAlign w:val="center"/>
          </w:tcPr>
          <w:p w14:paraId="504BC440" w14:textId="345C64DE" w:rsidR="00C972CB" w:rsidRDefault="002457F6">
            <w:pPr>
              <w:pStyle w:val="P68B1DB1-Normal11"/>
              <w:spacing w:after="120"/>
              <w:jc w:val="center"/>
              <w:rPr>
                <w:noProof/>
              </w:rPr>
            </w:pPr>
            <w:r>
              <w:rPr>
                <w:noProof/>
              </w:rPr>
              <w:t>Likuma norma, kas norāda uz likuma stāšanos spēkā</w:t>
            </w:r>
          </w:p>
        </w:tc>
        <w:tc>
          <w:tcPr>
            <w:tcW w:w="1134" w:type="dxa"/>
            <w:shd w:val="clear" w:color="auto" w:fill="C6EFCE"/>
            <w:noWrap/>
            <w:vAlign w:val="center"/>
          </w:tcPr>
          <w:p w14:paraId="05B49E33" w14:textId="77777777"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7D25C0EC"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2C6718FE"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0A369A79" w14:textId="6E95D956" w:rsidR="00C972CB" w:rsidRDefault="002457F6">
            <w:pPr>
              <w:pStyle w:val="P68B1DB1-Normal11"/>
              <w:spacing w:after="120"/>
              <w:jc w:val="center"/>
              <w:rPr>
                <w:noProof/>
              </w:rPr>
            </w:pPr>
            <w:r>
              <w:rPr>
                <w:noProof/>
              </w:rPr>
              <w:t>3. CET.</w:t>
            </w:r>
          </w:p>
        </w:tc>
        <w:tc>
          <w:tcPr>
            <w:tcW w:w="709" w:type="dxa"/>
            <w:shd w:val="clear" w:color="auto" w:fill="C6EFCE"/>
            <w:noWrap/>
            <w:vAlign w:val="center"/>
          </w:tcPr>
          <w:p w14:paraId="6BD0D165" w14:textId="46EBC3C3" w:rsidR="00C972CB" w:rsidRDefault="002457F6">
            <w:pPr>
              <w:pStyle w:val="P68B1DB1-Normal11"/>
              <w:spacing w:after="120"/>
              <w:jc w:val="center"/>
              <w:rPr>
                <w:noProof/>
              </w:rPr>
            </w:pPr>
            <w:r>
              <w:rPr>
                <w:noProof/>
              </w:rPr>
              <w:t>2024</w:t>
            </w:r>
          </w:p>
        </w:tc>
        <w:tc>
          <w:tcPr>
            <w:tcW w:w="3261" w:type="dxa"/>
            <w:shd w:val="clear" w:color="auto" w:fill="C6EFCE"/>
            <w:noWrap/>
            <w:vAlign w:val="center"/>
          </w:tcPr>
          <w:p w14:paraId="3FE52B6B" w14:textId="4D2C6721" w:rsidR="00C972CB" w:rsidRDefault="002457F6">
            <w:pPr>
              <w:pStyle w:val="P68B1DB1-Normal11"/>
              <w:spacing w:after="120"/>
              <w:rPr>
                <w:noProof/>
              </w:rPr>
            </w:pPr>
            <w:r>
              <w:rPr>
                <w:noProof/>
              </w:rPr>
              <w:t>Primāro tiesību aktu stāšanās spēkā. Primārajos tiesību aktos:</w:t>
            </w:r>
          </w:p>
          <w:p w14:paraId="3DC0E031" w14:textId="77777777" w:rsidR="00C972CB" w:rsidRDefault="002457F6">
            <w:pPr>
              <w:pStyle w:val="P68B1DB1-ListParagraph13"/>
              <w:numPr>
                <w:ilvl w:val="0"/>
                <w:numId w:val="37"/>
              </w:numPr>
              <w:spacing w:before="0"/>
              <w:ind w:left="301" w:hanging="284"/>
              <w:contextualSpacing w:val="0"/>
              <w:rPr>
                <w:noProof/>
              </w:rPr>
            </w:pPr>
            <w:r>
              <w:rPr>
                <w:noProof/>
              </w:rPr>
              <w:t xml:space="preserve">pieprasīt, lai katrs operators garantētu elektroenerģijas pirkuma līgumu pretvērtības daļēju segšanu, izmantojot garantiju instrumentus, kas pieejami elektroenerģijas tirgū; </w:t>
            </w:r>
          </w:p>
          <w:p w14:paraId="7AB81E7D" w14:textId="77777777" w:rsidR="00C972CB" w:rsidRDefault="002457F6">
            <w:pPr>
              <w:pStyle w:val="P68B1DB1-ListParagraph13"/>
              <w:numPr>
                <w:ilvl w:val="0"/>
                <w:numId w:val="37"/>
              </w:numPr>
              <w:spacing w:before="0"/>
              <w:ind w:left="301" w:hanging="284"/>
              <w:contextualSpacing w:val="0"/>
              <w:rPr>
                <w:noProof/>
              </w:rPr>
            </w:pPr>
            <w:r>
              <w:rPr>
                <w:noProof/>
              </w:rPr>
              <w:t>ieviest pasākumus saistību neizpildes riska mazināšanai, tostarp prasības un ier</w:t>
            </w:r>
            <w:r>
              <w:rPr>
                <w:noProof/>
              </w:rPr>
              <w:t>obežojumus solītājam un regulatīvas sankcijas ražotāja saistību neizpildes gadījumā</w:t>
            </w:r>
          </w:p>
          <w:p w14:paraId="44FE0DCC" w14:textId="047696AD" w:rsidR="00C972CB" w:rsidRDefault="002457F6">
            <w:pPr>
              <w:pStyle w:val="P68B1DB1-ListParagraph13"/>
              <w:numPr>
                <w:ilvl w:val="0"/>
                <w:numId w:val="37"/>
              </w:numPr>
              <w:spacing w:before="0"/>
              <w:ind w:left="301" w:hanging="284"/>
              <w:contextualSpacing w:val="0"/>
              <w:rPr>
                <w:noProof/>
              </w:rPr>
            </w:pPr>
            <w:r>
              <w:rPr>
                <w:noProof/>
              </w:rPr>
              <w:t>nosaka institucionālu vienību, kurai jāuzņemas pēdējās instances pārdevēja/pircēja loma un kurš pārņemtu bankrotējošo darījuma partneri un nodrošinātu saistību izpildi atti</w:t>
            </w:r>
            <w:r>
              <w:rPr>
                <w:noProof/>
              </w:rPr>
              <w:t>ecībā pret izpildītāju.</w:t>
            </w:r>
          </w:p>
        </w:tc>
      </w:tr>
      <w:tr w:rsidR="00C972CB" w14:paraId="231339ED" w14:textId="77777777">
        <w:trPr>
          <w:trHeight w:val="309"/>
        </w:trPr>
        <w:tc>
          <w:tcPr>
            <w:tcW w:w="1185" w:type="dxa"/>
            <w:shd w:val="clear" w:color="auto" w:fill="C6EFCE"/>
            <w:noWrap/>
            <w:vAlign w:val="center"/>
          </w:tcPr>
          <w:p w14:paraId="262C7B35" w14:textId="0BEC04A5" w:rsidR="00C972CB" w:rsidRDefault="002457F6">
            <w:pPr>
              <w:pStyle w:val="P68B1DB1-Normal11"/>
              <w:spacing w:after="120"/>
              <w:jc w:val="center"/>
              <w:rPr>
                <w:noProof/>
              </w:rPr>
            </w:pPr>
            <w:r>
              <w:rPr>
                <w:noProof/>
              </w:rPr>
              <w:t>M7–8</w:t>
            </w:r>
          </w:p>
        </w:tc>
        <w:tc>
          <w:tcPr>
            <w:tcW w:w="1559" w:type="dxa"/>
            <w:shd w:val="clear" w:color="auto" w:fill="C6EFCE"/>
            <w:noWrap/>
            <w:vAlign w:val="center"/>
          </w:tcPr>
          <w:p w14:paraId="137F6E68" w14:textId="193B63DC" w:rsidR="00C972CB" w:rsidRDefault="002457F6">
            <w:pPr>
              <w:pStyle w:val="P68B1DB1-Normal11"/>
              <w:spacing w:after="120"/>
              <w:jc w:val="center"/>
              <w:rPr>
                <w:noProof/>
              </w:rPr>
            </w:pPr>
            <w:r>
              <w:rPr>
                <w:noProof/>
              </w:rPr>
              <w:t>Reforma. Ar atjaunojamiem EPL saistītā finanšu riska mazināšana (pašu pirkuma līgumi)</w:t>
            </w:r>
          </w:p>
        </w:tc>
        <w:tc>
          <w:tcPr>
            <w:tcW w:w="1134" w:type="dxa"/>
            <w:shd w:val="clear" w:color="auto" w:fill="C6EFCE"/>
            <w:noWrap/>
            <w:vAlign w:val="center"/>
          </w:tcPr>
          <w:p w14:paraId="1ABB5091" w14:textId="561E8177"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1F0E9AC7" w14:textId="3BF05754" w:rsidR="00C972CB" w:rsidRDefault="002457F6">
            <w:pPr>
              <w:pStyle w:val="P68B1DB1-Normal11"/>
              <w:spacing w:after="120"/>
              <w:jc w:val="center"/>
              <w:rPr>
                <w:noProof/>
              </w:rPr>
            </w:pPr>
            <w:r>
              <w:rPr>
                <w:noProof/>
              </w:rPr>
              <w:t>Sekundāro tiesību aktu stāšanās spēkā</w:t>
            </w:r>
          </w:p>
        </w:tc>
        <w:tc>
          <w:tcPr>
            <w:tcW w:w="1984" w:type="dxa"/>
            <w:shd w:val="clear" w:color="auto" w:fill="C6EFCE"/>
            <w:noWrap/>
            <w:vAlign w:val="center"/>
          </w:tcPr>
          <w:p w14:paraId="0E547E71" w14:textId="223E7658" w:rsidR="00C972CB" w:rsidRDefault="002457F6">
            <w:pPr>
              <w:pStyle w:val="P68B1DB1-Normal11"/>
              <w:spacing w:after="120"/>
              <w:jc w:val="center"/>
              <w:rPr>
                <w:noProof/>
              </w:rPr>
            </w:pPr>
            <w:r>
              <w:rPr>
                <w:noProof/>
              </w:rPr>
              <w:t>Tiesību norma, kas norāda uz sekundāro tiesību aktu stāšanos spēkā</w:t>
            </w:r>
          </w:p>
        </w:tc>
        <w:tc>
          <w:tcPr>
            <w:tcW w:w="1134" w:type="dxa"/>
            <w:shd w:val="clear" w:color="auto" w:fill="C6EFCE"/>
            <w:noWrap/>
            <w:vAlign w:val="center"/>
          </w:tcPr>
          <w:p w14:paraId="5A8366BA" w14:textId="77777777"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7E08D7D1"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344C5C7F"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70853971" w14:textId="4FCBAFA8" w:rsidR="00C972CB" w:rsidRDefault="002457F6">
            <w:pPr>
              <w:pStyle w:val="P68B1DB1-Normal11"/>
              <w:spacing w:after="120"/>
              <w:jc w:val="center"/>
              <w:rPr>
                <w:noProof/>
              </w:rPr>
            </w:pPr>
            <w:r>
              <w:rPr>
                <w:noProof/>
              </w:rPr>
              <w:t>4. CET.</w:t>
            </w:r>
          </w:p>
        </w:tc>
        <w:tc>
          <w:tcPr>
            <w:tcW w:w="709" w:type="dxa"/>
            <w:shd w:val="clear" w:color="auto" w:fill="C6EFCE"/>
            <w:noWrap/>
            <w:vAlign w:val="center"/>
          </w:tcPr>
          <w:p w14:paraId="41F9A4ED" w14:textId="24AAE0E9" w:rsidR="00C972CB" w:rsidRDefault="002457F6">
            <w:pPr>
              <w:pStyle w:val="P68B1DB1-Normal11"/>
              <w:spacing w:after="120"/>
              <w:jc w:val="center"/>
              <w:rPr>
                <w:noProof/>
              </w:rPr>
            </w:pPr>
            <w:r>
              <w:rPr>
                <w:noProof/>
              </w:rPr>
              <w:t>2024</w:t>
            </w:r>
          </w:p>
        </w:tc>
        <w:tc>
          <w:tcPr>
            <w:tcW w:w="3261" w:type="dxa"/>
            <w:shd w:val="clear" w:color="auto" w:fill="C6EFCE"/>
            <w:noWrap/>
            <w:vAlign w:val="center"/>
          </w:tcPr>
          <w:p w14:paraId="21390220" w14:textId="311B8F8F" w:rsidR="00C972CB" w:rsidRDefault="002457F6">
            <w:pPr>
              <w:pStyle w:val="P68B1DB1-Normal11"/>
              <w:spacing w:after="120"/>
              <w:rPr>
                <w:noProof/>
              </w:rPr>
            </w:pPr>
            <w:r>
              <w:rPr>
                <w:noProof/>
              </w:rPr>
              <w:t>Stājas spēkā visi sekundārie tiesību akti, kas nodrošina primāro tiesību aktu īstenošanu.</w:t>
            </w:r>
          </w:p>
        </w:tc>
      </w:tr>
      <w:tr w:rsidR="00C972CB" w14:paraId="1670DEC9" w14:textId="77777777">
        <w:trPr>
          <w:trHeight w:val="309"/>
        </w:trPr>
        <w:tc>
          <w:tcPr>
            <w:tcW w:w="1185" w:type="dxa"/>
            <w:shd w:val="clear" w:color="auto" w:fill="C6EFCE"/>
            <w:noWrap/>
            <w:vAlign w:val="center"/>
          </w:tcPr>
          <w:p w14:paraId="20212C2A" w14:textId="71B36B00" w:rsidR="00C972CB" w:rsidRDefault="002457F6">
            <w:pPr>
              <w:pStyle w:val="P68B1DB1-Normal11"/>
              <w:spacing w:after="120"/>
              <w:jc w:val="center"/>
              <w:rPr>
                <w:noProof/>
              </w:rPr>
            </w:pPr>
            <w:r>
              <w:rPr>
                <w:noProof/>
              </w:rPr>
              <w:t>M7–9</w:t>
            </w:r>
          </w:p>
        </w:tc>
        <w:tc>
          <w:tcPr>
            <w:tcW w:w="1559" w:type="dxa"/>
            <w:shd w:val="clear" w:color="auto" w:fill="C6EFCE"/>
            <w:noWrap/>
            <w:vAlign w:val="center"/>
          </w:tcPr>
          <w:p w14:paraId="33A804ED" w14:textId="55BDF6F0" w:rsidR="00C972CB" w:rsidRDefault="002457F6">
            <w:pPr>
              <w:pStyle w:val="P68B1DB1-Normal11"/>
              <w:spacing w:after="120"/>
              <w:jc w:val="center"/>
              <w:rPr>
                <w:noProof/>
              </w:rPr>
            </w:pPr>
            <w:r>
              <w:rPr>
                <w:noProof/>
              </w:rPr>
              <w:t>Reforma: “Jaunu prasmju plāns — pārkārtošanās”</w:t>
            </w:r>
          </w:p>
        </w:tc>
        <w:tc>
          <w:tcPr>
            <w:tcW w:w="1134" w:type="dxa"/>
            <w:shd w:val="clear" w:color="auto" w:fill="C6EFCE"/>
            <w:noWrap/>
            <w:vAlign w:val="center"/>
          </w:tcPr>
          <w:p w14:paraId="4FD1BE61" w14:textId="3604F92A"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3C81779D" w14:textId="6DA470E0" w:rsidR="00C972CB" w:rsidRDefault="002457F6">
            <w:pPr>
              <w:pStyle w:val="P68B1DB1-Normal11"/>
              <w:spacing w:after="120"/>
              <w:jc w:val="center"/>
              <w:rPr>
                <w:noProof/>
              </w:rPr>
            </w:pPr>
            <w:r>
              <w:rPr>
                <w:noProof/>
              </w:rPr>
              <w:t>Jaunā Prasmju plāna — pārkārtošanās un īstenošanas ceļveža pieņemšana un publicēšana</w:t>
            </w:r>
          </w:p>
        </w:tc>
        <w:tc>
          <w:tcPr>
            <w:tcW w:w="1984" w:type="dxa"/>
            <w:shd w:val="clear" w:color="auto" w:fill="C6EFCE"/>
            <w:noWrap/>
            <w:vAlign w:val="center"/>
          </w:tcPr>
          <w:p w14:paraId="4DD69CD9" w14:textId="4083E102" w:rsidR="00C972CB" w:rsidRDefault="002457F6">
            <w:pPr>
              <w:pStyle w:val="P68B1DB1-Normal11"/>
              <w:spacing w:after="120"/>
              <w:jc w:val="center"/>
              <w:rPr>
                <w:noProof/>
              </w:rPr>
            </w:pPr>
            <w:r>
              <w:rPr>
                <w:noProof/>
              </w:rPr>
              <w:t xml:space="preserve">Plāna un </w:t>
            </w:r>
            <w:r>
              <w:rPr>
                <w:noProof/>
              </w:rPr>
              <w:t>ceļveža pieņemšana</w:t>
            </w:r>
          </w:p>
        </w:tc>
        <w:tc>
          <w:tcPr>
            <w:tcW w:w="1134" w:type="dxa"/>
            <w:shd w:val="clear" w:color="auto" w:fill="C6EFCE"/>
            <w:noWrap/>
            <w:vAlign w:val="center"/>
          </w:tcPr>
          <w:p w14:paraId="3D4C105E" w14:textId="77777777"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2A1CB054"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29A5599D"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476BA05F" w14:textId="25E35B62" w:rsidR="00C972CB" w:rsidRDefault="002457F6">
            <w:pPr>
              <w:pStyle w:val="P68B1DB1-Normal11"/>
              <w:spacing w:after="120"/>
              <w:jc w:val="center"/>
              <w:rPr>
                <w:noProof/>
              </w:rPr>
            </w:pPr>
            <w:r>
              <w:rPr>
                <w:noProof/>
              </w:rPr>
              <w:t>1. CET.</w:t>
            </w:r>
          </w:p>
        </w:tc>
        <w:tc>
          <w:tcPr>
            <w:tcW w:w="709" w:type="dxa"/>
            <w:shd w:val="clear" w:color="auto" w:fill="C6EFCE"/>
            <w:noWrap/>
            <w:vAlign w:val="center"/>
          </w:tcPr>
          <w:p w14:paraId="06F4292B" w14:textId="1E359359" w:rsidR="00C972CB" w:rsidRDefault="002457F6">
            <w:pPr>
              <w:pStyle w:val="P68B1DB1-Normal11"/>
              <w:spacing w:after="120"/>
              <w:jc w:val="center"/>
              <w:rPr>
                <w:noProof/>
              </w:rPr>
            </w:pPr>
            <w:r>
              <w:rPr>
                <w:noProof/>
              </w:rPr>
              <w:t>2024</w:t>
            </w:r>
          </w:p>
        </w:tc>
        <w:tc>
          <w:tcPr>
            <w:tcW w:w="3261" w:type="dxa"/>
            <w:shd w:val="clear" w:color="auto" w:fill="C6EFCE"/>
            <w:noWrap/>
            <w:vAlign w:val="center"/>
          </w:tcPr>
          <w:p w14:paraId="429B4AB7" w14:textId="77777777" w:rsidR="00C972CB" w:rsidRDefault="002457F6">
            <w:pPr>
              <w:pStyle w:val="P68B1DB1-Normal11"/>
              <w:spacing w:after="120"/>
              <w:rPr>
                <w:noProof/>
              </w:rPr>
            </w:pPr>
            <w:r>
              <w:rPr>
                <w:noProof/>
              </w:rPr>
              <w:t>“Piano Nuove Competenze”, kas pieņemts ar 2021. gada 14. decembra dekrētu un publicēts 2021. gada 28. decembra Gazzetta ufficiale n.307., tiek grozīts un stājas spēkā jaunais pārkārtošanās prasmju plāns. Plānā ir iekļauti</w:t>
            </w:r>
            <w:r>
              <w:rPr>
                <w:noProof/>
              </w:rPr>
              <w:t xml:space="preserve"> vispārīgie principi, kas sīkāk jāprecizē reģionālajos tiesību aktos un kas ietver:</w:t>
            </w:r>
          </w:p>
          <w:p w14:paraId="7CBDCD72" w14:textId="77777777" w:rsidR="00C972CB" w:rsidRDefault="002457F6">
            <w:pPr>
              <w:pStyle w:val="P68B1DB1-ListParagraph13"/>
              <w:numPr>
                <w:ilvl w:val="0"/>
                <w:numId w:val="34"/>
              </w:numPr>
              <w:spacing w:before="0"/>
              <w:ind w:left="382" w:hanging="142"/>
              <w:contextualSpacing w:val="0"/>
              <w:rPr>
                <w:noProof/>
              </w:rPr>
            </w:pPr>
            <w:r>
              <w:rPr>
                <w:noProof/>
              </w:rPr>
              <w:t xml:space="preserve">privātā sektora lielāka iesaistīšana apmācības nodrošināšanā, </w:t>
            </w:r>
          </w:p>
          <w:p w14:paraId="5F9E3904" w14:textId="77777777" w:rsidR="00C972CB" w:rsidRDefault="002457F6">
            <w:pPr>
              <w:pStyle w:val="P68B1DB1-ListParagraph13"/>
              <w:numPr>
                <w:ilvl w:val="0"/>
                <w:numId w:val="34"/>
              </w:numPr>
              <w:spacing w:before="0"/>
              <w:ind w:left="382" w:hanging="142"/>
              <w:contextualSpacing w:val="0"/>
              <w:rPr>
                <w:noProof/>
              </w:rPr>
            </w:pPr>
            <w:r>
              <w:rPr>
                <w:noProof/>
              </w:rPr>
              <w:t xml:space="preserve">uzlabota praktiskās apmācības un mikroapliecinājumu atzīšana, </w:t>
            </w:r>
          </w:p>
          <w:p w14:paraId="3B5F08AD" w14:textId="77777777" w:rsidR="00C972CB" w:rsidRDefault="002457F6">
            <w:pPr>
              <w:pStyle w:val="P68B1DB1-ListParagraph13"/>
              <w:numPr>
                <w:ilvl w:val="0"/>
                <w:numId w:val="34"/>
              </w:numPr>
              <w:spacing w:before="0"/>
              <w:ind w:left="382" w:hanging="142"/>
              <w:contextualSpacing w:val="0"/>
              <w:rPr>
                <w:noProof/>
              </w:rPr>
            </w:pPr>
            <w:r>
              <w:rPr>
                <w:noProof/>
              </w:rPr>
              <w:t>plašāka ex-ante darba tirgus analīze un apmācī</w:t>
            </w:r>
            <w:r>
              <w:rPr>
                <w:noProof/>
              </w:rPr>
              <w:t xml:space="preserve">bas arodietekmes uzraudzība. </w:t>
            </w:r>
          </w:p>
          <w:p w14:paraId="5FDC0320" w14:textId="067B1847" w:rsidR="00C972CB" w:rsidRDefault="002457F6">
            <w:pPr>
              <w:pStyle w:val="P68B1DB1-Normal11"/>
              <w:spacing w:after="120"/>
              <w:rPr>
                <w:noProof/>
              </w:rPr>
            </w:pPr>
            <w:r>
              <w:rPr>
                <w:noProof/>
              </w:rPr>
              <w:t>Ir pieņemts arī īstenošanas ceļvedis.</w:t>
            </w:r>
          </w:p>
        </w:tc>
      </w:tr>
      <w:tr w:rsidR="00C972CB" w14:paraId="0F53C534" w14:textId="77777777">
        <w:trPr>
          <w:trHeight w:val="309"/>
        </w:trPr>
        <w:tc>
          <w:tcPr>
            <w:tcW w:w="1185" w:type="dxa"/>
            <w:shd w:val="clear" w:color="auto" w:fill="C6EFCE"/>
            <w:noWrap/>
            <w:vAlign w:val="center"/>
          </w:tcPr>
          <w:p w14:paraId="3DD3905D" w14:textId="2A50779E" w:rsidR="00C972CB" w:rsidRDefault="002457F6">
            <w:pPr>
              <w:pStyle w:val="P68B1DB1-Normal11"/>
              <w:spacing w:after="120"/>
              <w:jc w:val="center"/>
              <w:rPr>
                <w:noProof/>
              </w:rPr>
            </w:pPr>
            <w:r>
              <w:rPr>
                <w:noProof/>
              </w:rPr>
              <w:t>M7–10</w:t>
            </w:r>
          </w:p>
        </w:tc>
        <w:tc>
          <w:tcPr>
            <w:tcW w:w="1559" w:type="dxa"/>
            <w:shd w:val="clear" w:color="auto" w:fill="C6EFCE"/>
            <w:noWrap/>
            <w:vAlign w:val="center"/>
          </w:tcPr>
          <w:p w14:paraId="78562516" w14:textId="568E05F6" w:rsidR="00C972CB" w:rsidRDefault="002457F6">
            <w:pPr>
              <w:pStyle w:val="P68B1DB1-Normal11"/>
              <w:spacing w:after="120"/>
              <w:jc w:val="center"/>
              <w:rPr>
                <w:noProof/>
              </w:rPr>
            </w:pPr>
            <w:r>
              <w:rPr>
                <w:noProof/>
              </w:rPr>
              <w:t>Reforma: “Jaunu prasmju plāns — pārkārtošanās”</w:t>
            </w:r>
          </w:p>
        </w:tc>
        <w:tc>
          <w:tcPr>
            <w:tcW w:w="1134" w:type="dxa"/>
            <w:shd w:val="clear" w:color="auto" w:fill="C6EFCE"/>
            <w:noWrap/>
            <w:vAlign w:val="center"/>
          </w:tcPr>
          <w:p w14:paraId="1BD9AD03" w14:textId="5D2F3005"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08CF14D9" w14:textId="136C2E20" w:rsidR="00C972CB" w:rsidRDefault="002457F6">
            <w:pPr>
              <w:pStyle w:val="P68B1DB1-Normal11"/>
              <w:spacing w:after="120"/>
              <w:jc w:val="center"/>
              <w:rPr>
                <w:noProof/>
              </w:rPr>
            </w:pPr>
            <w:r>
              <w:rPr>
                <w:noProof/>
              </w:rPr>
              <w:t>Reģionālo tiesību aktu stāšanās spēkā</w:t>
            </w:r>
          </w:p>
        </w:tc>
        <w:tc>
          <w:tcPr>
            <w:tcW w:w="1984" w:type="dxa"/>
            <w:shd w:val="clear" w:color="auto" w:fill="C6EFCE"/>
            <w:noWrap/>
            <w:vAlign w:val="center"/>
          </w:tcPr>
          <w:p w14:paraId="0B5F8A9F" w14:textId="0E68826E" w:rsidR="00C972CB" w:rsidRDefault="002457F6">
            <w:pPr>
              <w:pStyle w:val="P68B1DB1-Normal11"/>
              <w:spacing w:after="120"/>
              <w:jc w:val="center"/>
              <w:rPr>
                <w:noProof/>
              </w:rPr>
            </w:pPr>
            <w:r>
              <w:rPr>
                <w:noProof/>
              </w:rPr>
              <w:t>Tiesību aktu noteikumi, kas norāda uz reģionālo tiesību aktu stāšanos spēkā</w:t>
            </w:r>
          </w:p>
        </w:tc>
        <w:tc>
          <w:tcPr>
            <w:tcW w:w="1134" w:type="dxa"/>
            <w:shd w:val="clear" w:color="auto" w:fill="C6EFCE"/>
            <w:noWrap/>
            <w:vAlign w:val="center"/>
          </w:tcPr>
          <w:p w14:paraId="6B55BBAB" w14:textId="77777777"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530D7B04"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473537DF"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5FAD43AC" w14:textId="0688CFBD" w:rsidR="00C972CB" w:rsidRDefault="002457F6">
            <w:pPr>
              <w:pStyle w:val="P68B1DB1-Normal11"/>
              <w:spacing w:after="120"/>
              <w:jc w:val="center"/>
              <w:rPr>
                <w:noProof/>
              </w:rPr>
            </w:pPr>
            <w:r>
              <w:rPr>
                <w:noProof/>
              </w:rPr>
              <w:t>3. CET.</w:t>
            </w:r>
          </w:p>
        </w:tc>
        <w:tc>
          <w:tcPr>
            <w:tcW w:w="709" w:type="dxa"/>
            <w:shd w:val="clear" w:color="auto" w:fill="C6EFCE"/>
            <w:noWrap/>
            <w:vAlign w:val="center"/>
          </w:tcPr>
          <w:p w14:paraId="1509F946" w14:textId="37763150" w:rsidR="00C972CB" w:rsidRDefault="002457F6">
            <w:pPr>
              <w:pStyle w:val="P68B1DB1-Normal11"/>
              <w:spacing w:after="120"/>
              <w:jc w:val="center"/>
              <w:rPr>
                <w:noProof/>
              </w:rPr>
            </w:pPr>
            <w:r>
              <w:rPr>
                <w:noProof/>
              </w:rPr>
              <w:t>2025</w:t>
            </w:r>
          </w:p>
        </w:tc>
        <w:tc>
          <w:tcPr>
            <w:tcW w:w="3261" w:type="dxa"/>
            <w:shd w:val="clear" w:color="auto" w:fill="C6EFCE"/>
            <w:noWrap/>
            <w:vAlign w:val="center"/>
          </w:tcPr>
          <w:p w14:paraId="6F35F7C5" w14:textId="77777777" w:rsidR="00C972CB" w:rsidRDefault="002457F6">
            <w:pPr>
              <w:pStyle w:val="P68B1DB1-Normal11"/>
              <w:spacing w:after="120"/>
              <w:rPr>
                <w:noProof/>
              </w:rPr>
            </w:pPr>
            <w:r>
              <w:rPr>
                <w:noProof/>
              </w:rPr>
              <w:t>Reģionālo tiesību aktu stāšanās spēkā.</w:t>
            </w:r>
          </w:p>
          <w:p w14:paraId="7D27E287" w14:textId="7C4F1F5B" w:rsidR="00C972CB" w:rsidRDefault="002457F6">
            <w:pPr>
              <w:pStyle w:val="P68B1DB1-Normal11"/>
              <w:spacing w:after="120"/>
              <w:rPr>
                <w:noProof/>
              </w:rPr>
            </w:pPr>
            <w:r>
              <w:rPr>
                <w:noProof/>
              </w:rPr>
              <w:t>Tiesību akti attiecas uz visiem reģioniem un autonomajām provincēm un ievieš:</w:t>
            </w:r>
          </w:p>
          <w:p w14:paraId="35143016" w14:textId="42FAC816" w:rsidR="00C972CB" w:rsidRDefault="002457F6">
            <w:pPr>
              <w:pStyle w:val="P68B1DB1-ListParagraph13"/>
              <w:numPr>
                <w:ilvl w:val="0"/>
                <w:numId w:val="35"/>
              </w:numPr>
              <w:spacing w:before="0"/>
              <w:ind w:left="382" w:hanging="283"/>
              <w:contextualSpacing w:val="0"/>
              <w:rPr>
                <w:noProof/>
              </w:rPr>
            </w:pPr>
            <w:r>
              <w:rPr>
                <w:noProof/>
              </w:rPr>
              <w:t>mehānismus, lai nodrošinātu, ka apmācības pasākumi tiek plānoti, pamatojoties uz darba tirgus paustajām vajadzībām, prioritāt</w:t>
            </w:r>
            <w:r>
              <w:rPr>
                <w:noProof/>
              </w:rPr>
              <w:t xml:space="preserve">i piešķirot tiem, kuros ir vislielākā prasmju neatbilstība, piemēram, izmantojot apstiprinātus prasmju paktus; </w:t>
            </w:r>
          </w:p>
          <w:p w14:paraId="14E1237E" w14:textId="45D447BF" w:rsidR="00C972CB" w:rsidRDefault="002457F6">
            <w:pPr>
              <w:pStyle w:val="P68B1DB1-ListParagraph13"/>
              <w:numPr>
                <w:ilvl w:val="0"/>
                <w:numId w:val="35"/>
              </w:numPr>
              <w:spacing w:before="0"/>
              <w:ind w:left="382" w:hanging="283"/>
              <w:contextualSpacing w:val="0"/>
              <w:rPr>
                <w:noProof/>
              </w:rPr>
            </w:pPr>
            <w:r>
              <w:rPr>
                <w:noProof/>
              </w:rPr>
              <w:t>pienākums mācību paziņojumos un paziņojumos norādīt paredzamos nodarbinātības rezultātus;</w:t>
            </w:r>
          </w:p>
          <w:p w14:paraId="0D802DE8" w14:textId="0B921D54" w:rsidR="00C972CB" w:rsidRDefault="002457F6">
            <w:pPr>
              <w:pStyle w:val="P68B1DB1-ListParagraph13"/>
              <w:numPr>
                <w:ilvl w:val="0"/>
                <w:numId w:val="35"/>
              </w:numPr>
              <w:spacing w:before="0"/>
              <w:ind w:left="382" w:hanging="283"/>
              <w:contextualSpacing w:val="0"/>
              <w:rPr>
                <w:noProof/>
              </w:rPr>
            </w:pPr>
            <w:r>
              <w:rPr>
                <w:noProof/>
              </w:rPr>
              <w:t>uzņēmumā veiktas apmācības atzīšanu;</w:t>
            </w:r>
          </w:p>
          <w:p w14:paraId="274D77E1" w14:textId="4E17CEE5" w:rsidR="00C972CB" w:rsidRDefault="002457F6">
            <w:pPr>
              <w:pStyle w:val="P68B1DB1-ListParagraph13"/>
              <w:numPr>
                <w:ilvl w:val="0"/>
                <w:numId w:val="35"/>
              </w:numPr>
              <w:spacing w:before="0"/>
              <w:ind w:left="382" w:hanging="283"/>
              <w:contextualSpacing w:val="0"/>
              <w:rPr>
                <w:noProof/>
              </w:rPr>
            </w:pPr>
            <w:r>
              <w:rPr>
                <w:noProof/>
              </w:rPr>
              <w:t>iegūto prasmju un</w:t>
            </w:r>
            <w:r>
              <w:rPr>
                <w:noProof/>
              </w:rPr>
              <w:t xml:space="preserve"> īsu mācību kursu (tā dēvēto mikroapliecinājumu) atzīšana;</w:t>
            </w:r>
          </w:p>
          <w:p w14:paraId="3AACB976" w14:textId="479B2E56" w:rsidR="00C972CB" w:rsidRDefault="002457F6">
            <w:pPr>
              <w:pStyle w:val="P68B1DB1-ListParagraph13"/>
              <w:numPr>
                <w:ilvl w:val="0"/>
                <w:numId w:val="35"/>
              </w:numPr>
              <w:spacing w:before="0"/>
              <w:ind w:left="382" w:hanging="283"/>
              <w:contextualSpacing w:val="0"/>
              <w:rPr>
                <w:noProof/>
              </w:rPr>
            </w:pPr>
            <w:r>
              <w:rPr>
                <w:noProof/>
              </w:rPr>
              <w:t>Mehānismi privātā līdzfinansējuma veicināšanai.</w:t>
            </w:r>
          </w:p>
        </w:tc>
      </w:tr>
      <w:tr w:rsidR="00C972CB" w14:paraId="18929F2D" w14:textId="77777777">
        <w:trPr>
          <w:trHeight w:val="309"/>
        </w:trPr>
        <w:tc>
          <w:tcPr>
            <w:tcW w:w="1185" w:type="dxa"/>
            <w:shd w:val="clear" w:color="auto" w:fill="C6EFCE"/>
            <w:noWrap/>
            <w:vAlign w:val="center"/>
          </w:tcPr>
          <w:p w14:paraId="2D7281E6" w14:textId="783C0F31" w:rsidR="00C972CB" w:rsidRDefault="002457F6">
            <w:pPr>
              <w:pStyle w:val="P68B1DB1-Normal11"/>
              <w:spacing w:after="120"/>
              <w:jc w:val="center"/>
              <w:rPr>
                <w:noProof/>
              </w:rPr>
            </w:pPr>
            <w:r>
              <w:rPr>
                <w:noProof/>
              </w:rPr>
              <w:t>M7–11</w:t>
            </w:r>
          </w:p>
        </w:tc>
        <w:tc>
          <w:tcPr>
            <w:tcW w:w="1559" w:type="dxa"/>
            <w:shd w:val="clear" w:color="auto" w:fill="C6EFCE"/>
            <w:noWrap/>
            <w:vAlign w:val="center"/>
          </w:tcPr>
          <w:p w14:paraId="1CEE215C" w14:textId="599CB525" w:rsidR="00C972CB" w:rsidRDefault="002457F6">
            <w:pPr>
              <w:pStyle w:val="P68B1DB1-Normal11"/>
              <w:spacing w:after="120"/>
              <w:jc w:val="center"/>
              <w:rPr>
                <w:noProof/>
              </w:rPr>
            </w:pPr>
            <w:r>
              <w:rPr>
                <w:noProof/>
              </w:rPr>
              <w:t>Ieguldījums: Izvēršanas pasākums: Viedo tīklu stiprināšana</w:t>
            </w:r>
          </w:p>
        </w:tc>
        <w:tc>
          <w:tcPr>
            <w:tcW w:w="1134" w:type="dxa"/>
            <w:shd w:val="clear" w:color="auto" w:fill="C6EFCE"/>
            <w:noWrap/>
            <w:vAlign w:val="center"/>
          </w:tcPr>
          <w:p w14:paraId="768297DE" w14:textId="316C44BD" w:rsidR="00C972CB" w:rsidRDefault="002457F6">
            <w:pPr>
              <w:pStyle w:val="P68B1DB1-Normal11"/>
              <w:spacing w:after="120"/>
              <w:jc w:val="center"/>
              <w:rPr>
                <w:noProof/>
              </w:rPr>
            </w:pPr>
            <w:r>
              <w:rPr>
                <w:noProof/>
              </w:rPr>
              <w:t>Mērķa</w:t>
            </w:r>
          </w:p>
        </w:tc>
        <w:tc>
          <w:tcPr>
            <w:tcW w:w="1418" w:type="dxa"/>
            <w:shd w:val="clear" w:color="auto" w:fill="C6EFCE"/>
            <w:noWrap/>
            <w:vAlign w:val="center"/>
          </w:tcPr>
          <w:p w14:paraId="0B090A80" w14:textId="2195E5BF" w:rsidR="00C972CB" w:rsidRDefault="002457F6">
            <w:pPr>
              <w:pStyle w:val="P68B1DB1-Normal11"/>
              <w:spacing w:after="120"/>
              <w:jc w:val="center"/>
              <w:rPr>
                <w:noProof/>
              </w:rPr>
            </w:pPr>
            <w:r>
              <w:rPr>
                <w:noProof/>
              </w:rPr>
              <w:t>Viedtīkli — enerģijas patēriņa elektrifikācija</w:t>
            </w:r>
          </w:p>
        </w:tc>
        <w:tc>
          <w:tcPr>
            <w:tcW w:w="1984" w:type="dxa"/>
            <w:shd w:val="clear" w:color="auto" w:fill="C6EFCE"/>
            <w:noWrap/>
            <w:vAlign w:val="center"/>
          </w:tcPr>
          <w:p w14:paraId="74E484DF" w14:textId="77777777"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7DCA5DF0" w14:textId="0E9B971F" w:rsidR="00C972CB" w:rsidRDefault="002457F6">
            <w:pPr>
              <w:pStyle w:val="P68B1DB1-Normal11"/>
              <w:spacing w:after="120"/>
              <w:jc w:val="center"/>
              <w:rPr>
                <w:noProof/>
              </w:rPr>
            </w:pPr>
            <w:r>
              <w:rPr>
                <w:noProof/>
              </w:rPr>
              <w:t>Skaits</w:t>
            </w:r>
          </w:p>
        </w:tc>
        <w:tc>
          <w:tcPr>
            <w:tcW w:w="993" w:type="dxa"/>
            <w:shd w:val="clear" w:color="auto" w:fill="C6EFCE"/>
            <w:noWrap/>
            <w:vAlign w:val="center"/>
          </w:tcPr>
          <w:p w14:paraId="5782B500" w14:textId="020145B9" w:rsidR="00C972CB" w:rsidRDefault="002457F6">
            <w:pPr>
              <w:pStyle w:val="P68B1DB1-Normal11"/>
              <w:spacing w:after="120"/>
              <w:jc w:val="center"/>
              <w:rPr>
                <w:noProof/>
              </w:rPr>
            </w:pPr>
            <w:r>
              <w:rPr>
                <w:noProof/>
              </w:rPr>
              <w:t>1 500 000</w:t>
            </w:r>
          </w:p>
        </w:tc>
        <w:tc>
          <w:tcPr>
            <w:tcW w:w="992" w:type="dxa"/>
            <w:shd w:val="clear" w:color="auto" w:fill="C6EFCE"/>
            <w:noWrap/>
            <w:vAlign w:val="center"/>
          </w:tcPr>
          <w:p w14:paraId="4C66A1BB" w14:textId="014E9A30" w:rsidR="00C972CB" w:rsidRDefault="002457F6">
            <w:pPr>
              <w:pStyle w:val="P68B1DB1-Normal11"/>
              <w:spacing w:after="120"/>
              <w:jc w:val="center"/>
              <w:rPr>
                <w:noProof/>
              </w:rPr>
            </w:pPr>
            <w:r>
              <w:rPr>
                <w:noProof/>
              </w:rPr>
              <w:t>1 730 000</w:t>
            </w:r>
          </w:p>
        </w:tc>
        <w:tc>
          <w:tcPr>
            <w:tcW w:w="992" w:type="dxa"/>
            <w:shd w:val="clear" w:color="auto" w:fill="C6EFCE"/>
            <w:noWrap/>
            <w:vAlign w:val="center"/>
          </w:tcPr>
          <w:p w14:paraId="18576FE2" w14:textId="78FEFB07" w:rsidR="00C972CB" w:rsidRDefault="002457F6">
            <w:pPr>
              <w:pStyle w:val="P68B1DB1-Normal11"/>
              <w:spacing w:after="120"/>
              <w:jc w:val="center"/>
              <w:rPr>
                <w:noProof/>
              </w:rPr>
            </w:pPr>
            <w:r>
              <w:rPr>
                <w:noProof/>
              </w:rPr>
              <w:t>2.</w:t>
            </w:r>
            <w:r>
              <w:rPr>
                <w:noProof/>
              </w:rPr>
              <w:t xml:space="preserve"> CET.</w:t>
            </w:r>
          </w:p>
        </w:tc>
        <w:tc>
          <w:tcPr>
            <w:tcW w:w="709" w:type="dxa"/>
            <w:shd w:val="clear" w:color="auto" w:fill="C6EFCE"/>
            <w:noWrap/>
            <w:vAlign w:val="center"/>
          </w:tcPr>
          <w:p w14:paraId="6D6BE89F" w14:textId="68F12DF2"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5FC80C74" w14:textId="79B417C9" w:rsidR="00C972CB" w:rsidRDefault="002457F6">
            <w:pPr>
              <w:pStyle w:val="P68B1DB1-Normal11"/>
              <w:spacing w:after="120"/>
              <w:rPr>
                <w:noProof/>
                <w:color w:val="FF0000"/>
              </w:rPr>
            </w:pPr>
            <w:r>
              <w:rPr>
                <w:noProof/>
              </w:rPr>
              <w:t>Enerģijas patēriņa elektrifikācija, kas sasniedz vismaz 1730000 iedzīvotāju.</w:t>
            </w:r>
          </w:p>
        </w:tc>
      </w:tr>
      <w:tr w:rsidR="00C972CB" w14:paraId="6A2B6F4C" w14:textId="77777777">
        <w:trPr>
          <w:trHeight w:val="309"/>
        </w:trPr>
        <w:tc>
          <w:tcPr>
            <w:tcW w:w="1185" w:type="dxa"/>
            <w:shd w:val="clear" w:color="auto" w:fill="C6EFCE"/>
            <w:noWrap/>
            <w:vAlign w:val="center"/>
          </w:tcPr>
          <w:p w14:paraId="49BDE9F4" w14:textId="71E80DF2" w:rsidR="00C972CB" w:rsidRDefault="002457F6">
            <w:pPr>
              <w:pStyle w:val="P68B1DB1-Normal11"/>
              <w:spacing w:after="120"/>
              <w:jc w:val="center"/>
              <w:rPr>
                <w:noProof/>
              </w:rPr>
            </w:pPr>
            <w:r>
              <w:rPr>
                <w:noProof/>
              </w:rPr>
              <w:t>M7–12</w:t>
            </w:r>
          </w:p>
        </w:tc>
        <w:tc>
          <w:tcPr>
            <w:tcW w:w="1559" w:type="dxa"/>
            <w:shd w:val="clear" w:color="auto" w:fill="C6EFCE"/>
            <w:noWrap/>
            <w:vAlign w:val="center"/>
          </w:tcPr>
          <w:p w14:paraId="15C51D32" w14:textId="4369D599" w:rsidR="00C972CB" w:rsidRDefault="002457F6">
            <w:pPr>
              <w:pStyle w:val="P68B1DB1-Normal11"/>
              <w:spacing w:after="120"/>
              <w:jc w:val="center"/>
              <w:rPr>
                <w:noProof/>
              </w:rPr>
            </w:pPr>
            <w:r>
              <w:rPr>
                <w:noProof/>
              </w:rPr>
              <w:t>Ieguldījums Nr. 2: Izvēršanas pasākums: Pasākumi elektrotīkla noturības palielināšanai</w:t>
            </w:r>
          </w:p>
        </w:tc>
        <w:tc>
          <w:tcPr>
            <w:tcW w:w="1134" w:type="dxa"/>
            <w:shd w:val="clear" w:color="auto" w:fill="C6EFCE"/>
            <w:noWrap/>
            <w:vAlign w:val="center"/>
          </w:tcPr>
          <w:p w14:paraId="45FDBBB0" w14:textId="78FA3048" w:rsidR="00C972CB" w:rsidRDefault="002457F6">
            <w:pPr>
              <w:pStyle w:val="P68B1DB1-Normal11"/>
              <w:spacing w:after="120"/>
              <w:jc w:val="center"/>
              <w:rPr>
                <w:noProof/>
              </w:rPr>
            </w:pPr>
            <w:r>
              <w:rPr>
                <w:noProof/>
              </w:rPr>
              <w:t>Mērķa</w:t>
            </w:r>
          </w:p>
        </w:tc>
        <w:tc>
          <w:tcPr>
            <w:tcW w:w="1418" w:type="dxa"/>
            <w:shd w:val="clear" w:color="auto" w:fill="C6EFCE"/>
            <w:noWrap/>
            <w:vAlign w:val="center"/>
          </w:tcPr>
          <w:p w14:paraId="32163571" w14:textId="311B4347" w:rsidR="00C972CB" w:rsidRDefault="002457F6">
            <w:pPr>
              <w:pStyle w:val="P68B1DB1-Normal11"/>
              <w:spacing w:after="120"/>
              <w:jc w:val="center"/>
              <w:rPr>
                <w:noProof/>
              </w:rPr>
            </w:pPr>
            <w:r>
              <w:rPr>
                <w:noProof/>
              </w:rPr>
              <w:t>Palielināt elektroenerģijas sistēmas tīkla noturību</w:t>
            </w:r>
          </w:p>
        </w:tc>
        <w:tc>
          <w:tcPr>
            <w:tcW w:w="1984" w:type="dxa"/>
            <w:shd w:val="clear" w:color="auto" w:fill="C6EFCE"/>
            <w:noWrap/>
            <w:vAlign w:val="center"/>
          </w:tcPr>
          <w:p w14:paraId="190CF61D" w14:textId="77777777"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214A63A5" w14:textId="7DF0BDDA" w:rsidR="00C972CB" w:rsidRDefault="002457F6">
            <w:pPr>
              <w:pStyle w:val="P68B1DB1-Normal11"/>
              <w:spacing w:after="120"/>
              <w:jc w:val="center"/>
              <w:rPr>
                <w:noProof/>
              </w:rPr>
            </w:pPr>
            <w:r>
              <w:rPr>
                <w:noProof/>
              </w:rPr>
              <w:t>Skaits</w:t>
            </w:r>
          </w:p>
        </w:tc>
        <w:tc>
          <w:tcPr>
            <w:tcW w:w="993" w:type="dxa"/>
            <w:shd w:val="clear" w:color="auto" w:fill="C6EFCE"/>
            <w:noWrap/>
            <w:vAlign w:val="center"/>
          </w:tcPr>
          <w:p w14:paraId="3DDD71C1" w14:textId="17B043D7" w:rsidR="00C972CB" w:rsidRDefault="002457F6">
            <w:pPr>
              <w:pStyle w:val="P68B1DB1-Normal11"/>
              <w:spacing w:after="120"/>
              <w:jc w:val="center"/>
              <w:rPr>
                <w:noProof/>
              </w:rPr>
            </w:pPr>
            <w:r>
              <w:rPr>
                <w:noProof/>
              </w:rPr>
              <w:t>4 000</w:t>
            </w:r>
          </w:p>
        </w:tc>
        <w:tc>
          <w:tcPr>
            <w:tcW w:w="992" w:type="dxa"/>
            <w:shd w:val="clear" w:color="auto" w:fill="C6EFCE"/>
            <w:noWrap/>
            <w:vAlign w:val="center"/>
          </w:tcPr>
          <w:p w14:paraId="7361D785" w14:textId="405A4DC1" w:rsidR="00C972CB" w:rsidRDefault="002457F6">
            <w:pPr>
              <w:pStyle w:val="P68B1DB1-Normal11"/>
              <w:spacing w:after="120"/>
              <w:jc w:val="center"/>
              <w:rPr>
                <w:noProof/>
              </w:rPr>
            </w:pPr>
            <w:r>
              <w:rPr>
                <w:noProof/>
              </w:rPr>
              <w:t>4 648</w:t>
            </w:r>
          </w:p>
        </w:tc>
        <w:tc>
          <w:tcPr>
            <w:tcW w:w="992" w:type="dxa"/>
            <w:shd w:val="clear" w:color="auto" w:fill="C6EFCE"/>
            <w:noWrap/>
            <w:vAlign w:val="center"/>
          </w:tcPr>
          <w:p w14:paraId="0B96046D" w14:textId="60EC74DD"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15348DDC" w14:textId="6A4C288F"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1C32F69C" w14:textId="69AB7D63" w:rsidR="00C972CB" w:rsidRDefault="002457F6">
            <w:pPr>
              <w:pStyle w:val="P68B1DB1-Normal11"/>
              <w:spacing w:after="120"/>
              <w:rPr>
                <w:noProof/>
                <w:color w:val="FF0000"/>
              </w:rPr>
            </w:pPr>
            <w:r>
              <w:rPr>
                <w:noProof/>
              </w:rPr>
              <w:t>Palielināt elektroenerģijas sistēmas tīkla noturību vismaz par 4 648 km.</w:t>
            </w:r>
          </w:p>
        </w:tc>
      </w:tr>
      <w:tr w:rsidR="00C972CB" w14:paraId="5937F440" w14:textId="77777777">
        <w:trPr>
          <w:trHeight w:val="309"/>
        </w:trPr>
        <w:tc>
          <w:tcPr>
            <w:tcW w:w="1185" w:type="dxa"/>
            <w:shd w:val="clear" w:color="auto" w:fill="C6EFCE"/>
            <w:noWrap/>
            <w:vAlign w:val="center"/>
          </w:tcPr>
          <w:p w14:paraId="31CEF176" w14:textId="76C3FF7A" w:rsidR="00C972CB" w:rsidRDefault="002457F6">
            <w:pPr>
              <w:pStyle w:val="P68B1DB1-Normal11"/>
              <w:spacing w:after="120"/>
              <w:jc w:val="center"/>
              <w:rPr>
                <w:noProof/>
              </w:rPr>
            </w:pPr>
            <w:r>
              <w:rPr>
                <w:noProof/>
              </w:rPr>
              <w:t>M7–13</w:t>
            </w:r>
          </w:p>
        </w:tc>
        <w:tc>
          <w:tcPr>
            <w:tcW w:w="1559" w:type="dxa"/>
            <w:shd w:val="clear" w:color="auto" w:fill="C6EFCE"/>
            <w:noWrap/>
            <w:vAlign w:val="center"/>
          </w:tcPr>
          <w:p w14:paraId="6B11FF73" w14:textId="40A6986D" w:rsidR="00C972CB" w:rsidRDefault="002457F6">
            <w:pPr>
              <w:pStyle w:val="P68B1DB1-Normal11"/>
              <w:spacing w:after="120"/>
              <w:jc w:val="center"/>
              <w:rPr>
                <w:noProof/>
              </w:rPr>
            </w:pPr>
            <w:r>
              <w:rPr>
                <w:noProof/>
              </w:rPr>
              <w:t>Ieguldījums 3: Izvēršanas pasākums: Ūdeņraža ražošana degradētās teritorijās (Ūdeņraža ielejās)</w:t>
            </w:r>
          </w:p>
        </w:tc>
        <w:tc>
          <w:tcPr>
            <w:tcW w:w="1134" w:type="dxa"/>
            <w:shd w:val="clear" w:color="auto" w:fill="C6EFCE"/>
            <w:noWrap/>
            <w:vAlign w:val="center"/>
          </w:tcPr>
          <w:p w14:paraId="2C81D8D6" w14:textId="5A88E119" w:rsidR="00C972CB" w:rsidRDefault="002457F6">
            <w:pPr>
              <w:pStyle w:val="P68B1DB1-Normal11"/>
              <w:spacing w:after="120"/>
              <w:jc w:val="center"/>
              <w:rPr>
                <w:noProof/>
              </w:rPr>
            </w:pPr>
            <w:r>
              <w:rPr>
                <w:noProof/>
              </w:rPr>
              <w:t>Mērķa</w:t>
            </w:r>
          </w:p>
        </w:tc>
        <w:tc>
          <w:tcPr>
            <w:tcW w:w="1418" w:type="dxa"/>
            <w:shd w:val="clear" w:color="auto" w:fill="C6EFCE"/>
            <w:noWrap/>
            <w:vAlign w:val="center"/>
          </w:tcPr>
          <w:p w14:paraId="0C685F8A" w14:textId="50306103" w:rsidR="00C972CB" w:rsidRDefault="002457F6">
            <w:pPr>
              <w:pStyle w:val="P68B1DB1-Normal11"/>
              <w:spacing w:after="120"/>
              <w:jc w:val="center"/>
              <w:rPr>
                <w:noProof/>
              </w:rPr>
            </w:pPr>
            <w:r>
              <w:rPr>
                <w:noProof/>
              </w:rPr>
              <w:t xml:space="preserve">Ūdeņraža ražošanas projektu pabeigšana rūpniecības </w:t>
            </w:r>
            <w:r>
              <w:rPr>
                <w:noProof/>
              </w:rPr>
              <w:t>apgabalos</w:t>
            </w:r>
          </w:p>
        </w:tc>
        <w:tc>
          <w:tcPr>
            <w:tcW w:w="1984" w:type="dxa"/>
            <w:shd w:val="clear" w:color="auto" w:fill="C6EFCE"/>
            <w:noWrap/>
            <w:vAlign w:val="center"/>
          </w:tcPr>
          <w:p w14:paraId="1B25E3C9" w14:textId="77777777"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17A067C5" w14:textId="6B067D44" w:rsidR="00C972CB" w:rsidRDefault="002457F6">
            <w:pPr>
              <w:pStyle w:val="P68B1DB1-Normal11"/>
              <w:spacing w:after="120"/>
              <w:jc w:val="center"/>
              <w:rPr>
                <w:noProof/>
              </w:rPr>
            </w:pPr>
            <w:r>
              <w:rPr>
                <w:noProof/>
              </w:rPr>
              <w:t>Skaits</w:t>
            </w:r>
          </w:p>
        </w:tc>
        <w:tc>
          <w:tcPr>
            <w:tcW w:w="993" w:type="dxa"/>
            <w:shd w:val="clear" w:color="auto" w:fill="C6EFCE"/>
            <w:noWrap/>
            <w:vAlign w:val="center"/>
          </w:tcPr>
          <w:p w14:paraId="7FB9AA8F" w14:textId="730076FC" w:rsidR="00C972CB" w:rsidRDefault="002457F6">
            <w:pPr>
              <w:pStyle w:val="P68B1DB1-Normal11"/>
              <w:spacing w:after="120"/>
              <w:jc w:val="center"/>
              <w:rPr>
                <w:noProof/>
              </w:rPr>
            </w:pPr>
            <w:r>
              <w:rPr>
                <w:noProof/>
              </w:rPr>
              <w:t>10</w:t>
            </w:r>
          </w:p>
        </w:tc>
        <w:tc>
          <w:tcPr>
            <w:tcW w:w="992" w:type="dxa"/>
            <w:shd w:val="clear" w:color="auto" w:fill="C6EFCE"/>
            <w:noWrap/>
            <w:vAlign w:val="center"/>
          </w:tcPr>
          <w:p w14:paraId="10D1206B" w14:textId="73E1A74B" w:rsidR="00C972CB" w:rsidRDefault="002457F6">
            <w:pPr>
              <w:pStyle w:val="P68B1DB1-Normal11"/>
              <w:spacing w:after="120"/>
              <w:jc w:val="center"/>
              <w:rPr>
                <w:noProof/>
              </w:rPr>
            </w:pPr>
            <w:r>
              <w:rPr>
                <w:noProof/>
              </w:rPr>
              <w:t>12</w:t>
            </w:r>
          </w:p>
        </w:tc>
        <w:tc>
          <w:tcPr>
            <w:tcW w:w="992" w:type="dxa"/>
            <w:shd w:val="clear" w:color="auto" w:fill="C6EFCE"/>
            <w:noWrap/>
            <w:vAlign w:val="center"/>
          </w:tcPr>
          <w:p w14:paraId="41D57513" w14:textId="32DBCAEE"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34F92954" w14:textId="3504C87B"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55B343AC" w14:textId="0B68BBEA" w:rsidR="00C972CB" w:rsidRDefault="002457F6">
            <w:pPr>
              <w:pStyle w:val="P68B1DB1-Normal11"/>
              <w:spacing w:after="120"/>
              <w:rPr>
                <w:noProof/>
              </w:rPr>
            </w:pPr>
            <w:r>
              <w:rPr>
                <w:noProof/>
              </w:rPr>
              <w:t xml:space="preserve">Pabeidz vismaz 12 ūdeņraža ražošanas projektus pamestos rūpnieciskos apgabalos ar vidējo jaudu vismaz 1–5 MW katrā. </w:t>
            </w:r>
          </w:p>
        </w:tc>
      </w:tr>
      <w:tr w:rsidR="00C972CB" w14:paraId="377B4079" w14:textId="77777777">
        <w:trPr>
          <w:trHeight w:val="309"/>
        </w:trPr>
        <w:tc>
          <w:tcPr>
            <w:tcW w:w="1185" w:type="dxa"/>
            <w:shd w:val="clear" w:color="auto" w:fill="C6EFCE"/>
            <w:noWrap/>
            <w:vAlign w:val="center"/>
          </w:tcPr>
          <w:p w14:paraId="5CA05D38" w14:textId="72D4DA23" w:rsidR="00C972CB" w:rsidRDefault="002457F6">
            <w:pPr>
              <w:pStyle w:val="P68B1DB1-Normal11"/>
              <w:spacing w:after="120"/>
              <w:jc w:val="center"/>
              <w:rPr>
                <w:noProof/>
              </w:rPr>
            </w:pPr>
            <w:r>
              <w:rPr>
                <w:noProof/>
              </w:rPr>
              <w:t>M7–14</w:t>
            </w:r>
          </w:p>
        </w:tc>
        <w:tc>
          <w:tcPr>
            <w:tcW w:w="1559" w:type="dxa"/>
            <w:shd w:val="clear" w:color="auto" w:fill="C6EFCE"/>
            <w:noWrap/>
            <w:vAlign w:val="center"/>
          </w:tcPr>
          <w:p w14:paraId="0F252229" w14:textId="273DE3BA" w:rsidR="00C972CB" w:rsidRDefault="002457F6">
            <w:pPr>
              <w:pStyle w:val="P68B1DB1-Normal11"/>
              <w:spacing w:after="120"/>
              <w:jc w:val="center"/>
              <w:rPr>
                <w:noProof/>
              </w:rPr>
            </w:pPr>
            <w:r>
              <w:rPr>
                <w:noProof/>
              </w:rPr>
              <w:t>Ieguldījums Nr. 4: Tirēnu savienojums</w:t>
            </w:r>
          </w:p>
        </w:tc>
        <w:tc>
          <w:tcPr>
            <w:tcW w:w="1134" w:type="dxa"/>
            <w:shd w:val="clear" w:color="auto" w:fill="C6EFCE"/>
            <w:noWrap/>
            <w:vAlign w:val="center"/>
          </w:tcPr>
          <w:p w14:paraId="1E9C3931" w14:textId="5CA4E33F"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6A4ACC6A" w14:textId="004702E4" w:rsidR="00C972CB" w:rsidRDefault="002457F6">
            <w:pPr>
              <w:pStyle w:val="P68B1DB1-Normal11"/>
              <w:spacing w:after="120"/>
              <w:jc w:val="center"/>
              <w:rPr>
                <w:noProof/>
              </w:rPr>
            </w:pPr>
            <w:r>
              <w:rPr>
                <w:noProof/>
              </w:rPr>
              <w:t>Līgumu piešķiršana</w:t>
            </w:r>
          </w:p>
        </w:tc>
        <w:tc>
          <w:tcPr>
            <w:tcW w:w="1984" w:type="dxa"/>
            <w:shd w:val="clear" w:color="auto" w:fill="C6EFCE"/>
            <w:noWrap/>
            <w:vAlign w:val="center"/>
          </w:tcPr>
          <w:p w14:paraId="5290E083" w14:textId="03C7EF91" w:rsidR="00C972CB" w:rsidRDefault="002457F6">
            <w:pPr>
              <w:pStyle w:val="P68B1DB1-Normal11"/>
              <w:spacing w:after="120"/>
              <w:jc w:val="center"/>
              <w:rPr>
                <w:noProof/>
              </w:rPr>
            </w:pPr>
            <w:r>
              <w:rPr>
                <w:noProof/>
              </w:rPr>
              <w:t xml:space="preserve">Paziņojums par </w:t>
            </w:r>
            <w:r>
              <w:rPr>
                <w:noProof/>
              </w:rPr>
              <w:t>līgumu slēgšanas tiesību piešķiršanu</w:t>
            </w:r>
          </w:p>
        </w:tc>
        <w:tc>
          <w:tcPr>
            <w:tcW w:w="1134" w:type="dxa"/>
            <w:shd w:val="clear" w:color="auto" w:fill="C6EFCE"/>
            <w:noWrap/>
            <w:vAlign w:val="center"/>
          </w:tcPr>
          <w:p w14:paraId="1B01F1E9" w14:textId="77777777"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34AA35D6"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00E02372"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31BC7194" w14:textId="15BCB8BB" w:rsidR="00C972CB" w:rsidRDefault="002457F6">
            <w:pPr>
              <w:pStyle w:val="P68B1DB1-Normal11"/>
              <w:spacing w:after="120"/>
              <w:jc w:val="center"/>
              <w:rPr>
                <w:noProof/>
              </w:rPr>
            </w:pPr>
            <w:r>
              <w:rPr>
                <w:noProof/>
              </w:rPr>
              <w:t>3. CET.</w:t>
            </w:r>
          </w:p>
        </w:tc>
        <w:tc>
          <w:tcPr>
            <w:tcW w:w="709" w:type="dxa"/>
            <w:shd w:val="clear" w:color="auto" w:fill="C6EFCE"/>
            <w:noWrap/>
            <w:vAlign w:val="center"/>
          </w:tcPr>
          <w:p w14:paraId="255E1834" w14:textId="308D8463" w:rsidR="00C972CB" w:rsidRDefault="002457F6">
            <w:pPr>
              <w:pStyle w:val="P68B1DB1-Normal11"/>
              <w:spacing w:after="120"/>
              <w:jc w:val="center"/>
              <w:rPr>
                <w:noProof/>
              </w:rPr>
            </w:pPr>
            <w:r>
              <w:rPr>
                <w:noProof/>
              </w:rPr>
              <w:t>2024</w:t>
            </w:r>
          </w:p>
        </w:tc>
        <w:tc>
          <w:tcPr>
            <w:tcW w:w="3261" w:type="dxa"/>
            <w:shd w:val="clear" w:color="auto" w:fill="C6EFCE"/>
            <w:noWrap/>
            <w:vAlign w:val="center"/>
          </w:tcPr>
          <w:p w14:paraId="25D35547" w14:textId="24ACCD7A" w:rsidR="00C972CB" w:rsidRDefault="002457F6">
            <w:pPr>
              <w:pStyle w:val="P68B1DB1-Normal11"/>
              <w:spacing w:after="120"/>
              <w:rPr>
                <w:noProof/>
              </w:rPr>
            </w:pPr>
            <w:r>
              <w:rPr>
                <w:noProof/>
              </w:rPr>
              <w:t>Paziņojums par visu līgumu slēgšanas tiesību piešķiršanu būvdarbiem, kas vajadzīgi, lai ierīkotu kabeļus 514 km garumā, kas savieno Caracoli ar Eboli.</w:t>
            </w:r>
          </w:p>
        </w:tc>
      </w:tr>
      <w:tr w:rsidR="00C972CB" w14:paraId="441A8BE6" w14:textId="77777777">
        <w:trPr>
          <w:trHeight w:val="309"/>
        </w:trPr>
        <w:tc>
          <w:tcPr>
            <w:tcW w:w="1185" w:type="dxa"/>
            <w:shd w:val="clear" w:color="auto" w:fill="C6EFCE"/>
            <w:noWrap/>
            <w:vAlign w:val="center"/>
          </w:tcPr>
          <w:p w14:paraId="1985C15C" w14:textId="5727D76A" w:rsidR="00C972CB" w:rsidRDefault="002457F6">
            <w:pPr>
              <w:pStyle w:val="P68B1DB1-Normal11"/>
              <w:spacing w:after="120"/>
              <w:jc w:val="center"/>
              <w:rPr>
                <w:noProof/>
              </w:rPr>
            </w:pPr>
            <w:r>
              <w:rPr>
                <w:noProof/>
              </w:rPr>
              <w:t>M7–15</w:t>
            </w:r>
          </w:p>
        </w:tc>
        <w:tc>
          <w:tcPr>
            <w:tcW w:w="1559" w:type="dxa"/>
            <w:shd w:val="clear" w:color="auto" w:fill="C6EFCE"/>
            <w:noWrap/>
            <w:vAlign w:val="center"/>
          </w:tcPr>
          <w:p w14:paraId="3B57A9A3" w14:textId="619D3D0A" w:rsidR="00C972CB" w:rsidRDefault="002457F6">
            <w:pPr>
              <w:pStyle w:val="P68B1DB1-Normal11"/>
              <w:spacing w:after="120"/>
              <w:jc w:val="center"/>
              <w:rPr>
                <w:noProof/>
              </w:rPr>
            </w:pPr>
            <w:r>
              <w:rPr>
                <w:noProof/>
              </w:rPr>
              <w:t>Ieguldījums Nr. 4: Tirēnu savienojums</w:t>
            </w:r>
          </w:p>
        </w:tc>
        <w:tc>
          <w:tcPr>
            <w:tcW w:w="1134" w:type="dxa"/>
            <w:shd w:val="clear" w:color="auto" w:fill="C6EFCE"/>
            <w:noWrap/>
            <w:vAlign w:val="center"/>
          </w:tcPr>
          <w:p w14:paraId="2D139A13" w14:textId="46ED216C" w:rsidR="00C972CB" w:rsidRDefault="002457F6">
            <w:pPr>
              <w:pStyle w:val="P68B1DB1-Normal11"/>
              <w:spacing w:after="120"/>
              <w:jc w:val="center"/>
              <w:rPr>
                <w:noProof/>
              </w:rPr>
            </w:pPr>
            <w:r>
              <w:rPr>
                <w:noProof/>
              </w:rPr>
              <w:t>Mērķa</w:t>
            </w:r>
          </w:p>
        </w:tc>
        <w:tc>
          <w:tcPr>
            <w:tcW w:w="1418" w:type="dxa"/>
            <w:shd w:val="clear" w:color="auto" w:fill="C6EFCE"/>
            <w:noWrap/>
            <w:vAlign w:val="center"/>
          </w:tcPr>
          <w:p w14:paraId="640A85CB" w14:textId="360B658D" w:rsidR="00C972CB" w:rsidRDefault="002457F6">
            <w:pPr>
              <w:pStyle w:val="P68B1DB1-Normal11"/>
              <w:spacing w:after="120"/>
              <w:jc w:val="center"/>
              <w:rPr>
                <w:noProof/>
              </w:rPr>
            </w:pPr>
            <w:r>
              <w:rPr>
                <w:noProof/>
              </w:rPr>
              <w:t>Uzstādīts 514 km kabelis</w:t>
            </w:r>
          </w:p>
        </w:tc>
        <w:tc>
          <w:tcPr>
            <w:tcW w:w="1984" w:type="dxa"/>
            <w:shd w:val="clear" w:color="auto" w:fill="C6EFCE"/>
            <w:noWrap/>
            <w:vAlign w:val="center"/>
          </w:tcPr>
          <w:p w14:paraId="02BBB41C" w14:textId="1DF8059B"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75F95735" w14:textId="52A7229C" w:rsidR="00C972CB" w:rsidRDefault="002457F6">
            <w:pPr>
              <w:pStyle w:val="P68B1DB1-Normal11"/>
              <w:spacing w:after="120"/>
              <w:jc w:val="center"/>
              <w:rPr>
                <w:noProof/>
              </w:rPr>
            </w:pPr>
            <w:r>
              <w:rPr>
                <w:noProof/>
              </w:rPr>
              <w:t>Km</w:t>
            </w:r>
          </w:p>
        </w:tc>
        <w:tc>
          <w:tcPr>
            <w:tcW w:w="993" w:type="dxa"/>
            <w:shd w:val="clear" w:color="auto" w:fill="C6EFCE"/>
            <w:noWrap/>
            <w:vAlign w:val="center"/>
          </w:tcPr>
          <w:p w14:paraId="79937F91" w14:textId="61FE6467" w:rsidR="00C972CB" w:rsidRDefault="002457F6">
            <w:pPr>
              <w:pStyle w:val="P68B1DB1-Normal11"/>
              <w:spacing w:after="120"/>
              <w:jc w:val="center"/>
              <w:rPr>
                <w:noProof/>
              </w:rPr>
            </w:pPr>
            <w:r>
              <w:rPr>
                <w:noProof/>
              </w:rPr>
              <w:t>0</w:t>
            </w:r>
          </w:p>
        </w:tc>
        <w:tc>
          <w:tcPr>
            <w:tcW w:w="992" w:type="dxa"/>
            <w:shd w:val="clear" w:color="auto" w:fill="C6EFCE"/>
            <w:noWrap/>
            <w:vAlign w:val="center"/>
          </w:tcPr>
          <w:p w14:paraId="2A91E36D" w14:textId="7133D8AF" w:rsidR="00C972CB" w:rsidRDefault="002457F6">
            <w:pPr>
              <w:pStyle w:val="P68B1DB1-Normal11"/>
              <w:spacing w:after="120"/>
              <w:jc w:val="center"/>
              <w:rPr>
                <w:noProof/>
              </w:rPr>
            </w:pPr>
            <w:r>
              <w:rPr>
                <w:noProof/>
              </w:rPr>
              <w:t>514</w:t>
            </w:r>
          </w:p>
        </w:tc>
        <w:tc>
          <w:tcPr>
            <w:tcW w:w="992" w:type="dxa"/>
            <w:shd w:val="clear" w:color="auto" w:fill="C6EFCE"/>
            <w:noWrap/>
            <w:vAlign w:val="center"/>
          </w:tcPr>
          <w:p w14:paraId="39CE88EA" w14:textId="1F5C4EFF"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43675B50" w14:textId="13372911"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6F26F1E3" w14:textId="0E108CCD" w:rsidR="00C972CB" w:rsidRDefault="002457F6">
            <w:pPr>
              <w:pStyle w:val="P68B1DB1-Normal11"/>
              <w:spacing w:after="120"/>
              <w:rPr>
                <w:noProof/>
              </w:rPr>
            </w:pPr>
            <w:r>
              <w:rPr>
                <w:noProof/>
              </w:rPr>
              <w:t>Uzstādīts 514 km kabelis, kas savieno Caracoli (Palermo) ar Eboli (Salerno) un nodrošina 500 MW jaudu.</w:t>
            </w:r>
          </w:p>
        </w:tc>
      </w:tr>
      <w:tr w:rsidR="00C972CB" w14:paraId="79E5721E" w14:textId="77777777">
        <w:trPr>
          <w:trHeight w:val="309"/>
        </w:trPr>
        <w:tc>
          <w:tcPr>
            <w:tcW w:w="1185" w:type="dxa"/>
            <w:shd w:val="clear" w:color="auto" w:fill="C6EFCE"/>
            <w:noWrap/>
            <w:vAlign w:val="center"/>
          </w:tcPr>
          <w:p w14:paraId="7D9E4564" w14:textId="1EF602AB" w:rsidR="00C972CB" w:rsidRDefault="002457F6">
            <w:pPr>
              <w:pStyle w:val="P68B1DB1-Normal11"/>
              <w:spacing w:after="120"/>
              <w:jc w:val="center"/>
              <w:rPr>
                <w:noProof/>
              </w:rPr>
            </w:pPr>
            <w:r>
              <w:rPr>
                <w:noProof/>
              </w:rPr>
              <w:t>M7–16</w:t>
            </w:r>
          </w:p>
        </w:tc>
        <w:tc>
          <w:tcPr>
            <w:tcW w:w="1559" w:type="dxa"/>
            <w:shd w:val="clear" w:color="auto" w:fill="C6EFCE"/>
            <w:noWrap/>
            <w:vAlign w:val="center"/>
          </w:tcPr>
          <w:p w14:paraId="3BD908CF" w14:textId="500316DE" w:rsidR="00C972CB" w:rsidRDefault="002457F6">
            <w:pPr>
              <w:pStyle w:val="P68B1DB1-Normal11"/>
              <w:spacing w:after="120"/>
              <w:jc w:val="center"/>
              <w:rPr>
                <w:noProof/>
              </w:rPr>
            </w:pPr>
            <w:r>
              <w:rPr>
                <w:noProof/>
              </w:rPr>
              <w:t>Ieguldījums Nr. 5: SA.CO.I.3</w:t>
            </w:r>
          </w:p>
        </w:tc>
        <w:tc>
          <w:tcPr>
            <w:tcW w:w="1134" w:type="dxa"/>
            <w:shd w:val="clear" w:color="auto" w:fill="C6EFCE"/>
            <w:noWrap/>
            <w:vAlign w:val="center"/>
          </w:tcPr>
          <w:p w14:paraId="1033D43B" w14:textId="48F8CD45"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2F61858B" w14:textId="366AD03D" w:rsidR="00C972CB" w:rsidRDefault="002457F6">
            <w:pPr>
              <w:pStyle w:val="P68B1DB1-Normal11"/>
              <w:spacing w:after="120"/>
              <w:jc w:val="center"/>
              <w:rPr>
                <w:noProof/>
              </w:rPr>
            </w:pPr>
            <w:r>
              <w:rPr>
                <w:noProof/>
              </w:rPr>
              <w:t>Līgumu piešķiršana</w:t>
            </w:r>
          </w:p>
        </w:tc>
        <w:tc>
          <w:tcPr>
            <w:tcW w:w="1984" w:type="dxa"/>
            <w:shd w:val="clear" w:color="auto" w:fill="C6EFCE"/>
            <w:noWrap/>
            <w:vAlign w:val="center"/>
          </w:tcPr>
          <w:p w14:paraId="4B4D027B" w14:textId="7F5E5DF3" w:rsidR="00C972CB" w:rsidRDefault="002457F6">
            <w:pPr>
              <w:pStyle w:val="P68B1DB1-Normal11"/>
              <w:spacing w:after="120"/>
              <w:jc w:val="center"/>
              <w:rPr>
                <w:noProof/>
              </w:rPr>
            </w:pPr>
            <w:r>
              <w:rPr>
                <w:noProof/>
              </w:rPr>
              <w:t xml:space="preserve">Paziņojums par līgumu slēgšanas </w:t>
            </w:r>
            <w:r>
              <w:rPr>
                <w:noProof/>
              </w:rPr>
              <w:t>tiesību piešķiršanu</w:t>
            </w:r>
          </w:p>
        </w:tc>
        <w:tc>
          <w:tcPr>
            <w:tcW w:w="1134" w:type="dxa"/>
            <w:shd w:val="clear" w:color="auto" w:fill="C6EFCE"/>
            <w:noWrap/>
            <w:vAlign w:val="center"/>
          </w:tcPr>
          <w:p w14:paraId="6465127B" w14:textId="354488AF" w:rsidR="00C972CB" w:rsidRDefault="00C972CB">
            <w:pPr>
              <w:spacing w:after="120"/>
              <w:jc w:val="center"/>
              <w:rPr>
                <w:rFonts w:ascii="Arial Narrow" w:hAnsi="Arial Narrow"/>
                <w:noProof/>
                <w:color w:val="FF0000"/>
                <w:sz w:val="20"/>
              </w:rPr>
            </w:pPr>
          </w:p>
        </w:tc>
        <w:tc>
          <w:tcPr>
            <w:tcW w:w="993" w:type="dxa"/>
            <w:shd w:val="clear" w:color="auto" w:fill="C6EFCE"/>
            <w:noWrap/>
            <w:vAlign w:val="center"/>
          </w:tcPr>
          <w:p w14:paraId="1482E4CF"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7C9090CB"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510FB368" w14:textId="080D9BC8" w:rsidR="00C972CB" w:rsidRDefault="002457F6">
            <w:pPr>
              <w:pStyle w:val="P68B1DB1-Normal11"/>
              <w:spacing w:after="120"/>
              <w:jc w:val="center"/>
              <w:rPr>
                <w:noProof/>
              </w:rPr>
            </w:pPr>
            <w:r>
              <w:rPr>
                <w:noProof/>
              </w:rPr>
              <w:t>4. CET.</w:t>
            </w:r>
          </w:p>
        </w:tc>
        <w:tc>
          <w:tcPr>
            <w:tcW w:w="709" w:type="dxa"/>
            <w:shd w:val="clear" w:color="auto" w:fill="C6EFCE"/>
            <w:noWrap/>
            <w:vAlign w:val="center"/>
          </w:tcPr>
          <w:p w14:paraId="626279C4" w14:textId="318B4C80" w:rsidR="00C972CB" w:rsidRDefault="002457F6">
            <w:pPr>
              <w:pStyle w:val="P68B1DB1-Normal11"/>
              <w:spacing w:after="120"/>
              <w:jc w:val="center"/>
              <w:rPr>
                <w:noProof/>
              </w:rPr>
            </w:pPr>
            <w:r>
              <w:rPr>
                <w:noProof/>
              </w:rPr>
              <w:t>2024</w:t>
            </w:r>
          </w:p>
        </w:tc>
        <w:tc>
          <w:tcPr>
            <w:tcW w:w="3261" w:type="dxa"/>
            <w:shd w:val="clear" w:color="auto" w:fill="C6EFCE"/>
            <w:noWrap/>
            <w:vAlign w:val="center"/>
          </w:tcPr>
          <w:p w14:paraId="76E63E00" w14:textId="40F2015F" w:rsidR="00C972CB" w:rsidRDefault="002457F6">
            <w:pPr>
              <w:pStyle w:val="P68B1DB1-Normal11"/>
              <w:spacing w:after="120"/>
              <w:rPr>
                <w:noProof/>
              </w:rPr>
            </w:pPr>
            <w:r>
              <w:rPr>
                <w:noProof/>
              </w:rPr>
              <w:t>Paziņojums par visu līgumu slēgšanas tiesību piešķiršanu attiecībā uz būvdarbiem, kas vajadzīgi Sardīnijas un Toskānas pārbūves staciju čaulu pabeigšanai.</w:t>
            </w:r>
          </w:p>
        </w:tc>
      </w:tr>
      <w:tr w:rsidR="00C972CB" w14:paraId="01E96E37" w14:textId="77777777">
        <w:trPr>
          <w:trHeight w:val="309"/>
        </w:trPr>
        <w:tc>
          <w:tcPr>
            <w:tcW w:w="1185" w:type="dxa"/>
            <w:shd w:val="clear" w:color="auto" w:fill="C6EFCE"/>
            <w:noWrap/>
            <w:vAlign w:val="center"/>
          </w:tcPr>
          <w:p w14:paraId="7C17D32E" w14:textId="4D2F6A91" w:rsidR="00C972CB" w:rsidRDefault="002457F6">
            <w:pPr>
              <w:pStyle w:val="P68B1DB1-Normal11"/>
              <w:spacing w:after="120"/>
              <w:jc w:val="center"/>
              <w:rPr>
                <w:noProof/>
              </w:rPr>
            </w:pPr>
            <w:r>
              <w:rPr>
                <w:noProof/>
              </w:rPr>
              <w:t>M7–17</w:t>
            </w:r>
          </w:p>
        </w:tc>
        <w:tc>
          <w:tcPr>
            <w:tcW w:w="1559" w:type="dxa"/>
            <w:shd w:val="clear" w:color="auto" w:fill="C6EFCE"/>
            <w:noWrap/>
            <w:vAlign w:val="center"/>
          </w:tcPr>
          <w:p w14:paraId="390D78F5" w14:textId="577773A6" w:rsidR="00C972CB" w:rsidRDefault="002457F6">
            <w:pPr>
              <w:pStyle w:val="P68B1DB1-Normal11"/>
              <w:spacing w:after="120"/>
              <w:jc w:val="center"/>
              <w:rPr>
                <w:noProof/>
              </w:rPr>
            </w:pPr>
            <w:r>
              <w:rPr>
                <w:noProof/>
              </w:rPr>
              <w:t>Ieguldījums Nr. 5: SA.CO.I.3</w:t>
            </w:r>
          </w:p>
        </w:tc>
        <w:tc>
          <w:tcPr>
            <w:tcW w:w="1134" w:type="dxa"/>
            <w:shd w:val="clear" w:color="auto" w:fill="C6EFCE"/>
            <w:noWrap/>
            <w:vAlign w:val="center"/>
          </w:tcPr>
          <w:p w14:paraId="54E6228C" w14:textId="1F8C516A"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1BC84302" w14:textId="730C86B6" w:rsidR="00C972CB" w:rsidRDefault="002457F6">
            <w:pPr>
              <w:pStyle w:val="P68B1DB1-Normal11"/>
              <w:spacing w:after="120"/>
              <w:jc w:val="center"/>
              <w:rPr>
                <w:noProof/>
              </w:rPr>
            </w:pPr>
            <w:r>
              <w:rPr>
                <w:noProof/>
              </w:rPr>
              <w:t xml:space="preserve">Pārbūves </w:t>
            </w:r>
            <w:r>
              <w:rPr>
                <w:noProof/>
              </w:rPr>
              <w:t>staciju čaumalu pabeigšana Sardīnijā (Codrongianos) un Toskānā (Suvereto)</w:t>
            </w:r>
          </w:p>
        </w:tc>
        <w:tc>
          <w:tcPr>
            <w:tcW w:w="1984" w:type="dxa"/>
            <w:shd w:val="clear" w:color="auto" w:fill="C6EFCE"/>
            <w:noWrap/>
            <w:vAlign w:val="center"/>
          </w:tcPr>
          <w:p w14:paraId="6CBF57A6" w14:textId="58925461" w:rsidR="00C972CB" w:rsidRDefault="002457F6">
            <w:pPr>
              <w:pStyle w:val="P68B1DB1-Normal11"/>
              <w:spacing w:after="120"/>
              <w:jc w:val="center"/>
              <w:rPr>
                <w:noProof/>
              </w:rPr>
            </w:pPr>
            <w:r>
              <w:rPr>
                <w:noProof/>
              </w:rPr>
              <w:t>Paziņojums par darbu pabeigšanu</w:t>
            </w:r>
          </w:p>
        </w:tc>
        <w:tc>
          <w:tcPr>
            <w:tcW w:w="1134" w:type="dxa"/>
            <w:shd w:val="clear" w:color="auto" w:fill="C6EFCE"/>
            <w:noWrap/>
            <w:vAlign w:val="center"/>
          </w:tcPr>
          <w:p w14:paraId="039276CA" w14:textId="77777777"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24E3E40C"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55B070D5"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6CE5785D" w14:textId="089DEF35"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3A477196" w14:textId="3170E629"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61DD4D40" w14:textId="5D3877D4" w:rsidR="00C972CB" w:rsidRDefault="002457F6">
            <w:pPr>
              <w:pStyle w:val="P68B1DB1-Normal11"/>
              <w:spacing w:after="120"/>
              <w:rPr>
                <w:noProof/>
              </w:rPr>
            </w:pPr>
            <w:r>
              <w:rPr>
                <w:noProof/>
              </w:rPr>
              <w:t>Paziņojums par Sardīnijas un Toskānas pārveides staciju čaumalu pabeigšanu.</w:t>
            </w:r>
          </w:p>
        </w:tc>
      </w:tr>
      <w:tr w:rsidR="00C972CB" w14:paraId="4B6306F5" w14:textId="77777777">
        <w:trPr>
          <w:trHeight w:val="309"/>
        </w:trPr>
        <w:tc>
          <w:tcPr>
            <w:tcW w:w="1185" w:type="dxa"/>
            <w:shd w:val="clear" w:color="auto" w:fill="C6EFCE"/>
            <w:noWrap/>
            <w:vAlign w:val="center"/>
          </w:tcPr>
          <w:p w14:paraId="3560B194" w14:textId="51090FA8" w:rsidR="00C972CB" w:rsidRDefault="002457F6">
            <w:pPr>
              <w:pStyle w:val="P68B1DB1-Normal11"/>
              <w:spacing w:after="120"/>
              <w:jc w:val="center"/>
              <w:rPr>
                <w:noProof/>
              </w:rPr>
            </w:pPr>
            <w:r>
              <w:rPr>
                <w:noProof/>
              </w:rPr>
              <w:t>M7–18</w:t>
            </w:r>
          </w:p>
        </w:tc>
        <w:tc>
          <w:tcPr>
            <w:tcW w:w="1559" w:type="dxa"/>
            <w:shd w:val="clear" w:color="auto" w:fill="C6EFCE"/>
            <w:noWrap/>
            <w:vAlign w:val="center"/>
          </w:tcPr>
          <w:p w14:paraId="5989477E" w14:textId="3DD09A8F" w:rsidR="00C972CB" w:rsidRDefault="002457F6">
            <w:pPr>
              <w:pStyle w:val="P68B1DB1-Normal11"/>
              <w:spacing w:after="120"/>
              <w:jc w:val="center"/>
              <w:rPr>
                <w:noProof/>
              </w:rPr>
            </w:pPr>
            <w:r>
              <w:rPr>
                <w:noProof/>
              </w:rPr>
              <w:t xml:space="preserve">Ieguldījums 6: Pārrobežu elektroenerģijas </w:t>
            </w:r>
            <w:r>
              <w:rPr>
                <w:noProof/>
              </w:rPr>
              <w:t>starpsavienojumu projekti starp Itāliju un kaimiņvalstīm</w:t>
            </w:r>
          </w:p>
        </w:tc>
        <w:tc>
          <w:tcPr>
            <w:tcW w:w="1134" w:type="dxa"/>
            <w:shd w:val="clear" w:color="auto" w:fill="C6EFCE"/>
            <w:noWrap/>
            <w:vAlign w:val="center"/>
          </w:tcPr>
          <w:p w14:paraId="0288869E" w14:textId="2F384008"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4AA106B5" w14:textId="7CF70716" w:rsidR="00C972CB" w:rsidRDefault="002457F6">
            <w:pPr>
              <w:pStyle w:val="P68B1DB1-Normal11"/>
              <w:spacing w:after="120"/>
              <w:jc w:val="center"/>
              <w:rPr>
                <w:noProof/>
                <w:color w:val="FF0000"/>
              </w:rPr>
            </w:pPr>
            <w:r>
              <w:rPr>
                <w:noProof/>
              </w:rPr>
              <w:t>Līgumu slēgšanas tiesību piešķiršana Itālijas un Austrijas starpsavienojuma “Somplago — Würmlach” būvniecībai</w:t>
            </w:r>
          </w:p>
        </w:tc>
        <w:tc>
          <w:tcPr>
            <w:tcW w:w="1984" w:type="dxa"/>
            <w:shd w:val="clear" w:color="auto" w:fill="C6EFCE"/>
            <w:noWrap/>
            <w:vAlign w:val="center"/>
          </w:tcPr>
          <w:p w14:paraId="1E8B2726" w14:textId="2968FD42" w:rsidR="00C972CB" w:rsidRDefault="002457F6">
            <w:pPr>
              <w:pStyle w:val="P68B1DB1-Normal11"/>
              <w:spacing w:after="120"/>
              <w:jc w:val="center"/>
              <w:rPr>
                <w:noProof/>
              </w:rPr>
            </w:pPr>
            <w:r>
              <w:rPr>
                <w:noProof/>
              </w:rPr>
              <w:t>Paziņojums par līgumu slēgšanas tiesību piešķiršanu</w:t>
            </w:r>
          </w:p>
        </w:tc>
        <w:tc>
          <w:tcPr>
            <w:tcW w:w="1134" w:type="dxa"/>
            <w:shd w:val="clear" w:color="auto" w:fill="C6EFCE"/>
            <w:noWrap/>
            <w:vAlign w:val="center"/>
          </w:tcPr>
          <w:p w14:paraId="5B699BAB" w14:textId="77777777"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7D85D82B"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12C2DCCA"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589CEBE7" w14:textId="4D0BB9CF" w:rsidR="00C972CB" w:rsidRDefault="002457F6">
            <w:pPr>
              <w:pStyle w:val="P68B1DB1-Normal11"/>
              <w:spacing w:after="120"/>
              <w:jc w:val="center"/>
              <w:rPr>
                <w:noProof/>
              </w:rPr>
            </w:pPr>
            <w:r>
              <w:rPr>
                <w:noProof/>
              </w:rPr>
              <w:t>3. CET.</w:t>
            </w:r>
          </w:p>
        </w:tc>
        <w:tc>
          <w:tcPr>
            <w:tcW w:w="709" w:type="dxa"/>
            <w:shd w:val="clear" w:color="auto" w:fill="C6EFCE"/>
            <w:noWrap/>
            <w:vAlign w:val="center"/>
          </w:tcPr>
          <w:p w14:paraId="1712D171" w14:textId="3CC9B15D" w:rsidR="00C972CB" w:rsidRDefault="002457F6">
            <w:pPr>
              <w:pStyle w:val="P68B1DB1-Normal11"/>
              <w:spacing w:after="120"/>
              <w:jc w:val="center"/>
              <w:rPr>
                <w:noProof/>
              </w:rPr>
            </w:pPr>
            <w:r>
              <w:rPr>
                <w:noProof/>
              </w:rPr>
              <w:t>2025</w:t>
            </w:r>
          </w:p>
        </w:tc>
        <w:tc>
          <w:tcPr>
            <w:tcW w:w="3261" w:type="dxa"/>
            <w:shd w:val="clear" w:color="auto" w:fill="C6EFCE"/>
            <w:noWrap/>
            <w:vAlign w:val="center"/>
          </w:tcPr>
          <w:p w14:paraId="47F98B55" w14:textId="674B3E3A" w:rsidR="00C972CB" w:rsidRDefault="002457F6">
            <w:pPr>
              <w:pStyle w:val="P68B1DB1-Normal11"/>
              <w:spacing w:after="120"/>
              <w:rPr>
                <w:noProof/>
                <w:color w:val="FF0000"/>
              </w:rPr>
            </w:pPr>
            <w:r>
              <w:rPr>
                <w:noProof/>
              </w:rPr>
              <w:t>Paziņojums par visu to līgumu slēgšanas tiesību piešķiršanu, kas vajadzīgi, lai uzsāktu Itālijas-Austrijas starpsavienojuma “Somplago — Würmlach” būvniecību.</w:t>
            </w:r>
          </w:p>
        </w:tc>
      </w:tr>
      <w:tr w:rsidR="00C972CB" w14:paraId="29E6D484" w14:textId="77777777">
        <w:trPr>
          <w:trHeight w:val="309"/>
        </w:trPr>
        <w:tc>
          <w:tcPr>
            <w:tcW w:w="1185" w:type="dxa"/>
            <w:shd w:val="clear" w:color="auto" w:fill="C6EFCE"/>
            <w:noWrap/>
            <w:vAlign w:val="center"/>
          </w:tcPr>
          <w:p w14:paraId="1879ABBC" w14:textId="33BD8832" w:rsidR="00C972CB" w:rsidRDefault="002457F6">
            <w:pPr>
              <w:pStyle w:val="P68B1DB1-Normal11"/>
              <w:spacing w:after="120"/>
              <w:jc w:val="center"/>
              <w:rPr>
                <w:noProof/>
              </w:rPr>
            </w:pPr>
            <w:r>
              <w:rPr>
                <w:noProof/>
              </w:rPr>
              <w:t>M7–19</w:t>
            </w:r>
          </w:p>
        </w:tc>
        <w:tc>
          <w:tcPr>
            <w:tcW w:w="1559" w:type="dxa"/>
            <w:shd w:val="clear" w:color="auto" w:fill="C6EFCE"/>
            <w:noWrap/>
            <w:vAlign w:val="center"/>
          </w:tcPr>
          <w:p w14:paraId="0EBE10AF" w14:textId="7C5C1ACB" w:rsidR="00C972CB" w:rsidRDefault="002457F6">
            <w:pPr>
              <w:pStyle w:val="P68B1DB1-Normal11"/>
              <w:spacing w:after="120"/>
              <w:jc w:val="center"/>
              <w:rPr>
                <w:noProof/>
              </w:rPr>
            </w:pPr>
            <w:r>
              <w:rPr>
                <w:noProof/>
              </w:rPr>
              <w:t xml:space="preserve">Ieguldījums 6: Pārrobežu elektroenerģijas starpsavienojumu projekti starp Itāliju un </w:t>
            </w:r>
            <w:r>
              <w:rPr>
                <w:noProof/>
              </w:rPr>
              <w:t>kaimiņvalstīm</w:t>
            </w:r>
          </w:p>
        </w:tc>
        <w:tc>
          <w:tcPr>
            <w:tcW w:w="1134" w:type="dxa"/>
            <w:shd w:val="clear" w:color="auto" w:fill="C6EFCE"/>
            <w:noWrap/>
            <w:vAlign w:val="center"/>
          </w:tcPr>
          <w:p w14:paraId="2C92C4B2" w14:textId="3EF8C9CA" w:rsidR="00C972CB" w:rsidRDefault="002457F6">
            <w:pPr>
              <w:pStyle w:val="P68B1DB1-Normal11"/>
              <w:spacing w:after="120"/>
              <w:jc w:val="center"/>
              <w:rPr>
                <w:noProof/>
              </w:rPr>
            </w:pPr>
            <w:r>
              <w:rPr>
                <w:noProof/>
              </w:rPr>
              <w:t>Mērķa</w:t>
            </w:r>
          </w:p>
        </w:tc>
        <w:tc>
          <w:tcPr>
            <w:tcW w:w="1418" w:type="dxa"/>
            <w:shd w:val="clear" w:color="auto" w:fill="C6EFCE"/>
            <w:noWrap/>
            <w:vAlign w:val="center"/>
          </w:tcPr>
          <w:p w14:paraId="1590A035" w14:textId="1F28A099" w:rsidR="00C972CB" w:rsidRDefault="002457F6">
            <w:pPr>
              <w:pStyle w:val="P68B1DB1-Normal11"/>
              <w:spacing w:after="120"/>
              <w:jc w:val="center"/>
              <w:rPr>
                <w:noProof/>
              </w:rPr>
            </w:pPr>
            <w:r>
              <w:rPr>
                <w:noProof/>
              </w:rPr>
              <w:t>Starpsavienojuma nominālās jaudas pieaugums starp Itāliju un Austriju starpsavienojuma pabeigšanas rezultātā</w:t>
            </w:r>
          </w:p>
        </w:tc>
        <w:tc>
          <w:tcPr>
            <w:tcW w:w="1984" w:type="dxa"/>
            <w:shd w:val="clear" w:color="auto" w:fill="C6EFCE"/>
            <w:noWrap/>
            <w:vAlign w:val="center"/>
          </w:tcPr>
          <w:p w14:paraId="685EC5ED" w14:textId="11D5A9F9"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16DC098A" w14:textId="419EA49B" w:rsidR="00C972CB" w:rsidRDefault="002457F6">
            <w:pPr>
              <w:pStyle w:val="P68B1DB1-Normal11"/>
              <w:spacing w:after="120"/>
              <w:jc w:val="center"/>
              <w:rPr>
                <w:noProof/>
              </w:rPr>
            </w:pPr>
            <w:r>
              <w:rPr>
                <w:noProof/>
              </w:rPr>
              <w:t>MW</w:t>
            </w:r>
          </w:p>
        </w:tc>
        <w:tc>
          <w:tcPr>
            <w:tcW w:w="993" w:type="dxa"/>
            <w:shd w:val="clear" w:color="auto" w:fill="C6EFCE"/>
            <w:noWrap/>
            <w:vAlign w:val="center"/>
          </w:tcPr>
          <w:p w14:paraId="1266B0F4" w14:textId="2CA59FA5" w:rsidR="00C972CB" w:rsidRDefault="002457F6">
            <w:pPr>
              <w:pStyle w:val="P68B1DB1-Normal11"/>
              <w:spacing w:after="120"/>
              <w:jc w:val="center"/>
              <w:rPr>
                <w:noProof/>
              </w:rPr>
            </w:pPr>
            <w:r>
              <w:rPr>
                <w:noProof/>
              </w:rPr>
              <w:t>0</w:t>
            </w:r>
          </w:p>
        </w:tc>
        <w:tc>
          <w:tcPr>
            <w:tcW w:w="992" w:type="dxa"/>
            <w:shd w:val="clear" w:color="auto" w:fill="C6EFCE"/>
            <w:noWrap/>
            <w:vAlign w:val="center"/>
          </w:tcPr>
          <w:p w14:paraId="089F2E80" w14:textId="15BD571A" w:rsidR="00C972CB" w:rsidRDefault="002457F6">
            <w:pPr>
              <w:pStyle w:val="P68B1DB1-Normal11"/>
              <w:spacing w:after="120"/>
              <w:jc w:val="center"/>
              <w:rPr>
                <w:noProof/>
              </w:rPr>
            </w:pPr>
            <w:r>
              <w:rPr>
                <w:noProof/>
              </w:rPr>
              <w:t>300</w:t>
            </w:r>
          </w:p>
        </w:tc>
        <w:tc>
          <w:tcPr>
            <w:tcW w:w="992" w:type="dxa"/>
            <w:shd w:val="clear" w:color="auto" w:fill="C6EFCE"/>
            <w:noWrap/>
            <w:vAlign w:val="center"/>
          </w:tcPr>
          <w:p w14:paraId="5DC79E45" w14:textId="4A1CD07B"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4E0F98A1" w14:textId="3E99FA5D"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475F30FA" w14:textId="60A1A8C9" w:rsidR="00C972CB" w:rsidRDefault="002457F6">
            <w:pPr>
              <w:pStyle w:val="P68B1DB1-Normal11"/>
              <w:spacing w:after="120"/>
              <w:rPr>
                <w:noProof/>
              </w:rPr>
            </w:pPr>
            <w:r>
              <w:rPr>
                <w:noProof/>
              </w:rPr>
              <w:t xml:space="preserve">Itālijas un Austrijas starpsavienojuma pabeigšana: “Somplago — Würmlach”. Pabeidzot darbus Itālijas </w:t>
            </w:r>
            <w:r>
              <w:rPr>
                <w:noProof/>
              </w:rPr>
              <w:t>pusē, Itālijas un Austrijas starpsavienojuma nominālā jauda tiek palielināta par 300 MW.</w:t>
            </w:r>
          </w:p>
        </w:tc>
      </w:tr>
      <w:tr w:rsidR="00C972CB" w14:paraId="4DD69E55" w14:textId="77777777">
        <w:trPr>
          <w:trHeight w:val="309"/>
        </w:trPr>
        <w:tc>
          <w:tcPr>
            <w:tcW w:w="1185" w:type="dxa"/>
            <w:shd w:val="clear" w:color="auto" w:fill="C6EFCE"/>
            <w:noWrap/>
            <w:vAlign w:val="center"/>
          </w:tcPr>
          <w:p w14:paraId="3E51D869" w14:textId="2C63BC43" w:rsidR="00C972CB" w:rsidRDefault="002457F6">
            <w:pPr>
              <w:pStyle w:val="P68B1DB1-Normal11"/>
              <w:spacing w:after="120"/>
              <w:jc w:val="center"/>
              <w:rPr>
                <w:noProof/>
              </w:rPr>
            </w:pPr>
            <w:r>
              <w:rPr>
                <w:noProof/>
              </w:rPr>
              <w:t>M7–20</w:t>
            </w:r>
          </w:p>
        </w:tc>
        <w:tc>
          <w:tcPr>
            <w:tcW w:w="1559" w:type="dxa"/>
            <w:shd w:val="clear" w:color="auto" w:fill="C6EFCE"/>
            <w:noWrap/>
            <w:vAlign w:val="center"/>
          </w:tcPr>
          <w:p w14:paraId="64E81998" w14:textId="76B47581" w:rsidR="00C972CB" w:rsidRDefault="002457F6">
            <w:pPr>
              <w:pStyle w:val="P68B1DB1-Normal11"/>
              <w:spacing w:after="120"/>
              <w:jc w:val="center"/>
              <w:rPr>
                <w:noProof/>
              </w:rPr>
            </w:pPr>
            <w:r>
              <w:rPr>
                <w:noProof/>
              </w:rPr>
              <w:t>Ieguldījums 6: Pārrobežu elektroenerģijas starpsavienojumu projekti starp Itāliju un kaimiņvalstīm</w:t>
            </w:r>
          </w:p>
        </w:tc>
        <w:tc>
          <w:tcPr>
            <w:tcW w:w="1134" w:type="dxa"/>
            <w:shd w:val="clear" w:color="auto" w:fill="C6EFCE"/>
            <w:noWrap/>
            <w:vAlign w:val="center"/>
          </w:tcPr>
          <w:p w14:paraId="372ADA2D" w14:textId="3DEBE789" w:rsidR="00C972CB" w:rsidRDefault="002457F6">
            <w:pPr>
              <w:pStyle w:val="P68B1DB1-Normal11"/>
              <w:spacing w:after="120"/>
              <w:jc w:val="center"/>
              <w:rPr>
                <w:noProof/>
              </w:rPr>
            </w:pPr>
            <w:r>
              <w:rPr>
                <w:noProof/>
              </w:rPr>
              <w:t>Starpposma mērķis</w:t>
            </w:r>
          </w:p>
        </w:tc>
        <w:tc>
          <w:tcPr>
            <w:tcW w:w="1418" w:type="dxa"/>
            <w:shd w:val="clear" w:color="auto" w:fill="C6EFCE"/>
            <w:noWrap/>
            <w:vAlign w:val="center"/>
          </w:tcPr>
          <w:p w14:paraId="0200B0CA" w14:textId="71D3649F" w:rsidR="00C972CB" w:rsidRDefault="002457F6">
            <w:pPr>
              <w:pStyle w:val="P68B1DB1-Normal11"/>
              <w:spacing w:after="120"/>
              <w:jc w:val="center"/>
              <w:rPr>
                <w:noProof/>
              </w:rPr>
            </w:pPr>
            <w:r>
              <w:rPr>
                <w:noProof/>
              </w:rPr>
              <w:t xml:space="preserve">Līgumu slēgšanas tiesību piešķiršana divu starpsavienojumu būvniecībai starp Itāliju un Slovēniju: “Zaule — Dekani” un “Redipuglia — Vrtojba”  </w:t>
            </w:r>
          </w:p>
        </w:tc>
        <w:tc>
          <w:tcPr>
            <w:tcW w:w="1984" w:type="dxa"/>
            <w:shd w:val="clear" w:color="auto" w:fill="C6EFCE"/>
            <w:noWrap/>
            <w:vAlign w:val="center"/>
          </w:tcPr>
          <w:p w14:paraId="6F8AF0F3" w14:textId="59B49F21" w:rsidR="00C972CB" w:rsidRDefault="002457F6">
            <w:pPr>
              <w:pStyle w:val="P68B1DB1-Normal11"/>
              <w:spacing w:after="120"/>
              <w:jc w:val="center"/>
              <w:rPr>
                <w:noProof/>
              </w:rPr>
            </w:pPr>
            <w:r>
              <w:rPr>
                <w:noProof/>
              </w:rPr>
              <w:t>Paziņojums par līgumu slēgšanas tiesību piešķiršanu</w:t>
            </w:r>
          </w:p>
        </w:tc>
        <w:tc>
          <w:tcPr>
            <w:tcW w:w="1134" w:type="dxa"/>
            <w:shd w:val="clear" w:color="auto" w:fill="C6EFCE"/>
            <w:noWrap/>
            <w:vAlign w:val="center"/>
          </w:tcPr>
          <w:p w14:paraId="404A83A1" w14:textId="77777777"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05A890E2"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2ECAD5F7"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367F307C" w14:textId="67585648"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4873D106" w14:textId="13F77C7B" w:rsidR="00C972CB" w:rsidRDefault="002457F6">
            <w:pPr>
              <w:pStyle w:val="P68B1DB1-Normal11"/>
              <w:spacing w:after="120"/>
              <w:jc w:val="center"/>
              <w:rPr>
                <w:noProof/>
              </w:rPr>
            </w:pPr>
            <w:r>
              <w:rPr>
                <w:noProof/>
              </w:rPr>
              <w:t>2025</w:t>
            </w:r>
          </w:p>
        </w:tc>
        <w:tc>
          <w:tcPr>
            <w:tcW w:w="3261" w:type="dxa"/>
            <w:shd w:val="clear" w:color="auto" w:fill="C6EFCE"/>
            <w:noWrap/>
            <w:vAlign w:val="center"/>
          </w:tcPr>
          <w:p w14:paraId="1E26B410" w14:textId="6FE42EAC" w:rsidR="00C972CB" w:rsidRDefault="002457F6">
            <w:pPr>
              <w:pStyle w:val="P68B1DB1-Normal11"/>
              <w:spacing w:after="120"/>
              <w:rPr>
                <w:noProof/>
              </w:rPr>
            </w:pPr>
            <w:r>
              <w:rPr>
                <w:noProof/>
              </w:rPr>
              <w:t xml:space="preserve">Paziņojums par visu to līgumu slēgšanas </w:t>
            </w:r>
            <w:r>
              <w:rPr>
                <w:noProof/>
              </w:rPr>
              <w:t>tiesību piešķiršanu, kas vajadzīgi, lai sāktu divu starpsavienojumu būvniecību starp Itāliju un Slovēniju: “Zaule-Dekani” un “Redipuglia-Vrtojba”.</w:t>
            </w:r>
          </w:p>
        </w:tc>
      </w:tr>
      <w:tr w:rsidR="00C972CB" w14:paraId="1064D050" w14:textId="77777777">
        <w:trPr>
          <w:trHeight w:val="309"/>
        </w:trPr>
        <w:tc>
          <w:tcPr>
            <w:tcW w:w="1185" w:type="dxa"/>
            <w:shd w:val="clear" w:color="auto" w:fill="C6EFCE"/>
            <w:noWrap/>
            <w:vAlign w:val="center"/>
          </w:tcPr>
          <w:p w14:paraId="32A3E3D4" w14:textId="0CDBDE1E" w:rsidR="00C972CB" w:rsidRDefault="002457F6">
            <w:pPr>
              <w:pStyle w:val="P68B1DB1-Normal11"/>
              <w:spacing w:after="120"/>
              <w:jc w:val="center"/>
              <w:rPr>
                <w:noProof/>
              </w:rPr>
            </w:pPr>
            <w:r>
              <w:rPr>
                <w:noProof/>
              </w:rPr>
              <w:t>M7–21</w:t>
            </w:r>
          </w:p>
        </w:tc>
        <w:tc>
          <w:tcPr>
            <w:tcW w:w="1559" w:type="dxa"/>
            <w:shd w:val="clear" w:color="auto" w:fill="C6EFCE"/>
            <w:noWrap/>
            <w:vAlign w:val="center"/>
          </w:tcPr>
          <w:p w14:paraId="5468078B" w14:textId="775B4B83" w:rsidR="00C972CB" w:rsidRDefault="002457F6">
            <w:pPr>
              <w:pStyle w:val="P68B1DB1-Normal11"/>
              <w:spacing w:after="120"/>
              <w:jc w:val="center"/>
              <w:rPr>
                <w:noProof/>
              </w:rPr>
            </w:pPr>
            <w:r>
              <w:rPr>
                <w:noProof/>
              </w:rPr>
              <w:t>Ieguldījums 6: Pārrobežu elektroenerģijas starpsavienojumu projekti starp Itāliju un kaimiņvalstīm</w:t>
            </w:r>
          </w:p>
        </w:tc>
        <w:tc>
          <w:tcPr>
            <w:tcW w:w="1134" w:type="dxa"/>
            <w:shd w:val="clear" w:color="auto" w:fill="C6EFCE"/>
            <w:noWrap/>
            <w:vAlign w:val="center"/>
          </w:tcPr>
          <w:p w14:paraId="35F653F0" w14:textId="789A49E7" w:rsidR="00C972CB" w:rsidRDefault="002457F6">
            <w:pPr>
              <w:pStyle w:val="P68B1DB1-Normal11"/>
              <w:spacing w:after="120"/>
              <w:jc w:val="center"/>
              <w:rPr>
                <w:noProof/>
              </w:rPr>
            </w:pPr>
            <w:r>
              <w:rPr>
                <w:noProof/>
              </w:rPr>
              <w:t>Mērķa</w:t>
            </w:r>
          </w:p>
        </w:tc>
        <w:tc>
          <w:tcPr>
            <w:tcW w:w="1418" w:type="dxa"/>
            <w:shd w:val="clear" w:color="auto" w:fill="C6EFCE"/>
            <w:noWrap/>
            <w:vAlign w:val="center"/>
          </w:tcPr>
          <w:p w14:paraId="45FEDC01" w14:textId="3228CCD0" w:rsidR="00C972CB" w:rsidRDefault="002457F6">
            <w:pPr>
              <w:pStyle w:val="P68B1DB1-Normal11"/>
              <w:spacing w:after="120"/>
              <w:jc w:val="center"/>
              <w:rPr>
                <w:noProof/>
              </w:rPr>
            </w:pPr>
            <w:r>
              <w:rPr>
                <w:noProof/>
              </w:rPr>
              <w:t>Starpsavienojuma nominālās jaudas palielināšana starp Itāliju un Slovēniju pēc darbu pabeigšanas</w:t>
            </w:r>
          </w:p>
        </w:tc>
        <w:tc>
          <w:tcPr>
            <w:tcW w:w="1984" w:type="dxa"/>
            <w:shd w:val="clear" w:color="auto" w:fill="C6EFCE"/>
            <w:noWrap/>
            <w:vAlign w:val="center"/>
          </w:tcPr>
          <w:p w14:paraId="5D4AE695" w14:textId="4869C3A7"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1D7CC244" w14:textId="38B0F7E5" w:rsidR="00C972CB" w:rsidRDefault="002457F6">
            <w:pPr>
              <w:pStyle w:val="P68B1DB1-Normal11"/>
              <w:spacing w:after="120"/>
              <w:jc w:val="center"/>
              <w:rPr>
                <w:noProof/>
              </w:rPr>
            </w:pPr>
            <w:r>
              <w:rPr>
                <w:noProof/>
              </w:rPr>
              <w:t>MW</w:t>
            </w:r>
          </w:p>
        </w:tc>
        <w:tc>
          <w:tcPr>
            <w:tcW w:w="993" w:type="dxa"/>
            <w:shd w:val="clear" w:color="auto" w:fill="C6EFCE"/>
            <w:noWrap/>
            <w:vAlign w:val="center"/>
          </w:tcPr>
          <w:p w14:paraId="56355FE7" w14:textId="369C082E" w:rsidR="00C972CB" w:rsidRDefault="002457F6">
            <w:pPr>
              <w:pStyle w:val="P68B1DB1-Normal11"/>
              <w:spacing w:after="120"/>
              <w:jc w:val="center"/>
              <w:rPr>
                <w:noProof/>
              </w:rPr>
            </w:pPr>
            <w:r>
              <w:rPr>
                <w:noProof/>
              </w:rPr>
              <w:t>0</w:t>
            </w:r>
          </w:p>
        </w:tc>
        <w:tc>
          <w:tcPr>
            <w:tcW w:w="992" w:type="dxa"/>
            <w:shd w:val="clear" w:color="auto" w:fill="C6EFCE"/>
            <w:noWrap/>
            <w:vAlign w:val="center"/>
          </w:tcPr>
          <w:p w14:paraId="58ACF968" w14:textId="24AA22A9" w:rsidR="00C972CB" w:rsidRDefault="002457F6">
            <w:pPr>
              <w:pStyle w:val="P68B1DB1-Normal11"/>
              <w:spacing w:after="120"/>
              <w:jc w:val="center"/>
              <w:rPr>
                <w:noProof/>
              </w:rPr>
            </w:pPr>
            <w:r>
              <w:rPr>
                <w:noProof/>
              </w:rPr>
              <w:t>250</w:t>
            </w:r>
          </w:p>
        </w:tc>
        <w:tc>
          <w:tcPr>
            <w:tcW w:w="992" w:type="dxa"/>
            <w:shd w:val="clear" w:color="auto" w:fill="C6EFCE"/>
            <w:noWrap/>
            <w:vAlign w:val="center"/>
          </w:tcPr>
          <w:p w14:paraId="7EE8F879" w14:textId="02498B69" w:rsidR="00C972CB" w:rsidRDefault="002457F6">
            <w:pPr>
              <w:pStyle w:val="P68B1DB1-Normal11"/>
              <w:spacing w:after="120"/>
              <w:jc w:val="center"/>
              <w:rPr>
                <w:noProof/>
              </w:rPr>
            </w:pPr>
            <w:r>
              <w:rPr>
                <w:noProof/>
              </w:rPr>
              <w:t>4. CET.</w:t>
            </w:r>
          </w:p>
        </w:tc>
        <w:tc>
          <w:tcPr>
            <w:tcW w:w="709" w:type="dxa"/>
            <w:shd w:val="clear" w:color="auto" w:fill="C6EFCE"/>
            <w:noWrap/>
            <w:vAlign w:val="center"/>
          </w:tcPr>
          <w:p w14:paraId="4A913729" w14:textId="0BDD29D1" w:rsidR="00C972CB" w:rsidRDefault="002457F6">
            <w:pPr>
              <w:pStyle w:val="P68B1DB1-Normal11"/>
              <w:spacing w:after="120"/>
              <w:jc w:val="center"/>
              <w:rPr>
                <w:noProof/>
              </w:rPr>
            </w:pPr>
            <w:r>
              <w:rPr>
                <w:noProof/>
              </w:rPr>
              <w:t>2025</w:t>
            </w:r>
          </w:p>
        </w:tc>
        <w:tc>
          <w:tcPr>
            <w:tcW w:w="3261" w:type="dxa"/>
            <w:shd w:val="clear" w:color="auto" w:fill="C6EFCE"/>
            <w:noWrap/>
            <w:vAlign w:val="center"/>
          </w:tcPr>
          <w:p w14:paraId="3FFE0DD1" w14:textId="10AD0F56" w:rsidR="00C972CB" w:rsidRDefault="002457F6">
            <w:pPr>
              <w:pStyle w:val="P68B1DB1-Normal11"/>
              <w:spacing w:after="120"/>
              <w:rPr>
                <w:noProof/>
              </w:rPr>
            </w:pPr>
            <w:r>
              <w:rPr>
                <w:noProof/>
              </w:rPr>
              <w:t xml:space="preserve">Itālijas-Slovēnijas starpsavienojumu pabeigšana: “Zaule — Dekani” un “Redipuglia — Vrtojba”. Pēc darbu pabeigšanas Itālijas pusē </w:t>
            </w:r>
            <w:r>
              <w:rPr>
                <w:noProof/>
              </w:rPr>
              <w:t>abu starpsavienotāju starp Itāliju un Slovēniju kumulatīvo nominālo jaudu palielina par 250 MW.</w:t>
            </w:r>
          </w:p>
        </w:tc>
      </w:tr>
      <w:tr w:rsidR="00C972CB" w14:paraId="33CD3B47" w14:textId="77777777">
        <w:trPr>
          <w:trHeight w:val="309"/>
        </w:trPr>
        <w:tc>
          <w:tcPr>
            <w:tcW w:w="1185" w:type="dxa"/>
            <w:shd w:val="clear" w:color="auto" w:fill="C6EFCE"/>
            <w:noWrap/>
            <w:vAlign w:val="center"/>
          </w:tcPr>
          <w:p w14:paraId="71F918F7" w14:textId="120DDAEE" w:rsidR="00C972CB" w:rsidRDefault="002457F6">
            <w:pPr>
              <w:pStyle w:val="P68B1DB1-Normal11"/>
              <w:spacing w:after="120"/>
              <w:jc w:val="center"/>
              <w:rPr>
                <w:noProof/>
              </w:rPr>
            </w:pPr>
            <w:r>
              <w:rPr>
                <w:noProof/>
              </w:rPr>
              <w:t>M7–22</w:t>
            </w:r>
          </w:p>
        </w:tc>
        <w:tc>
          <w:tcPr>
            <w:tcW w:w="1559" w:type="dxa"/>
            <w:shd w:val="clear" w:color="auto" w:fill="C6EFCE"/>
            <w:noWrap/>
            <w:vAlign w:val="center"/>
          </w:tcPr>
          <w:p w14:paraId="7C3FB735" w14:textId="14C88238" w:rsidR="00C972CB" w:rsidRDefault="002457F6">
            <w:pPr>
              <w:pStyle w:val="P68B1DB1-Normal11"/>
              <w:spacing w:after="120"/>
              <w:jc w:val="center"/>
              <w:rPr>
                <w:noProof/>
              </w:rPr>
            </w:pPr>
            <w:r>
              <w:rPr>
                <w:noProof/>
              </w:rPr>
              <w:t>Ieguldījums 7: Viedais nacionālais pārvades tīkls</w:t>
            </w:r>
          </w:p>
        </w:tc>
        <w:tc>
          <w:tcPr>
            <w:tcW w:w="1134" w:type="dxa"/>
            <w:shd w:val="clear" w:color="auto" w:fill="C6EFCE"/>
            <w:noWrap/>
            <w:vAlign w:val="center"/>
          </w:tcPr>
          <w:p w14:paraId="336479A5" w14:textId="633DFB96" w:rsidR="00C972CB" w:rsidRDefault="002457F6">
            <w:pPr>
              <w:pStyle w:val="P68B1DB1-Normal11"/>
              <w:spacing w:after="120"/>
              <w:jc w:val="center"/>
              <w:rPr>
                <w:noProof/>
              </w:rPr>
            </w:pPr>
            <w:r>
              <w:rPr>
                <w:noProof/>
              </w:rPr>
              <w:t>Mērķa</w:t>
            </w:r>
          </w:p>
        </w:tc>
        <w:tc>
          <w:tcPr>
            <w:tcW w:w="1418" w:type="dxa"/>
            <w:shd w:val="clear" w:color="auto" w:fill="C6EFCE"/>
            <w:noWrap/>
            <w:vAlign w:val="center"/>
          </w:tcPr>
          <w:p w14:paraId="309B7F7E" w14:textId="333B40FB" w:rsidR="00C972CB" w:rsidRDefault="002457F6">
            <w:pPr>
              <w:pStyle w:val="P68B1DB1-Normal11"/>
              <w:spacing w:after="120"/>
              <w:jc w:val="center"/>
              <w:rPr>
                <w:noProof/>
              </w:rPr>
            </w:pPr>
            <w:r>
              <w:rPr>
                <w:noProof/>
              </w:rPr>
              <w:t>5G aprīkojuma vai IKT arhitektūras uzstādīšana stacijās</w:t>
            </w:r>
          </w:p>
        </w:tc>
        <w:tc>
          <w:tcPr>
            <w:tcW w:w="1984" w:type="dxa"/>
            <w:shd w:val="clear" w:color="auto" w:fill="C6EFCE"/>
            <w:noWrap/>
            <w:vAlign w:val="center"/>
          </w:tcPr>
          <w:p w14:paraId="5876C25D" w14:textId="7D50AAE9"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5F0B4F76" w14:textId="1BD2B5BE" w:rsidR="00C972CB" w:rsidRDefault="002457F6">
            <w:pPr>
              <w:pStyle w:val="P68B1DB1-Normal11"/>
              <w:spacing w:after="120"/>
              <w:jc w:val="center"/>
              <w:rPr>
                <w:noProof/>
              </w:rPr>
            </w:pPr>
            <w:r>
              <w:rPr>
                <w:noProof/>
              </w:rPr>
              <w:t>Staciju skaits</w:t>
            </w:r>
          </w:p>
        </w:tc>
        <w:tc>
          <w:tcPr>
            <w:tcW w:w="993" w:type="dxa"/>
            <w:shd w:val="clear" w:color="auto" w:fill="C6EFCE"/>
            <w:noWrap/>
            <w:vAlign w:val="center"/>
          </w:tcPr>
          <w:p w14:paraId="4FF44E5D" w14:textId="26324F25" w:rsidR="00C972CB" w:rsidRDefault="002457F6">
            <w:pPr>
              <w:pStyle w:val="P68B1DB1-Normal11"/>
              <w:spacing w:after="120"/>
              <w:jc w:val="center"/>
              <w:rPr>
                <w:noProof/>
              </w:rPr>
            </w:pPr>
            <w:r>
              <w:rPr>
                <w:noProof/>
              </w:rPr>
              <w:t>0</w:t>
            </w:r>
          </w:p>
        </w:tc>
        <w:tc>
          <w:tcPr>
            <w:tcW w:w="992" w:type="dxa"/>
            <w:shd w:val="clear" w:color="auto" w:fill="C6EFCE"/>
            <w:noWrap/>
            <w:vAlign w:val="center"/>
          </w:tcPr>
          <w:p w14:paraId="6A6F2039" w14:textId="30DB374B" w:rsidR="00C972CB" w:rsidRDefault="002457F6">
            <w:pPr>
              <w:pStyle w:val="P68B1DB1-Normal11"/>
              <w:spacing w:after="120"/>
              <w:jc w:val="center"/>
              <w:rPr>
                <w:strike/>
                <w:noProof/>
              </w:rPr>
            </w:pPr>
            <w:r>
              <w:rPr>
                <w:noProof/>
              </w:rPr>
              <w:t>40</w:t>
            </w:r>
          </w:p>
        </w:tc>
        <w:tc>
          <w:tcPr>
            <w:tcW w:w="992" w:type="dxa"/>
            <w:shd w:val="clear" w:color="auto" w:fill="C6EFCE"/>
            <w:noWrap/>
            <w:vAlign w:val="center"/>
          </w:tcPr>
          <w:p w14:paraId="44340DC3" w14:textId="619601F7"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1C00D0A0" w14:textId="19B23C14"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66505B58" w14:textId="439DA581" w:rsidR="00C972CB" w:rsidRDefault="002457F6">
            <w:pPr>
              <w:pStyle w:val="P68B1DB1-Normal11"/>
              <w:spacing w:after="120"/>
              <w:rPr>
                <w:noProof/>
              </w:rPr>
            </w:pPr>
            <w:r>
              <w:rPr>
                <w:noProof/>
              </w:rPr>
              <w:t xml:space="preserve">Jauno </w:t>
            </w:r>
            <w:r>
              <w:rPr>
                <w:noProof/>
              </w:rPr>
              <w:t>5G aprīkojumu vai IKT arhitektūru uzstāda un ievieš vismaz 40 stacijās.</w:t>
            </w:r>
          </w:p>
        </w:tc>
      </w:tr>
      <w:tr w:rsidR="00C972CB" w14:paraId="7F323AA0" w14:textId="77777777">
        <w:trPr>
          <w:trHeight w:val="147"/>
        </w:trPr>
        <w:tc>
          <w:tcPr>
            <w:tcW w:w="1185" w:type="dxa"/>
            <w:shd w:val="clear" w:color="auto" w:fill="C6EFCE"/>
            <w:noWrap/>
            <w:vAlign w:val="center"/>
          </w:tcPr>
          <w:p w14:paraId="6C1F62E4" w14:textId="3784F124" w:rsidR="00C972CB" w:rsidRDefault="002457F6">
            <w:pPr>
              <w:pStyle w:val="P68B1DB1-Normal11"/>
              <w:spacing w:after="120"/>
              <w:jc w:val="center"/>
              <w:rPr>
                <w:noProof/>
              </w:rPr>
            </w:pPr>
            <w:r>
              <w:rPr>
                <w:noProof/>
              </w:rPr>
              <w:t>M7–23</w:t>
            </w:r>
          </w:p>
        </w:tc>
        <w:tc>
          <w:tcPr>
            <w:tcW w:w="1559" w:type="dxa"/>
            <w:shd w:val="clear" w:color="auto" w:fill="C6EFCE"/>
            <w:noWrap/>
            <w:vAlign w:val="center"/>
          </w:tcPr>
          <w:p w14:paraId="0B21A9C3" w14:textId="6E426D72" w:rsidR="00C972CB" w:rsidRDefault="002457F6">
            <w:pPr>
              <w:pStyle w:val="P68B1DB1-Normal11"/>
              <w:spacing w:after="120"/>
              <w:jc w:val="center"/>
              <w:rPr>
                <w:noProof/>
              </w:rPr>
            </w:pPr>
            <w:r>
              <w:rPr>
                <w:noProof/>
              </w:rPr>
              <w:t>Ieguldījums 7: Viedais nacionālais pārvades tīkls</w:t>
            </w:r>
          </w:p>
        </w:tc>
        <w:tc>
          <w:tcPr>
            <w:tcW w:w="1134" w:type="dxa"/>
            <w:shd w:val="clear" w:color="auto" w:fill="C6EFCE"/>
            <w:noWrap/>
            <w:vAlign w:val="center"/>
          </w:tcPr>
          <w:p w14:paraId="257A44BB" w14:textId="5147731D" w:rsidR="00C972CB" w:rsidRDefault="002457F6">
            <w:pPr>
              <w:pStyle w:val="P68B1DB1-Normal11"/>
              <w:spacing w:after="120"/>
              <w:jc w:val="center"/>
              <w:rPr>
                <w:noProof/>
              </w:rPr>
            </w:pPr>
            <w:r>
              <w:rPr>
                <w:noProof/>
              </w:rPr>
              <w:t>Mērķa</w:t>
            </w:r>
          </w:p>
        </w:tc>
        <w:tc>
          <w:tcPr>
            <w:tcW w:w="1418" w:type="dxa"/>
            <w:shd w:val="clear" w:color="auto" w:fill="C6EFCE"/>
            <w:noWrap/>
            <w:vAlign w:val="center"/>
          </w:tcPr>
          <w:p w14:paraId="5EAB77D3" w14:textId="2CAFD7F5" w:rsidR="00C972CB" w:rsidRDefault="002457F6">
            <w:pPr>
              <w:pStyle w:val="P68B1DB1-Normal11"/>
              <w:spacing w:after="120"/>
              <w:jc w:val="center"/>
              <w:rPr>
                <w:noProof/>
              </w:rPr>
            </w:pPr>
            <w:r>
              <w:rPr>
                <w:noProof/>
              </w:rPr>
              <w:t xml:space="preserve"> Jauna tīkla pārvaldības un kontroles sistēma</w:t>
            </w:r>
          </w:p>
        </w:tc>
        <w:tc>
          <w:tcPr>
            <w:tcW w:w="1984" w:type="dxa"/>
            <w:shd w:val="clear" w:color="auto" w:fill="C6EFCE"/>
            <w:noWrap/>
            <w:vAlign w:val="center"/>
          </w:tcPr>
          <w:p w14:paraId="7320B4D6" w14:textId="5E430882"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48C6781E" w14:textId="2500B5AF" w:rsidR="00C972CB" w:rsidRDefault="002457F6">
            <w:pPr>
              <w:pStyle w:val="P68B1DB1-Normal11"/>
              <w:spacing w:after="120"/>
              <w:jc w:val="center"/>
              <w:rPr>
                <w:noProof/>
              </w:rPr>
            </w:pPr>
            <w:r>
              <w:rPr>
                <w:noProof/>
              </w:rPr>
              <w:t xml:space="preserve">Skaits </w:t>
            </w:r>
          </w:p>
        </w:tc>
        <w:tc>
          <w:tcPr>
            <w:tcW w:w="993" w:type="dxa"/>
            <w:shd w:val="clear" w:color="auto" w:fill="C6EFCE"/>
            <w:noWrap/>
            <w:vAlign w:val="center"/>
          </w:tcPr>
          <w:p w14:paraId="00FAF2D7" w14:textId="5D8FFA65" w:rsidR="00C972CB" w:rsidRDefault="002457F6">
            <w:pPr>
              <w:pStyle w:val="P68B1DB1-Normal11"/>
              <w:spacing w:after="120"/>
              <w:jc w:val="center"/>
              <w:rPr>
                <w:noProof/>
              </w:rPr>
            </w:pPr>
            <w:r>
              <w:rPr>
                <w:noProof/>
              </w:rPr>
              <w:t>0</w:t>
            </w:r>
          </w:p>
        </w:tc>
        <w:tc>
          <w:tcPr>
            <w:tcW w:w="992" w:type="dxa"/>
            <w:shd w:val="clear" w:color="auto" w:fill="C6EFCE"/>
            <w:noWrap/>
            <w:vAlign w:val="center"/>
          </w:tcPr>
          <w:p w14:paraId="3642D0B6" w14:textId="7CD59ACE" w:rsidR="00C972CB" w:rsidRDefault="002457F6">
            <w:pPr>
              <w:pStyle w:val="P68B1DB1-Normal11"/>
              <w:spacing w:after="120"/>
              <w:jc w:val="center"/>
              <w:rPr>
                <w:noProof/>
              </w:rPr>
            </w:pPr>
            <w:r>
              <w:rPr>
                <w:noProof/>
              </w:rPr>
              <w:t>250</w:t>
            </w:r>
          </w:p>
        </w:tc>
        <w:tc>
          <w:tcPr>
            <w:tcW w:w="992" w:type="dxa"/>
            <w:shd w:val="clear" w:color="auto" w:fill="C6EFCE"/>
            <w:noWrap/>
            <w:vAlign w:val="center"/>
          </w:tcPr>
          <w:p w14:paraId="3C4DAF35" w14:textId="3B72A30A"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0B476870" w14:textId="7DF27778"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4D7E3E8B" w14:textId="7DED83B3" w:rsidR="00C972CB" w:rsidRDefault="002457F6">
            <w:pPr>
              <w:pStyle w:val="P68B1DB1-Normal11"/>
              <w:spacing w:after="120"/>
              <w:rPr>
                <w:noProof/>
              </w:rPr>
            </w:pPr>
            <w:r>
              <w:rPr>
                <w:noProof/>
              </w:rPr>
              <w:t xml:space="preserve">Droša 104. protokola (IEC 62351 protokols) </w:t>
            </w:r>
            <w:r>
              <w:rPr>
                <w:noProof/>
              </w:rPr>
              <w:t>uzstādīšana vismaz 250 elektrostacijās.</w:t>
            </w:r>
          </w:p>
        </w:tc>
      </w:tr>
      <w:tr w:rsidR="00C972CB" w14:paraId="04435CB1" w14:textId="77777777">
        <w:trPr>
          <w:trHeight w:val="147"/>
        </w:trPr>
        <w:tc>
          <w:tcPr>
            <w:tcW w:w="1185" w:type="dxa"/>
            <w:shd w:val="clear" w:color="auto" w:fill="C6EFCE"/>
            <w:noWrap/>
            <w:vAlign w:val="center"/>
          </w:tcPr>
          <w:p w14:paraId="458D236D" w14:textId="37A92257" w:rsidR="00C972CB" w:rsidRDefault="002457F6">
            <w:pPr>
              <w:pStyle w:val="P68B1DB1-Normal11"/>
              <w:spacing w:after="120"/>
              <w:jc w:val="center"/>
              <w:rPr>
                <w:noProof/>
              </w:rPr>
            </w:pPr>
            <w:r>
              <w:rPr>
                <w:noProof/>
              </w:rPr>
              <w:t>M7–24</w:t>
            </w:r>
          </w:p>
        </w:tc>
        <w:tc>
          <w:tcPr>
            <w:tcW w:w="1559" w:type="dxa"/>
            <w:shd w:val="clear" w:color="auto" w:fill="C6EFCE"/>
            <w:noWrap/>
            <w:vAlign w:val="center"/>
          </w:tcPr>
          <w:p w14:paraId="5294D594" w14:textId="58FC55BC" w:rsidR="00C972CB" w:rsidRDefault="002457F6">
            <w:pPr>
              <w:pStyle w:val="P68B1DB1-Normal11"/>
              <w:spacing w:after="120"/>
              <w:jc w:val="center"/>
              <w:rPr>
                <w:noProof/>
              </w:rPr>
            </w:pPr>
            <w:r>
              <w:rPr>
                <w:noProof/>
              </w:rPr>
              <w:t>Ieguldījums 7: Viedais nacionālais pārvades tīkls</w:t>
            </w:r>
          </w:p>
        </w:tc>
        <w:tc>
          <w:tcPr>
            <w:tcW w:w="1134" w:type="dxa"/>
            <w:shd w:val="clear" w:color="auto" w:fill="C6EFCE"/>
            <w:noWrap/>
            <w:vAlign w:val="center"/>
          </w:tcPr>
          <w:p w14:paraId="32D26575" w14:textId="57ACA83E" w:rsidR="00C972CB" w:rsidRDefault="002457F6">
            <w:pPr>
              <w:pStyle w:val="P68B1DB1-Normal11"/>
              <w:spacing w:after="120"/>
              <w:jc w:val="center"/>
              <w:rPr>
                <w:noProof/>
              </w:rPr>
            </w:pPr>
            <w:r>
              <w:rPr>
                <w:noProof/>
              </w:rPr>
              <w:t xml:space="preserve">Mērķa </w:t>
            </w:r>
          </w:p>
        </w:tc>
        <w:tc>
          <w:tcPr>
            <w:tcW w:w="1418" w:type="dxa"/>
            <w:shd w:val="clear" w:color="auto" w:fill="C6EFCE"/>
            <w:noWrap/>
            <w:vAlign w:val="center"/>
          </w:tcPr>
          <w:p w14:paraId="4C8B1969" w14:textId="15BF44A4" w:rsidR="00C972CB" w:rsidRDefault="002457F6">
            <w:pPr>
              <w:pStyle w:val="P68B1DB1-Normal11"/>
              <w:spacing w:after="120"/>
              <w:jc w:val="center"/>
              <w:rPr>
                <w:noProof/>
              </w:rPr>
            </w:pPr>
            <w:r>
              <w:rPr>
                <w:noProof/>
              </w:rPr>
              <w:t>Rūpnieciskais lietu internets</w:t>
            </w:r>
          </w:p>
        </w:tc>
        <w:tc>
          <w:tcPr>
            <w:tcW w:w="1984" w:type="dxa"/>
            <w:shd w:val="clear" w:color="auto" w:fill="C6EFCE"/>
            <w:noWrap/>
            <w:vAlign w:val="center"/>
          </w:tcPr>
          <w:p w14:paraId="0F5ABE2B" w14:textId="77777777"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273E361D" w14:textId="65B9138E" w:rsidR="00C972CB" w:rsidRDefault="002457F6">
            <w:pPr>
              <w:pStyle w:val="P68B1DB1-Normal11"/>
              <w:spacing w:after="120"/>
              <w:jc w:val="center"/>
              <w:rPr>
                <w:noProof/>
              </w:rPr>
            </w:pPr>
            <w:r>
              <w:rPr>
                <w:noProof/>
              </w:rPr>
              <w:t>Skaits</w:t>
            </w:r>
          </w:p>
        </w:tc>
        <w:tc>
          <w:tcPr>
            <w:tcW w:w="993" w:type="dxa"/>
            <w:shd w:val="clear" w:color="auto" w:fill="C6EFCE"/>
            <w:noWrap/>
            <w:vAlign w:val="center"/>
          </w:tcPr>
          <w:p w14:paraId="18AEBCBF" w14:textId="08300F79" w:rsidR="00C972CB" w:rsidRDefault="002457F6">
            <w:pPr>
              <w:pStyle w:val="P68B1DB1-Normal11"/>
              <w:spacing w:after="120"/>
              <w:jc w:val="center"/>
              <w:rPr>
                <w:noProof/>
              </w:rPr>
            </w:pPr>
            <w:r>
              <w:rPr>
                <w:noProof/>
              </w:rPr>
              <w:t>0</w:t>
            </w:r>
          </w:p>
        </w:tc>
        <w:tc>
          <w:tcPr>
            <w:tcW w:w="992" w:type="dxa"/>
            <w:shd w:val="clear" w:color="auto" w:fill="C6EFCE"/>
            <w:noWrap/>
            <w:vAlign w:val="center"/>
          </w:tcPr>
          <w:p w14:paraId="028BA66F" w14:textId="36CE431D" w:rsidR="00C972CB" w:rsidRDefault="002457F6">
            <w:pPr>
              <w:pStyle w:val="P68B1DB1-Normal11"/>
              <w:spacing w:after="120"/>
              <w:jc w:val="center"/>
              <w:rPr>
                <w:noProof/>
              </w:rPr>
            </w:pPr>
            <w:r>
              <w:rPr>
                <w:noProof/>
              </w:rPr>
              <w:t>1500</w:t>
            </w:r>
          </w:p>
        </w:tc>
        <w:tc>
          <w:tcPr>
            <w:tcW w:w="992" w:type="dxa"/>
            <w:shd w:val="clear" w:color="auto" w:fill="C6EFCE"/>
            <w:noWrap/>
            <w:vAlign w:val="center"/>
          </w:tcPr>
          <w:p w14:paraId="427CA8E5" w14:textId="21F1852E"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4368385A" w14:textId="498F00CA"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1046B967" w14:textId="0E5A18D6" w:rsidR="00C972CB" w:rsidRDefault="002457F6">
            <w:pPr>
              <w:pStyle w:val="P68B1DB1-Normal11"/>
              <w:spacing w:after="120"/>
              <w:rPr>
                <w:noProof/>
              </w:rPr>
            </w:pPr>
            <w:r>
              <w:rPr>
                <w:noProof/>
              </w:rPr>
              <w:t>Rūpnieciskās lietu interneta monitoringa sistēmas, kas uzstādītas vismaz 1500 elektroenerģijas</w:t>
            </w:r>
            <w:r>
              <w:rPr>
                <w:noProof/>
              </w:rPr>
              <w:t xml:space="preserve"> torņos, lai savāktu datus, kurus var turpināt pārvaldības sistēmā.</w:t>
            </w:r>
          </w:p>
        </w:tc>
      </w:tr>
      <w:tr w:rsidR="00C972CB" w14:paraId="5D811B63" w14:textId="77777777">
        <w:trPr>
          <w:trHeight w:val="2206"/>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1055F1" w14:textId="3D46CE37" w:rsidR="00C972CB" w:rsidRDefault="002457F6">
            <w:pPr>
              <w:pStyle w:val="P68B1DB1-Normal11"/>
              <w:spacing w:after="120"/>
              <w:jc w:val="center"/>
              <w:rPr>
                <w:noProof/>
              </w:rPr>
            </w:pPr>
            <w:r>
              <w:rPr>
                <w:noProof/>
              </w:rPr>
              <w:t>M7–25</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26BDF46A" w14:textId="3D94053D" w:rsidR="00C972CB" w:rsidRDefault="002457F6">
            <w:pPr>
              <w:pStyle w:val="P68B1DB1-Normal11"/>
              <w:spacing w:after="120"/>
              <w:jc w:val="center"/>
              <w:rPr>
                <w:noProof/>
              </w:rPr>
            </w:pPr>
            <w:r>
              <w:rPr>
                <w:noProof/>
              </w:rPr>
              <w:t>Ieguldījums 10: Ilgtspējīga, apritīga un droša kritiski svarīgo izejvielu piegāde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05655B5" w14:textId="11CC62FE" w:rsidR="00C972CB" w:rsidRDefault="002457F6">
            <w:pPr>
              <w:pStyle w:val="P68B1DB1-Normal11"/>
              <w:spacing w:after="120"/>
              <w:jc w:val="center"/>
              <w:rPr>
                <w:noProof/>
              </w:rPr>
            </w:pPr>
            <w:r>
              <w:rPr>
                <w:noProof/>
              </w:rPr>
              <w:t>Starpposma mērķis</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6B22DA5E" w14:textId="04C9391C" w:rsidR="00C972CB" w:rsidRDefault="002457F6">
            <w:pPr>
              <w:pStyle w:val="P68B1DB1-Normal11"/>
              <w:spacing w:after="120"/>
              <w:jc w:val="center"/>
              <w:rPr>
                <w:noProof/>
              </w:rPr>
            </w:pPr>
            <w:r>
              <w:rPr>
                <w:noProof/>
              </w:rPr>
              <w:t>Publicēts ziņojums par KSI nākotnes vajadzībām un ekodizaina potenciālu samazināt</w:t>
            </w:r>
            <w:r>
              <w:rPr>
                <w:noProof/>
              </w:rPr>
              <w:t xml:space="preserve"> pieprasījumu pēc kritiski svarīgām izejvielām</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02B48" w14:textId="74ADDF78" w:rsidR="00C972CB" w:rsidRDefault="002457F6">
            <w:pPr>
              <w:pStyle w:val="P68B1DB1-Normal11"/>
              <w:spacing w:after="120"/>
              <w:jc w:val="center"/>
              <w:rPr>
                <w:noProof/>
              </w:rPr>
            </w:pPr>
            <w:r>
              <w:rPr>
                <w:noProof/>
              </w:rPr>
              <w:t>Ziņojuma publicēšana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9289E" w14:textId="4FA13350" w:rsidR="00C972CB" w:rsidRDefault="002457F6">
            <w:pPr>
              <w:pStyle w:val="P68B1DB1-Normal11"/>
              <w:spacing w:after="120"/>
              <w:jc w:val="center"/>
              <w:rPr>
                <w:noProof/>
              </w:rPr>
            </w:pPr>
            <w:r>
              <w:rPr>
                <w:noProof/>
              </w:rPr>
              <w:t>NEPIEMĒRO</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082FD4" w14:textId="385976C8" w:rsidR="00C972CB" w:rsidRDefault="002457F6">
            <w:pPr>
              <w:pStyle w:val="P68B1DB1-Normal11"/>
              <w:spacing w:after="120"/>
              <w:jc w:val="center"/>
              <w:rPr>
                <w:noProof/>
              </w:rPr>
            </w:pPr>
            <w:r>
              <w:rPr>
                <w:noProof/>
              </w:rPr>
              <w:t>NEPIEMĒRO</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FD0B9" w14:textId="263EEBF4" w:rsidR="00C972CB" w:rsidRDefault="002457F6">
            <w:pPr>
              <w:pStyle w:val="P68B1DB1-Normal11"/>
              <w:spacing w:after="120"/>
              <w:jc w:val="center"/>
              <w:rPr>
                <w:noProof/>
              </w:rPr>
            </w:pPr>
            <w:r>
              <w:rPr>
                <w:noProof/>
              </w:rPr>
              <w:t>NEPIEMĒRO</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73AF2" w14:textId="1DF4308D" w:rsidR="00C972CB" w:rsidRDefault="002457F6">
            <w:pPr>
              <w:pStyle w:val="P68B1DB1-Normal11"/>
              <w:spacing w:after="120"/>
              <w:jc w:val="center"/>
              <w:rPr>
                <w:noProof/>
              </w:rPr>
            </w:pPr>
            <w:r>
              <w:rPr>
                <w:noProof/>
              </w:rPr>
              <w:t>2. CET.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D4BC7" w14:textId="1D0F9F48" w:rsidR="00C972CB" w:rsidRDefault="002457F6">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7710E07D" w14:textId="6B91851F" w:rsidR="00C972CB" w:rsidRDefault="002457F6">
            <w:pPr>
              <w:pStyle w:val="P68B1DB1-Normal11"/>
              <w:spacing w:after="120"/>
              <w:rPr>
                <w:noProof/>
              </w:rPr>
            </w:pPr>
            <w:r>
              <w:rPr>
                <w:noProof/>
              </w:rPr>
              <w:t xml:space="preserve">Ziņojumā analizē KSI nākotnes vajadzības un ekodizaina potenciālu samazināt pieprasījumu pēc kritiski svarīgām izejvielām. </w:t>
            </w:r>
          </w:p>
        </w:tc>
      </w:tr>
      <w:tr w:rsidR="00C972CB" w14:paraId="6B9C217C" w14:textId="77777777">
        <w:trPr>
          <w:trHeight w:val="309"/>
        </w:trPr>
        <w:tc>
          <w:tcPr>
            <w:tcW w:w="1185" w:type="dxa"/>
            <w:shd w:val="clear" w:color="auto" w:fill="C6EFCE"/>
            <w:noWrap/>
            <w:vAlign w:val="center"/>
          </w:tcPr>
          <w:p w14:paraId="4C37C95A" w14:textId="100B3CA0" w:rsidR="00C972CB" w:rsidRDefault="002457F6">
            <w:pPr>
              <w:pStyle w:val="P68B1DB1-Normal11"/>
              <w:spacing w:after="120"/>
              <w:jc w:val="center"/>
              <w:rPr>
                <w:noProof/>
              </w:rPr>
            </w:pPr>
            <w:r>
              <w:rPr>
                <w:noProof/>
              </w:rPr>
              <w:t>M7–26</w:t>
            </w:r>
          </w:p>
        </w:tc>
        <w:tc>
          <w:tcPr>
            <w:tcW w:w="1559" w:type="dxa"/>
            <w:shd w:val="clear" w:color="auto" w:fill="C6EFCE"/>
            <w:noWrap/>
          </w:tcPr>
          <w:p w14:paraId="133462BB" w14:textId="6D361697" w:rsidR="00C972CB" w:rsidRDefault="002457F6">
            <w:pPr>
              <w:pStyle w:val="P68B1DB1-Normal11"/>
              <w:spacing w:after="120"/>
              <w:jc w:val="center"/>
              <w:rPr>
                <w:noProof/>
              </w:rPr>
            </w:pPr>
            <w:r>
              <w:rPr>
                <w:noProof/>
              </w:rPr>
              <w:t xml:space="preserve">Ieguldījums </w:t>
            </w:r>
            <w:r>
              <w:rPr>
                <w:noProof/>
              </w:rPr>
              <w:t>10: Ilgtspējīga, apritīga un droša kritiski svarīgo izejvielu piegāde</w:t>
            </w:r>
          </w:p>
        </w:tc>
        <w:tc>
          <w:tcPr>
            <w:tcW w:w="1134" w:type="dxa"/>
            <w:shd w:val="clear" w:color="auto" w:fill="C6EFCE"/>
            <w:noWrap/>
          </w:tcPr>
          <w:p w14:paraId="5BBC5C06" w14:textId="5745C382" w:rsidR="00C972CB" w:rsidRDefault="002457F6">
            <w:pPr>
              <w:pStyle w:val="P68B1DB1-Normal11"/>
              <w:spacing w:after="120"/>
              <w:jc w:val="center"/>
              <w:rPr>
                <w:noProof/>
              </w:rPr>
            </w:pPr>
            <w:r>
              <w:rPr>
                <w:noProof/>
              </w:rPr>
              <w:t>Mērķa</w:t>
            </w:r>
          </w:p>
        </w:tc>
        <w:tc>
          <w:tcPr>
            <w:tcW w:w="1418" w:type="dxa"/>
            <w:shd w:val="clear" w:color="auto" w:fill="C6EFCE"/>
            <w:noWrap/>
          </w:tcPr>
          <w:p w14:paraId="642345F1" w14:textId="4A98C6C3" w:rsidR="00C972CB" w:rsidRDefault="002457F6">
            <w:pPr>
              <w:pStyle w:val="P68B1DB1-Normal11"/>
              <w:spacing w:after="120"/>
              <w:jc w:val="center"/>
              <w:rPr>
                <w:noProof/>
              </w:rPr>
            </w:pPr>
            <w:r>
              <w:rPr>
                <w:noProof/>
              </w:rPr>
              <w:t>Ģeogrāfiskās informācijas sistēma (ĢIS) par ieguves rūpniecības atkritumiem, lai nodrošinātu kritiski svarīgu izejvielu ilgtspējīgu, apritīgu un drošu piegādi</w:t>
            </w:r>
          </w:p>
        </w:tc>
        <w:tc>
          <w:tcPr>
            <w:tcW w:w="1984" w:type="dxa"/>
            <w:shd w:val="clear" w:color="auto" w:fill="C6EFCE"/>
            <w:noWrap/>
            <w:vAlign w:val="center"/>
          </w:tcPr>
          <w:p w14:paraId="383F20BE" w14:textId="620E1608" w:rsidR="00C972CB" w:rsidRDefault="002457F6">
            <w:pPr>
              <w:pStyle w:val="P68B1DB1-Normal11"/>
              <w:spacing w:after="120"/>
              <w:jc w:val="center"/>
              <w:rPr>
                <w:noProof/>
              </w:rPr>
            </w:pPr>
            <w:r>
              <w:rPr>
                <w:noProof/>
              </w:rPr>
              <w:t>Datubāzes publicēšana</w:t>
            </w:r>
          </w:p>
        </w:tc>
        <w:tc>
          <w:tcPr>
            <w:tcW w:w="1134" w:type="dxa"/>
            <w:shd w:val="clear" w:color="auto" w:fill="C6EFCE"/>
            <w:noWrap/>
            <w:vAlign w:val="center"/>
          </w:tcPr>
          <w:p w14:paraId="68D7EBF8" w14:textId="51702006" w:rsidR="00C972CB" w:rsidRDefault="00C972CB">
            <w:pPr>
              <w:spacing w:after="120"/>
              <w:jc w:val="center"/>
              <w:rPr>
                <w:rFonts w:ascii="Arial Narrow" w:hAnsi="Arial Narrow"/>
                <w:noProof/>
                <w:color w:val="006100"/>
                <w:sz w:val="20"/>
              </w:rPr>
            </w:pPr>
          </w:p>
        </w:tc>
        <w:tc>
          <w:tcPr>
            <w:tcW w:w="993" w:type="dxa"/>
            <w:shd w:val="clear" w:color="auto" w:fill="C6EFCE"/>
            <w:noWrap/>
            <w:vAlign w:val="center"/>
          </w:tcPr>
          <w:p w14:paraId="3E8465DB" w14:textId="55896E54"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78445773" w14:textId="145A78CA"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70DBCF42" w14:textId="2AEEDA6E" w:rsidR="00C972CB" w:rsidRDefault="002457F6">
            <w:pPr>
              <w:pStyle w:val="P68B1DB1-Normal11"/>
              <w:spacing w:after="120"/>
              <w:jc w:val="center"/>
              <w:rPr>
                <w:noProof/>
              </w:rPr>
            </w:pPr>
            <w:r>
              <w:rPr>
                <w:noProof/>
              </w:rPr>
              <w:t>4. CET.</w:t>
            </w:r>
          </w:p>
        </w:tc>
        <w:tc>
          <w:tcPr>
            <w:tcW w:w="709" w:type="dxa"/>
            <w:shd w:val="clear" w:color="auto" w:fill="C6EFCE"/>
            <w:noWrap/>
            <w:vAlign w:val="center"/>
          </w:tcPr>
          <w:p w14:paraId="3BAB1A2D" w14:textId="7CC250A2" w:rsidR="00C972CB" w:rsidRDefault="002457F6">
            <w:pPr>
              <w:pStyle w:val="P68B1DB1-Normal11"/>
              <w:spacing w:after="120"/>
              <w:jc w:val="center"/>
              <w:rPr>
                <w:noProof/>
              </w:rPr>
            </w:pPr>
            <w:r>
              <w:rPr>
                <w:noProof/>
              </w:rPr>
              <w:t>2025</w:t>
            </w:r>
          </w:p>
        </w:tc>
        <w:tc>
          <w:tcPr>
            <w:tcW w:w="3261" w:type="dxa"/>
            <w:shd w:val="clear" w:color="auto" w:fill="C6EFCE"/>
            <w:noWrap/>
            <w:vAlign w:val="center"/>
          </w:tcPr>
          <w:p w14:paraId="2E180C49" w14:textId="1654ED69" w:rsidR="00C972CB" w:rsidRDefault="002457F6">
            <w:pPr>
              <w:pStyle w:val="P68B1DB1-Normal11"/>
              <w:rPr>
                <w:noProof/>
              </w:rPr>
            </w:pPr>
            <w:r>
              <w:rPr>
                <w:noProof/>
              </w:rPr>
              <w:t>Publiska datubāze (ģeogrāfiskās informācijas sistēma), kas ļauj ģeolokalizēt un vizualizēt reciklējamus resursus vai materiālus pilsētvidē (pilsētu raktuvēs), kā arī esošos atkritumus pamestās raktuvēs.</w:t>
            </w:r>
          </w:p>
        </w:tc>
      </w:tr>
      <w:tr w:rsidR="00C972CB" w14:paraId="181B484A" w14:textId="77777777">
        <w:trPr>
          <w:trHeight w:val="309"/>
        </w:trPr>
        <w:tc>
          <w:tcPr>
            <w:tcW w:w="1185" w:type="dxa"/>
            <w:shd w:val="clear" w:color="auto" w:fill="C6EFCE"/>
            <w:noWrap/>
            <w:vAlign w:val="center"/>
          </w:tcPr>
          <w:p w14:paraId="187631E0" w14:textId="4389CF5A" w:rsidR="00C972CB" w:rsidRDefault="002457F6">
            <w:pPr>
              <w:pStyle w:val="P68B1DB1-Normal11"/>
              <w:spacing w:after="120"/>
              <w:jc w:val="center"/>
              <w:rPr>
                <w:noProof/>
              </w:rPr>
            </w:pPr>
            <w:r>
              <w:rPr>
                <w:noProof/>
              </w:rPr>
              <w:t>M7–27</w:t>
            </w:r>
          </w:p>
        </w:tc>
        <w:tc>
          <w:tcPr>
            <w:tcW w:w="1559" w:type="dxa"/>
            <w:shd w:val="clear" w:color="auto" w:fill="C6EFCE"/>
            <w:noWrap/>
          </w:tcPr>
          <w:p w14:paraId="09641F0B" w14:textId="5D3B7055" w:rsidR="00C972CB" w:rsidRDefault="002457F6">
            <w:pPr>
              <w:pStyle w:val="P68B1DB1-Normal11"/>
              <w:spacing w:after="120"/>
              <w:jc w:val="center"/>
              <w:rPr>
                <w:noProof/>
              </w:rPr>
            </w:pPr>
            <w:r>
              <w:rPr>
                <w:noProof/>
              </w:rPr>
              <w:t xml:space="preserve">Ieguldījums 10: Ilgtspējīga, </w:t>
            </w:r>
            <w:r>
              <w:rPr>
                <w:noProof/>
              </w:rPr>
              <w:t>apritīga un droša kritiski svarīgo izejvielu piegāde</w:t>
            </w:r>
          </w:p>
        </w:tc>
        <w:tc>
          <w:tcPr>
            <w:tcW w:w="1134" w:type="dxa"/>
            <w:shd w:val="clear" w:color="auto" w:fill="C6EFCE"/>
            <w:noWrap/>
          </w:tcPr>
          <w:p w14:paraId="6107931B" w14:textId="66888D2A" w:rsidR="00C972CB" w:rsidRDefault="002457F6">
            <w:pPr>
              <w:pStyle w:val="P68B1DB1-Normal11"/>
              <w:spacing w:after="120"/>
              <w:jc w:val="center"/>
              <w:rPr>
                <w:noProof/>
              </w:rPr>
            </w:pPr>
            <w:r>
              <w:rPr>
                <w:noProof/>
              </w:rPr>
              <w:t xml:space="preserve">Mērķa </w:t>
            </w:r>
          </w:p>
        </w:tc>
        <w:tc>
          <w:tcPr>
            <w:tcW w:w="1418" w:type="dxa"/>
            <w:shd w:val="clear" w:color="auto" w:fill="C6EFCE"/>
            <w:noWrap/>
          </w:tcPr>
          <w:p w14:paraId="7AA34FCB" w14:textId="1450937F" w:rsidR="00C972CB" w:rsidRDefault="002457F6">
            <w:pPr>
              <w:pStyle w:val="P68B1DB1-Normal11"/>
              <w:spacing w:after="120"/>
              <w:jc w:val="center"/>
              <w:rPr>
                <w:noProof/>
              </w:rPr>
            </w:pPr>
            <w:r>
              <w:rPr>
                <w:noProof/>
              </w:rPr>
              <w:t>Pētniecības un izstrādes projektu pabeigšana ekodizaina un pilsētvides ieguves jomā, lai nodrošinātu kritiski svarīgu izejvielu ilgtspējīgu, apritīgu un drošu piegādi</w:t>
            </w:r>
          </w:p>
        </w:tc>
        <w:tc>
          <w:tcPr>
            <w:tcW w:w="1984" w:type="dxa"/>
            <w:shd w:val="clear" w:color="auto" w:fill="C6EFCE"/>
            <w:noWrap/>
            <w:vAlign w:val="center"/>
          </w:tcPr>
          <w:p w14:paraId="6639088B" w14:textId="6B6C5FE8"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3509A89E" w14:textId="2CFC67E5" w:rsidR="00C972CB" w:rsidRDefault="002457F6">
            <w:pPr>
              <w:pStyle w:val="P68B1DB1-Normal11"/>
              <w:spacing w:after="120"/>
              <w:jc w:val="center"/>
              <w:rPr>
                <w:noProof/>
              </w:rPr>
            </w:pPr>
            <w:r>
              <w:rPr>
                <w:noProof/>
              </w:rPr>
              <w:t>Skaits</w:t>
            </w:r>
          </w:p>
        </w:tc>
        <w:tc>
          <w:tcPr>
            <w:tcW w:w="993" w:type="dxa"/>
            <w:shd w:val="clear" w:color="auto" w:fill="C6EFCE"/>
            <w:noWrap/>
            <w:vAlign w:val="center"/>
          </w:tcPr>
          <w:p w14:paraId="4E96935C" w14:textId="089CF2FD" w:rsidR="00C972CB" w:rsidRDefault="002457F6">
            <w:pPr>
              <w:pStyle w:val="P68B1DB1-Normal11"/>
              <w:spacing w:after="120"/>
              <w:jc w:val="center"/>
              <w:rPr>
                <w:noProof/>
              </w:rPr>
            </w:pPr>
            <w:r>
              <w:rPr>
                <w:noProof/>
              </w:rPr>
              <w:t>0</w:t>
            </w:r>
          </w:p>
        </w:tc>
        <w:tc>
          <w:tcPr>
            <w:tcW w:w="992" w:type="dxa"/>
            <w:shd w:val="clear" w:color="auto" w:fill="C6EFCE"/>
            <w:noWrap/>
            <w:vAlign w:val="center"/>
          </w:tcPr>
          <w:p w14:paraId="01A001B9" w14:textId="07AF4616" w:rsidR="00C972CB" w:rsidRDefault="002457F6">
            <w:pPr>
              <w:pStyle w:val="P68B1DB1-Normal11"/>
              <w:spacing w:after="120"/>
              <w:jc w:val="center"/>
              <w:rPr>
                <w:noProof/>
              </w:rPr>
            </w:pPr>
            <w:r>
              <w:rPr>
                <w:noProof/>
              </w:rPr>
              <w:t>10</w:t>
            </w:r>
          </w:p>
        </w:tc>
        <w:tc>
          <w:tcPr>
            <w:tcW w:w="992" w:type="dxa"/>
            <w:shd w:val="clear" w:color="auto" w:fill="C6EFCE"/>
            <w:noWrap/>
            <w:vAlign w:val="center"/>
          </w:tcPr>
          <w:p w14:paraId="726ECCC1" w14:textId="54A859CE"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1FB1EAF2" w14:textId="221B81ED" w:rsidR="00C972CB" w:rsidRDefault="002457F6">
            <w:pPr>
              <w:pStyle w:val="P68B1DB1-Normal11"/>
              <w:spacing w:after="120"/>
              <w:jc w:val="center"/>
              <w:rPr>
                <w:noProof/>
              </w:rPr>
            </w:pPr>
            <w:r>
              <w:rPr>
                <w:noProof/>
              </w:rPr>
              <w:t>2026</w:t>
            </w:r>
          </w:p>
        </w:tc>
        <w:tc>
          <w:tcPr>
            <w:tcW w:w="3261" w:type="dxa"/>
            <w:shd w:val="clear" w:color="auto" w:fill="C6EFCE"/>
            <w:noWrap/>
          </w:tcPr>
          <w:p w14:paraId="078F1B69" w14:textId="64BA73D8" w:rsidR="00C972CB" w:rsidRDefault="002457F6">
            <w:pPr>
              <w:pStyle w:val="P68B1DB1-Normal11"/>
              <w:spacing w:after="120"/>
              <w:rPr>
                <w:noProof/>
              </w:rPr>
            </w:pPr>
            <w:r>
              <w:rPr>
                <w:noProof/>
              </w:rPr>
              <w:t>Pabeigt vismaz 10 pētniecības un izstrādes projektus, kas vērsti uz ekodizainu un elektrisko un elektronisko iekārtu atkritumu, tostarp vējturbīnu lāpstiņu un fotoelementu paneļu, savākšanas, loģistikas un pārstrādes uzlabošanu.</w:t>
            </w:r>
          </w:p>
        </w:tc>
      </w:tr>
      <w:tr w:rsidR="00C972CB" w14:paraId="292ED427" w14:textId="77777777">
        <w:trPr>
          <w:trHeight w:val="309"/>
        </w:trPr>
        <w:tc>
          <w:tcPr>
            <w:tcW w:w="1185" w:type="dxa"/>
            <w:shd w:val="clear" w:color="auto" w:fill="C6EFCE"/>
            <w:noWrap/>
            <w:vAlign w:val="center"/>
          </w:tcPr>
          <w:p w14:paraId="39005B4C" w14:textId="3EF934FD" w:rsidR="00C972CB" w:rsidRDefault="002457F6">
            <w:pPr>
              <w:pStyle w:val="P68B1DB1-Normal11"/>
              <w:spacing w:after="120"/>
              <w:jc w:val="center"/>
              <w:rPr>
                <w:noProof/>
              </w:rPr>
            </w:pPr>
            <w:r>
              <w:rPr>
                <w:noProof/>
              </w:rPr>
              <w:t>M7–28</w:t>
            </w:r>
          </w:p>
        </w:tc>
        <w:tc>
          <w:tcPr>
            <w:tcW w:w="1559" w:type="dxa"/>
            <w:shd w:val="clear" w:color="auto" w:fill="C6EFCE"/>
            <w:noWrap/>
            <w:vAlign w:val="center"/>
          </w:tcPr>
          <w:p w14:paraId="5DBB4E3F" w14:textId="27942131" w:rsidR="00C972CB" w:rsidRDefault="002457F6">
            <w:pPr>
              <w:pStyle w:val="P68B1DB1-Normal11"/>
              <w:spacing w:after="120"/>
              <w:jc w:val="center"/>
              <w:rPr>
                <w:noProof/>
              </w:rPr>
            </w:pPr>
            <w:r>
              <w:rPr>
                <w:noProof/>
              </w:rPr>
              <w:t xml:space="preserve">Ieguldījums 10: </w:t>
            </w:r>
            <w:r>
              <w:rPr>
                <w:noProof/>
              </w:rPr>
              <w:t>Ilgtspējīga, apritīga un droša kritiski svarīgo izejvielu piegāde</w:t>
            </w:r>
          </w:p>
        </w:tc>
        <w:tc>
          <w:tcPr>
            <w:tcW w:w="1134" w:type="dxa"/>
            <w:shd w:val="clear" w:color="auto" w:fill="C6EFCE"/>
            <w:noWrap/>
            <w:vAlign w:val="center"/>
          </w:tcPr>
          <w:p w14:paraId="75B5A658" w14:textId="0120C2DE" w:rsidR="00C972CB" w:rsidRDefault="002457F6">
            <w:pPr>
              <w:pStyle w:val="P68B1DB1-Normal11"/>
              <w:spacing w:after="120"/>
              <w:jc w:val="center"/>
              <w:rPr>
                <w:noProof/>
              </w:rPr>
            </w:pPr>
            <w:r>
              <w:rPr>
                <w:noProof/>
              </w:rPr>
              <w:t>Mērķa</w:t>
            </w:r>
          </w:p>
        </w:tc>
        <w:tc>
          <w:tcPr>
            <w:tcW w:w="1418" w:type="dxa"/>
            <w:shd w:val="clear" w:color="auto" w:fill="C6EFCE"/>
            <w:noWrap/>
            <w:vAlign w:val="center"/>
          </w:tcPr>
          <w:p w14:paraId="54BB678B" w14:textId="60E07BA3" w:rsidR="00C972CB" w:rsidRDefault="002457F6">
            <w:pPr>
              <w:pStyle w:val="P68B1DB1-Normal11"/>
              <w:spacing w:after="120"/>
              <w:jc w:val="center"/>
              <w:rPr>
                <w:noProof/>
              </w:rPr>
            </w:pPr>
            <w:r>
              <w:rPr>
                <w:noProof/>
              </w:rPr>
              <w:t>To laboratoriju iekārtas, kas pieder Pilsētvides ieguves un ekodizaina tehnoloģiskajam centram</w:t>
            </w:r>
          </w:p>
        </w:tc>
        <w:tc>
          <w:tcPr>
            <w:tcW w:w="1984" w:type="dxa"/>
            <w:shd w:val="clear" w:color="auto" w:fill="C6EFCE"/>
            <w:noWrap/>
          </w:tcPr>
          <w:p w14:paraId="348016CA" w14:textId="77777777" w:rsidR="00C972CB" w:rsidRDefault="00C972CB">
            <w:pPr>
              <w:spacing w:after="120"/>
              <w:jc w:val="center"/>
              <w:rPr>
                <w:rFonts w:ascii="Arial Narrow" w:hAnsi="Arial Narrow"/>
                <w:noProof/>
                <w:color w:val="006100"/>
                <w:sz w:val="20"/>
              </w:rPr>
            </w:pPr>
          </w:p>
        </w:tc>
        <w:tc>
          <w:tcPr>
            <w:tcW w:w="1134" w:type="dxa"/>
            <w:shd w:val="clear" w:color="auto" w:fill="C6EFCE"/>
            <w:noWrap/>
            <w:vAlign w:val="center"/>
          </w:tcPr>
          <w:p w14:paraId="30F70E50" w14:textId="51F37EFA" w:rsidR="00C972CB" w:rsidRDefault="002457F6">
            <w:pPr>
              <w:pStyle w:val="P68B1DB1-Normal11"/>
              <w:spacing w:after="120"/>
              <w:jc w:val="center"/>
              <w:rPr>
                <w:noProof/>
              </w:rPr>
            </w:pPr>
            <w:r>
              <w:rPr>
                <w:noProof/>
              </w:rPr>
              <w:t>Skaits</w:t>
            </w:r>
          </w:p>
        </w:tc>
        <w:tc>
          <w:tcPr>
            <w:tcW w:w="993" w:type="dxa"/>
            <w:shd w:val="clear" w:color="auto" w:fill="C6EFCE"/>
            <w:noWrap/>
            <w:vAlign w:val="center"/>
          </w:tcPr>
          <w:p w14:paraId="10ECDF1E" w14:textId="132ABB70" w:rsidR="00C972CB" w:rsidRDefault="002457F6">
            <w:pPr>
              <w:pStyle w:val="P68B1DB1-Normal11"/>
              <w:spacing w:after="120"/>
              <w:jc w:val="center"/>
              <w:rPr>
                <w:noProof/>
              </w:rPr>
            </w:pPr>
            <w:r>
              <w:rPr>
                <w:noProof/>
              </w:rPr>
              <w:t>0</w:t>
            </w:r>
          </w:p>
        </w:tc>
        <w:tc>
          <w:tcPr>
            <w:tcW w:w="992" w:type="dxa"/>
            <w:shd w:val="clear" w:color="auto" w:fill="C6EFCE"/>
            <w:noWrap/>
            <w:vAlign w:val="center"/>
          </w:tcPr>
          <w:p w14:paraId="6A384362" w14:textId="768A30DC" w:rsidR="00C972CB" w:rsidRDefault="002457F6">
            <w:pPr>
              <w:pStyle w:val="P68B1DB1-Normal11"/>
              <w:spacing w:after="120"/>
              <w:jc w:val="center"/>
              <w:rPr>
                <w:noProof/>
              </w:rPr>
            </w:pPr>
            <w:r>
              <w:rPr>
                <w:noProof/>
              </w:rPr>
              <w:t>6</w:t>
            </w:r>
          </w:p>
        </w:tc>
        <w:tc>
          <w:tcPr>
            <w:tcW w:w="992" w:type="dxa"/>
            <w:shd w:val="clear" w:color="auto" w:fill="C6EFCE"/>
            <w:noWrap/>
            <w:vAlign w:val="center"/>
          </w:tcPr>
          <w:p w14:paraId="0B7DFD5E" w14:textId="36C37718" w:rsidR="00C972CB" w:rsidRDefault="002457F6">
            <w:pPr>
              <w:pStyle w:val="P68B1DB1-Normal11"/>
              <w:spacing w:after="120"/>
              <w:jc w:val="center"/>
              <w:rPr>
                <w:noProof/>
              </w:rPr>
            </w:pPr>
            <w:r>
              <w:rPr>
                <w:noProof/>
              </w:rPr>
              <w:t>2. CET.</w:t>
            </w:r>
          </w:p>
        </w:tc>
        <w:tc>
          <w:tcPr>
            <w:tcW w:w="709" w:type="dxa"/>
            <w:shd w:val="clear" w:color="auto" w:fill="C6EFCE"/>
            <w:noWrap/>
            <w:vAlign w:val="center"/>
          </w:tcPr>
          <w:p w14:paraId="7B6DAECD" w14:textId="7510DE83"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4AF98BFB" w14:textId="77777777" w:rsidR="00C972CB" w:rsidRDefault="002457F6">
            <w:pPr>
              <w:pStyle w:val="P68B1DB1-Normal11"/>
              <w:spacing w:after="120"/>
              <w:rPr>
                <w:noProof/>
              </w:rPr>
            </w:pPr>
            <w:r>
              <w:rPr>
                <w:noProof/>
              </w:rPr>
              <w:t>Vismaz 6 laboratoriju aprīkojums, kas pieder Pilsētvides ieguves</w:t>
            </w:r>
            <w:r>
              <w:rPr>
                <w:noProof/>
              </w:rPr>
              <w:t xml:space="preserve"> un ekodizaina tehnoloģiskajam centram.</w:t>
            </w:r>
          </w:p>
          <w:p w14:paraId="39D7DC65" w14:textId="32D47575" w:rsidR="00C972CB" w:rsidRDefault="002457F6">
            <w:pPr>
              <w:pStyle w:val="P68B1DB1-Normal11"/>
              <w:spacing w:after="120"/>
              <w:rPr>
                <w:noProof/>
              </w:rPr>
            </w:pPr>
            <w:r>
              <w:rPr>
                <w:noProof/>
              </w:rPr>
              <w:t xml:space="preserve">Laboratorijas ļauj privātiem uzņēmumiem un pētniecības iestādēm sadarboties, meklējot risinājumus, kuru mērķis ir palielināt ar zaļo pārkārtošanos saistīto kritiski svarīgo izejvielu atveseļošanu un reciklēšanu. </w:t>
            </w:r>
          </w:p>
        </w:tc>
      </w:tr>
      <w:tr w:rsidR="00C972CB" w14:paraId="2AB281F8" w14:textId="77777777">
        <w:trPr>
          <w:trHeight w:val="309"/>
        </w:trPr>
        <w:tc>
          <w:tcPr>
            <w:tcW w:w="1185" w:type="dxa"/>
            <w:tcBorders>
              <w:bottom w:val="single" w:sz="4" w:space="0" w:color="auto"/>
            </w:tcBorders>
            <w:shd w:val="clear" w:color="auto" w:fill="C6EFCE"/>
            <w:noWrap/>
            <w:vAlign w:val="center"/>
          </w:tcPr>
          <w:p w14:paraId="2AF02F49" w14:textId="77FB5D70" w:rsidR="00C972CB" w:rsidRDefault="002457F6">
            <w:pPr>
              <w:pStyle w:val="P68B1DB1-Normal11"/>
              <w:spacing w:after="120"/>
              <w:jc w:val="center"/>
              <w:rPr>
                <w:noProof/>
              </w:rPr>
            </w:pPr>
            <w:r>
              <w:rPr>
                <w:noProof/>
              </w:rPr>
              <w:t>M7–29</w:t>
            </w:r>
          </w:p>
        </w:tc>
        <w:tc>
          <w:tcPr>
            <w:tcW w:w="1559" w:type="dxa"/>
            <w:tcBorders>
              <w:bottom w:val="single" w:sz="4" w:space="0" w:color="auto"/>
            </w:tcBorders>
            <w:shd w:val="clear" w:color="auto" w:fill="C6EFCE"/>
            <w:noWrap/>
            <w:vAlign w:val="center"/>
          </w:tcPr>
          <w:p w14:paraId="5B52C754" w14:textId="1650BE13" w:rsidR="00C972CB" w:rsidRDefault="002457F6">
            <w:pPr>
              <w:pStyle w:val="P68B1DB1-Normal11"/>
              <w:spacing w:after="120"/>
              <w:jc w:val="center"/>
              <w:rPr>
                <w:noProof/>
              </w:rPr>
            </w:pPr>
            <w:r>
              <w:rPr>
                <w:noProof/>
              </w:rPr>
              <w:t>Ieguldījums 9: Izvēršanas pasākums: Sniegt tehnisko palīdzību un stiprināt spēju veidošanu Itālijas atveseļošanas un noturības plāna īstenošanai</w:t>
            </w:r>
          </w:p>
        </w:tc>
        <w:tc>
          <w:tcPr>
            <w:tcW w:w="1134" w:type="dxa"/>
            <w:tcBorders>
              <w:bottom w:val="single" w:sz="4" w:space="0" w:color="auto"/>
            </w:tcBorders>
            <w:shd w:val="clear" w:color="auto" w:fill="C6EFCE"/>
            <w:noWrap/>
            <w:vAlign w:val="center"/>
          </w:tcPr>
          <w:p w14:paraId="11B5CA1E" w14:textId="5BA81A3B" w:rsidR="00C972CB" w:rsidRDefault="002457F6">
            <w:pPr>
              <w:pStyle w:val="P68B1DB1-Normal11"/>
              <w:spacing w:after="120"/>
              <w:jc w:val="center"/>
              <w:rPr>
                <w:noProof/>
              </w:rPr>
            </w:pPr>
            <w:r>
              <w:rPr>
                <w:noProof/>
              </w:rPr>
              <w:t>Mērķa</w:t>
            </w:r>
          </w:p>
        </w:tc>
        <w:tc>
          <w:tcPr>
            <w:tcW w:w="1418" w:type="dxa"/>
            <w:tcBorders>
              <w:bottom w:val="single" w:sz="4" w:space="0" w:color="auto"/>
            </w:tcBorders>
            <w:shd w:val="clear" w:color="auto" w:fill="C6EFCE"/>
            <w:noWrap/>
            <w:vAlign w:val="center"/>
          </w:tcPr>
          <w:p w14:paraId="0617AA42" w14:textId="177D46B2" w:rsidR="00C972CB" w:rsidRDefault="002457F6">
            <w:pPr>
              <w:pStyle w:val="P68B1DB1-Normal11"/>
              <w:spacing w:after="120"/>
              <w:jc w:val="center"/>
              <w:rPr>
                <w:noProof/>
              </w:rPr>
            </w:pPr>
            <w:r>
              <w:rPr>
                <w:noProof/>
              </w:rPr>
              <w:t>Izglītība un apmācība</w:t>
            </w:r>
          </w:p>
        </w:tc>
        <w:tc>
          <w:tcPr>
            <w:tcW w:w="1984" w:type="dxa"/>
            <w:tcBorders>
              <w:bottom w:val="single" w:sz="4" w:space="0" w:color="auto"/>
            </w:tcBorders>
            <w:shd w:val="clear" w:color="auto" w:fill="C6EFCE"/>
            <w:noWrap/>
            <w:vAlign w:val="center"/>
          </w:tcPr>
          <w:p w14:paraId="54EB52C8" w14:textId="77777777" w:rsidR="00C972CB" w:rsidRDefault="00C972CB">
            <w:pPr>
              <w:spacing w:after="120"/>
              <w:jc w:val="center"/>
              <w:rPr>
                <w:rFonts w:ascii="Arial Narrow" w:hAnsi="Arial Narrow"/>
                <w:noProof/>
                <w:color w:val="006100"/>
                <w:sz w:val="20"/>
              </w:rPr>
            </w:pPr>
          </w:p>
        </w:tc>
        <w:tc>
          <w:tcPr>
            <w:tcW w:w="1134" w:type="dxa"/>
            <w:tcBorders>
              <w:bottom w:val="single" w:sz="4" w:space="0" w:color="auto"/>
            </w:tcBorders>
            <w:shd w:val="clear" w:color="auto" w:fill="C6EFCE"/>
            <w:noWrap/>
            <w:vAlign w:val="center"/>
          </w:tcPr>
          <w:p w14:paraId="62D3B452" w14:textId="1A11D588" w:rsidR="00C972CB" w:rsidRDefault="002457F6">
            <w:pPr>
              <w:pStyle w:val="P68B1DB1-Normal11"/>
              <w:spacing w:after="120"/>
              <w:jc w:val="center"/>
              <w:rPr>
                <w:noProof/>
              </w:rPr>
            </w:pPr>
            <w:r>
              <w:rPr>
                <w:noProof/>
              </w:rPr>
              <w:t>Skaits</w:t>
            </w:r>
          </w:p>
        </w:tc>
        <w:tc>
          <w:tcPr>
            <w:tcW w:w="993" w:type="dxa"/>
            <w:tcBorders>
              <w:bottom w:val="single" w:sz="4" w:space="0" w:color="auto"/>
            </w:tcBorders>
            <w:shd w:val="clear" w:color="auto" w:fill="C6EFCE"/>
            <w:noWrap/>
            <w:vAlign w:val="center"/>
          </w:tcPr>
          <w:p w14:paraId="6EB99CAE" w14:textId="1D935E0D" w:rsidR="00C972CB" w:rsidRDefault="002457F6">
            <w:pPr>
              <w:pStyle w:val="P68B1DB1-Normal11"/>
              <w:spacing w:after="120"/>
              <w:jc w:val="center"/>
              <w:rPr>
                <w:noProof/>
              </w:rPr>
            </w:pPr>
            <w:r>
              <w:rPr>
                <w:noProof/>
              </w:rPr>
              <w:t>280 000</w:t>
            </w:r>
          </w:p>
        </w:tc>
        <w:tc>
          <w:tcPr>
            <w:tcW w:w="992" w:type="dxa"/>
            <w:tcBorders>
              <w:bottom w:val="single" w:sz="4" w:space="0" w:color="auto"/>
            </w:tcBorders>
            <w:shd w:val="clear" w:color="auto" w:fill="C6EFCE"/>
            <w:noWrap/>
            <w:vAlign w:val="center"/>
          </w:tcPr>
          <w:p w14:paraId="61BCB8D1" w14:textId="3E995D1C" w:rsidR="00C972CB" w:rsidRDefault="002457F6">
            <w:pPr>
              <w:pStyle w:val="P68B1DB1-Normal11"/>
              <w:spacing w:after="120"/>
              <w:jc w:val="center"/>
              <w:rPr>
                <w:noProof/>
              </w:rPr>
            </w:pPr>
            <w:r>
              <w:rPr>
                <w:noProof/>
              </w:rPr>
              <w:t>281 750</w:t>
            </w:r>
          </w:p>
        </w:tc>
        <w:tc>
          <w:tcPr>
            <w:tcW w:w="992" w:type="dxa"/>
            <w:tcBorders>
              <w:bottom w:val="single" w:sz="4" w:space="0" w:color="auto"/>
            </w:tcBorders>
            <w:shd w:val="clear" w:color="auto" w:fill="C6EFCE"/>
            <w:noWrap/>
            <w:vAlign w:val="center"/>
          </w:tcPr>
          <w:p w14:paraId="200B22A3" w14:textId="6CA4A05F" w:rsidR="00C972CB" w:rsidRDefault="002457F6">
            <w:pPr>
              <w:pStyle w:val="P68B1DB1-Normal11"/>
              <w:spacing w:after="120"/>
              <w:jc w:val="center"/>
              <w:rPr>
                <w:noProof/>
              </w:rPr>
            </w:pPr>
            <w:r>
              <w:rPr>
                <w:noProof/>
              </w:rPr>
              <w:t>2. CET.</w:t>
            </w:r>
          </w:p>
        </w:tc>
        <w:tc>
          <w:tcPr>
            <w:tcW w:w="709" w:type="dxa"/>
            <w:tcBorders>
              <w:bottom w:val="single" w:sz="4" w:space="0" w:color="auto"/>
            </w:tcBorders>
            <w:shd w:val="clear" w:color="auto" w:fill="C6EFCE"/>
            <w:noWrap/>
            <w:vAlign w:val="center"/>
          </w:tcPr>
          <w:p w14:paraId="663C9297" w14:textId="02A95719" w:rsidR="00C972CB" w:rsidRDefault="002457F6">
            <w:pPr>
              <w:pStyle w:val="P68B1DB1-Normal11"/>
              <w:spacing w:after="120"/>
              <w:jc w:val="center"/>
              <w:rPr>
                <w:noProof/>
              </w:rPr>
            </w:pPr>
            <w:r>
              <w:rPr>
                <w:noProof/>
              </w:rPr>
              <w:t>2026</w:t>
            </w:r>
          </w:p>
        </w:tc>
        <w:tc>
          <w:tcPr>
            <w:tcW w:w="3261" w:type="dxa"/>
            <w:tcBorders>
              <w:bottom w:val="single" w:sz="4" w:space="0" w:color="auto"/>
            </w:tcBorders>
            <w:shd w:val="clear" w:color="auto" w:fill="C6EFCE"/>
            <w:noWrap/>
            <w:vAlign w:val="center"/>
          </w:tcPr>
          <w:p w14:paraId="357F13DA" w14:textId="58836E0A" w:rsidR="00C972CB" w:rsidRDefault="002457F6">
            <w:pPr>
              <w:pStyle w:val="P68B1DB1-Normal11"/>
              <w:spacing w:after="120"/>
              <w:rPr>
                <w:noProof/>
              </w:rPr>
            </w:pPr>
            <w:r>
              <w:rPr>
                <w:noProof/>
              </w:rPr>
              <w:t xml:space="preserve">Vismaz 281750 citu valsts pārvaldes </w:t>
            </w:r>
            <w:r>
              <w:rPr>
                <w:noProof/>
              </w:rPr>
              <w:t>iestāžu darbinieku ir sekmīgi pabeiguši apmācības iniciatīvas (oficiālo sertifikāciju vai ietekmes novērtējumu).</w:t>
            </w:r>
          </w:p>
          <w:p w14:paraId="3CD0A0B8" w14:textId="46A669D9" w:rsidR="00C972CB" w:rsidRDefault="002457F6">
            <w:pPr>
              <w:pStyle w:val="P68B1DB1-Normal11"/>
              <w:spacing w:after="120"/>
              <w:rPr>
                <w:noProof/>
              </w:rPr>
            </w:pPr>
            <w:r>
              <w:rPr>
                <w:noProof/>
              </w:rPr>
              <w:t>Vismaz 1750 no šiem publiskā sektora darbiniekiem ir nodarbināti vietējā sabiedrībā un ir pabeiguši apmācības iniciatīvas par zaļo pārkārtošano</w:t>
            </w:r>
            <w:r>
              <w:rPr>
                <w:noProof/>
              </w:rPr>
              <w:t>s, kā sīki izklāstīts pasākuma aprakstā.</w:t>
            </w:r>
          </w:p>
        </w:tc>
      </w:tr>
      <w:tr w:rsidR="00C972CB" w14:paraId="52FBA040" w14:textId="77777777">
        <w:trPr>
          <w:trHeight w:val="309"/>
        </w:trPr>
        <w:tc>
          <w:tcPr>
            <w:tcW w:w="1185" w:type="dxa"/>
            <w:tcBorders>
              <w:top w:val="single" w:sz="4" w:space="0" w:color="auto"/>
            </w:tcBorders>
            <w:shd w:val="clear" w:color="auto" w:fill="C6EFCE"/>
            <w:noWrap/>
            <w:vAlign w:val="center"/>
          </w:tcPr>
          <w:p w14:paraId="31137837" w14:textId="403ED2A0" w:rsidR="00C972CB" w:rsidRDefault="002457F6">
            <w:pPr>
              <w:pStyle w:val="P68B1DB1-Normal11"/>
              <w:spacing w:after="120"/>
              <w:jc w:val="center"/>
              <w:rPr>
                <w:noProof/>
              </w:rPr>
            </w:pPr>
            <w:r>
              <w:rPr>
                <w:noProof/>
              </w:rPr>
              <w:t>M7–30</w:t>
            </w:r>
          </w:p>
        </w:tc>
        <w:tc>
          <w:tcPr>
            <w:tcW w:w="1559" w:type="dxa"/>
            <w:tcBorders>
              <w:top w:val="single" w:sz="4" w:space="0" w:color="auto"/>
            </w:tcBorders>
            <w:shd w:val="clear" w:color="auto" w:fill="C6EFCE"/>
            <w:noWrap/>
            <w:vAlign w:val="center"/>
          </w:tcPr>
          <w:p w14:paraId="52F7A3D5" w14:textId="5754BEE3" w:rsidR="00C972CB" w:rsidRDefault="002457F6">
            <w:pPr>
              <w:pStyle w:val="P68B1DB1-Normal11"/>
              <w:spacing w:after="120"/>
              <w:jc w:val="center"/>
              <w:rPr>
                <w:noProof/>
              </w:rPr>
            </w:pPr>
            <w:r>
              <w:rPr>
                <w:noProof/>
              </w:rPr>
              <w:t>Ieguldījums 10: Izmēģinājuma projekti par prasmēm “Crescere Green”</w:t>
            </w:r>
          </w:p>
        </w:tc>
        <w:tc>
          <w:tcPr>
            <w:tcW w:w="1134" w:type="dxa"/>
            <w:tcBorders>
              <w:top w:val="single" w:sz="4" w:space="0" w:color="auto"/>
            </w:tcBorders>
            <w:shd w:val="clear" w:color="auto" w:fill="C6EFCE"/>
            <w:noWrap/>
            <w:vAlign w:val="center"/>
          </w:tcPr>
          <w:p w14:paraId="0154F1A8" w14:textId="4B4BAD31" w:rsidR="00C972CB" w:rsidRDefault="002457F6">
            <w:pPr>
              <w:pStyle w:val="P68B1DB1-Normal11"/>
              <w:spacing w:after="120"/>
              <w:jc w:val="center"/>
              <w:rPr>
                <w:noProof/>
              </w:rPr>
            </w:pPr>
            <w:r>
              <w:rPr>
                <w:noProof/>
              </w:rPr>
              <w:t>Mērķa</w:t>
            </w:r>
          </w:p>
        </w:tc>
        <w:tc>
          <w:tcPr>
            <w:tcW w:w="1418" w:type="dxa"/>
            <w:tcBorders>
              <w:top w:val="single" w:sz="4" w:space="0" w:color="auto"/>
            </w:tcBorders>
            <w:shd w:val="clear" w:color="auto" w:fill="C6EFCE"/>
            <w:noWrap/>
            <w:vAlign w:val="center"/>
          </w:tcPr>
          <w:p w14:paraId="32C77440" w14:textId="6F34496B" w:rsidR="00C972CB" w:rsidRDefault="002457F6">
            <w:pPr>
              <w:pStyle w:val="P68B1DB1-Normal11"/>
              <w:spacing w:after="120"/>
              <w:jc w:val="center"/>
              <w:rPr>
                <w:noProof/>
              </w:rPr>
            </w:pPr>
            <w:r>
              <w:rPr>
                <w:noProof/>
              </w:rPr>
              <w:t>Apmācības nodrošināšana 20000 cilvēkiem</w:t>
            </w:r>
          </w:p>
        </w:tc>
        <w:tc>
          <w:tcPr>
            <w:tcW w:w="1984" w:type="dxa"/>
            <w:tcBorders>
              <w:top w:val="single" w:sz="4" w:space="0" w:color="auto"/>
            </w:tcBorders>
            <w:shd w:val="clear" w:color="auto" w:fill="C6EFCE"/>
            <w:noWrap/>
            <w:vAlign w:val="center"/>
          </w:tcPr>
          <w:p w14:paraId="28C39A43" w14:textId="77777777" w:rsidR="00C972CB" w:rsidRDefault="00C972CB">
            <w:pPr>
              <w:spacing w:after="120"/>
              <w:jc w:val="center"/>
              <w:rPr>
                <w:rFonts w:ascii="Arial Narrow" w:hAnsi="Arial Narrow"/>
                <w:noProof/>
                <w:color w:val="006100"/>
                <w:sz w:val="20"/>
              </w:rPr>
            </w:pPr>
          </w:p>
        </w:tc>
        <w:tc>
          <w:tcPr>
            <w:tcW w:w="1134" w:type="dxa"/>
            <w:tcBorders>
              <w:top w:val="single" w:sz="4" w:space="0" w:color="auto"/>
            </w:tcBorders>
            <w:shd w:val="clear" w:color="auto" w:fill="C6EFCE"/>
            <w:noWrap/>
            <w:vAlign w:val="center"/>
          </w:tcPr>
          <w:p w14:paraId="7301C79A" w14:textId="292C4C9C" w:rsidR="00C972CB" w:rsidRDefault="002457F6">
            <w:pPr>
              <w:pStyle w:val="P68B1DB1-Normal11"/>
              <w:spacing w:after="120"/>
              <w:jc w:val="center"/>
              <w:rPr>
                <w:noProof/>
              </w:rPr>
            </w:pPr>
            <w:r>
              <w:rPr>
                <w:noProof/>
              </w:rPr>
              <w:t>Skaits</w:t>
            </w:r>
          </w:p>
        </w:tc>
        <w:tc>
          <w:tcPr>
            <w:tcW w:w="993" w:type="dxa"/>
            <w:tcBorders>
              <w:top w:val="single" w:sz="4" w:space="0" w:color="auto"/>
            </w:tcBorders>
            <w:shd w:val="clear" w:color="auto" w:fill="C6EFCE"/>
            <w:noWrap/>
            <w:vAlign w:val="center"/>
          </w:tcPr>
          <w:p w14:paraId="26535D8A" w14:textId="2383BF36" w:rsidR="00C972CB" w:rsidRDefault="002457F6">
            <w:pPr>
              <w:pStyle w:val="P68B1DB1-Normal11"/>
              <w:spacing w:after="120"/>
              <w:jc w:val="center"/>
              <w:rPr>
                <w:noProof/>
              </w:rPr>
            </w:pPr>
            <w:r>
              <w:rPr>
                <w:noProof/>
              </w:rPr>
              <w:t>0</w:t>
            </w:r>
          </w:p>
        </w:tc>
        <w:tc>
          <w:tcPr>
            <w:tcW w:w="992" w:type="dxa"/>
            <w:tcBorders>
              <w:top w:val="single" w:sz="4" w:space="0" w:color="auto"/>
            </w:tcBorders>
            <w:shd w:val="clear" w:color="auto" w:fill="C6EFCE"/>
            <w:noWrap/>
            <w:vAlign w:val="center"/>
          </w:tcPr>
          <w:p w14:paraId="6738394B" w14:textId="104B397C" w:rsidR="00C972CB" w:rsidRDefault="002457F6">
            <w:pPr>
              <w:pStyle w:val="P68B1DB1-Normal11"/>
              <w:spacing w:after="120"/>
              <w:jc w:val="center"/>
              <w:rPr>
                <w:noProof/>
              </w:rPr>
            </w:pPr>
            <w:r>
              <w:rPr>
                <w:noProof/>
              </w:rPr>
              <w:t>20 000</w:t>
            </w:r>
          </w:p>
        </w:tc>
        <w:tc>
          <w:tcPr>
            <w:tcW w:w="992" w:type="dxa"/>
            <w:tcBorders>
              <w:top w:val="single" w:sz="4" w:space="0" w:color="auto"/>
            </w:tcBorders>
            <w:shd w:val="clear" w:color="auto" w:fill="C6EFCE"/>
            <w:noWrap/>
            <w:vAlign w:val="center"/>
          </w:tcPr>
          <w:p w14:paraId="72FADAFE" w14:textId="30E90CBC" w:rsidR="00C972CB" w:rsidRDefault="002457F6">
            <w:pPr>
              <w:pStyle w:val="P68B1DB1-Normal11"/>
              <w:spacing w:after="120"/>
              <w:jc w:val="center"/>
              <w:rPr>
                <w:noProof/>
              </w:rPr>
            </w:pPr>
            <w:r>
              <w:rPr>
                <w:noProof/>
              </w:rPr>
              <w:t>2. CET.</w:t>
            </w:r>
          </w:p>
        </w:tc>
        <w:tc>
          <w:tcPr>
            <w:tcW w:w="709" w:type="dxa"/>
            <w:tcBorders>
              <w:top w:val="single" w:sz="4" w:space="0" w:color="auto"/>
            </w:tcBorders>
            <w:shd w:val="clear" w:color="auto" w:fill="C6EFCE"/>
            <w:noWrap/>
            <w:vAlign w:val="center"/>
          </w:tcPr>
          <w:p w14:paraId="1CB03FEE" w14:textId="779A5518" w:rsidR="00C972CB" w:rsidRDefault="002457F6">
            <w:pPr>
              <w:pStyle w:val="P68B1DB1-Normal11"/>
              <w:spacing w:after="120"/>
              <w:jc w:val="center"/>
              <w:rPr>
                <w:noProof/>
              </w:rPr>
            </w:pPr>
            <w:r>
              <w:rPr>
                <w:noProof/>
              </w:rPr>
              <w:t>2025</w:t>
            </w:r>
          </w:p>
        </w:tc>
        <w:tc>
          <w:tcPr>
            <w:tcW w:w="3261" w:type="dxa"/>
            <w:tcBorders>
              <w:top w:val="single" w:sz="4" w:space="0" w:color="auto"/>
            </w:tcBorders>
            <w:shd w:val="clear" w:color="auto" w:fill="C6EFCE"/>
            <w:noWrap/>
            <w:vAlign w:val="center"/>
          </w:tcPr>
          <w:p w14:paraId="76BF80E3" w14:textId="77777777" w:rsidR="00C972CB" w:rsidRDefault="002457F6">
            <w:pPr>
              <w:pStyle w:val="P68B1DB1-Normal11"/>
              <w:spacing w:after="120"/>
              <w:rPr>
                <w:noProof/>
              </w:rPr>
            </w:pPr>
            <w:r>
              <w:rPr>
                <w:noProof/>
              </w:rPr>
              <w:t xml:space="preserve">Izmēģinājuma projekts tiek organizēts visos reģionos, iesaistot privātā sektora uzņēmumus. </w:t>
            </w:r>
          </w:p>
          <w:p w14:paraId="2BC07861" w14:textId="77777777" w:rsidR="00C972CB" w:rsidRDefault="002457F6">
            <w:pPr>
              <w:pStyle w:val="P68B1DB1-Normal11"/>
              <w:spacing w:after="120"/>
              <w:rPr>
                <w:noProof/>
              </w:rPr>
            </w:pPr>
            <w:r>
              <w:rPr>
                <w:noProof/>
              </w:rPr>
              <w:t>Mācību nodrošinātāji ir sertificēti (akreditāti</w:t>
            </w:r>
            <w:r>
              <w:rPr>
                <w:i/>
                <w:noProof/>
              </w:rPr>
              <w:t>) visā valstī</w:t>
            </w:r>
            <w:r>
              <w:rPr>
                <w:noProof/>
              </w:rPr>
              <w:t>saskaņā ar reģionālajiem tiesību aktiem. Apmācības moduļi ir vērsti uz nozaru prasmēm zaļās pārkārtošanā</w:t>
            </w:r>
            <w:r>
              <w:rPr>
                <w:noProof/>
              </w:rPr>
              <w:t xml:space="preserve">s vajadzībām saskaņā ar Prasmju pilnveides paktā noteiktajām profesijām, un tos uzrauga valsts līmenī. </w:t>
            </w:r>
          </w:p>
          <w:p w14:paraId="11D6FB15" w14:textId="2D8E0229" w:rsidR="00C972CB" w:rsidRDefault="002457F6">
            <w:pPr>
              <w:pStyle w:val="P68B1DB1-Normal11"/>
              <w:spacing w:after="120"/>
              <w:rPr>
                <w:noProof/>
              </w:rPr>
            </w:pPr>
            <w:r>
              <w:rPr>
                <w:noProof/>
              </w:rPr>
              <w:t>Vismaz 20000 saņēmēju no programmas “Garantijas darba ņēmēju nodarbināmība” (GOL) saņēmējiem ir pabeiguši apmācības moduļus. Tiek pabeigtas darbības, ka</w:t>
            </w:r>
            <w:r>
              <w:rPr>
                <w:noProof/>
              </w:rPr>
              <w:t>s saistītas ar administratīvo spēju stiprināšanu.</w:t>
            </w:r>
          </w:p>
          <w:p w14:paraId="30915877" w14:textId="7F6AFFEF" w:rsidR="00C972CB" w:rsidRDefault="002457F6">
            <w:pPr>
              <w:pStyle w:val="P68B1DB1-Normal11"/>
              <w:spacing w:after="120"/>
              <w:rPr>
                <w:noProof/>
              </w:rPr>
            </w:pPr>
            <w:r>
              <w:rPr>
                <w:noProof/>
              </w:rPr>
              <w:t>Ne vairāk kā 4 % no resursiem atvēl apmācības plānošanā un sniegšanā iesaistīto dalībnieku administratīvās spējas stiprināšanai.</w:t>
            </w:r>
          </w:p>
        </w:tc>
      </w:tr>
      <w:tr w:rsidR="00C972CB" w14:paraId="6A3A1B42" w14:textId="77777777">
        <w:trPr>
          <w:trHeight w:val="309"/>
        </w:trPr>
        <w:tc>
          <w:tcPr>
            <w:tcW w:w="1185" w:type="dxa"/>
            <w:tcBorders>
              <w:top w:val="single" w:sz="4" w:space="0" w:color="auto"/>
            </w:tcBorders>
            <w:shd w:val="clear" w:color="auto" w:fill="C6EFCE"/>
            <w:noWrap/>
            <w:vAlign w:val="center"/>
          </w:tcPr>
          <w:p w14:paraId="0963A282" w14:textId="0B5A79E3" w:rsidR="00C972CB" w:rsidRDefault="002457F6">
            <w:pPr>
              <w:pStyle w:val="P68B1DB1-Normal11"/>
              <w:spacing w:after="120"/>
              <w:jc w:val="center"/>
              <w:rPr>
                <w:noProof/>
              </w:rPr>
            </w:pPr>
            <w:r>
              <w:rPr>
                <w:noProof/>
              </w:rPr>
              <w:t>M7–31</w:t>
            </w:r>
          </w:p>
        </w:tc>
        <w:tc>
          <w:tcPr>
            <w:tcW w:w="1559" w:type="dxa"/>
            <w:tcBorders>
              <w:top w:val="single" w:sz="4" w:space="0" w:color="auto"/>
            </w:tcBorders>
            <w:shd w:val="clear" w:color="auto" w:fill="C6EFCE"/>
            <w:noWrap/>
            <w:vAlign w:val="center"/>
          </w:tcPr>
          <w:p w14:paraId="4E5DF838" w14:textId="356C8F34" w:rsidR="00C972CB" w:rsidRDefault="002457F6">
            <w:pPr>
              <w:pStyle w:val="P68B1DB1-Normal11"/>
              <w:spacing w:after="120"/>
              <w:jc w:val="center"/>
              <w:rPr>
                <w:noProof/>
              </w:rPr>
            </w:pPr>
            <w:r>
              <w:rPr>
                <w:noProof/>
              </w:rPr>
              <w:t xml:space="preserve">Ieguldījums 11:  Reģionālā sabiedriskā transporta dzelzceļa parka </w:t>
            </w:r>
            <w:r>
              <w:rPr>
                <w:noProof/>
              </w:rPr>
              <w:t>stiprināšana ar bezemisiju vilcieniem un universālo pakalpojumu</w:t>
            </w:r>
          </w:p>
        </w:tc>
        <w:tc>
          <w:tcPr>
            <w:tcW w:w="1134" w:type="dxa"/>
            <w:tcBorders>
              <w:top w:val="single" w:sz="4" w:space="0" w:color="auto"/>
            </w:tcBorders>
            <w:shd w:val="clear" w:color="auto" w:fill="C6EFCE"/>
            <w:noWrap/>
            <w:vAlign w:val="center"/>
          </w:tcPr>
          <w:p w14:paraId="06084F85" w14:textId="20BE8201" w:rsidR="00C972CB" w:rsidRDefault="002457F6">
            <w:pPr>
              <w:pStyle w:val="P68B1DB1-Normal11"/>
              <w:spacing w:after="120"/>
              <w:jc w:val="center"/>
              <w:rPr>
                <w:noProof/>
              </w:rPr>
            </w:pPr>
            <w:r>
              <w:rPr>
                <w:noProof/>
              </w:rPr>
              <w:t>Mērķa</w:t>
            </w:r>
          </w:p>
        </w:tc>
        <w:tc>
          <w:tcPr>
            <w:tcW w:w="1418" w:type="dxa"/>
            <w:tcBorders>
              <w:top w:val="single" w:sz="4" w:space="0" w:color="auto"/>
            </w:tcBorders>
            <w:shd w:val="clear" w:color="auto" w:fill="C6EFCE"/>
            <w:noWrap/>
            <w:vAlign w:val="center"/>
          </w:tcPr>
          <w:p w14:paraId="07DF4643" w14:textId="478E181C" w:rsidR="00C972CB" w:rsidRDefault="002457F6">
            <w:pPr>
              <w:pStyle w:val="P68B1DB1-Normal11"/>
              <w:spacing w:after="120"/>
              <w:jc w:val="center"/>
              <w:rPr>
                <w:noProof/>
              </w:rPr>
            </w:pPr>
            <w:r>
              <w:rPr>
                <w:noProof/>
              </w:rPr>
              <w:t xml:space="preserve">Bezemisiju vilcienu skaits un pārvadājumu skaits universālajam pakalpojumam </w:t>
            </w:r>
          </w:p>
        </w:tc>
        <w:tc>
          <w:tcPr>
            <w:tcW w:w="1984" w:type="dxa"/>
            <w:tcBorders>
              <w:top w:val="single" w:sz="4" w:space="0" w:color="auto"/>
            </w:tcBorders>
            <w:shd w:val="clear" w:color="auto" w:fill="C6EFCE"/>
            <w:noWrap/>
            <w:vAlign w:val="center"/>
          </w:tcPr>
          <w:p w14:paraId="1B971A82" w14:textId="313FC968" w:rsidR="00C972CB" w:rsidRDefault="002457F6">
            <w:pPr>
              <w:pStyle w:val="P68B1DB1-Normal11"/>
              <w:spacing w:after="120"/>
              <w:jc w:val="center"/>
              <w:rPr>
                <w:noProof/>
              </w:rPr>
            </w:pPr>
            <w:r>
              <w:rPr>
                <w:noProof/>
              </w:rPr>
              <w:t>NEPIEMĒRO</w:t>
            </w:r>
          </w:p>
        </w:tc>
        <w:tc>
          <w:tcPr>
            <w:tcW w:w="1134" w:type="dxa"/>
            <w:tcBorders>
              <w:top w:val="single" w:sz="4" w:space="0" w:color="auto"/>
            </w:tcBorders>
            <w:shd w:val="clear" w:color="auto" w:fill="C6EFCE"/>
            <w:noWrap/>
            <w:vAlign w:val="center"/>
          </w:tcPr>
          <w:p w14:paraId="0EE0C07A" w14:textId="771E6F72" w:rsidR="00C972CB" w:rsidRDefault="002457F6">
            <w:pPr>
              <w:pStyle w:val="P68B1DB1-Normal11"/>
              <w:spacing w:after="120"/>
              <w:jc w:val="center"/>
              <w:rPr>
                <w:noProof/>
              </w:rPr>
            </w:pPr>
            <w:r>
              <w:rPr>
                <w:noProof/>
              </w:rPr>
              <w:t>Skaits</w:t>
            </w:r>
          </w:p>
        </w:tc>
        <w:tc>
          <w:tcPr>
            <w:tcW w:w="993" w:type="dxa"/>
            <w:tcBorders>
              <w:top w:val="single" w:sz="4" w:space="0" w:color="auto"/>
            </w:tcBorders>
            <w:shd w:val="clear" w:color="auto" w:fill="C6EFCE"/>
            <w:noWrap/>
            <w:vAlign w:val="center"/>
          </w:tcPr>
          <w:p w14:paraId="5F44B43A" w14:textId="65A6725B" w:rsidR="00C972CB" w:rsidRDefault="002457F6">
            <w:pPr>
              <w:pStyle w:val="P68B1DB1-Normal11"/>
              <w:spacing w:after="120"/>
              <w:jc w:val="center"/>
              <w:rPr>
                <w:noProof/>
              </w:rPr>
            </w:pPr>
            <w:r>
              <w:rPr>
                <w:noProof/>
              </w:rPr>
              <w:t>25</w:t>
            </w:r>
          </w:p>
        </w:tc>
        <w:tc>
          <w:tcPr>
            <w:tcW w:w="992" w:type="dxa"/>
            <w:tcBorders>
              <w:top w:val="single" w:sz="4" w:space="0" w:color="auto"/>
            </w:tcBorders>
            <w:shd w:val="clear" w:color="auto" w:fill="C6EFCE"/>
            <w:noWrap/>
            <w:vAlign w:val="center"/>
          </w:tcPr>
          <w:p w14:paraId="69C2FFD7" w14:textId="3D7DF655" w:rsidR="00C972CB" w:rsidRDefault="002457F6">
            <w:pPr>
              <w:pStyle w:val="P68B1DB1-Normal11"/>
              <w:spacing w:after="120"/>
              <w:jc w:val="center"/>
              <w:rPr>
                <w:noProof/>
              </w:rPr>
            </w:pPr>
            <w:r>
              <w:rPr>
                <w:noProof/>
              </w:rPr>
              <w:t>135</w:t>
            </w:r>
          </w:p>
        </w:tc>
        <w:tc>
          <w:tcPr>
            <w:tcW w:w="992" w:type="dxa"/>
            <w:tcBorders>
              <w:top w:val="single" w:sz="4" w:space="0" w:color="auto"/>
            </w:tcBorders>
            <w:shd w:val="clear" w:color="auto" w:fill="C6EFCE"/>
            <w:noWrap/>
            <w:vAlign w:val="center"/>
          </w:tcPr>
          <w:p w14:paraId="78DDD516" w14:textId="245FFC96" w:rsidR="00C972CB" w:rsidRDefault="002457F6">
            <w:pPr>
              <w:pStyle w:val="P68B1DB1-Normal11"/>
              <w:spacing w:after="120"/>
              <w:jc w:val="center"/>
              <w:rPr>
                <w:noProof/>
              </w:rPr>
            </w:pPr>
            <w:r>
              <w:rPr>
                <w:noProof/>
              </w:rPr>
              <w:t>2. CET.</w:t>
            </w:r>
          </w:p>
        </w:tc>
        <w:tc>
          <w:tcPr>
            <w:tcW w:w="709" w:type="dxa"/>
            <w:tcBorders>
              <w:top w:val="single" w:sz="4" w:space="0" w:color="auto"/>
            </w:tcBorders>
            <w:shd w:val="clear" w:color="auto" w:fill="C6EFCE"/>
            <w:noWrap/>
            <w:vAlign w:val="center"/>
          </w:tcPr>
          <w:p w14:paraId="7144A21A" w14:textId="1169DAF1" w:rsidR="00C972CB" w:rsidRDefault="002457F6">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710BBC0C" w14:textId="2500F7DD" w:rsidR="00C972CB" w:rsidRDefault="002457F6">
            <w:pPr>
              <w:pStyle w:val="P68B1DB1-Normal11"/>
              <w:spacing w:after="120"/>
              <w:rPr>
                <w:noProof/>
              </w:rPr>
            </w:pPr>
            <w:r>
              <w:rPr>
                <w:noProof/>
              </w:rPr>
              <w:t xml:space="preserve">EK atbilstības deklarācijas nodošana ekspluatācijā un iegūšana saskaņā </w:t>
            </w:r>
            <w:r>
              <w:rPr>
                <w:noProof/>
              </w:rPr>
              <w:t>ar 15. pantu Likumdošanas dekrētā Nr. 57/2019 (t. i., Dichiarazione di verifica di conformità CE di cui all’art 15 del D.Lgs 57/2019) vismaz 69 bezemisiju (ar elektrību no ūdeņraža kurināmā elementa) vilcieniem un 30 vagoniem universālajam pakalpojumam pap</w:t>
            </w:r>
            <w:r>
              <w:rPr>
                <w:noProof/>
              </w:rPr>
              <w:t>ildus ritošajam sastāvam, kas jau iepirkts saskaņā ar 2. misijas 2. komponenta 4.4.2. ieguldījumu.</w:t>
            </w:r>
          </w:p>
        </w:tc>
      </w:tr>
      <w:tr w:rsidR="00C972CB" w14:paraId="2340FF93" w14:textId="77777777">
        <w:trPr>
          <w:trHeight w:val="309"/>
        </w:trPr>
        <w:tc>
          <w:tcPr>
            <w:tcW w:w="1185" w:type="dxa"/>
            <w:tcBorders>
              <w:top w:val="single" w:sz="4" w:space="0" w:color="auto"/>
            </w:tcBorders>
            <w:shd w:val="clear" w:color="auto" w:fill="C6EFCE"/>
            <w:noWrap/>
            <w:vAlign w:val="center"/>
          </w:tcPr>
          <w:p w14:paraId="0DB967C1" w14:textId="60D6D7CA" w:rsidR="00C972CB" w:rsidRDefault="002457F6">
            <w:pPr>
              <w:pStyle w:val="P68B1DB1-Normal11"/>
              <w:spacing w:after="120"/>
              <w:jc w:val="center"/>
              <w:rPr>
                <w:noProof/>
              </w:rPr>
            </w:pPr>
            <w:r>
              <w:rPr>
                <w:noProof/>
              </w:rPr>
              <w:t>M7–32</w:t>
            </w:r>
          </w:p>
        </w:tc>
        <w:tc>
          <w:tcPr>
            <w:tcW w:w="1559" w:type="dxa"/>
            <w:tcBorders>
              <w:top w:val="single" w:sz="4" w:space="0" w:color="auto"/>
            </w:tcBorders>
            <w:shd w:val="clear" w:color="auto" w:fill="C6EFCE"/>
            <w:noWrap/>
            <w:vAlign w:val="center"/>
          </w:tcPr>
          <w:p w14:paraId="1CCE0546" w14:textId="208F3A63" w:rsidR="00C972CB" w:rsidRDefault="002457F6">
            <w:pPr>
              <w:pStyle w:val="P68B1DB1-Normal38"/>
              <w:spacing w:after="120"/>
              <w:jc w:val="center"/>
              <w:rPr>
                <w:noProof/>
              </w:rPr>
            </w:pPr>
            <w:r>
              <w:rPr>
                <w:noProof/>
              </w:rPr>
              <w:t>Ieguldījums. Dotāciju shēma starptautiskas, rūpnieciskas un pētniecības un izstrādes vadošās lomas attīstīšanai elektrisko autobusu jomā</w:t>
            </w:r>
          </w:p>
        </w:tc>
        <w:tc>
          <w:tcPr>
            <w:tcW w:w="1134" w:type="dxa"/>
            <w:tcBorders>
              <w:top w:val="single" w:sz="4" w:space="0" w:color="auto"/>
            </w:tcBorders>
            <w:shd w:val="clear" w:color="auto" w:fill="C6EFCE"/>
            <w:noWrap/>
            <w:vAlign w:val="center"/>
          </w:tcPr>
          <w:p w14:paraId="26ACFDB6" w14:textId="31BFABDA" w:rsidR="00C972CB" w:rsidRDefault="002457F6">
            <w:pPr>
              <w:pStyle w:val="P68B1DB1-Normal38"/>
              <w:spacing w:after="120"/>
              <w:jc w:val="center"/>
              <w:rPr>
                <w:noProof/>
              </w:rPr>
            </w:pPr>
            <w:r>
              <w:rPr>
                <w:noProof/>
              </w:rPr>
              <w:t xml:space="preserve">Starpposma </w:t>
            </w:r>
            <w:r>
              <w:rPr>
                <w:noProof/>
              </w:rPr>
              <w:t>mērķis</w:t>
            </w:r>
          </w:p>
        </w:tc>
        <w:tc>
          <w:tcPr>
            <w:tcW w:w="1418" w:type="dxa"/>
            <w:tcBorders>
              <w:top w:val="single" w:sz="4" w:space="0" w:color="auto"/>
            </w:tcBorders>
            <w:shd w:val="clear" w:color="auto" w:fill="C6EFCE"/>
            <w:noWrap/>
            <w:vAlign w:val="center"/>
          </w:tcPr>
          <w:p w14:paraId="558DFA32" w14:textId="21309367" w:rsidR="00C972CB" w:rsidRDefault="002457F6">
            <w:pPr>
              <w:pStyle w:val="P68B1DB1-Normal38"/>
              <w:spacing w:after="120"/>
              <w:jc w:val="center"/>
              <w:rPr>
                <w:noProof/>
              </w:rPr>
            </w:pPr>
            <w:r>
              <w:rPr>
                <w:noProof/>
              </w:rPr>
              <w:t>Īstenošanas nolīgums</w:t>
            </w:r>
          </w:p>
        </w:tc>
        <w:tc>
          <w:tcPr>
            <w:tcW w:w="1984" w:type="dxa"/>
            <w:tcBorders>
              <w:top w:val="single" w:sz="4" w:space="0" w:color="auto"/>
            </w:tcBorders>
            <w:shd w:val="clear" w:color="auto" w:fill="C6EFCE"/>
            <w:noWrap/>
            <w:vAlign w:val="center"/>
          </w:tcPr>
          <w:p w14:paraId="42C42A27" w14:textId="5F939BA6" w:rsidR="00C972CB" w:rsidRDefault="002457F6">
            <w:pPr>
              <w:pStyle w:val="P68B1DB1-Normal38"/>
              <w:spacing w:after="120"/>
              <w:jc w:val="center"/>
              <w:rPr>
                <w:noProof/>
              </w:rPr>
            </w:pPr>
            <w:r>
              <w:rPr>
                <w:noProof/>
              </w:rPr>
              <w:t>Īstenošanas nolīguma stāšanās spēkā</w:t>
            </w:r>
          </w:p>
        </w:tc>
        <w:tc>
          <w:tcPr>
            <w:tcW w:w="1134" w:type="dxa"/>
            <w:tcBorders>
              <w:top w:val="single" w:sz="4" w:space="0" w:color="auto"/>
            </w:tcBorders>
            <w:shd w:val="clear" w:color="auto" w:fill="C6EFCE"/>
            <w:noWrap/>
            <w:vAlign w:val="center"/>
          </w:tcPr>
          <w:p w14:paraId="7A91F9C6" w14:textId="3CC72937" w:rsidR="00C972CB" w:rsidRDefault="002457F6">
            <w:pPr>
              <w:pStyle w:val="P68B1DB1-Normal38"/>
              <w:spacing w:after="120"/>
              <w:jc w:val="center"/>
              <w:rPr>
                <w:noProof/>
              </w:rPr>
            </w:pPr>
            <w:r>
              <w:rPr>
                <w:noProof/>
              </w:rPr>
              <w:t xml:space="preserve"> </w:t>
            </w:r>
          </w:p>
        </w:tc>
        <w:tc>
          <w:tcPr>
            <w:tcW w:w="993" w:type="dxa"/>
            <w:tcBorders>
              <w:top w:val="single" w:sz="4" w:space="0" w:color="auto"/>
            </w:tcBorders>
            <w:shd w:val="clear" w:color="auto" w:fill="C6EFCE"/>
            <w:noWrap/>
            <w:vAlign w:val="center"/>
          </w:tcPr>
          <w:p w14:paraId="4D281871" w14:textId="77777777" w:rsidR="00C972CB" w:rsidRDefault="00C972CB">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63E761A" w14:textId="3F84EAC3" w:rsidR="00C972CB" w:rsidRDefault="002457F6">
            <w:pPr>
              <w:pStyle w:val="P68B1DB1-Normal38"/>
              <w:spacing w:after="120"/>
              <w:jc w:val="center"/>
              <w:rPr>
                <w:noProof/>
              </w:rPr>
            </w:pPr>
            <w:r>
              <w:rPr>
                <w:noProof/>
              </w:rPr>
              <w:t xml:space="preserve"> </w:t>
            </w:r>
          </w:p>
        </w:tc>
        <w:tc>
          <w:tcPr>
            <w:tcW w:w="992" w:type="dxa"/>
            <w:tcBorders>
              <w:top w:val="single" w:sz="4" w:space="0" w:color="auto"/>
            </w:tcBorders>
            <w:shd w:val="clear" w:color="auto" w:fill="C6EFCE"/>
            <w:noWrap/>
            <w:vAlign w:val="center"/>
          </w:tcPr>
          <w:p w14:paraId="75458F1F" w14:textId="692F1520" w:rsidR="00C972CB" w:rsidRDefault="002457F6">
            <w:pPr>
              <w:pStyle w:val="P68B1DB1-Normal38"/>
              <w:spacing w:after="120"/>
              <w:jc w:val="center"/>
              <w:rPr>
                <w:noProof/>
              </w:rPr>
            </w:pPr>
            <w:r>
              <w:rPr>
                <w:noProof/>
              </w:rPr>
              <w:t>1. CET.</w:t>
            </w:r>
          </w:p>
        </w:tc>
        <w:tc>
          <w:tcPr>
            <w:tcW w:w="709" w:type="dxa"/>
            <w:tcBorders>
              <w:top w:val="single" w:sz="4" w:space="0" w:color="auto"/>
            </w:tcBorders>
            <w:shd w:val="clear" w:color="auto" w:fill="C6EFCE"/>
            <w:noWrap/>
            <w:vAlign w:val="center"/>
          </w:tcPr>
          <w:p w14:paraId="089083A3" w14:textId="4E4A681B" w:rsidR="00C972CB" w:rsidRDefault="002457F6">
            <w:pPr>
              <w:pStyle w:val="P68B1DB1-Normal38"/>
              <w:spacing w:after="120"/>
              <w:jc w:val="center"/>
              <w:rPr>
                <w:noProof/>
              </w:rPr>
            </w:pPr>
            <w:r>
              <w:rPr>
                <w:noProof/>
              </w:rPr>
              <w:t>2024</w:t>
            </w:r>
          </w:p>
        </w:tc>
        <w:tc>
          <w:tcPr>
            <w:tcW w:w="3261" w:type="dxa"/>
            <w:tcBorders>
              <w:top w:val="single" w:sz="4" w:space="0" w:color="auto"/>
            </w:tcBorders>
            <w:shd w:val="clear" w:color="auto" w:fill="C6EFCE"/>
            <w:noWrap/>
            <w:vAlign w:val="center"/>
          </w:tcPr>
          <w:p w14:paraId="1788BAD6" w14:textId="77777777" w:rsidR="00C972CB" w:rsidRDefault="002457F6">
            <w:pPr>
              <w:pStyle w:val="P68B1DB1-Normal38"/>
              <w:jc w:val="both"/>
              <w:rPr>
                <w:noProof/>
              </w:rPr>
            </w:pPr>
            <w:r>
              <w:rPr>
                <w:noProof/>
              </w:rPr>
              <w:t>Īstenošanas nolīguma stāšanās spēkā.</w:t>
            </w:r>
          </w:p>
          <w:p w14:paraId="2B16C2EE" w14:textId="77777777" w:rsidR="00C972CB" w:rsidRDefault="00C972CB">
            <w:pPr>
              <w:spacing w:after="120"/>
              <w:rPr>
                <w:rFonts w:ascii="Arial Narrow" w:hAnsi="Arial Narrow"/>
                <w:noProof/>
                <w:color w:val="006100"/>
                <w:sz w:val="20"/>
              </w:rPr>
            </w:pPr>
          </w:p>
        </w:tc>
      </w:tr>
      <w:tr w:rsidR="00C972CB" w14:paraId="47126E7F" w14:textId="77777777">
        <w:trPr>
          <w:trHeight w:val="309"/>
        </w:trPr>
        <w:tc>
          <w:tcPr>
            <w:tcW w:w="1185" w:type="dxa"/>
            <w:tcBorders>
              <w:top w:val="single" w:sz="4" w:space="0" w:color="auto"/>
            </w:tcBorders>
            <w:shd w:val="clear" w:color="auto" w:fill="C6EFCE"/>
            <w:noWrap/>
            <w:vAlign w:val="center"/>
          </w:tcPr>
          <w:p w14:paraId="0DBBDBD3" w14:textId="79DA2E7D" w:rsidR="00C972CB" w:rsidRDefault="002457F6">
            <w:pPr>
              <w:pStyle w:val="P68B1DB1-Normal11"/>
              <w:spacing w:after="120"/>
              <w:jc w:val="center"/>
              <w:rPr>
                <w:noProof/>
              </w:rPr>
            </w:pPr>
            <w:r>
              <w:rPr>
                <w:noProof/>
              </w:rPr>
              <w:t>M7–33</w:t>
            </w:r>
          </w:p>
        </w:tc>
        <w:tc>
          <w:tcPr>
            <w:tcW w:w="1559" w:type="dxa"/>
            <w:tcBorders>
              <w:top w:val="single" w:sz="4" w:space="0" w:color="auto"/>
            </w:tcBorders>
            <w:shd w:val="clear" w:color="auto" w:fill="C6EFCE"/>
            <w:noWrap/>
            <w:vAlign w:val="center"/>
          </w:tcPr>
          <w:p w14:paraId="7AECD762" w14:textId="6E9D4E36" w:rsidR="00C972CB" w:rsidRDefault="002457F6">
            <w:pPr>
              <w:pStyle w:val="P68B1DB1-Normal38"/>
              <w:spacing w:after="120"/>
              <w:jc w:val="center"/>
              <w:rPr>
                <w:noProof/>
              </w:rPr>
            </w:pPr>
            <w:r>
              <w:rPr>
                <w:noProof/>
              </w:rPr>
              <w:t xml:space="preserve">Ieguldījums. Dotāciju shēma starptautiskas, rūpnieciskas un pētniecības un izstrādes vadošās lomas attīstīšanai elektrisko </w:t>
            </w:r>
            <w:r>
              <w:rPr>
                <w:noProof/>
              </w:rPr>
              <w:t>autobusu jomā</w:t>
            </w:r>
          </w:p>
        </w:tc>
        <w:tc>
          <w:tcPr>
            <w:tcW w:w="1134" w:type="dxa"/>
            <w:tcBorders>
              <w:top w:val="single" w:sz="4" w:space="0" w:color="auto"/>
            </w:tcBorders>
            <w:shd w:val="clear" w:color="auto" w:fill="C6EFCE"/>
            <w:noWrap/>
            <w:vAlign w:val="center"/>
          </w:tcPr>
          <w:p w14:paraId="6B0FD178" w14:textId="23CE58EB" w:rsidR="00C972CB" w:rsidRDefault="002457F6">
            <w:pPr>
              <w:pStyle w:val="P68B1DB1-Normal11"/>
              <w:spacing w:after="120"/>
              <w:jc w:val="center"/>
              <w:rPr>
                <w:noProof/>
              </w:rPr>
            </w:pPr>
            <w:r>
              <w:rPr>
                <w:noProof/>
              </w:rPr>
              <w:t>Mērķa</w:t>
            </w:r>
          </w:p>
        </w:tc>
        <w:tc>
          <w:tcPr>
            <w:tcW w:w="1418" w:type="dxa"/>
            <w:tcBorders>
              <w:top w:val="single" w:sz="4" w:space="0" w:color="auto"/>
            </w:tcBorders>
            <w:shd w:val="clear" w:color="auto" w:fill="C6EFCE"/>
            <w:noWrap/>
            <w:vAlign w:val="center"/>
          </w:tcPr>
          <w:p w14:paraId="58E3E6FF" w14:textId="3E35E70B" w:rsidR="00C972CB" w:rsidRDefault="002457F6">
            <w:pPr>
              <w:pStyle w:val="P68B1DB1-Normal38"/>
              <w:spacing w:after="120"/>
              <w:jc w:val="center"/>
              <w:rPr>
                <w:noProof/>
              </w:rPr>
            </w:pPr>
            <w:r>
              <w:rPr>
                <w:noProof/>
              </w:rPr>
              <w:t>Ar galīgajiem saņēmējiem parakstītie juridiskie nolīgumi</w:t>
            </w:r>
          </w:p>
        </w:tc>
        <w:tc>
          <w:tcPr>
            <w:tcW w:w="1984" w:type="dxa"/>
            <w:tcBorders>
              <w:top w:val="single" w:sz="4" w:space="0" w:color="auto"/>
            </w:tcBorders>
            <w:shd w:val="clear" w:color="auto" w:fill="C6EFCE"/>
            <w:noWrap/>
            <w:vAlign w:val="center"/>
          </w:tcPr>
          <w:p w14:paraId="3A21AEF6" w14:textId="34ED6943" w:rsidR="00C972CB" w:rsidRDefault="002457F6">
            <w:pPr>
              <w:pStyle w:val="P68B1DB1-Normal38"/>
              <w:spacing w:after="120"/>
              <w:jc w:val="center"/>
              <w:rPr>
                <w:noProof/>
              </w:rPr>
            </w:pPr>
            <w:r>
              <w:rPr>
                <w:noProof/>
              </w:rPr>
              <w:t xml:space="preserve"> </w:t>
            </w:r>
          </w:p>
        </w:tc>
        <w:tc>
          <w:tcPr>
            <w:tcW w:w="1134" w:type="dxa"/>
            <w:tcBorders>
              <w:top w:val="single" w:sz="4" w:space="0" w:color="auto"/>
            </w:tcBorders>
            <w:shd w:val="clear" w:color="auto" w:fill="C6EFCE"/>
            <w:noWrap/>
            <w:vAlign w:val="center"/>
          </w:tcPr>
          <w:p w14:paraId="3941E38B" w14:textId="12EC0822" w:rsidR="00C972CB" w:rsidRDefault="002457F6">
            <w:pPr>
              <w:pStyle w:val="P68B1DB1-Normal38"/>
              <w:spacing w:after="120"/>
              <w:jc w:val="center"/>
              <w:rPr>
                <w:noProof/>
              </w:rPr>
            </w:pPr>
            <w:r>
              <w:rPr>
                <w:noProof/>
              </w:rPr>
              <w:t>Procentuālā daļa (%)</w:t>
            </w:r>
          </w:p>
        </w:tc>
        <w:tc>
          <w:tcPr>
            <w:tcW w:w="993" w:type="dxa"/>
            <w:tcBorders>
              <w:top w:val="single" w:sz="4" w:space="0" w:color="auto"/>
            </w:tcBorders>
            <w:shd w:val="clear" w:color="auto" w:fill="C6EFCE"/>
            <w:noWrap/>
            <w:vAlign w:val="center"/>
          </w:tcPr>
          <w:p w14:paraId="2FC30C9C" w14:textId="0400BD33" w:rsidR="00C972CB" w:rsidRDefault="002457F6">
            <w:pPr>
              <w:pStyle w:val="P68B1DB1-Normal38"/>
              <w:spacing w:after="120"/>
              <w:jc w:val="center"/>
              <w:rPr>
                <w:noProof/>
              </w:rPr>
            </w:pPr>
            <w:r>
              <w:rPr>
                <w:noProof/>
              </w:rPr>
              <w:t>0 %</w:t>
            </w:r>
          </w:p>
        </w:tc>
        <w:tc>
          <w:tcPr>
            <w:tcW w:w="992" w:type="dxa"/>
            <w:tcBorders>
              <w:top w:val="single" w:sz="4" w:space="0" w:color="auto"/>
            </w:tcBorders>
            <w:shd w:val="clear" w:color="auto" w:fill="C6EFCE"/>
            <w:noWrap/>
            <w:vAlign w:val="center"/>
          </w:tcPr>
          <w:p w14:paraId="68C79097" w14:textId="2B66ED86" w:rsidR="00C972CB" w:rsidRDefault="002457F6">
            <w:pPr>
              <w:pStyle w:val="P68B1DB1-Normal38"/>
              <w:spacing w:after="120"/>
              <w:jc w:val="center"/>
              <w:rPr>
                <w:noProof/>
              </w:rPr>
            </w:pPr>
            <w:r>
              <w:rPr>
                <w:noProof/>
              </w:rPr>
              <w:t>100 %</w:t>
            </w:r>
          </w:p>
        </w:tc>
        <w:tc>
          <w:tcPr>
            <w:tcW w:w="992" w:type="dxa"/>
            <w:tcBorders>
              <w:top w:val="single" w:sz="4" w:space="0" w:color="auto"/>
            </w:tcBorders>
            <w:shd w:val="clear" w:color="auto" w:fill="C6EFCE"/>
            <w:noWrap/>
            <w:vAlign w:val="center"/>
          </w:tcPr>
          <w:p w14:paraId="4B02DB7A" w14:textId="26B2F6A9" w:rsidR="00C972CB" w:rsidRDefault="002457F6">
            <w:pPr>
              <w:pStyle w:val="P68B1DB1-Normal38"/>
              <w:spacing w:after="120"/>
              <w:jc w:val="center"/>
              <w:rPr>
                <w:noProof/>
              </w:rPr>
            </w:pPr>
            <w:r>
              <w:rPr>
                <w:noProof/>
              </w:rPr>
              <w:t>1. CET.</w:t>
            </w:r>
          </w:p>
        </w:tc>
        <w:tc>
          <w:tcPr>
            <w:tcW w:w="709" w:type="dxa"/>
            <w:tcBorders>
              <w:top w:val="single" w:sz="4" w:space="0" w:color="auto"/>
            </w:tcBorders>
            <w:shd w:val="clear" w:color="auto" w:fill="C6EFCE"/>
            <w:noWrap/>
            <w:vAlign w:val="center"/>
          </w:tcPr>
          <w:p w14:paraId="47AAC35E" w14:textId="3AAD8816" w:rsidR="00C972CB" w:rsidRDefault="002457F6">
            <w:pPr>
              <w:pStyle w:val="P68B1DB1-Normal38"/>
              <w:spacing w:after="120"/>
              <w:jc w:val="center"/>
              <w:rPr>
                <w:noProof/>
              </w:rPr>
            </w:pPr>
            <w:r>
              <w:rPr>
                <w:noProof/>
              </w:rPr>
              <w:t>2026</w:t>
            </w:r>
          </w:p>
        </w:tc>
        <w:tc>
          <w:tcPr>
            <w:tcW w:w="3261" w:type="dxa"/>
            <w:tcBorders>
              <w:top w:val="single" w:sz="4" w:space="0" w:color="auto"/>
            </w:tcBorders>
            <w:shd w:val="clear" w:color="auto" w:fill="C6EFCE"/>
            <w:noWrap/>
            <w:vAlign w:val="center"/>
          </w:tcPr>
          <w:p w14:paraId="7D15C423" w14:textId="2E4A93E7" w:rsidR="00C972CB" w:rsidRDefault="002457F6">
            <w:pPr>
              <w:pStyle w:val="P68B1DB1-Normal38"/>
              <w:spacing w:after="120"/>
              <w:rPr>
                <w:noProof/>
              </w:rPr>
            </w:pPr>
            <w:r>
              <w:rPr>
                <w:noProof/>
              </w:rPr>
              <w:t xml:space="preserve">Invitalia S.p.A. ir noslēgusi juridiskus dotāciju nolīgumus ar galasaņēmējiem par summu, kas nepieciešama, lai shēmā izmantotu 100 % </w:t>
            </w:r>
            <w:r>
              <w:rPr>
                <w:noProof/>
              </w:rPr>
              <w:t>ANM ieguldījumu (ņemot vērā pārvaldības maksas). Invitalia S.p.A. sagatavo ziņojumu, kurā sīki izklāstīta šā finansējuma procentuālā daļa, kas veicina klimata mērķu sasniegšanu, izmantojot ANM regulas VI pielikumā izklāstīto metodiku.</w:t>
            </w:r>
          </w:p>
        </w:tc>
      </w:tr>
      <w:tr w:rsidR="00C972CB" w14:paraId="3D6735A7" w14:textId="77777777">
        <w:trPr>
          <w:trHeight w:val="309"/>
        </w:trPr>
        <w:tc>
          <w:tcPr>
            <w:tcW w:w="1185" w:type="dxa"/>
            <w:tcBorders>
              <w:top w:val="single" w:sz="4" w:space="0" w:color="auto"/>
            </w:tcBorders>
            <w:shd w:val="clear" w:color="auto" w:fill="C6EFCE"/>
            <w:noWrap/>
            <w:vAlign w:val="center"/>
          </w:tcPr>
          <w:p w14:paraId="28BDD1CC" w14:textId="687D0FE7" w:rsidR="00C972CB" w:rsidRDefault="002457F6">
            <w:pPr>
              <w:pStyle w:val="P68B1DB1-Normal11"/>
              <w:spacing w:after="120"/>
              <w:jc w:val="center"/>
              <w:rPr>
                <w:noProof/>
              </w:rPr>
            </w:pPr>
            <w:r>
              <w:rPr>
                <w:noProof/>
              </w:rPr>
              <w:t>M7–34</w:t>
            </w:r>
          </w:p>
        </w:tc>
        <w:tc>
          <w:tcPr>
            <w:tcW w:w="1559" w:type="dxa"/>
            <w:tcBorders>
              <w:top w:val="single" w:sz="4" w:space="0" w:color="auto"/>
            </w:tcBorders>
            <w:shd w:val="clear" w:color="auto" w:fill="C6EFCE"/>
            <w:noWrap/>
            <w:vAlign w:val="center"/>
          </w:tcPr>
          <w:p w14:paraId="15264E89" w14:textId="115AC5E4" w:rsidR="00C972CB" w:rsidRDefault="002457F6">
            <w:pPr>
              <w:pStyle w:val="P68B1DB1-Normal38"/>
              <w:spacing w:after="120"/>
              <w:jc w:val="center"/>
              <w:rPr>
                <w:noProof/>
              </w:rPr>
            </w:pPr>
            <w:r>
              <w:rPr>
                <w:noProof/>
              </w:rPr>
              <w:t xml:space="preserve">Ieguldījums. </w:t>
            </w:r>
            <w:r>
              <w:rPr>
                <w:noProof/>
              </w:rPr>
              <w:t>Dotāciju shēma starptautiskas, rūpnieciskas un pētniecības un izstrādes vadošās lomas attīstīšanai elektrisko autobusu jomā</w:t>
            </w:r>
          </w:p>
        </w:tc>
        <w:tc>
          <w:tcPr>
            <w:tcW w:w="1134" w:type="dxa"/>
            <w:tcBorders>
              <w:top w:val="single" w:sz="4" w:space="0" w:color="auto"/>
            </w:tcBorders>
            <w:shd w:val="clear" w:color="auto" w:fill="C6EFCE"/>
            <w:noWrap/>
            <w:vAlign w:val="center"/>
          </w:tcPr>
          <w:p w14:paraId="799FA5EC" w14:textId="62667380" w:rsidR="00C972CB" w:rsidRDefault="002457F6">
            <w:pPr>
              <w:pStyle w:val="P68B1DB1-Normal38"/>
              <w:spacing w:after="120"/>
              <w:jc w:val="center"/>
              <w:rPr>
                <w:noProof/>
              </w:rPr>
            </w:pPr>
            <w:r>
              <w:rPr>
                <w:noProof/>
              </w:rPr>
              <w:t>Starpposma mērķis</w:t>
            </w:r>
          </w:p>
        </w:tc>
        <w:tc>
          <w:tcPr>
            <w:tcW w:w="1418" w:type="dxa"/>
            <w:tcBorders>
              <w:top w:val="single" w:sz="4" w:space="0" w:color="auto"/>
            </w:tcBorders>
            <w:shd w:val="clear" w:color="auto" w:fill="C6EFCE"/>
            <w:noWrap/>
            <w:vAlign w:val="center"/>
          </w:tcPr>
          <w:p w14:paraId="7CAD4BDC" w14:textId="0F69E4C6" w:rsidR="00C972CB" w:rsidRDefault="002457F6">
            <w:pPr>
              <w:pStyle w:val="P68B1DB1-Normal38"/>
              <w:spacing w:after="120"/>
              <w:jc w:val="center"/>
              <w:rPr>
                <w:noProof/>
              </w:rPr>
            </w:pPr>
            <w:r>
              <w:rPr>
                <w:noProof/>
              </w:rPr>
              <w:t>Ministrija ir pabeigusi ieguldījumu</w:t>
            </w:r>
          </w:p>
        </w:tc>
        <w:tc>
          <w:tcPr>
            <w:tcW w:w="1984" w:type="dxa"/>
            <w:tcBorders>
              <w:top w:val="single" w:sz="4" w:space="0" w:color="auto"/>
            </w:tcBorders>
            <w:shd w:val="clear" w:color="auto" w:fill="C6EFCE"/>
            <w:noWrap/>
            <w:vAlign w:val="center"/>
          </w:tcPr>
          <w:p w14:paraId="1F444450" w14:textId="6C7A294A" w:rsidR="00C972CB" w:rsidRDefault="002457F6">
            <w:pPr>
              <w:pStyle w:val="P68B1DB1-Normal38"/>
              <w:spacing w:after="120"/>
              <w:jc w:val="center"/>
              <w:rPr>
                <w:noProof/>
              </w:rPr>
            </w:pPr>
            <w:r>
              <w:rPr>
                <w:noProof/>
              </w:rPr>
              <w:t>Nodošanas sertifikāts</w:t>
            </w:r>
          </w:p>
        </w:tc>
        <w:tc>
          <w:tcPr>
            <w:tcW w:w="1134" w:type="dxa"/>
            <w:tcBorders>
              <w:top w:val="single" w:sz="4" w:space="0" w:color="auto"/>
            </w:tcBorders>
            <w:shd w:val="clear" w:color="auto" w:fill="C6EFCE"/>
            <w:noWrap/>
            <w:vAlign w:val="center"/>
          </w:tcPr>
          <w:p w14:paraId="18FD819D" w14:textId="77777777" w:rsidR="00C972CB" w:rsidRDefault="00C972CB">
            <w:pPr>
              <w:spacing w:after="120"/>
              <w:jc w:val="center"/>
              <w:rPr>
                <w:rFonts w:ascii="Arial Narrow" w:hAnsi="Arial Narrow"/>
                <w:noProof/>
                <w:color w:val="006100"/>
                <w:sz w:val="20"/>
              </w:rPr>
            </w:pPr>
          </w:p>
        </w:tc>
        <w:tc>
          <w:tcPr>
            <w:tcW w:w="993" w:type="dxa"/>
            <w:tcBorders>
              <w:top w:val="single" w:sz="4" w:space="0" w:color="auto"/>
            </w:tcBorders>
            <w:shd w:val="clear" w:color="auto" w:fill="C6EFCE"/>
            <w:noWrap/>
            <w:vAlign w:val="center"/>
          </w:tcPr>
          <w:p w14:paraId="506221A0" w14:textId="77777777" w:rsidR="00C972CB" w:rsidRDefault="00C972CB">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5FB0DCCD" w14:textId="77777777" w:rsidR="00C972CB" w:rsidRDefault="00C972CB">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F1390F9" w14:textId="258EDFEA" w:rsidR="00C972CB" w:rsidRDefault="002457F6">
            <w:pPr>
              <w:pStyle w:val="P68B1DB1-Normal11"/>
              <w:spacing w:after="120"/>
              <w:jc w:val="center"/>
              <w:rPr>
                <w:noProof/>
              </w:rPr>
            </w:pPr>
            <w:r>
              <w:rPr>
                <w:noProof/>
              </w:rPr>
              <w:t>2. CET.</w:t>
            </w:r>
          </w:p>
        </w:tc>
        <w:tc>
          <w:tcPr>
            <w:tcW w:w="709" w:type="dxa"/>
            <w:tcBorders>
              <w:top w:val="single" w:sz="4" w:space="0" w:color="auto"/>
            </w:tcBorders>
            <w:shd w:val="clear" w:color="auto" w:fill="C6EFCE"/>
            <w:noWrap/>
            <w:vAlign w:val="center"/>
          </w:tcPr>
          <w:p w14:paraId="4CAD5488" w14:textId="7530DA5D" w:rsidR="00C972CB" w:rsidRDefault="002457F6">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3090C876" w14:textId="2E4EE122" w:rsidR="00C972CB" w:rsidRDefault="002457F6">
            <w:pPr>
              <w:pStyle w:val="P68B1DB1-Normal11"/>
              <w:spacing w:after="120"/>
              <w:rPr>
                <w:noProof/>
              </w:rPr>
            </w:pPr>
            <w:r>
              <w:rPr>
                <w:noProof/>
              </w:rPr>
              <w:t>Itālija pārskaita EUR 100000000 Invitali</w:t>
            </w:r>
            <w:r>
              <w:rPr>
                <w:noProof/>
              </w:rPr>
              <w:t>a S.p.A. saistībā ar shēmu.</w:t>
            </w:r>
          </w:p>
        </w:tc>
      </w:tr>
    </w:tbl>
    <w:p w14:paraId="4CE926A9" w14:textId="77777777" w:rsidR="00C972CB" w:rsidRDefault="00C972CB">
      <w:pPr>
        <w:tabs>
          <w:tab w:val="left" w:pos="4252"/>
        </w:tabs>
        <w:spacing w:after="120"/>
        <w:rPr>
          <w:i/>
          <w:noProof/>
        </w:rPr>
        <w:sectPr w:rsidR="00C972CB" w:rsidSect="001354D1">
          <w:headerReference w:type="even" r:id="rId393"/>
          <w:headerReference w:type="default" r:id="rId394"/>
          <w:footerReference w:type="even" r:id="rId395"/>
          <w:footerReference w:type="default" r:id="rId396"/>
          <w:headerReference w:type="first" r:id="rId397"/>
          <w:footerReference w:type="first" r:id="rId398"/>
          <w:pgSz w:w="16838" w:h="11906" w:orient="landscape" w:code="9"/>
          <w:pgMar w:top="1134" w:right="1134" w:bottom="1134" w:left="1134" w:header="567" w:footer="567" w:gutter="0"/>
          <w:cols w:space="720"/>
          <w:docGrid w:linePitch="360"/>
        </w:sectPr>
      </w:pPr>
    </w:p>
    <w:p w14:paraId="35F41414" w14:textId="2AC8DA1F" w:rsidR="00C972CB" w:rsidRDefault="002457F6">
      <w:pPr>
        <w:pStyle w:val="Heading3"/>
        <w:numPr>
          <w:ilvl w:val="0"/>
          <w:numId w:val="0"/>
        </w:numPr>
        <w:spacing w:before="0"/>
        <w:ind w:left="850" w:hanging="850"/>
        <w:rPr>
          <w:rFonts w:ascii="Segoe UI" w:hAnsi="Segoe UI" w:cs="Segoe UI"/>
          <w:b/>
          <w:i w:val="0"/>
          <w:noProof/>
          <w:sz w:val="18"/>
          <w:u w:val="single"/>
        </w:rPr>
      </w:pPr>
      <w:r>
        <w:rPr>
          <w:rStyle w:val="normaltextrun"/>
          <w:b/>
          <w:noProof/>
          <w:u w:val="single"/>
        </w:rPr>
        <w:t xml:space="preserve">Q.3. </w:t>
      </w:r>
      <w:r>
        <w:rPr>
          <w:noProof/>
        </w:rPr>
        <w:tab/>
      </w:r>
      <w:r>
        <w:rPr>
          <w:rStyle w:val="normaltextrun"/>
          <w:b/>
          <w:noProof/>
          <w:u w:val="single"/>
        </w:rPr>
        <w:t xml:space="preserve">Aizdevumam pieteikto reformu un investīciju apraksts </w:t>
      </w:r>
    </w:p>
    <w:p w14:paraId="4698A6B2" w14:textId="01DF445C" w:rsidR="00C972CB" w:rsidRDefault="002457F6">
      <w:pPr>
        <w:pStyle w:val="P68B1DB1-Heading437"/>
        <w:numPr>
          <w:ilvl w:val="3"/>
          <w:numId w:val="0"/>
        </w:numPr>
        <w:spacing w:before="0"/>
        <w:rPr>
          <w:i/>
          <w:noProof/>
        </w:rPr>
      </w:pPr>
      <w:bookmarkStart w:id="6" w:name="_Hlk140650645"/>
      <w:r>
        <w:rPr>
          <w:noProof/>
        </w:rPr>
        <w:t xml:space="preserve">Ieguldījums 13. Adrijas jūras līnija, 1. posms (Sulmonas kompresora stacija un Sestino-Minerbio gāzes </w:t>
      </w:r>
      <w:r>
        <w:rPr>
          <w:noProof/>
        </w:rPr>
        <w:t>cauruļvads)</w:t>
      </w:r>
    </w:p>
    <w:p w14:paraId="470BDC62" w14:textId="77777777" w:rsidR="00C972CB" w:rsidRDefault="002457F6">
      <w:pPr>
        <w:pStyle w:val="Text1"/>
        <w:spacing w:before="0"/>
        <w:ind w:left="0"/>
        <w:rPr>
          <w:noProof/>
        </w:rPr>
      </w:pPr>
      <w:r>
        <w:rPr>
          <w:noProof/>
        </w:rPr>
        <w:t xml:space="preserve">Šo investīciju mērķis ir uzlabot energoinfrastruktūru un objektus, lai apmierinātu tūlītējas gāzes, tostarp sašķidrinātas dabasgāzes, piegādes drošības vajadzības, jo īpaši, lai nodrošinātu piegādes diversifikāciju visas Savienības interesēs. </w:t>
      </w:r>
    </w:p>
    <w:p w14:paraId="55B54CBD" w14:textId="6DF97EB7" w:rsidR="00C972CB" w:rsidRDefault="002457F6">
      <w:pPr>
        <w:pStyle w:val="Text1"/>
        <w:spacing w:before="0"/>
        <w:ind w:left="0"/>
        <w:rPr>
          <w:noProof/>
        </w:rPr>
      </w:pPr>
      <w:r>
        <w:rPr>
          <w:noProof/>
        </w:rPr>
        <w:t>Ieguldījuma mērķis ir atbalstīt kompresoru stacijas būvniecību Sulmonā un gāzes cauruļvada būvniecību, kas savieno Sestino un Minerbio mezglus Adrijas jūras līnijas ietvaros. Paredzams, ka jaunbūvētā infrastruktūra palielinās gāzes transportēšanas jaudu pa</w:t>
      </w:r>
      <w:r>
        <w:rPr>
          <w:noProof/>
        </w:rPr>
        <w:t>r 14 m³ dienā.</w:t>
      </w:r>
    </w:p>
    <w:p w14:paraId="1D95B459" w14:textId="466B95C4" w:rsidR="00C972CB" w:rsidRDefault="002457F6">
      <w:pPr>
        <w:pStyle w:val="Text1"/>
        <w:spacing w:before="0"/>
        <w:ind w:left="0"/>
        <w:rPr>
          <w:noProof/>
        </w:rPr>
      </w:pPr>
      <w:r>
        <w:rPr>
          <w:noProof/>
        </w:rPr>
        <w:t xml:space="preserve">Itālija nosaka teritorijas īpašo saglabāšanas mērķu (SSCO) statusu un vajadzības gadījumā līdz darba uzsākšanai attiecīgajos apgabalos attiecīgi pārskata ietekmes uz vidi novērtējumus (Valutazione Incidenza Ambientale). </w:t>
      </w:r>
    </w:p>
    <w:p w14:paraId="47FE6645" w14:textId="39AAD8AC" w:rsidR="00C972CB" w:rsidRDefault="002457F6">
      <w:pPr>
        <w:pStyle w:val="Text1"/>
        <w:spacing w:before="0"/>
        <w:ind w:left="0"/>
        <w:rPr>
          <w:noProof/>
        </w:rPr>
      </w:pPr>
      <w:r>
        <w:rPr>
          <w:noProof/>
        </w:rPr>
        <w:t>Sulmonas kompresorst</w:t>
      </w:r>
      <w:r>
        <w:rPr>
          <w:noProof/>
        </w:rPr>
        <w:t>aciju un Sestino-Minerbio gāzes cauruļvadu būvē līdz 2026. gada 31. augustam.</w:t>
      </w:r>
    </w:p>
    <w:p w14:paraId="7CDC22D8" w14:textId="5D59A173" w:rsidR="00C972CB" w:rsidRDefault="002457F6">
      <w:pPr>
        <w:pStyle w:val="P68B1DB1-Heading437"/>
        <w:numPr>
          <w:ilvl w:val="3"/>
          <w:numId w:val="0"/>
        </w:numPr>
        <w:ind w:left="850" w:hanging="850"/>
        <w:rPr>
          <w:noProof/>
        </w:rPr>
      </w:pPr>
      <w:r>
        <w:rPr>
          <w:noProof/>
        </w:rPr>
        <w:t>Ieguldījums 14. Gāzes pārrobežu eksporta infrastruktūra</w:t>
      </w:r>
    </w:p>
    <w:p w14:paraId="6C1A1146" w14:textId="77777777" w:rsidR="00C972CB" w:rsidRDefault="002457F6">
      <w:pPr>
        <w:pStyle w:val="Text1"/>
        <w:spacing w:before="0"/>
        <w:ind w:left="0"/>
        <w:rPr>
          <w:noProof/>
        </w:rPr>
      </w:pPr>
      <w:r>
        <w:rPr>
          <w:noProof/>
        </w:rPr>
        <w:t xml:space="preserve">Šo investīciju mērķis ir uzlabot energoinfrastruktūru un objektus, lai apmierinātu tūlītējas gāzes, tostarp sašķidrinātas </w:t>
      </w:r>
      <w:r>
        <w:rPr>
          <w:noProof/>
        </w:rPr>
        <w:t xml:space="preserve">dabasgāzes, piegādes drošības vajadzības, jo īpaši, lai nodrošinātu piegādes diversifikāciju visas Savienības interesēs. </w:t>
      </w:r>
    </w:p>
    <w:p w14:paraId="4735CFAB" w14:textId="664AD1D2" w:rsidR="00C972CB" w:rsidRDefault="002457F6">
      <w:pPr>
        <w:pStyle w:val="Text1"/>
        <w:spacing w:before="0"/>
        <w:ind w:left="0"/>
        <w:rPr>
          <w:noProof/>
        </w:rPr>
      </w:pPr>
      <w:r>
        <w:rPr>
          <w:noProof/>
        </w:rPr>
        <w:t>Šīs investīcijas ietver esošās gāzes infrastruktūras modernizēšanu, kas ļauj eksportēt dabasgāzi caur Tarvisio izejas punktu. Ieguldīj</w:t>
      </w:r>
      <w:r>
        <w:rPr>
          <w:noProof/>
        </w:rPr>
        <w:t xml:space="preserve">umu jo īpaši veido jaunas elektriskās kompresijas iekārtas būvniecība Poggio Renatico kompresorstacijā. Paredzams, ka jaunbūvētā infrastruktūra palielinās gāzes eksporta jaudu caur Tarvisio izejas punktu par 8 mljrd. m³ gadā. </w:t>
      </w:r>
    </w:p>
    <w:p w14:paraId="2D560531" w14:textId="20478880" w:rsidR="00C972CB" w:rsidRDefault="002457F6">
      <w:pPr>
        <w:pStyle w:val="Text1"/>
        <w:spacing w:before="0"/>
        <w:ind w:left="0"/>
        <w:rPr>
          <w:noProof/>
        </w:rPr>
      </w:pPr>
      <w:r>
        <w:rPr>
          <w:noProof/>
        </w:rPr>
        <w:t>Kompresijas iekārtu Poggio Re</w:t>
      </w:r>
      <w:r>
        <w:rPr>
          <w:noProof/>
        </w:rPr>
        <w:t xml:space="preserve">natico kompresoru stacijā būvē līdz 2026. gada 31. augustam. </w:t>
      </w:r>
    </w:p>
    <w:p w14:paraId="13A404AF" w14:textId="46C0F8C1" w:rsidR="00C972CB" w:rsidRDefault="002457F6">
      <w:pPr>
        <w:pStyle w:val="P68B1DB1-Heading437"/>
        <w:numPr>
          <w:ilvl w:val="3"/>
          <w:numId w:val="0"/>
        </w:numPr>
        <w:ind w:left="850" w:hanging="850"/>
        <w:rPr>
          <w:noProof/>
        </w:rPr>
      </w:pPr>
      <w:r>
        <w:rPr>
          <w:noProof/>
        </w:rPr>
        <w:t xml:space="preserve">Ieguldījums 15. Transizione 5.0 </w:t>
      </w:r>
    </w:p>
    <w:bookmarkEnd w:id="6"/>
    <w:p w14:paraId="19129D56" w14:textId="3E5202C4" w:rsidR="00C972CB" w:rsidRDefault="002457F6">
      <w:pPr>
        <w:pStyle w:val="NormalWeb"/>
        <w:spacing w:before="0" w:beforeAutospacing="0" w:after="120" w:afterAutospacing="0"/>
        <w:jc w:val="both"/>
        <w:rPr>
          <w:noProof/>
          <w:color w:val="0000FF"/>
          <w:sz w:val="21"/>
        </w:rPr>
      </w:pPr>
      <w:r>
        <w:rPr>
          <w:rStyle w:val="normaltextrun"/>
          <w:noProof/>
        </w:rPr>
        <w:t>Šis pasākums atbalsta ražošanas procesu enerģētikas pārkārtošanu uz energoefektīvu, ilgtspējīgu un uz atjaunojamiem energoresursiem balstītu ražošanas modeli. Tā</w:t>
      </w:r>
      <w:r>
        <w:rPr>
          <w:rStyle w:val="normaltextrun"/>
          <w:noProof/>
        </w:rPr>
        <w:t>dējādi pasākumam būtu jāpanāk enerģijas ietaupījums 0,4 Mtoe enerģijas galapatēriņā laikposmā no 2024. līdz 2026. gadam.</w:t>
      </w:r>
      <w:r>
        <w:rPr>
          <w:noProof/>
          <w:color w:val="0000FF"/>
          <w:sz w:val="21"/>
        </w:rPr>
        <w:t xml:space="preserve"> </w:t>
      </w:r>
    </w:p>
    <w:p w14:paraId="7A2A9B85" w14:textId="2EFCAD86" w:rsidR="00C972CB" w:rsidRDefault="002457F6">
      <w:pPr>
        <w:pStyle w:val="NormalWeb"/>
        <w:spacing w:before="0" w:beforeAutospacing="0" w:after="120" w:afterAutospacing="0"/>
        <w:jc w:val="both"/>
        <w:rPr>
          <w:rStyle w:val="normaltextrun"/>
          <w:rFonts w:eastAsiaTheme="majorEastAsia"/>
          <w:noProof/>
        </w:rPr>
      </w:pPr>
      <w:r>
        <w:rPr>
          <w:rStyle w:val="normaltextrun"/>
          <w:noProof/>
        </w:rPr>
        <w:t>Uzņēmumiem piešķir nodokļu kredītu, kas ir samērīgs ar izdevumiem, kuri radušies laikposmā no 2024. gada 1. janvāra līdz 2025. gada 31</w:t>
      </w:r>
      <w:r>
        <w:rPr>
          <w:rStyle w:val="normaltextrun"/>
          <w:noProof/>
        </w:rPr>
        <w:t>. decembrim, ja tie iegulda:</w:t>
      </w:r>
    </w:p>
    <w:p w14:paraId="4F9D2EC2" w14:textId="77777777" w:rsidR="00C972CB" w:rsidRDefault="002457F6">
      <w:pPr>
        <w:pStyle w:val="ListParagraph"/>
        <w:keepNext/>
        <w:numPr>
          <w:ilvl w:val="0"/>
          <w:numId w:val="42"/>
        </w:numPr>
        <w:spacing w:before="0"/>
        <w:contextualSpacing w:val="0"/>
        <w:rPr>
          <w:rStyle w:val="normaltextrun"/>
          <w:noProof/>
        </w:rPr>
      </w:pPr>
      <w:r>
        <w:rPr>
          <w:rStyle w:val="normaltextrun"/>
          <w:noProof/>
        </w:rPr>
        <w:t>digitālie aktīvi (4.0 materiālie ražošanas līdzekļi, 4.0 nemateriālie ražošanas līdzekļi</w:t>
      </w:r>
      <w:r>
        <w:rPr>
          <w:rStyle w:val="FootnoteReference"/>
          <w:rFonts w:eastAsiaTheme="majorEastAsia"/>
          <w:noProof/>
        </w:rPr>
        <w:footnoteReference w:id="136"/>
      </w:r>
      <w:r>
        <w:rPr>
          <w:rStyle w:val="normaltextrun"/>
          <w:noProof/>
        </w:rPr>
        <w:t xml:space="preserve">) </w:t>
      </w:r>
    </w:p>
    <w:p w14:paraId="5C17A29D" w14:textId="610574F5" w:rsidR="00C972CB" w:rsidRDefault="002457F6">
      <w:pPr>
        <w:pStyle w:val="NormalWeb"/>
        <w:numPr>
          <w:ilvl w:val="0"/>
          <w:numId w:val="42"/>
        </w:numPr>
        <w:spacing w:before="0" w:beforeAutospacing="0" w:after="120" w:afterAutospacing="0"/>
        <w:jc w:val="both"/>
        <w:rPr>
          <w:rFonts w:eastAsiaTheme="majorEastAsia"/>
          <w:noProof/>
        </w:rPr>
      </w:pPr>
      <w:r>
        <w:rPr>
          <w:noProof/>
        </w:rPr>
        <w:t>resursi, kas vajadzīgi pašražošanai un pašpatēriņam no atjaunojamiem energoresursiem (izņemot biomasu)</w:t>
      </w:r>
    </w:p>
    <w:p w14:paraId="11C64E95" w14:textId="77777777" w:rsidR="00C972CB" w:rsidRDefault="002457F6">
      <w:pPr>
        <w:pStyle w:val="NormalWeb"/>
        <w:numPr>
          <w:ilvl w:val="0"/>
          <w:numId w:val="42"/>
        </w:numPr>
        <w:spacing w:before="0" w:beforeAutospacing="0" w:after="120" w:afterAutospacing="0"/>
        <w:jc w:val="both"/>
        <w:rPr>
          <w:rFonts w:eastAsiaTheme="majorEastAsia"/>
          <w:noProof/>
        </w:rPr>
      </w:pPr>
      <w:r>
        <w:rPr>
          <w:rStyle w:val="normaltextrun"/>
          <w:noProof/>
        </w:rPr>
        <w:t xml:space="preserve">apmācīt darbiniekus zaļās </w:t>
      </w:r>
      <w:r>
        <w:rPr>
          <w:rStyle w:val="normaltextrun"/>
          <w:noProof/>
        </w:rPr>
        <w:t>pārkārtošanās prasmju apgūšanā.</w:t>
      </w:r>
    </w:p>
    <w:p w14:paraId="7FC17308" w14:textId="47A49467" w:rsidR="00C972CB" w:rsidRDefault="002457F6">
      <w:pPr>
        <w:pStyle w:val="NormalWeb"/>
        <w:spacing w:before="0" w:beforeAutospacing="0" w:after="120" w:afterAutospacing="0"/>
        <w:jc w:val="both"/>
        <w:rPr>
          <w:rFonts w:eastAsiaTheme="majorEastAsia"/>
          <w:noProof/>
        </w:rPr>
      </w:pPr>
      <w:r>
        <w:rPr>
          <w:noProof/>
        </w:rPr>
        <w:t>Nodokļu atvieglojums saskaņā ar vismaz trim papildu robežvērtībām ir proporcionāls enerģijas galapatēriņa samazinājumam (vismaz par 3 %) vai enerģijas ietaupījumam, kas panākts mērķprocesos (vismaz 5 % salīdzinājumā ar iepri</w:t>
      </w:r>
      <w:r>
        <w:rPr>
          <w:noProof/>
        </w:rPr>
        <w:t>ekšējiem šādu procesu patēriņa rādītājiem), kas saistīts ar investīcijām a) apakšpunktā minētajos aktīvos</w:t>
      </w:r>
      <w:r>
        <w:rPr>
          <w:rStyle w:val="FootnoteReference"/>
          <w:rFonts w:eastAsiaTheme="majorEastAsia"/>
          <w:noProof/>
        </w:rPr>
        <w:footnoteReference w:id="137"/>
      </w:r>
      <w:r>
        <w:rPr>
          <w:noProof/>
        </w:rPr>
        <w:t>.</w:t>
      </w:r>
    </w:p>
    <w:p w14:paraId="3B66EFFE" w14:textId="0794CF6F" w:rsidR="00C972CB" w:rsidRDefault="002457F6">
      <w:pPr>
        <w:pStyle w:val="NormalWeb"/>
        <w:spacing w:before="0" w:beforeAutospacing="0" w:after="120" w:afterAutospacing="0"/>
        <w:jc w:val="both"/>
        <w:rPr>
          <w:rFonts w:eastAsiaTheme="majorEastAsia"/>
          <w:noProof/>
        </w:rPr>
      </w:pPr>
      <w:r>
        <w:rPr>
          <w:noProof/>
        </w:rPr>
        <w:t>Tāpēc nodokļu atvieglojumu intensitāte palielinās atbilstoši sertificētajiem energoefektivitātes uzlabojumiem un panāktajiem enerģijas ietaupījumiem</w:t>
      </w:r>
      <w:r>
        <w:rPr>
          <w:noProof/>
        </w:rPr>
        <w:t>.</w:t>
      </w:r>
    </w:p>
    <w:p w14:paraId="7711C74D" w14:textId="20A4C43E" w:rsidR="00C972CB" w:rsidRDefault="002457F6">
      <w:pPr>
        <w:pStyle w:val="NormalWeb"/>
        <w:spacing w:before="0" w:beforeAutospacing="0" w:after="120" w:afterAutospacing="0"/>
        <w:jc w:val="both"/>
        <w:rPr>
          <w:rStyle w:val="normaltextrun"/>
          <w:rFonts w:eastAsiaTheme="majorEastAsia"/>
          <w:noProof/>
        </w:rPr>
      </w:pPr>
      <w:r>
        <w:rPr>
          <w:noProof/>
        </w:rPr>
        <w:t>Lai projekts būtu atbilstīgs, to sertificē neatkarīgs vērtētājs, kas apliecina, ka ex ante inovācijas projekts atbilst atbilstības kritērijiem, kas saistīti ar kopējā enerģijas patēriņa samazināšanu. Turklāt ex post apliecinājums apliecina ieguldījumu fa</w:t>
      </w:r>
      <w:r>
        <w:rPr>
          <w:noProof/>
        </w:rPr>
        <w:t>ktisko īstenošanu saskaņā ar ex ante sertifikācijas noteikumiem.</w:t>
      </w:r>
    </w:p>
    <w:p w14:paraId="0017C19F" w14:textId="512C9653" w:rsidR="00C972CB" w:rsidRDefault="002457F6">
      <w:pPr>
        <w:pStyle w:val="NormalWeb"/>
        <w:spacing w:before="0" w:beforeAutospacing="0" w:after="120" w:afterAutospacing="0"/>
        <w:jc w:val="both"/>
        <w:rPr>
          <w:rStyle w:val="normaltextrun"/>
          <w:rFonts w:eastAsiaTheme="majorEastAsia"/>
          <w:noProof/>
        </w:rPr>
      </w:pPr>
      <w:r>
        <w:rPr>
          <w:rStyle w:val="normaltextrun"/>
          <w:noProof/>
        </w:rPr>
        <w:t>Vismaz 4032000000</w:t>
      </w:r>
      <w:r>
        <w:rPr>
          <w:rFonts w:ascii="Arial Narrow" w:hAnsi="Arial Narrow"/>
          <w:noProof/>
          <w:color w:val="006100"/>
          <w:sz w:val="20"/>
        </w:rPr>
        <w:t xml:space="preserve"> </w:t>
      </w:r>
      <w:r>
        <w:rPr>
          <w:rStyle w:val="normaltextrun"/>
          <w:noProof/>
        </w:rPr>
        <w:t>EUR</w:t>
      </w:r>
      <w:r>
        <w:rPr>
          <w:rFonts w:ascii="Arial Narrow" w:hAnsi="Arial Narrow"/>
          <w:noProof/>
          <w:color w:val="006100"/>
          <w:sz w:val="20"/>
        </w:rPr>
        <w:t xml:space="preserve">  </w:t>
      </w:r>
      <w:r>
        <w:rPr>
          <w:rStyle w:val="normaltextrun"/>
          <w:noProof/>
        </w:rPr>
        <w:t>no investīcijām veicina klimata pārmaiņu mērķu sasniegšanu saskaņā ar ANM regulas VI pielikumu.</w:t>
      </w:r>
      <w:r>
        <w:rPr>
          <w:rStyle w:val="FootnoteReference"/>
          <w:noProof/>
        </w:rPr>
        <w:footnoteReference w:id="138"/>
      </w:r>
    </w:p>
    <w:p w14:paraId="2A6BB2ED" w14:textId="77777777" w:rsidR="00C972CB" w:rsidRDefault="002457F6">
      <w:pPr>
        <w:pStyle w:val="paragraph"/>
        <w:spacing w:before="0" w:beforeAutospacing="0" w:after="120" w:afterAutospacing="0"/>
        <w:jc w:val="both"/>
        <w:textAlignment w:val="baseline"/>
        <w:rPr>
          <w:rStyle w:val="normaltextrun"/>
          <w:rFonts w:eastAsiaTheme="majorEastAsia"/>
          <w:noProof/>
        </w:rPr>
      </w:pPr>
      <w:r>
        <w:rPr>
          <w:rStyle w:val="normaltextrun"/>
          <w:noProof/>
        </w:rPr>
        <w:t>Pasākumu veido nodokļu kredītu shēma, un tas attiecas uz izdevumiem, ka</w:t>
      </w:r>
      <w:r>
        <w:rPr>
          <w:rStyle w:val="normaltextrun"/>
          <w:noProof/>
        </w:rPr>
        <w:t>s jāpieprasa laikposmā no 2025. gada 1. janvāra līdz 2026. gada 31. augustam.</w:t>
      </w:r>
    </w:p>
    <w:p w14:paraId="5FF1F15B" w14:textId="4709E8A5" w:rsidR="00C972CB" w:rsidRDefault="002457F6">
      <w:pPr>
        <w:spacing w:after="120"/>
        <w:jc w:val="both"/>
        <w:rPr>
          <w:noProof/>
        </w:rPr>
      </w:pPr>
      <w:r>
        <w:rPr>
          <w:noProof/>
        </w:rPr>
        <w:t>1 % no kopējā budžeta piešķir IT platformas izstrādei: pārvaldīt saņēmēju iesniegtos apliecinājumus; II) atvieglo analīzei izmantoto datu novērtēšanu, apmaiņu un pārvaldību; un i</w:t>
      </w:r>
      <w:r>
        <w:rPr>
          <w:noProof/>
        </w:rPr>
        <w:t xml:space="preserve">ii) uzraudzības un kontroles darbībām. </w:t>
      </w:r>
    </w:p>
    <w:p w14:paraId="59DA6CE4" w14:textId="4ABB65D7" w:rsidR="00C972CB" w:rsidRDefault="002457F6">
      <w:pPr>
        <w:spacing w:after="120"/>
        <w:jc w:val="both"/>
        <w:rPr>
          <w:noProof/>
        </w:rPr>
      </w:pPr>
      <w:r>
        <w:rPr>
          <w:noProof/>
        </w:rPr>
        <w:t>Turklāt pasākums paplašina darbības jomu zinātniskajai komitejai, kas izveidota M1C2–1. starpposma mērķī (Transizione 4.0), lai līdz 2026. gada 31. augustam izstrādātu ziņojumu, kurā novērtēta Itālijas Uzņēmumu un ma</w:t>
      </w:r>
      <w:r>
        <w:rPr>
          <w:noProof/>
        </w:rPr>
        <w:t>du ministrijas (MIMIT) kompetencē esošo NANP investīciju efektivitāte un iespējamā sinerģija ar citiem ES finansējuma avotiem ES un valsts konkurētspējai un autonomijai stratēģiski svarīgās nozarēs.</w:t>
      </w:r>
    </w:p>
    <w:p w14:paraId="159185D5" w14:textId="43C9B64B" w:rsidR="00C972CB" w:rsidRDefault="002457F6">
      <w:pPr>
        <w:pStyle w:val="P68B1DB1-Heading437"/>
        <w:numPr>
          <w:ilvl w:val="3"/>
          <w:numId w:val="0"/>
        </w:numPr>
        <w:rPr>
          <w:noProof/>
        </w:rPr>
      </w:pPr>
      <w:r>
        <w:rPr>
          <w:noProof/>
        </w:rPr>
        <w:t>Ieguldījums 16. Atbalsts MVU pašražošanai no atjaunojamie</w:t>
      </w:r>
      <w:r>
        <w:rPr>
          <w:noProof/>
        </w:rPr>
        <w:t>m enerģijas avotiem</w:t>
      </w:r>
    </w:p>
    <w:p w14:paraId="2DAD3D8A" w14:textId="6DC649B8" w:rsidR="00C972CB" w:rsidRDefault="002457F6">
      <w:pPr>
        <w:spacing w:after="120"/>
        <w:jc w:val="both"/>
        <w:rPr>
          <w:noProof/>
        </w:rPr>
      </w:pPr>
      <w:r>
        <w:rPr>
          <w:noProof/>
        </w:rPr>
        <w:t xml:space="preserve">Šis pasākums sastāv no publiskiem ieguldījumiem dotāciju shēmā </w:t>
      </w:r>
      <w:r>
        <w:rPr>
          <w:i/>
          <w:noProof/>
        </w:rPr>
        <w:t>“Atbalsts MVU pašražošanai no atjaunojamiem enerģijas avotiem”</w:t>
      </w:r>
      <w:r>
        <w:rPr>
          <w:noProof/>
        </w:rPr>
        <w:t>, lai stimulētu privātos ieguldījumus un uzlabotu piekļuvi finansējumam Itālijas enerģijas pašražošanā no atjau</w:t>
      </w:r>
      <w:r>
        <w:rPr>
          <w:noProof/>
        </w:rPr>
        <w:t>nojamiem energoresursiem (AER).</w:t>
      </w:r>
    </w:p>
    <w:p w14:paraId="6A1E94CC" w14:textId="18468A4D" w:rsidR="00C972CB" w:rsidRDefault="002457F6">
      <w:pPr>
        <w:spacing w:after="120"/>
        <w:jc w:val="both"/>
        <w:rPr>
          <w:noProof/>
        </w:rPr>
      </w:pPr>
      <w:r>
        <w:rPr>
          <w:noProof/>
        </w:rPr>
        <w:t xml:space="preserve">Shēmas mērķis ir atbalstīt mikrouzņēmumus, mazos un vidējos uzņēmumus (MVU) tādu ieguldījumu programmu īstenošanā, kuru mērķis ir enerģijas pašražošana no atjaunojamiem energoresursiem. </w:t>
      </w:r>
    </w:p>
    <w:p w14:paraId="323F42C2" w14:textId="46625CA6" w:rsidR="00C972CB" w:rsidRDefault="002457F6">
      <w:pPr>
        <w:spacing w:after="120"/>
        <w:rPr>
          <w:noProof/>
        </w:rPr>
      </w:pPr>
      <w:r>
        <w:rPr>
          <w:noProof/>
        </w:rPr>
        <w:t>Shēma darbojas, piešķirot dotācijas t</w:t>
      </w:r>
      <w:r>
        <w:rPr>
          <w:noProof/>
        </w:rPr>
        <w:t>ieši privātajam sektoram. Pamatojoties uz ANM investīcijām, shēmas mērķis sākotnēji ir nodrošināt dotācijas vismaz 320 000 000 EUR</w:t>
      </w:r>
      <w:r>
        <w:rPr>
          <w:rFonts w:ascii="Arial Narrow" w:hAnsi="Arial Narrow"/>
          <w:noProof/>
          <w:color w:val="006100"/>
          <w:sz w:val="20"/>
        </w:rPr>
        <w:t xml:space="preserve"> </w:t>
      </w:r>
      <w:r>
        <w:rPr>
          <w:noProof/>
        </w:rPr>
        <w:t>apmērā.</w:t>
      </w:r>
    </w:p>
    <w:p w14:paraId="3FF0CE7D" w14:textId="20E0DE76" w:rsidR="00C972CB" w:rsidRDefault="002457F6">
      <w:pPr>
        <w:spacing w:after="120"/>
        <w:jc w:val="both"/>
        <w:rPr>
          <w:noProof/>
        </w:rPr>
      </w:pPr>
      <w:r>
        <w:rPr>
          <w:noProof/>
        </w:rPr>
        <w:t>Shēmu pārvalda Invitalia SpA kā īstenošanas partneris. Shēmā iekļauj šādas produktu līnijas:</w:t>
      </w:r>
    </w:p>
    <w:p w14:paraId="142E6C3A" w14:textId="77777777" w:rsidR="00C972CB" w:rsidRDefault="002457F6">
      <w:pPr>
        <w:pStyle w:val="ListParagraph"/>
        <w:numPr>
          <w:ilvl w:val="0"/>
          <w:numId w:val="38"/>
        </w:numPr>
        <w:spacing w:before="0"/>
        <w:contextualSpacing w:val="0"/>
        <w:rPr>
          <w:noProof/>
        </w:rPr>
      </w:pPr>
      <w:r>
        <w:rPr>
          <w:noProof/>
        </w:rPr>
        <w:t xml:space="preserve"> neatmaksājamas iemaksas</w:t>
      </w:r>
      <w:r>
        <w:rPr>
          <w:noProof/>
        </w:rPr>
        <w:t xml:space="preserve"> (vidēji 50 % no kopējām investīcijām) sistēmu un saistīto digitālo tehnoloģiju iegādei, kas ļauj tieši ražot enerģiju no atjaunīgajiem energoresursiem tūlītējam pašpatēriņam vai izmantojot uzkrāšanas/uzglabāšanas sistēmas.</w:t>
      </w:r>
    </w:p>
    <w:p w14:paraId="51C862B4" w14:textId="76916B95" w:rsidR="00C972CB" w:rsidRDefault="002457F6">
      <w:pPr>
        <w:spacing w:after="120"/>
        <w:jc w:val="both"/>
        <w:rPr>
          <w:noProof/>
        </w:rPr>
      </w:pPr>
      <w:r>
        <w:rPr>
          <w:noProof/>
        </w:rPr>
        <w:t xml:space="preserve">Lai īstenotu ieguldījumu shēmā, </w:t>
      </w:r>
      <w:r>
        <w:rPr>
          <w:noProof/>
        </w:rPr>
        <w:t>Itālija un Invitalia SpA paraksta īstenošanas nolīgumu, kurā iekļauj šādu saturu:</w:t>
      </w:r>
    </w:p>
    <w:p w14:paraId="0F7F667D" w14:textId="77777777" w:rsidR="00C972CB" w:rsidRDefault="002457F6">
      <w:pPr>
        <w:pStyle w:val="P68B1DB1-LegalNumPar27"/>
        <w:numPr>
          <w:ilvl w:val="0"/>
          <w:numId w:val="39"/>
        </w:numPr>
        <w:spacing w:after="120" w:line="240" w:lineRule="auto"/>
        <w:jc w:val="both"/>
        <w:rPr>
          <w:rFonts w:eastAsia="Times New Roman" w:cs="Times New Roman"/>
          <w:noProof/>
        </w:rPr>
      </w:pPr>
      <w:r>
        <w:rPr>
          <w:noProof/>
        </w:rPr>
        <w:t>Shēmas lēmumu pieņemšanas procesa apraksts: Shēmas galīgo lēmumu par ieguldījumiem pieņem ieguldījumu komiteja vai cita attiecīga līdzvērtīga pārvaldes struktūra, un to apsti</w:t>
      </w:r>
      <w:r>
        <w:rPr>
          <w:noProof/>
        </w:rPr>
        <w:t>prina ar to locekļu balsu vairākumu, kuri ir neatkarīgi no valdības.</w:t>
      </w:r>
    </w:p>
    <w:p w14:paraId="258B8DBF" w14:textId="77777777" w:rsidR="00C972CB" w:rsidRDefault="002457F6">
      <w:pPr>
        <w:pStyle w:val="P68B1DB1-LegalNumPar27"/>
        <w:numPr>
          <w:ilvl w:val="0"/>
          <w:numId w:val="31"/>
        </w:numPr>
        <w:spacing w:after="120" w:line="240" w:lineRule="auto"/>
        <w:jc w:val="both"/>
        <w:rPr>
          <w:rFonts w:cs="Times New Roman"/>
          <w:noProof/>
        </w:rPr>
      </w:pPr>
      <w:r>
        <w:rPr>
          <w:noProof/>
        </w:rPr>
        <w:t>Saistītās ieguldījumu politikas galvenās prasības,</w:t>
      </w:r>
      <w:r>
        <w:rPr>
          <w:b/>
          <w:noProof/>
        </w:rPr>
        <w:t xml:space="preserve"> </w:t>
      </w:r>
      <w:r>
        <w:rPr>
          <w:noProof/>
        </w:rPr>
        <w:t>kas ietver:</w:t>
      </w:r>
    </w:p>
    <w:p w14:paraId="75C9A509" w14:textId="77777777" w:rsidR="00C972CB" w:rsidRDefault="002457F6">
      <w:pPr>
        <w:pStyle w:val="P68B1DB1-LegalNumPar228"/>
        <w:numPr>
          <w:ilvl w:val="1"/>
          <w:numId w:val="41"/>
        </w:numPr>
        <w:spacing w:after="120" w:line="240" w:lineRule="auto"/>
        <w:ind w:left="1418"/>
        <w:jc w:val="both"/>
        <w:rPr>
          <w:rFonts w:cs="Times New Roman"/>
          <w:noProof/>
        </w:rPr>
      </w:pPr>
      <w:r>
        <w:rPr>
          <w:noProof/>
        </w:rPr>
        <w:t xml:space="preserve">Sniegtā atbalsta veida un atbalsttiesīgo galasaņēmēju apraksts. </w:t>
      </w:r>
    </w:p>
    <w:p w14:paraId="53CD4381" w14:textId="77777777" w:rsidR="00C972CB" w:rsidRDefault="002457F6">
      <w:pPr>
        <w:pStyle w:val="P68B1DB1-LegalNumPar228"/>
        <w:numPr>
          <w:ilvl w:val="1"/>
          <w:numId w:val="41"/>
        </w:numPr>
        <w:spacing w:after="120" w:line="240" w:lineRule="auto"/>
        <w:ind w:left="1418"/>
        <w:jc w:val="both"/>
        <w:rPr>
          <w:rFonts w:cs="Times New Roman"/>
          <w:noProof/>
        </w:rPr>
      </w:pPr>
      <w:r>
        <w:rPr>
          <w:noProof/>
        </w:rPr>
        <w:t xml:space="preserve">Prasība, lai visi atbalstītie ieguldījumi būtu ekonomiski </w:t>
      </w:r>
      <w:r>
        <w:rPr>
          <w:noProof/>
        </w:rPr>
        <w:t>dzīvotspējīgi</w:t>
      </w:r>
      <w:r>
        <w:rPr>
          <w:b/>
          <w:noProof/>
        </w:rPr>
        <w:t>.</w:t>
      </w:r>
    </w:p>
    <w:p w14:paraId="04A381CF" w14:textId="77777777" w:rsidR="00C972CB" w:rsidRDefault="002457F6">
      <w:pPr>
        <w:pStyle w:val="P68B1DB1-LegalNumPar228"/>
        <w:numPr>
          <w:ilvl w:val="1"/>
          <w:numId w:val="41"/>
        </w:numPr>
        <w:spacing w:after="120" w:line="240" w:lineRule="auto"/>
        <w:ind w:left="1418"/>
        <w:jc w:val="both"/>
        <w:rPr>
          <w:rFonts w:cs="Times New Roman"/>
          <w:noProof/>
        </w:rPr>
      </w:pPr>
      <w:r>
        <w:rPr>
          <w:noProof/>
        </w:rPr>
        <w:t>Prasība ievērot principu “nenodari būtisku kaitējumu” (DNSH), kā noteikts NBK tehniskajās norādēs (2021/C58/01). Jo īpaši, ja tiek sniegts vispārējs atbalsts uzņēmumiem, ieguldījumu politika neattiecas uz uzņēmumiem, kas lielā mērā koncentrē</w:t>
      </w:r>
      <w:r>
        <w:rPr>
          <w:noProof/>
        </w:rPr>
        <w:t>jas</w:t>
      </w:r>
      <w:r>
        <w:rPr>
          <w:noProof/>
        </w:rPr>
        <w:footnoteReference w:id="139"/>
      </w:r>
      <w:r>
        <w:rPr>
          <w:noProof/>
        </w:rPr>
        <w:t xml:space="preserve"> uz šādām nozarēm: enerģijas ražošana, kuras pamatā ir fosilais kurināmais, un ar to saistītās darbības</w:t>
      </w:r>
      <w:r>
        <w:rPr>
          <w:noProof/>
        </w:rPr>
        <w:footnoteReference w:id="140"/>
      </w:r>
      <w:r>
        <w:rPr>
          <w:noProof/>
        </w:rPr>
        <w:t>; energoietilpīgas un/vai augstas CO2 emisijas nozares</w:t>
      </w:r>
      <w:r>
        <w:rPr>
          <w:noProof/>
        </w:rPr>
        <w:footnoteReference w:id="141"/>
      </w:r>
      <w:r>
        <w:rPr>
          <w:noProof/>
        </w:rPr>
        <w:t>; piesārņojošu transportlīdzekļu ražošana, noma vai pārdošana</w:t>
      </w:r>
      <w:r>
        <w:rPr>
          <w:noProof/>
        </w:rPr>
        <w:footnoteReference w:id="142"/>
      </w:r>
      <w:r>
        <w:rPr>
          <w:noProof/>
        </w:rPr>
        <w:t>; IV) atkritumu savākšana, atkr</w:t>
      </w:r>
      <w:r>
        <w:rPr>
          <w:noProof/>
        </w:rPr>
        <w:t>itumu apstrāde un apglabāšana</w:t>
      </w:r>
      <w:r>
        <w:rPr>
          <w:noProof/>
        </w:rPr>
        <w:footnoteReference w:id="143"/>
      </w:r>
      <w:r>
        <w:rPr>
          <w:noProof/>
        </w:rPr>
        <w:t>, v) kodoldegvielas pārstrāde, kodolenerģijas ražošana. Turklāt ieguldījumu politika paredz, ka shēmas galasaņēmēji</w:t>
      </w:r>
      <w:r>
        <w:rPr>
          <w:b/>
          <w:noProof/>
        </w:rPr>
        <w:t xml:space="preserve"> </w:t>
      </w:r>
      <w:r>
        <w:rPr>
          <w:noProof/>
        </w:rPr>
        <w:t xml:space="preserve">ievēro attiecīgos ES un valsts tiesību aktus vides jomā. </w:t>
      </w:r>
    </w:p>
    <w:p w14:paraId="0FB7A2CA" w14:textId="77777777" w:rsidR="00C972CB" w:rsidRDefault="002457F6">
      <w:pPr>
        <w:pStyle w:val="P68B1DB1-LegalNumPar228"/>
        <w:numPr>
          <w:ilvl w:val="1"/>
          <w:numId w:val="41"/>
        </w:numPr>
        <w:spacing w:after="120" w:line="240" w:lineRule="auto"/>
        <w:ind w:left="1418"/>
        <w:jc w:val="both"/>
        <w:rPr>
          <w:rFonts w:cs="Times New Roman"/>
          <w:noProof/>
        </w:rPr>
      </w:pPr>
      <w:r>
        <w:rPr>
          <w:noProof/>
        </w:rPr>
        <w:t xml:space="preserve">Prasība, ka shēmas galasaņēmēji nesaņem atbalstu no </w:t>
      </w:r>
      <w:r>
        <w:rPr>
          <w:noProof/>
        </w:rPr>
        <w:t>citiem Savienības instrumentiem, lai segtu tās pašas izmaksas.</w:t>
      </w:r>
    </w:p>
    <w:p w14:paraId="12ECE8E4" w14:textId="77777777" w:rsidR="00C972CB" w:rsidRDefault="002457F6">
      <w:pPr>
        <w:pStyle w:val="P68B1DB1-LegalNumPar27"/>
        <w:numPr>
          <w:ilvl w:val="0"/>
          <w:numId w:val="31"/>
        </w:numPr>
        <w:spacing w:after="120" w:line="240" w:lineRule="auto"/>
        <w:jc w:val="both"/>
        <w:rPr>
          <w:rFonts w:cs="Times New Roman"/>
          <w:noProof/>
        </w:rPr>
      </w:pPr>
      <w:r>
        <w:rPr>
          <w:noProof/>
        </w:rPr>
        <w:t>Summa, uz kuru attiecas īstenošanas nolīgums, īstenošanas partnera maksu struktūra un prasība ieguldīt visus neizmantotos ieņēmumus no shēmas, tostarp pēc 2026. gada, tiem pašiem politikas mērķ</w:t>
      </w:r>
      <w:r>
        <w:rPr>
          <w:noProof/>
        </w:rPr>
        <w:t>iem.</w:t>
      </w:r>
    </w:p>
    <w:p w14:paraId="25AF2D93" w14:textId="77777777" w:rsidR="00C972CB" w:rsidRDefault="002457F6">
      <w:pPr>
        <w:pStyle w:val="P68B1DB1-LegalNumPar27"/>
        <w:numPr>
          <w:ilvl w:val="0"/>
          <w:numId w:val="31"/>
        </w:numPr>
        <w:spacing w:after="120" w:line="240" w:lineRule="auto"/>
        <w:jc w:val="both"/>
        <w:rPr>
          <w:rFonts w:cs="Times New Roman"/>
          <w:noProof/>
        </w:rPr>
      </w:pPr>
      <w:r>
        <w:rPr>
          <w:noProof/>
        </w:rPr>
        <w:t>Uzraudzības, revīzijas un kontroles prasības, tostarp:</w:t>
      </w:r>
    </w:p>
    <w:p w14:paraId="4C742376" w14:textId="77777777" w:rsidR="00C972CB" w:rsidRDefault="002457F6">
      <w:pPr>
        <w:numPr>
          <w:ilvl w:val="0"/>
          <w:numId w:val="40"/>
        </w:numPr>
        <w:spacing w:after="120"/>
        <w:jc w:val="both"/>
        <w:rPr>
          <w:noProof/>
        </w:rPr>
      </w:pPr>
      <w:r>
        <w:rPr>
          <w:noProof/>
        </w:rPr>
        <w:t>Īstenošanas partnera uzraudzības sistēmas apraksts ziņošanai par mobilizētajām investīcijām.</w:t>
      </w:r>
    </w:p>
    <w:p w14:paraId="1E815583" w14:textId="14D6525E" w:rsidR="00C972CB" w:rsidRDefault="002457F6">
      <w:pPr>
        <w:numPr>
          <w:ilvl w:val="0"/>
          <w:numId w:val="40"/>
        </w:numPr>
        <w:spacing w:after="120"/>
        <w:jc w:val="both"/>
        <w:rPr>
          <w:noProof/>
        </w:rPr>
      </w:pPr>
      <w:r>
        <w:rPr>
          <w:noProof/>
        </w:rPr>
        <w:t xml:space="preserve">Īstenošanas partnera procedūru aprakstu, kas nodrošina krāpšanas, korupcijas un interešu konfliktu novēršanu, atklāšanu un labošanu. </w:t>
      </w:r>
    </w:p>
    <w:p w14:paraId="62BA4ECA" w14:textId="77777777" w:rsidR="00C972CB" w:rsidRDefault="002457F6">
      <w:pPr>
        <w:numPr>
          <w:ilvl w:val="0"/>
          <w:numId w:val="40"/>
        </w:numPr>
        <w:spacing w:after="120"/>
        <w:jc w:val="both"/>
        <w:rPr>
          <w:noProof/>
        </w:rPr>
      </w:pPr>
      <w:r>
        <w:rPr>
          <w:noProof/>
        </w:rPr>
        <w:t>Pienākums pārbaudīt katras darbības attiecināmību saskaņā ar Īstenošanas nolīgumā noteiktajām prasībām pirms apņemšanās fi</w:t>
      </w:r>
      <w:r>
        <w:rPr>
          <w:noProof/>
        </w:rPr>
        <w:t>nansēt kādu darbību.</w:t>
      </w:r>
    </w:p>
    <w:p w14:paraId="206D912C" w14:textId="77777777" w:rsidR="00C972CB" w:rsidRDefault="002457F6">
      <w:pPr>
        <w:numPr>
          <w:ilvl w:val="0"/>
          <w:numId w:val="40"/>
        </w:numPr>
        <w:spacing w:after="120"/>
        <w:jc w:val="both"/>
        <w:rPr>
          <w:noProof/>
        </w:rPr>
      </w:pPr>
      <w:r>
        <w:rPr>
          <w:noProof/>
        </w:rPr>
        <w:t>Pienākums veikt uz risku balstītas ex post revīzijas saskaņā ar Invitalia SpA revīzijas plānu. Šajās revīzijās pārbauda i) kontroles sistēmu efektivitāti, tostarp krāpšanas, korupcijas un interešu konflikta atklāšanu; principa “nenodar</w:t>
      </w:r>
      <w:r>
        <w:rPr>
          <w:noProof/>
        </w:rPr>
        <w:t>īt būtisku kaitējumu” ievērošana, valsts atbalsta noteikumi, klimata mērķrādītāju prasības; un iii) tiek ievērota prasība, ka shēmas galīgie saņēmēji nav saņēmuši atbalstu no citiem Savienības instrumentiem, lai segtu tās pašas izmaksas. Revīzijās pārbauda</w:t>
      </w:r>
      <w:r>
        <w:rPr>
          <w:noProof/>
        </w:rPr>
        <w:t xml:space="preserve"> arī darījumu likumību un to, vai tiek ievēroti piemērojamā īstenošanas nolīguma nosacījumi. </w:t>
      </w:r>
    </w:p>
    <w:p w14:paraId="26670D24" w14:textId="064F915E" w:rsidR="00C972CB" w:rsidRDefault="002457F6">
      <w:pPr>
        <w:numPr>
          <w:ilvl w:val="0"/>
          <w:numId w:val="31"/>
        </w:numPr>
        <w:spacing w:after="120"/>
        <w:ind w:left="720" w:hanging="360"/>
        <w:jc w:val="both"/>
        <w:rPr>
          <w:noProof/>
        </w:rPr>
      </w:pPr>
      <w:r>
        <w:rPr>
          <w:noProof/>
        </w:rPr>
        <w:t>Prasības attiecībā uz īstenošanas partnera veiktajām investīcijām klimata jomā: 320000000</w:t>
      </w:r>
      <w:r>
        <w:rPr>
          <w:rFonts w:ascii="Arial Narrow" w:hAnsi="Arial Narrow"/>
          <w:noProof/>
          <w:color w:val="006100"/>
          <w:sz w:val="20"/>
        </w:rPr>
        <w:t xml:space="preserve"> </w:t>
      </w:r>
      <w:r>
        <w:rPr>
          <w:noProof/>
        </w:rPr>
        <w:t>EUR</w:t>
      </w:r>
      <w:r>
        <w:rPr>
          <w:rFonts w:ascii="Arial Narrow" w:hAnsi="Arial Narrow"/>
          <w:noProof/>
          <w:color w:val="006100"/>
          <w:sz w:val="20"/>
        </w:rPr>
        <w:t xml:space="preserve"> </w:t>
      </w:r>
      <w:r>
        <w:rPr>
          <w:noProof/>
        </w:rPr>
        <w:t>no ANM investīcijām mehānismā veicina klimata pārmaiņu mērķu sasnieg</w:t>
      </w:r>
      <w:r>
        <w:rPr>
          <w:noProof/>
        </w:rPr>
        <w:t>šanu saskaņā ar ANM regulas VI pielikumu.</w:t>
      </w:r>
      <w:r>
        <w:rPr>
          <w:rStyle w:val="FootnoteReference"/>
          <w:noProof/>
        </w:rPr>
        <w:footnoteReference w:id="144"/>
      </w:r>
    </w:p>
    <w:p w14:paraId="5A6FF4D8" w14:textId="0F4D0FF7" w:rsidR="00C972CB" w:rsidRDefault="002457F6">
      <w:pPr>
        <w:spacing w:after="120"/>
        <w:jc w:val="both"/>
        <w:rPr>
          <w:noProof/>
        </w:rPr>
      </w:pPr>
      <w:r>
        <w:rPr>
          <w:noProof/>
        </w:rPr>
        <w:t>Pasākuma īstenošanu pabeidz līdz 2026. gada 31. augustam.</w:t>
      </w:r>
    </w:p>
    <w:p w14:paraId="50F8F612" w14:textId="688B0F49" w:rsidR="00C972CB" w:rsidRDefault="002457F6">
      <w:pPr>
        <w:pStyle w:val="P68B1DB1-Heading437"/>
        <w:numPr>
          <w:ilvl w:val="3"/>
          <w:numId w:val="0"/>
        </w:numPr>
        <w:spacing w:before="0"/>
        <w:rPr>
          <w:noProof/>
        </w:rPr>
      </w:pPr>
      <w:r>
        <w:rPr>
          <w:noProof/>
        </w:rPr>
        <w:t>Ieguldījums 17. Finanšu instruments publisko un sociālo mājokļu un zemu ienākumu un mazaizsargātu mājsaimniecību energorenovācijai</w:t>
      </w:r>
    </w:p>
    <w:p w14:paraId="7A04F697" w14:textId="1431B0AB" w:rsidR="00C972CB" w:rsidRDefault="002457F6">
      <w:pPr>
        <w:spacing w:after="120"/>
        <w:jc w:val="both"/>
        <w:rPr>
          <w:rFonts w:eastAsia="@MS Mincho"/>
          <w:noProof/>
        </w:rPr>
      </w:pPr>
      <w:r>
        <w:rPr>
          <w:rFonts w:eastAsia="@MS Mincho"/>
          <w:noProof/>
        </w:rPr>
        <w:t>Pasākuma mērķis ir atbal</w:t>
      </w:r>
      <w:r>
        <w:rPr>
          <w:rFonts w:eastAsia="@MS Mincho"/>
          <w:noProof/>
        </w:rPr>
        <w:t xml:space="preserve">stīt renovāciju mājsaimniecībām ar zemiem ienākumiem un mazaizsargātām mājsaimniecībām un mazināt enerģētisko nabadzību. </w:t>
      </w:r>
      <w:r>
        <w:rPr>
          <w:noProof/>
        </w:rPr>
        <w:t xml:space="preserve">Šis pasākums sastāv no </w:t>
      </w:r>
      <w:r>
        <w:rPr>
          <w:rFonts w:eastAsia="@MS Mincho"/>
          <w:noProof/>
        </w:rPr>
        <w:t>publiskām investīcijām</w:t>
      </w:r>
      <w:r>
        <w:rPr>
          <w:noProof/>
        </w:rPr>
        <w:t xml:space="preserve"> mehānismā “Finanšu instruments enerģētiskās nabadzības mazināšanai”, </w:t>
      </w:r>
      <w:r>
        <w:rPr>
          <w:rFonts w:eastAsia="@MS Mincho"/>
          <w:noProof/>
        </w:rPr>
        <w:t>lai stimulētu privāt</w:t>
      </w:r>
      <w:r>
        <w:rPr>
          <w:rFonts w:eastAsia="@MS Mincho"/>
          <w:noProof/>
        </w:rPr>
        <w:t xml:space="preserve">ās investīcijas un uzlabotu piekļuvi energorenovācijas finansēšanai sociālajos un publiskajos mājokļos, panākot energoefektivitātes uzlabojumu vismaz 30 %. </w:t>
      </w:r>
    </w:p>
    <w:p w14:paraId="75F884CA" w14:textId="77777777" w:rsidR="00C972CB" w:rsidRDefault="002457F6">
      <w:pPr>
        <w:keepNext/>
        <w:spacing w:after="120"/>
        <w:jc w:val="both"/>
        <w:rPr>
          <w:noProof/>
        </w:rPr>
      </w:pPr>
      <w:r>
        <w:rPr>
          <w:noProof/>
        </w:rPr>
        <w:t>Mehānismu pārvalda īstenošanas partneris. Tā var būt Cassa Depositi e Prestiti vai Eiropas Investīc</w:t>
      </w:r>
      <w:r>
        <w:rPr>
          <w:noProof/>
        </w:rPr>
        <w:t>iju banka. Cassa Depositi e Prestiti un Eiropas Investīciju banka var arī rīkoties kopā ar īstenošanas partneriem. Īstenošanas partneri precizē darbības kārtības turpmākajās specifikācijās. Mehānisms darbojas, piešķirot dotācijas un/vai subsidētus aizdevum</w:t>
      </w:r>
      <w:r>
        <w:rPr>
          <w:noProof/>
        </w:rPr>
        <w:t>us energopakalpojumu uzņēmumiem mājokļu energoefektivitātes renovācijai.</w:t>
      </w:r>
    </w:p>
    <w:p w14:paraId="07F6DA5B" w14:textId="09443B1E" w:rsidR="00C972CB" w:rsidRDefault="002457F6">
      <w:pPr>
        <w:keepNext/>
        <w:spacing w:after="120"/>
        <w:jc w:val="both"/>
        <w:rPr>
          <w:noProof/>
        </w:rPr>
      </w:pPr>
      <w:r>
        <w:rPr>
          <w:noProof/>
        </w:rPr>
        <w:t>Pamatojoties uz ANM investīcijām, mehānisma mērķis sākotnēji ir sniegt finansiālu atbalstu vismaz</w:t>
      </w:r>
      <w:r>
        <w:rPr>
          <w:rFonts w:ascii="Arial Narrow" w:hAnsi="Arial Narrow"/>
          <w:noProof/>
          <w:color w:val="006100"/>
          <w:sz w:val="20"/>
        </w:rPr>
        <w:t xml:space="preserve">   </w:t>
      </w:r>
      <w:r>
        <w:rPr>
          <w:noProof/>
        </w:rPr>
        <w:t>1381000000 EUR apmērā.</w:t>
      </w:r>
    </w:p>
    <w:p w14:paraId="73F439EC" w14:textId="5545CB34" w:rsidR="00C972CB" w:rsidRDefault="002457F6">
      <w:pPr>
        <w:spacing w:after="120"/>
        <w:jc w:val="both"/>
        <w:rPr>
          <w:noProof/>
        </w:rPr>
      </w:pPr>
      <w:r>
        <w:rPr>
          <w:noProof/>
        </w:rPr>
        <w:t>Mehānisms ietver šādas produktu līnijas:</w:t>
      </w:r>
    </w:p>
    <w:p w14:paraId="1F37D43E" w14:textId="78EF89FE" w:rsidR="00C972CB" w:rsidRDefault="002457F6">
      <w:pPr>
        <w:pStyle w:val="P68B1DB1-Normal39"/>
        <w:numPr>
          <w:ilvl w:val="0"/>
          <w:numId w:val="24"/>
        </w:numPr>
        <w:shd w:val="clear" w:color="auto" w:fill="FFFFFF"/>
        <w:spacing w:after="120"/>
        <w:jc w:val="both"/>
        <w:rPr>
          <w:noProof/>
        </w:rPr>
      </w:pPr>
      <w:r>
        <w:rPr>
          <w:noProof/>
        </w:rPr>
        <w:t>Valsts mājokļi:</w:t>
      </w:r>
    </w:p>
    <w:p w14:paraId="3BD60B4A" w14:textId="11C7EA0D" w:rsidR="00C972CB" w:rsidRDefault="002457F6">
      <w:pPr>
        <w:shd w:val="clear" w:color="auto" w:fill="FFFFFF"/>
        <w:spacing w:after="120"/>
        <w:jc w:val="both"/>
        <w:rPr>
          <w:noProof/>
        </w:rPr>
      </w:pPr>
      <w:r>
        <w:rPr>
          <w:noProof/>
        </w:rPr>
        <w:t xml:space="preserve">Šī </w:t>
      </w:r>
      <w:r>
        <w:rPr>
          <w:noProof/>
        </w:rPr>
        <w:t>produktu pozīcija sniedz finansiālu atbalstu dotāciju, procentu likmju subsīdiju, subsidētu aizdevumu, tirgus aizdevumu veidā energopakalpojumu uzņēmumiem (ESCO) publisko mājokļu energorenovācijai.</w:t>
      </w:r>
    </w:p>
    <w:p w14:paraId="45A5BFD0" w14:textId="588D23DB" w:rsidR="00C972CB" w:rsidRDefault="002457F6">
      <w:pPr>
        <w:pStyle w:val="P68B1DB1-ListParagraph40"/>
        <w:numPr>
          <w:ilvl w:val="0"/>
          <w:numId w:val="26"/>
        </w:numPr>
        <w:shd w:val="clear" w:color="auto" w:fill="FFFFFF"/>
        <w:spacing w:before="0"/>
        <w:contextualSpacing w:val="0"/>
        <w:rPr>
          <w:noProof/>
        </w:rPr>
      </w:pPr>
      <w:r>
        <w:rPr>
          <w:noProof/>
        </w:rPr>
        <w:t>Sociālie mājokļi:</w:t>
      </w:r>
    </w:p>
    <w:p w14:paraId="4D3449ED" w14:textId="2290EDD3" w:rsidR="00C972CB" w:rsidRDefault="002457F6">
      <w:pPr>
        <w:shd w:val="clear" w:color="auto" w:fill="FFFFFF" w:themeFill="background1"/>
        <w:spacing w:after="120"/>
        <w:jc w:val="both"/>
        <w:rPr>
          <w:b/>
          <w:noProof/>
          <w:color w:val="000000" w:themeColor="text1"/>
        </w:rPr>
      </w:pPr>
      <w:r>
        <w:rPr>
          <w:noProof/>
        </w:rPr>
        <w:t>Šī produktu pozīcija sniedz finansiālu a</w:t>
      </w:r>
      <w:r>
        <w:rPr>
          <w:noProof/>
        </w:rPr>
        <w:t>tbalstu dotāciju, procentu likmju subsīdiju, subsidētu aizdevumu, tirgus aizdevumu veidā energopakalpojumu uzņēmumiem (ESCO) sociālo mājokļu energorenovācijai.</w:t>
      </w:r>
    </w:p>
    <w:p w14:paraId="2DE05576" w14:textId="04E16513" w:rsidR="00C972CB" w:rsidRDefault="002457F6">
      <w:pPr>
        <w:pStyle w:val="P68B1DB1-ListParagraph40"/>
        <w:numPr>
          <w:ilvl w:val="0"/>
          <w:numId w:val="32"/>
        </w:numPr>
        <w:shd w:val="clear" w:color="auto" w:fill="FFFFFF" w:themeFill="background1"/>
        <w:spacing w:before="0"/>
        <w:contextualSpacing w:val="0"/>
        <w:rPr>
          <w:noProof/>
        </w:rPr>
      </w:pPr>
      <w:r>
        <w:rPr>
          <w:noProof/>
        </w:rPr>
        <w:t>Energorenovācija mājsaimniecībās ar zemiem ienākumiem daudzdzīvokļu ēkās:</w:t>
      </w:r>
    </w:p>
    <w:p w14:paraId="4AB3C3A5" w14:textId="08FA2A89" w:rsidR="00C972CB" w:rsidRDefault="002457F6">
      <w:pPr>
        <w:shd w:val="clear" w:color="auto" w:fill="FFFFFF" w:themeFill="background1"/>
        <w:spacing w:after="120"/>
        <w:jc w:val="both"/>
        <w:rPr>
          <w:noProof/>
        </w:rPr>
      </w:pPr>
      <w:r>
        <w:rPr>
          <w:noProof/>
        </w:rPr>
        <w:t>Šī produktu pozīcija s</w:t>
      </w:r>
      <w:r>
        <w:rPr>
          <w:noProof/>
        </w:rPr>
        <w:t>niedz finansiālu atbalstu dotāciju, procentu likmju subsīdiju, subsidētu aizdevumu, tirgus aizdevumu veidā energopakalpojumu uzņēmumiem (ESCO) energorenovācijai daudzdzīvokļu ēkās ar zemiem ienākumiem un mazaizsargātām mājsaimniecībām.</w:t>
      </w:r>
    </w:p>
    <w:p w14:paraId="2ABE86BE" w14:textId="3E32E9FB" w:rsidR="00C972CB" w:rsidRDefault="002457F6">
      <w:pPr>
        <w:shd w:val="clear" w:color="auto" w:fill="FFFFFF" w:themeFill="background1"/>
        <w:spacing w:after="120"/>
        <w:jc w:val="both"/>
        <w:rPr>
          <w:noProof/>
        </w:rPr>
      </w:pPr>
      <w:r>
        <w:rPr>
          <w:noProof/>
        </w:rPr>
        <w:t>Divas trešdaļas mehā</w:t>
      </w:r>
      <w:r>
        <w:rPr>
          <w:noProof/>
        </w:rPr>
        <w:t>nisma ir paredzētas publisko mājokļu un sociālo mājokļu energorenovācijai; viena trešdaļa ir paredzēta energorenovācijai mājsaimniecībās ar zemiem ienākumiem daudzdzīvokļu ēkās.</w:t>
      </w:r>
    </w:p>
    <w:p w14:paraId="6A440162" w14:textId="4E9C9B2A" w:rsidR="00C972CB" w:rsidRDefault="002457F6">
      <w:pPr>
        <w:spacing w:after="120"/>
        <w:jc w:val="both"/>
        <w:rPr>
          <w:noProof/>
        </w:rPr>
      </w:pPr>
      <w:r>
        <w:rPr>
          <w:noProof/>
        </w:rPr>
        <w:t xml:space="preserve">Lai īstenotu ieguldījumu mehānismā, Itālija un īstenošanas partneris paraksta </w:t>
      </w:r>
      <w:r>
        <w:rPr>
          <w:noProof/>
        </w:rPr>
        <w:t>īstenošanas nolīgumu, kurā iekļauj šādu saturu:</w:t>
      </w:r>
    </w:p>
    <w:p w14:paraId="544A295C" w14:textId="77777777" w:rsidR="00C972CB" w:rsidRDefault="002457F6">
      <w:pPr>
        <w:pStyle w:val="ListParagraph"/>
        <w:numPr>
          <w:ilvl w:val="0"/>
          <w:numId w:val="33"/>
        </w:numPr>
        <w:spacing w:before="0"/>
        <w:ind w:left="709" w:hanging="425"/>
        <w:contextualSpacing w:val="0"/>
        <w:rPr>
          <w:noProof/>
        </w:rPr>
      </w:pPr>
      <w:r>
        <w:rPr>
          <w:noProof/>
        </w:rPr>
        <w:t>Mehānisma lēmumu pieņemšanas procesa apraksts: Galīgo lēmumu par Mehānisma ieguldījumiem pieņem ieguldījumu komiteja vai cita attiecīga līdzvērtīga pārvaldes struktūra, un to apstiprina ar no valdības neatkar</w:t>
      </w:r>
      <w:r>
        <w:rPr>
          <w:noProof/>
        </w:rPr>
        <w:t>īgu locekļu balsu vairākumu.</w:t>
      </w:r>
    </w:p>
    <w:p w14:paraId="41088549" w14:textId="77777777" w:rsidR="00C972CB" w:rsidRDefault="002457F6">
      <w:pPr>
        <w:pStyle w:val="ListParagraph"/>
        <w:numPr>
          <w:ilvl w:val="0"/>
          <w:numId w:val="33"/>
        </w:numPr>
        <w:spacing w:before="0"/>
        <w:ind w:left="709" w:hanging="425"/>
        <w:contextualSpacing w:val="0"/>
        <w:rPr>
          <w:noProof/>
        </w:rPr>
      </w:pPr>
      <w:r>
        <w:rPr>
          <w:noProof/>
        </w:rPr>
        <w:t>Saistītās ieguldījumu politikas galvenās prasības,</w:t>
      </w:r>
      <w:r>
        <w:rPr>
          <w:b/>
          <w:noProof/>
        </w:rPr>
        <w:t xml:space="preserve"> </w:t>
      </w:r>
      <w:r>
        <w:rPr>
          <w:noProof/>
        </w:rPr>
        <w:t>kas ietver:</w:t>
      </w:r>
    </w:p>
    <w:p w14:paraId="4B392CBD" w14:textId="5CB388EE" w:rsidR="00C972CB" w:rsidRDefault="002457F6">
      <w:pPr>
        <w:pStyle w:val="ListParagraph"/>
        <w:numPr>
          <w:ilvl w:val="1"/>
          <w:numId w:val="33"/>
        </w:numPr>
        <w:spacing w:before="0"/>
        <w:ind w:left="1418"/>
        <w:contextualSpacing w:val="0"/>
        <w:rPr>
          <w:noProof/>
        </w:rPr>
      </w:pPr>
      <w:r>
        <w:rPr>
          <w:noProof/>
        </w:rPr>
        <w:t>Finanšu produkta(-u) un atbalsttiesīgo galasaņēmēju apraksts</w:t>
      </w:r>
      <w:r>
        <w:rPr>
          <w:rStyle w:val="FootnoteReference"/>
          <w:noProof/>
        </w:rPr>
        <w:footnoteReference w:id="145"/>
      </w:r>
      <w:r>
        <w:rPr>
          <w:noProof/>
        </w:rPr>
        <w:t>.</w:t>
      </w:r>
    </w:p>
    <w:p w14:paraId="3D8332FA" w14:textId="77777777" w:rsidR="00C972CB" w:rsidRDefault="002457F6">
      <w:pPr>
        <w:pStyle w:val="ListParagraph"/>
        <w:numPr>
          <w:ilvl w:val="1"/>
          <w:numId w:val="33"/>
        </w:numPr>
        <w:spacing w:before="0"/>
        <w:ind w:left="1418"/>
        <w:contextualSpacing w:val="0"/>
        <w:rPr>
          <w:noProof/>
        </w:rPr>
      </w:pPr>
      <w:r>
        <w:rPr>
          <w:noProof/>
        </w:rPr>
        <w:t>Prasība, lai visi atbalstītie ieguldījumi būtu ekonomiski dzīvotspējīgi</w:t>
      </w:r>
      <w:r>
        <w:rPr>
          <w:b/>
          <w:noProof/>
        </w:rPr>
        <w:t>.</w:t>
      </w:r>
    </w:p>
    <w:p w14:paraId="001B7036" w14:textId="77777777" w:rsidR="00C972CB" w:rsidRDefault="002457F6">
      <w:pPr>
        <w:pStyle w:val="ListParagraph"/>
        <w:numPr>
          <w:ilvl w:val="1"/>
          <w:numId w:val="33"/>
        </w:numPr>
        <w:spacing w:before="0"/>
        <w:ind w:left="1418"/>
        <w:contextualSpacing w:val="0"/>
        <w:rPr>
          <w:noProof/>
        </w:rPr>
      </w:pPr>
      <w:r>
        <w:rPr>
          <w:noProof/>
        </w:rPr>
        <w:t>Prasība ievērot principu “ne</w:t>
      </w:r>
      <w:r>
        <w:rPr>
          <w:noProof/>
        </w:rPr>
        <w:t>nodari būtisku kaitējumu” (DNSH), kā noteikts NBK tehniskajās norādēs (2021/C58/01). Ieguldījumu politika jo īpaši izslēdz no atbilstības šādu darbību un aktīvu sarakstu: darbības un aktīvi, kas saistīti ar fosilajiem kurināmajiem un fosilajiem kurināmajie</w:t>
      </w:r>
      <w:r>
        <w:rPr>
          <w:noProof/>
        </w:rPr>
        <w:t>m, tostarp lejupējo izmantošanu</w:t>
      </w:r>
      <w:r>
        <w:rPr>
          <w:rStyle w:val="FootnoteReference"/>
          <w:noProof/>
        </w:rPr>
        <w:footnoteReference w:id="146"/>
      </w:r>
      <w:r>
        <w:rPr>
          <w:noProof/>
        </w:rPr>
        <w:t>, ii) darbības un aktīvi saskaņā ar ES emisijas kvotu tirdzniecības sistēmu (ETS), sasniedzot prognozētās siltumnīcefekta gāzu emisijas, kas nav zemākas par attiecīgajām līmeņatzīmēm</w:t>
      </w:r>
      <w:r>
        <w:rPr>
          <w:noProof/>
        </w:rPr>
        <w:footnoteReference w:id="147"/>
      </w:r>
      <w:r>
        <w:rPr>
          <w:noProof/>
        </w:rPr>
        <w:t>, iii) darbības un aktīvi, kas saistīti a</w:t>
      </w:r>
      <w:r>
        <w:rPr>
          <w:noProof/>
        </w:rPr>
        <w:t>r atkritumu poligoniem, sadedzināšanas iekārtām</w:t>
      </w:r>
      <w:r>
        <w:rPr>
          <w:rStyle w:val="FootnoteReference"/>
          <w:noProof/>
        </w:rPr>
        <w:footnoteReference w:id="148"/>
      </w:r>
      <w:r>
        <w:rPr>
          <w:noProof/>
        </w:rPr>
        <w:t xml:space="preserve"> un mehāniski bioloģiskās apstrādes iekārtām</w:t>
      </w:r>
      <w:r>
        <w:rPr>
          <w:rStyle w:val="FootnoteReference"/>
          <w:noProof/>
        </w:rPr>
        <w:footnoteReference w:id="149"/>
      </w:r>
      <w:r>
        <w:rPr>
          <w:noProof/>
        </w:rPr>
        <w:t xml:space="preserve">. </w:t>
      </w:r>
    </w:p>
    <w:p w14:paraId="43ECEFCB" w14:textId="77777777" w:rsidR="00C972CB" w:rsidRDefault="002457F6">
      <w:pPr>
        <w:pStyle w:val="ListParagraph"/>
        <w:numPr>
          <w:ilvl w:val="1"/>
          <w:numId w:val="33"/>
        </w:numPr>
        <w:spacing w:before="0"/>
        <w:ind w:left="1418"/>
        <w:contextualSpacing w:val="0"/>
        <w:rPr>
          <w:noProof/>
        </w:rPr>
      </w:pPr>
      <w:r>
        <w:rPr>
          <w:noProof/>
        </w:rPr>
        <w:t>Prasība, ka Mehānisma galasaņēmēji nesaņem atbalstu no citiem Savienības instrumentiem, lai segtu tās pašas izmaksas.</w:t>
      </w:r>
    </w:p>
    <w:p w14:paraId="7A5DAE21" w14:textId="77777777" w:rsidR="00C972CB" w:rsidRDefault="002457F6">
      <w:pPr>
        <w:pStyle w:val="ListParagraph"/>
        <w:numPr>
          <w:ilvl w:val="0"/>
          <w:numId w:val="33"/>
        </w:numPr>
        <w:spacing w:before="0"/>
        <w:ind w:left="709"/>
        <w:contextualSpacing w:val="0"/>
        <w:rPr>
          <w:noProof/>
        </w:rPr>
      </w:pPr>
      <w:r>
        <w:rPr>
          <w:noProof/>
        </w:rPr>
        <w:t>Summa, uz kuru attiecas īstenošanas nolīgu</w:t>
      </w:r>
      <w:r>
        <w:rPr>
          <w:noProof/>
        </w:rPr>
        <w:t>ms, maksu struktūra īstenošanas partnerim un prasība atkārtoti ieguldīt visas atmaksājamās summas saskaņā ar Mehānisma ieguldījumu politiku, ja vien tās netiek izmantotas Atveseļošanas un noturības mehānisma aizdevumu atmaksas apkalpošanai.</w:t>
      </w:r>
    </w:p>
    <w:p w14:paraId="51E94BEC" w14:textId="77777777" w:rsidR="00C972CB" w:rsidRDefault="002457F6">
      <w:pPr>
        <w:pStyle w:val="ListParagraph"/>
        <w:numPr>
          <w:ilvl w:val="0"/>
          <w:numId w:val="33"/>
        </w:numPr>
        <w:spacing w:before="0"/>
        <w:ind w:left="709"/>
        <w:contextualSpacing w:val="0"/>
        <w:rPr>
          <w:noProof/>
        </w:rPr>
      </w:pPr>
      <w:r>
        <w:rPr>
          <w:noProof/>
        </w:rPr>
        <w:t>Uzraudzības, re</w:t>
      </w:r>
      <w:r>
        <w:rPr>
          <w:noProof/>
        </w:rPr>
        <w:t>vīzijas un kontroles prasības, tostarp:</w:t>
      </w:r>
    </w:p>
    <w:p w14:paraId="5187B3FA" w14:textId="77777777" w:rsidR="00C972CB" w:rsidRDefault="002457F6">
      <w:pPr>
        <w:pStyle w:val="ListParagraph"/>
        <w:numPr>
          <w:ilvl w:val="1"/>
          <w:numId w:val="33"/>
        </w:numPr>
        <w:spacing w:before="0"/>
        <w:contextualSpacing w:val="0"/>
        <w:rPr>
          <w:noProof/>
        </w:rPr>
      </w:pPr>
      <w:r>
        <w:rPr>
          <w:noProof/>
        </w:rPr>
        <w:t>Īstenošanas partnera uzraudzības sistēmas apraksts ziņošanai par mobilizētajām investīcijām.</w:t>
      </w:r>
    </w:p>
    <w:p w14:paraId="012BA1E5" w14:textId="26B47E4B" w:rsidR="00C972CB" w:rsidRDefault="002457F6">
      <w:pPr>
        <w:pStyle w:val="ListParagraph"/>
        <w:numPr>
          <w:ilvl w:val="1"/>
          <w:numId w:val="33"/>
        </w:numPr>
        <w:spacing w:before="0"/>
        <w:contextualSpacing w:val="0"/>
        <w:rPr>
          <w:noProof/>
        </w:rPr>
      </w:pPr>
      <w:r>
        <w:rPr>
          <w:noProof/>
        </w:rPr>
        <w:t xml:space="preserve">Īstenošanas partnera procedūru aprakstu, kas nodrošina krāpšanas, korupcijas un interešu konfliktu novēršanu, atklāšanu un labošanu. </w:t>
      </w:r>
    </w:p>
    <w:p w14:paraId="12681A0C" w14:textId="77777777" w:rsidR="00C972CB" w:rsidRDefault="002457F6">
      <w:pPr>
        <w:pStyle w:val="ListParagraph"/>
        <w:numPr>
          <w:ilvl w:val="1"/>
          <w:numId w:val="33"/>
        </w:numPr>
        <w:spacing w:before="0"/>
        <w:contextualSpacing w:val="0"/>
        <w:rPr>
          <w:noProof/>
        </w:rPr>
      </w:pPr>
      <w:r>
        <w:rPr>
          <w:noProof/>
        </w:rPr>
        <w:t>Pienākums pārbaudīt katras darbības attiecināmību saskaņā ar Īstenošanas nolīgumā noteiktajām prasībām pirms apņemšanās fi</w:t>
      </w:r>
      <w:r>
        <w:rPr>
          <w:noProof/>
        </w:rPr>
        <w:t>nansēt kādu darbību.</w:t>
      </w:r>
    </w:p>
    <w:p w14:paraId="429888DF" w14:textId="2FC5F46B" w:rsidR="00C972CB" w:rsidRDefault="002457F6">
      <w:pPr>
        <w:pStyle w:val="ListParagraph"/>
        <w:numPr>
          <w:ilvl w:val="1"/>
          <w:numId w:val="33"/>
        </w:numPr>
        <w:spacing w:before="0"/>
        <w:rPr>
          <w:noProof/>
        </w:rPr>
      </w:pPr>
      <w:r>
        <w:rPr>
          <w:noProof/>
        </w:rPr>
        <w:t>Pienākums veikt uz risku balstītas ex post revīzijas saskaņā ar Cassa Depositi e Prestiti un/vai Eiropas Investīciju bankas revīzijas plānu. Šajās revīzijās pārbauda i) kontroles sistēmu efektivitāti, tostarp krāpšanas, korupcijas un interešu konflikta atk</w:t>
      </w:r>
      <w:r>
        <w:rPr>
          <w:noProof/>
        </w:rPr>
        <w:t>lāšanu; atbilstība NBK principam, valsts atbalsta noteikumiem, klimata un mērķa prasībām; un iii) tiek ievērota prasība, ka mehānisma galasaņēmēji nav saņēmuši atbalstu no citiem Savienības instrumentiem, lai segtu tās pašas izmaksas. Revīzijās pārbauda ar</w:t>
      </w:r>
      <w:r>
        <w:rPr>
          <w:noProof/>
        </w:rPr>
        <w:t xml:space="preserve">ī darījumu likumību un to, vai tiek ievēroti piemērojamā īstenošanas nolīguma nosacījumi. </w:t>
      </w:r>
    </w:p>
    <w:p w14:paraId="199C984F" w14:textId="77777777" w:rsidR="00C972CB" w:rsidRDefault="002457F6">
      <w:pPr>
        <w:spacing w:after="120"/>
        <w:jc w:val="both"/>
        <w:rPr>
          <w:noProof/>
        </w:rPr>
        <w:sectPr w:rsidR="00C972CB" w:rsidSect="00C9514F">
          <w:headerReference w:type="even" r:id="rId399"/>
          <w:headerReference w:type="default" r:id="rId400"/>
          <w:footerReference w:type="even" r:id="rId401"/>
          <w:footerReference w:type="default" r:id="rId402"/>
          <w:headerReference w:type="first" r:id="rId403"/>
          <w:footerReference w:type="first" r:id="rId404"/>
          <w:pgSz w:w="11906" w:h="16838" w:code="12"/>
          <w:pgMar w:top="1440" w:right="1440" w:bottom="1440" w:left="1440" w:header="567" w:footer="567" w:gutter="0"/>
          <w:cols w:space="720"/>
          <w:docGrid w:linePitch="360"/>
        </w:sectPr>
      </w:pPr>
      <w:r>
        <w:rPr>
          <w:noProof/>
        </w:rPr>
        <w:t>Prasības attiecībā uz īstenošanas partnera veiktajām investīcijām klimata jomā: 1 381 000 000 EUR no ANM investīc</w:t>
      </w:r>
      <w:r>
        <w:rPr>
          <w:noProof/>
        </w:rPr>
        <w:t>ijām mehānismā veicina klimata pārmaiņu mērķu sasniegšanu saskaņā ar ANM regulas VI pielikumu.</w:t>
      </w:r>
      <w:r>
        <w:rPr>
          <w:rStyle w:val="FootnoteReference"/>
          <w:noProof/>
        </w:rPr>
        <w:footnoteReference w:id="150"/>
      </w:r>
    </w:p>
    <w:p w14:paraId="190896D7" w14:textId="77777777" w:rsidR="00C972CB" w:rsidRDefault="002457F6">
      <w:pPr>
        <w:spacing w:after="160" w:line="259" w:lineRule="auto"/>
        <w:rPr>
          <w:rStyle w:val="eop"/>
          <w:noProof/>
          <w:u w:val="single"/>
        </w:rPr>
      </w:pPr>
      <w:r>
        <w:rPr>
          <w:rStyle w:val="normaltextrun"/>
          <w:b/>
          <w:noProof/>
          <w:u w:val="single"/>
        </w:rPr>
        <w:t xml:space="preserve">Q.4. </w:t>
      </w:r>
      <w:r>
        <w:rPr>
          <w:noProof/>
        </w:rPr>
        <w:tab/>
      </w:r>
      <w:r>
        <w:rPr>
          <w:rStyle w:val="normaltextrun"/>
          <w:b/>
          <w:noProof/>
          <w:u w:val="single"/>
        </w:rPr>
        <w:t xml:space="preserve">Atskaites punkti, mērķrādītāji, citi rādītāji un aizdevuma uzraudzības un īstenošanas grafiks </w:t>
      </w:r>
      <w:r>
        <w:rPr>
          <w:rStyle w:val="eop"/>
          <w:noProof/>
          <w:u w:val="single"/>
        </w:rPr>
        <w:t xml:space="preserve"> </w:t>
      </w:r>
    </w:p>
    <w:tbl>
      <w:tblPr>
        <w:tblW w:w="5507"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1134"/>
        <w:gridCol w:w="1417"/>
        <w:gridCol w:w="1701"/>
        <w:gridCol w:w="1276"/>
        <w:gridCol w:w="992"/>
        <w:gridCol w:w="1276"/>
        <w:gridCol w:w="851"/>
        <w:gridCol w:w="708"/>
        <w:gridCol w:w="3261"/>
      </w:tblGrid>
      <w:tr w:rsidR="00C972CB" w14:paraId="502669C7" w14:textId="77777777">
        <w:trPr>
          <w:trHeight w:val="765"/>
          <w:tblHeader/>
        </w:trPr>
        <w:tc>
          <w:tcPr>
            <w:tcW w:w="1187" w:type="dxa"/>
            <w:vMerge w:val="restart"/>
            <w:shd w:val="clear" w:color="auto" w:fill="BDD7EE"/>
            <w:vAlign w:val="center"/>
            <w:hideMark/>
          </w:tcPr>
          <w:p w14:paraId="797FD2A9" w14:textId="77777777" w:rsidR="00C972CB" w:rsidRDefault="002457F6">
            <w:pPr>
              <w:pStyle w:val="P68B1DB1-Normal9"/>
              <w:spacing w:after="120"/>
              <w:jc w:val="center"/>
              <w:rPr>
                <w:noProof/>
              </w:rPr>
            </w:pPr>
            <w:r>
              <w:rPr>
                <w:noProof/>
              </w:rPr>
              <w:t>Kārtas numurs</w:t>
            </w:r>
          </w:p>
        </w:tc>
        <w:tc>
          <w:tcPr>
            <w:tcW w:w="1559" w:type="dxa"/>
            <w:vMerge w:val="restart"/>
            <w:shd w:val="clear" w:color="auto" w:fill="BDD7EE"/>
            <w:vAlign w:val="center"/>
            <w:hideMark/>
          </w:tcPr>
          <w:p w14:paraId="37C1920F" w14:textId="77777777" w:rsidR="00C972CB" w:rsidRDefault="002457F6">
            <w:pPr>
              <w:pStyle w:val="P68B1DB1-Normal9"/>
              <w:spacing w:after="120"/>
              <w:jc w:val="center"/>
              <w:rPr>
                <w:noProof/>
              </w:rPr>
            </w:pPr>
            <w:r>
              <w:rPr>
                <w:noProof/>
              </w:rPr>
              <w:t>Pasākums (reforma vai investīcija)</w:t>
            </w:r>
          </w:p>
        </w:tc>
        <w:tc>
          <w:tcPr>
            <w:tcW w:w="1134" w:type="dxa"/>
            <w:vMerge w:val="restart"/>
            <w:shd w:val="clear" w:color="auto" w:fill="BDD7EE"/>
            <w:vAlign w:val="center"/>
            <w:hideMark/>
          </w:tcPr>
          <w:p w14:paraId="180D1C3F" w14:textId="77777777" w:rsidR="00C972CB" w:rsidRDefault="002457F6">
            <w:pPr>
              <w:pStyle w:val="P68B1DB1-Normal9"/>
              <w:spacing w:after="120"/>
              <w:jc w:val="center"/>
              <w:rPr>
                <w:noProof/>
              </w:rPr>
            </w:pPr>
            <w:r>
              <w:rPr>
                <w:noProof/>
              </w:rPr>
              <w:t>Starpposm</w:t>
            </w:r>
            <w:r>
              <w:rPr>
                <w:noProof/>
              </w:rPr>
              <w:t>a mērķis</w:t>
            </w:r>
          </w:p>
          <w:p w14:paraId="4A016BB6" w14:textId="77777777" w:rsidR="00C972CB" w:rsidRDefault="002457F6">
            <w:pPr>
              <w:pStyle w:val="P68B1DB1-Normal9"/>
              <w:spacing w:after="120"/>
              <w:jc w:val="center"/>
              <w:rPr>
                <w:noProof/>
              </w:rPr>
            </w:pPr>
            <w:r>
              <w:rPr>
                <w:noProof/>
              </w:rPr>
              <w:t>/Mērķis</w:t>
            </w:r>
          </w:p>
        </w:tc>
        <w:tc>
          <w:tcPr>
            <w:tcW w:w="1417" w:type="dxa"/>
            <w:vMerge w:val="restart"/>
            <w:shd w:val="clear" w:color="auto" w:fill="BDD7EE"/>
            <w:vAlign w:val="center"/>
            <w:hideMark/>
          </w:tcPr>
          <w:p w14:paraId="338E0241" w14:textId="77777777" w:rsidR="00C972CB" w:rsidRDefault="002457F6">
            <w:pPr>
              <w:pStyle w:val="P68B1DB1-Normal9"/>
              <w:spacing w:after="120"/>
              <w:jc w:val="center"/>
              <w:rPr>
                <w:noProof/>
              </w:rPr>
            </w:pPr>
            <w:r>
              <w:rPr>
                <w:noProof/>
              </w:rPr>
              <w:t>Uzvārds</w:t>
            </w:r>
          </w:p>
        </w:tc>
        <w:tc>
          <w:tcPr>
            <w:tcW w:w="1701" w:type="dxa"/>
            <w:vMerge w:val="restart"/>
            <w:shd w:val="clear" w:color="auto" w:fill="BDD7EE"/>
            <w:vAlign w:val="center"/>
            <w:hideMark/>
          </w:tcPr>
          <w:p w14:paraId="69F948FC" w14:textId="77777777" w:rsidR="00C972CB" w:rsidRDefault="002457F6">
            <w:pPr>
              <w:pStyle w:val="P68B1DB1-Normal10"/>
              <w:spacing w:after="120"/>
              <w:jc w:val="center"/>
              <w:rPr>
                <w:b/>
                <w:noProof/>
                <w:sz w:val="20"/>
              </w:rPr>
            </w:pPr>
            <w:r>
              <w:rPr>
                <w:b/>
                <w:noProof/>
                <w:sz w:val="20"/>
              </w:rPr>
              <w:t>Kvalitātes rādītāji</w:t>
            </w:r>
            <w:r>
              <w:rPr>
                <w:noProof/>
              </w:rPr>
              <w:t xml:space="preserve"> </w:t>
            </w:r>
            <w:r>
              <w:rPr>
                <w:noProof/>
              </w:rPr>
              <w:br/>
            </w:r>
            <w:r>
              <w:rPr>
                <w:b/>
                <w:noProof/>
                <w:sz w:val="20"/>
              </w:rPr>
              <w:t>(attiecībā uz starpposma mērķiem)</w:t>
            </w:r>
          </w:p>
        </w:tc>
        <w:tc>
          <w:tcPr>
            <w:tcW w:w="3544" w:type="dxa"/>
            <w:gridSpan w:val="3"/>
            <w:shd w:val="clear" w:color="auto" w:fill="BDD7EE"/>
            <w:vAlign w:val="center"/>
            <w:hideMark/>
          </w:tcPr>
          <w:p w14:paraId="1B71CF6E" w14:textId="77777777" w:rsidR="00C972CB" w:rsidRDefault="002457F6">
            <w:pPr>
              <w:pStyle w:val="P68B1DB1-Normal10"/>
              <w:spacing w:after="120"/>
              <w:jc w:val="center"/>
              <w:rPr>
                <w:b/>
                <w:noProof/>
                <w:sz w:val="20"/>
              </w:rPr>
            </w:pPr>
            <w:r>
              <w:rPr>
                <w:b/>
                <w:noProof/>
                <w:sz w:val="20"/>
              </w:rPr>
              <w:t>Kvantitatīvie rādītāji</w:t>
            </w:r>
            <w:r>
              <w:rPr>
                <w:noProof/>
              </w:rPr>
              <w:t xml:space="preserve"> </w:t>
            </w:r>
            <w:r>
              <w:rPr>
                <w:noProof/>
              </w:rPr>
              <w:br/>
            </w:r>
            <w:r>
              <w:rPr>
                <w:b/>
                <w:noProof/>
                <w:sz w:val="20"/>
              </w:rPr>
              <w:t>(mērķiem)</w:t>
            </w:r>
          </w:p>
        </w:tc>
        <w:tc>
          <w:tcPr>
            <w:tcW w:w="1559" w:type="dxa"/>
            <w:gridSpan w:val="2"/>
            <w:shd w:val="clear" w:color="auto" w:fill="BDD7EE"/>
            <w:vAlign w:val="center"/>
            <w:hideMark/>
          </w:tcPr>
          <w:p w14:paraId="782F674E" w14:textId="77777777" w:rsidR="00C972CB" w:rsidRDefault="002457F6">
            <w:pPr>
              <w:pStyle w:val="P68B1DB1-Normal9"/>
              <w:spacing w:after="120"/>
              <w:jc w:val="center"/>
              <w:rPr>
                <w:noProof/>
              </w:rPr>
            </w:pPr>
            <w:r>
              <w:rPr>
                <w:noProof/>
              </w:rPr>
              <w:t>Orientējošs pabeigšanas termiņš</w:t>
            </w:r>
          </w:p>
        </w:tc>
        <w:tc>
          <w:tcPr>
            <w:tcW w:w="3261" w:type="dxa"/>
            <w:vMerge w:val="restart"/>
            <w:shd w:val="clear" w:color="auto" w:fill="BDD7EE"/>
            <w:vAlign w:val="center"/>
            <w:hideMark/>
          </w:tcPr>
          <w:p w14:paraId="4D9B0BF4" w14:textId="77777777" w:rsidR="00C972CB" w:rsidRDefault="002457F6">
            <w:pPr>
              <w:pStyle w:val="P68B1DB1-Normal9"/>
              <w:spacing w:after="120"/>
              <w:jc w:val="center"/>
              <w:rPr>
                <w:noProof/>
              </w:rPr>
            </w:pPr>
            <w:r>
              <w:rPr>
                <w:noProof/>
              </w:rPr>
              <w:t>Apraksts par katru atskaites punktu un mērķrādītāju</w:t>
            </w:r>
          </w:p>
        </w:tc>
      </w:tr>
      <w:tr w:rsidR="00C972CB" w14:paraId="430A4BA3" w14:textId="77777777">
        <w:trPr>
          <w:trHeight w:val="691"/>
          <w:tblHeader/>
        </w:trPr>
        <w:tc>
          <w:tcPr>
            <w:tcW w:w="1187" w:type="dxa"/>
            <w:vMerge/>
            <w:vAlign w:val="center"/>
            <w:hideMark/>
          </w:tcPr>
          <w:p w14:paraId="6CB4E4D6" w14:textId="77777777" w:rsidR="00C972CB" w:rsidRDefault="00C972CB">
            <w:pPr>
              <w:spacing w:after="120"/>
              <w:jc w:val="center"/>
              <w:rPr>
                <w:rFonts w:ascii="Arial Narrow" w:hAnsi="Arial Narrow"/>
                <w:b/>
                <w:noProof/>
                <w:sz w:val="20"/>
              </w:rPr>
            </w:pPr>
          </w:p>
        </w:tc>
        <w:tc>
          <w:tcPr>
            <w:tcW w:w="1559" w:type="dxa"/>
            <w:vMerge/>
            <w:vAlign w:val="center"/>
            <w:hideMark/>
          </w:tcPr>
          <w:p w14:paraId="72BBD502" w14:textId="77777777" w:rsidR="00C972CB" w:rsidRDefault="00C972CB">
            <w:pPr>
              <w:spacing w:after="120"/>
              <w:jc w:val="center"/>
              <w:rPr>
                <w:rFonts w:ascii="Arial Narrow" w:hAnsi="Arial Narrow"/>
                <w:b/>
                <w:noProof/>
                <w:sz w:val="20"/>
              </w:rPr>
            </w:pPr>
          </w:p>
        </w:tc>
        <w:tc>
          <w:tcPr>
            <w:tcW w:w="1134" w:type="dxa"/>
            <w:vMerge/>
            <w:vAlign w:val="center"/>
            <w:hideMark/>
          </w:tcPr>
          <w:p w14:paraId="2AE7A3E4" w14:textId="77777777" w:rsidR="00C972CB" w:rsidRDefault="00C972CB">
            <w:pPr>
              <w:spacing w:after="120"/>
              <w:jc w:val="center"/>
              <w:rPr>
                <w:rFonts w:ascii="Arial Narrow" w:hAnsi="Arial Narrow"/>
                <w:b/>
                <w:noProof/>
                <w:sz w:val="20"/>
              </w:rPr>
            </w:pPr>
          </w:p>
        </w:tc>
        <w:tc>
          <w:tcPr>
            <w:tcW w:w="1417" w:type="dxa"/>
            <w:vMerge/>
            <w:vAlign w:val="center"/>
            <w:hideMark/>
          </w:tcPr>
          <w:p w14:paraId="1387268A" w14:textId="77777777" w:rsidR="00C972CB" w:rsidRDefault="00C972CB">
            <w:pPr>
              <w:spacing w:after="120"/>
              <w:jc w:val="center"/>
              <w:rPr>
                <w:rFonts w:ascii="Arial Narrow" w:hAnsi="Arial Narrow"/>
                <w:b/>
                <w:noProof/>
                <w:sz w:val="20"/>
              </w:rPr>
            </w:pPr>
          </w:p>
        </w:tc>
        <w:tc>
          <w:tcPr>
            <w:tcW w:w="1701" w:type="dxa"/>
            <w:vMerge/>
            <w:vAlign w:val="center"/>
            <w:hideMark/>
          </w:tcPr>
          <w:p w14:paraId="42DE4543" w14:textId="77777777" w:rsidR="00C972CB" w:rsidRDefault="00C972CB">
            <w:pPr>
              <w:spacing w:after="120"/>
              <w:jc w:val="center"/>
              <w:rPr>
                <w:rFonts w:ascii="Arial Narrow" w:hAnsi="Arial Narrow"/>
                <w:b/>
                <w:noProof/>
                <w:sz w:val="20"/>
              </w:rPr>
            </w:pPr>
          </w:p>
        </w:tc>
        <w:tc>
          <w:tcPr>
            <w:tcW w:w="1276" w:type="dxa"/>
            <w:shd w:val="clear" w:color="auto" w:fill="BDD7EE"/>
            <w:vAlign w:val="center"/>
            <w:hideMark/>
          </w:tcPr>
          <w:p w14:paraId="6E4FA4C2" w14:textId="39724F32" w:rsidR="00C972CB" w:rsidRDefault="002457F6">
            <w:pPr>
              <w:pStyle w:val="P68B1DB1-Normal9"/>
              <w:spacing w:after="120"/>
              <w:jc w:val="center"/>
              <w:rPr>
                <w:noProof/>
              </w:rPr>
            </w:pPr>
            <w:r>
              <w:rPr>
                <w:noProof/>
              </w:rPr>
              <w:t>Mēra vienība</w:t>
            </w:r>
          </w:p>
        </w:tc>
        <w:tc>
          <w:tcPr>
            <w:tcW w:w="992" w:type="dxa"/>
            <w:shd w:val="clear" w:color="auto" w:fill="BDD7EE"/>
            <w:vAlign w:val="center"/>
            <w:hideMark/>
          </w:tcPr>
          <w:p w14:paraId="00709440" w14:textId="77777777" w:rsidR="00C972CB" w:rsidRDefault="002457F6">
            <w:pPr>
              <w:pStyle w:val="P68B1DB1-Normal9"/>
              <w:spacing w:after="120"/>
              <w:jc w:val="center"/>
              <w:rPr>
                <w:noProof/>
              </w:rPr>
            </w:pPr>
            <w:r>
              <w:rPr>
                <w:noProof/>
              </w:rPr>
              <w:t>Pamatscenārijs</w:t>
            </w:r>
          </w:p>
        </w:tc>
        <w:tc>
          <w:tcPr>
            <w:tcW w:w="1276" w:type="dxa"/>
            <w:shd w:val="clear" w:color="auto" w:fill="BDD7EE"/>
            <w:vAlign w:val="center"/>
            <w:hideMark/>
          </w:tcPr>
          <w:p w14:paraId="79F412C5" w14:textId="77777777" w:rsidR="00C972CB" w:rsidRDefault="002457F6">
            <w:pPr>
              <w:pStyle w:val="P68B1DB1-Normal9"/>
              <w:spacing w:after="120"/>
              <w:jc w:val="center"/>
              <w:rPr>
                <w:noProof/>
              </w:rPr>
            </w:pPr>
            <w:r>
              <w:rPr>
                <w:noProof/>
              </w:rPr>
              <w:t>Mērķis</w:t>
            </w:r>
          </w:p>
        </w:tc>
        <w:tc>
          <w:tcPr>
            <w:tcW w:w="851" w:type="dxa"/>
            <w:shd w:val="clear" w:color="auto" w:fill="BDD7EE"/>
            <w:vAlign w:val="center"/>
            <w:hideMark/>
          </w:tcPr>
          <w:p w14:paraId="23810043" w14:textId="77777777" w:rsidR="00C972CB" w:rsidRDefault="002457F6">
            <w:pPr>
              <w:pStyle w:val="P68B1DB1-Normal9"/>
              <w:spacing w:after="120"/>
              <w:jc w:val="center"/>
              <w:rPr>
                <w:noProof/>
              </w:rPr>
            </w:pPr>
            <w:r>
              <w:rPr>
                <w:noProof/>
              </w:rPr>
              <w:t>Ceturtdaļa</w:t>
            </w:r>
          </w:p>
        </w:tc>
        <w:tc>
          <w:tcPr>
            <w:tcW w:w="708" w:type="dxa"/>
            <w:shd w:val="clear" w:color="auto" w:fill="BDD7EE"/>
            <w:vAlign w:val="center"/>
            <w:hideMark/>
          </w:tcPr>
          <w:p w14:paraId="26F3D08D" w14:textId="77777777" w:rsidR="00C972CB" w:rsidRDefault="002457F6">
            <w:pPr>
              <w:pStyle w:val="P68B1DB1-Normal9"/>
              <w:spacing w:after="120"/>
              <w:jc w:val="center"/>
              <w:rPr>
                <w:noProof/>
              </w:rPr>
            </w:pPr>
            <w:r>
              <w:rPr>
                <w:noProof/>
              </w:rPr>
              <w:t>Gadā</w:t>
            </w:r>
          </w:p>
        </w:tc>
        <w:tc>
          <w:tcPr>
            <w:tcW w:w="3261" w:type="dxa"/>
            <w:vMerge/>
            <w:vAlign w:val="center"/>
            <w:hideMark/>
          </w:tcPr>
          <w:p w14:paraId="72946C43" w14:textId="77777777" w:rsidR="00C972CB" w:rsidRDefault="00C972CB">
            <w:pPr>
              <w:spacing w:after="120"/>
              <w:jc w:val="center"/>
              <w:rPr>
                <w:rFonts w:ascii="Arial Narrow" w:hAnsi="Arial Narrow"/>
                <w:b/>
                <w:noProof/>
                <w:sz w:val="20"/>
              </w:rPr>
            </w:pPr>
          </w:p>
        </w:tc>
      </w:tr>
      <w:tr w:rsidR="00C972CB" w14:paraId="486CEA35" w14:textId="77777777">
        <w:trPr>
          <w:trHeight w:val="309"/>
        </w:trPr>
        <w:tc>
          <w:tcPr>
            <w:tcW w:w="1187" w:type="dxa"/>
            <w:shd w:val="clear" w:color="auto" w:fill="C6EFCE"/>
            <w:noWrap/>
            <w:vAlign w:val="center"/>
          </w:tcPr>
          <w:p w14:paraId="713589D9" w14:textId="05901AC2" w:rsidR="00C972CB" w:rsidRDefault="002457F6">
            <w:pPr>
              <w:pStyle w:val="P68B1DB1-Normal11"/>
              <w:spacing w:after="120"/>
              <w:jc w:val="center"/>
              <w:rPr>
                <w:noProof/>
              </w:rPr>
            </w:pPr>
            <w:r>
              <w:rPr>
                <w:noProof/>
              </w:rPr>
              <w:t>M7–35</w:t>
            </w:r>
          </w:p>
        </w:tc>
        <w:tc>
          <w:tcPr>
            <w:tcW w:w="1559" w:type="dxa"/>
            <w:shd w:val="clear" w:color="auto" w:fill="C6EFCE"/>
            <w:noWrap/>
            <w:vAlign w:val="center"/>
          </w:tcPr>
          <w:p w14:paraId="2DF648FD" w14:textId="33E5DD2D" w:rsidR="00C972CB" w:rsidRDefault="002457F6">
            <w:pPr>
              <w:pStyle w:val="P68B1DB1-Normal11"/>
              <w:spacing w:after="120"/>
              <w:jc w:val="center"/>
              <w:rPr>
                <w:noProof/>
              </w:rPr>
            </w:pPr>
            <w:r>
              <w:rPr>
                <w:noProof/>
              </w:rPr>
              <w:t>Ieguldījums 13: Adrijas jūras līnija, 1. posms (Sulmonas kompresora stacija un Sestino-Minerbio gāzes cauruļvads)</w:t>
            </w:r>
          </w:p>
        </w:tc>
        <w:tc>
          <w:tcPr>
            <w:tcW w:w="1134" w:type="dxa"/>
            <w:shd w:val="clear" w:color="auto" w:fill="C6EFCE"/>
            <w:noWrap/>
            <w:vAlign w:val="center"/>
          </w:tcPr>
          <w:p w14:paraId="5C5ACED3" w14:textId="3734F7F6" w:rsidR="00C972CB" w:rsidRDefault="002457F6">
            <w:pPr>
              <w:pStyle w:val="P68B1DB1-Normal11"/>
              <w:spacing w:after="120"/>
              <w:jc w:val="center"/>
              <w:rPr>
                <w:noProof/>
              </w:rPr>
            </w:pPr>
            <w:r>
              <w:rPr>
                <w:noProof/>
              </w:rPr>
              <w:t>Starpposma mērķis</w:t>
            </w:r>
          </w:p>
        </w:tc>
        <w:tc>
          <w:tcPr>
            <w:tcW w:w="1417" w:type="dxa"/>
            <w:shd w:val="clear" w:color="auto" w:fill="C6EFCE"/>
            <w:noWrap/>
            <w:vAlign w:val="center"/>
          </w:tcPr>
          <w:p w14:paraId="22BD6858" w14:textId="73FB1B78" w:rsidR="00C972CB" w:rsidRDefault="002457F6">
            <w:pPr>
              <w:pStyle w:val="P68B1DB1-Normal11"/>
              <w:spacing w:after="120"/>
              <w:jc w:val="center"/>
              <w:rPr>
                <w:noProof/>
              </w:rPr>
            </w:pPr>
            <w:r>
              <w:rPr>
                <w:noProof/>
              </w:rPr>
              <w:t>Attiecīgo ietekmes uz vidi novērtējumu (VIncA) pieņemšana un atjaunināšana</w:t>
            </w:r>
          </w:p>
        </w:tc>
        <w:tc>
          <w:tcPr>
            <w:tcW w:w="1701" w:type="dxa"/>
            <w:shd w:val="clear" w:color="auto" w:fill="C6EFCE"/>
            <w:noWrap/>
            <w:vAlign w:val="center"/>
          </w:tcPr>
          <w:p w14:paraId="5758BCD4" w14:textId="3204C9DE" w:rsidR="00C972CB" w:rsidRDefault="002457F6">
            <w:pPr>
              <w:pStyle w:val="P68B1DB1-Normal11"/>
              <w:spacing w:after="120"/>
              <w:jc w:val="center"/>
              <w:rPr>
                <w:noProof/>
              </w:rPr>
            </w:pPr>
            <w:r>
              <w:rPr>
                <w:noProof/>
              </w:rPr>
              <w:t xml:space="preserve">Identificētie SSCO un Vinca attiecīgi </w:t>
            </w:r>
            <w:r>
              <w:rPr>
                <w:noProof/>
              </w:rPr>
              <w:t>pārskatīja un pieņēma</w:t>
            </w:r>
          </w:p>
        </w:tc>
        <w:tc>
          <w:tcPr>
            <w:tcW w:w="1276" w:type="dxa"/>
            <w:shd w:val="clear" w:color="auto" w:fill="C6EFCE"/>
            <w:noWrap/>
            <w:vAlign w:val="center"/>
          </w:tcPr>
          <w:p w14:paraId="0250E816"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74E44A03" w14:textId="77777777" w:rsidR="00C972CB" w:rsidRDefault="00C972CB">
            <w:pPr>
              <w:spacing w:after="120"/>
              <w:jc w:val="center"/>
              <w:rPr>
                <w:rFonts w:ascii="Arial Narrow" w:hAnsi="Arial Narrow"/>
                <w:noProof/>
                <w:color w:val="006100"/>
                <w:sz w:val="20"/>
              </w:rPr>
            </w:pPr>
          </w:p>
        </w:tc>
        <w:tc>
          <w:tcPr>
            <w:tcW w:w="1276" w:type="dxa"/>
            <w:shd w:val="clear" w:color="auto" w:fill="C6EFCE"/>
            <w:noWrap/>
            <w:vAlign w:val="center"/>
          </w:tcPr>
          <w:p w14:paraId="74F853DE" w14:textId="77777777" w:rsidR="00C972CB" w:rsidRDefault="00C972CB">
            <w:pPr>
              <w:spacing w:after="120"/>
              <w:jc w:val="center"/>
              <w:rPr>
                <w:rFonts w:ascii="Arial Narrow" w:hAnsi="Arial Narrow"/>
                <w:noProof/>
                <w:color w:val="006100"/>
                <w:sz w:val="20"/>
              </w:rPr>
            </w:pPr>
          </w:p>
        </w:tc>
        <w:tc>
          <w:tcPr>
            <w:tcW w:w="851" w:type="dxa"/>
            <w:shd w:val="clear" w:color="auto" w:fill="C6EFCE"/>
            <w:noWrap/>
            <w:vAlign w:val="center"/>
          </w:tcPr>
          <w:p w14:paraId="75B66973" w14:textId="3D8EFBBF" w:rsidR="00C972CB" w:rsidRDefault="002457F6">
            <w:pPr>
              <w:pStyle w:val="P68B1DB1-Normal11"/>
              <w:spacing w:after="120"/>
              <w:jc w:val="center"/>
              <w:rPr>
                <w:noProof/>
              </w:rPr>
            </w:pPr>
            <w:r>
              <w:rPr>
                <w:noProof/>
              </w:rPr>
              <w:t>1. CET.</w:t>
            </w:r>
          </w:p>
        </w:tc>
        <w:tc>
          <w:tcPr>
            <w:tcW w:w="708" w:type="dxa"/>
            <w:shd w:val="clear" w:color="auto" w:fill="C6EFCE"/>
            <w:noWrap/>
            <w:vAlign w:val="center"/>
          </w:tcPr>
          <w:p w14:paraId="71F86014" w14:textId="197DF872" w:rsidR="00C972CB" w:rsidRDefault="002457F6">
            <w:pPr>
              <w:pStyle w:val="P68B1DB1-Normal11"/>
              <w:spacing w:after="120"/>
              <w:jc w:val="center"/>
              <w:rPr>
                <w:noProof/>
              </w:rPr>
            </w:pPr>
            <w:r>
              <w:rPr>
                <w:noProof/>
              </w:rPr>
              <w:t>2024</w:t>
            </w:r>
          </w:p>
        </w:tc>
        <w:tc>
          <w:tcPr>
            <w:tcW w:w="3261" w:type="dxa"/>
            <w:shd w:val="clear" w:color="auto" w:fill="C6EFCE"/>
            <w:noWrap/>
            <w:vAlign w:val="center"/>
          </w:tcPr>
          <w:p w14:paraId="10B0ED2E" w14:textId="194F44BE" w:rsidR="00C972CB" w:rsidRDefault="002457F6">
            <w:pPr>
              <w:pStyle w:val="P68B1DB1-Normal11"/>
              <w:spacing w:after="120"/>
              <w:rPr>
                <w:noProof/>
              </w:rPr>
            </w:pPr>
            <w:bookmarkStart w:id="7" w:name="_Hlk147330404"/>
            <w:r>
              <w:rPr>
                <w:noProof/>
              </w:rPr>
              <w:t>Itālijas iestādes:</w:t>
            </w:r>
          </w:p>
          <w:p w14:paraId="6E87C74A" w14:textId="77777777" w:rsidR="00C972CB" w:rsidRDefault="002457F6">
            <w:pPr>
              <w:pStyle w:val="P68B1DB1-ListParagraph13"/>
              <w:numPr>
                <w:ilvl w:val="0"/>
                <w:numId w:val="22"/>
              </w:numPr>
              <w:spacing w:before="0"/>
              <w:contextualSpacing w:val="0"/>
              <w:jc w:val="left"/>
              <w:rPr>
                <w:noProof/>
              </w:rPr>
            </w:pPr>
            <w:r>
              <w:rPr>
                <w:noProof/>
              </w:rPr>
              <w:t>Noteikt teritorijai specifiskus saglabāšanas mērķus (SSCO) projekta skartajām Natura 2000 teritorijām saskaņā ar Vides un enerģētiskās drošības ministrijas 2022. un 2023. gadā pieņemto metodiku.</w:t>
            </w:r>
          </w:p>
          <w:p w14:paraId="291561E1" w14:textId="77777777" w:rsidR="00C972CB" w:rsidRDefault="002457F6">
            <w:pPr>
              <w:pStyle w:val="P68B1DB1-ListParagraph13"/>
              <w:numPr>
                <w:ilvl w:val="0"/>
                <w:numId w:val="22"/>
              </w:numPr>
              <w:spacing w:before="0"/>
              <w:contextualSpacing w:val="0"/>
              <w:jc w:val="left"/>
              <w:rPr>
                <w:noProof/>
              </w:rPr>
            </w:pPr>
            <w:r>
              <w:rPr>
                <w:noProof/>
              </w:rPr>
              <w:t>Pārbaudīt attiecīgos novērtējumus, kas jau veikti saskaņā ar Dzīvotņu direktīvu (Vincas), ņemot vērā jaunizveidotās SSCO.</w:t>
            </w:r>
            <w:bookmarkEnd w:id="7"/>
          </w:p>
          <w:p w14:paraId="608AD07B" w14:textId="340B320D" w:rsidR="00C972CB" w:rsidRDefault="002457F6">
            <w:pPr>
              <w:pStyle w:val="P68B1DB1-ListParagraph13"/>
              <w:numPr>
                <w:ilvl w:val="0"/>
                <w:numId w:val="22"/>
              </w:numPr>
              <w:spacing w:before="0"/>
              <w:contextualSpacing w:val="0"/>
              <w:jc w:val="left"/>
              <w:rPr>
                <w:noProof/>
              </w:rPr>
            </w:pPr>
            <w:r>
              <w:rPr>
                <w:noProof/>
              </w:rPr>
              <w:t xml:space="preserve">Atjaunināt (vajadzības gadījumā) attiecīgos novērtējumus (Vincas), kas jau veikti saskaņā ar Dzīvotņu direktīvu saskaņā ar 2019. gada </w:t>
            </w:r>
            <w:r>
              <w:rPr>
                <w:noProof/>
              </w:rPr>
              <w:t>28. decembra valsts pamatnostādnēm, un nodrošināt to iekļaušanu vispārējā ietekmes uz vidi novērtējuma procedūrā.</w:t>
            </w:r>
          </w:p>
        </w:tc>
      </w:tr>
      <w:tr w:rsidR="00C972CB" w14:paraId="31A96044" w14:textId="77777777">
        <w:trPr>
          <w:trHeight w:val="309"/>
        </w:trPr>
        <w:tc>
          <w:tcPr>
            <w:tcW w:w="1187" w:type="dxa"/>
            <w:shd w:val="clear" w:color="auto" w:fill="C6EFCE"/>
            <w:noWrap/>
            <w:vAlign w:val="center"/>
          </w:tcPr>
          <w:p w14:paraId="7D048B72" w14:textId="10CDB865" w:rsidR="00C972CB" w:rsidRDefault="002457F6">
            <w:pPr>
              <w:pStyle w:val="P68B1DB1-Normal11"/>
              <w:spacing w:after="120"/>
              <w:jc w:val="center"/>
              <w:rPr>
                <w:noProof/>
              </w:rPr>
            </w:pPr>
            <w:r>
              <w:rPr>
                <w:noProof/>
              </w:rPr>
              <w:t>M7–36</w:t>
            </w:r>
          </w:p>
        </w:tc>
        <w:tc>
          <w:tcPr>
            <w:tcW w:w="1559" w:type="dxa"/>
            <w:shd w:val="clear" w:color="auto" w:fill="C6EFCE"/>
            <w:noWrap/>
            <w:vAlign w:val="center"/>
          </w:tcPr>
          <w:p w14:paraId="32668F73" w14:textId="7D327A27" w:rsidR="00C972CB" w:rsidRDefault="002457F6">
            <w:pPr>
              <w:pStyle w:val="P68B1DB1-Normal11"/>
              <w:spacing w:after="120"/>
              <w:jc w:val="center"/>
              <w:rPr>
                <w:noProof/>
              </w:rPr>
            </w:pPr>
            <w:r>
              <w:rPr>
                <w:noProof/>
              </w:rPr>
              <w:t>Ieguldījums 13: Adrijas jūras līnija, 1. posms (Sulmonas kompresora stacija un Sestino-Minerbio gāzes cauruļvads)</w:t>
            </w:r>
          </w:p>
        </w:tc>
        <w:tc>
          <w:tcPr>
            <w:tcW w:w="1134" w:type="dxa"/>
            <w:shd w:val="clear" w:color="auto" w:fill="C6EFCE"/>
            <w:noWrap/>
            <w:vAlign w:val="center"/>
          </w:tcPr>
          <w:p w14:paraId="2399EC25" w14:textId="113656EB" w:rsidR="00C972CB" w:rsidRDefault="002457F6">
            <w:pPr>
              <w:pStyle w:val="P68B1DB1-Normal11"/>
              <w:spacing w:after="120"/>
              <w:jc w:val="center"/>
              <w:rPr>
                <w:noProof/>
              </w:rPr>
            </w:pPr>
            <w:r>
              <w:rPr>
                <w:noProof/>
              </w:rPr>
              <w:t>Starpposma mērķis</w:t>
            </w:r>
          </w:p>
        </w:tc>
        <w:tc>
          <w:tcPr>
            <w:tcW w:w="1417" w:type="dxa"/>
            <w:shd w:val="clear" w:color="auto" w:fill="C6EFCE"/>
            <w:noWrap/>
            <w:vAlign w:val="center"/>
          </w:tcPr>
          <w:p w14:paraId="63051836" w14:textId="26318F37" w:rsidR="00C972CB" w:rsidRDefault="002457F6">
            <w:pPr>
              <w:pStyle w:val="P68B1DB1-Normal11"/>
              <w:spacing w:after="120"/>
              <w:jc w:val="center"/>
              <w:rPr>
                <w:noProof/>
              </w:rPr>
            </w:pPr>
            <w:r>
              <w:rPr>
                <w:noProof/>
              </w:rPr>
              <w:t>Līgumu piešķiršana</w:t>
            </w:r>
          </w:p>
        </w:tc>
        <w:tc>
          <w:tcPr>
            <w:tcW w:w="1701" w:type="dxa"/>
            <w:shd w:val="clear" w:color="auto" w:fill="C6EFCE"/>
            <w:noWrap/>
            <w:vAlign w:val="center"/>
          </w:tcPr>
          <w:p w14:paraId="557EC87A" w14:textId="554F07E5" w:rsidR="00C972CB" w:rsidRDefault="002457F6">
            <w:pPr>
              <w:pStyle w:val="P68B1DB1-Normal11"/>
              <w:spacing w:after="120"/>
              <w:jc w:val="center"/>
              <w:rPr>
                <w:noProof/>
              </w:rPr>
            </w:pPr>
            <w:r>
              <w:rPr>
                <w:noProof/>
              </w:rPr>
              <w:t>Paziņojums par līgumu slēgšanas tiesību piešķiršanu</w:t>
            </w:r>
          </w:p>
        </w:tc>
        <w:tc>
          <w:tcPr>
            <w:tcW w:w="1276" w:type="dxa"/>
            <w:shd w:val="clear" w:color="auto" w:fill="C6EFCE"/>
            <w:noWrap/>
            <w:vAlign w:val="center"/>
          </w:tcPr>
          <w:p w14:paraId="7BDDC9A2" w14:textId="77777777"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068D397A" w14:textId="77777777" w:rsidR="00C972CB" w:rsidRDefault="00C972CB">
            <w:pPr>
              <w:spacing w:after="120"/>
              <w:jc w:val="center"/>
              <w:rPr>
                <w:rFonts w:ascii="Arial Narrow" w:hAnsi="Arial Narrow"/>
                <w:noProof/>
                <w:color w:val="006100"/>
                <w:sz w:val="20"/>
              </w:rPr>
            </w:pPr>
          </w:p>
        </w:tc>
        <w:tc>
          <w:tcPr>
            <w:tcW w:w="1276" w:type="dxa"/>
            <w:shd w:val="clear" w:color="auto" w:fill="C6EFCE"/>
            <w:noWrap/>
            <w:vAlign w:val="center"/>
          </w:tcPr>
          <w:p w14:paraId="72E2A6E7" w14:textId="77777777" w:rsidR="00C972CB" w:rsidRDefault="00C972CB">
            <w:pPr>
              <w:spacing w:after="120"/>
              <w:jc w:val="center"/>
              <w:rPr>
                <w:rFonts w:ascii="Arial Narrow" w:hAnsi="Arial Narrow"/>
                <w:noProof/>
                <w:color w:val="006100"/>
                <w:sz w:val="20"/>
              </w:rPr>
            </w:pPr>
          </w:p>
        </w:tc>
        <w:tc>
          <w:tcPr>
            <w:tcW w:w="851" w:type="dxa"/>
            <w:shd w:val="clear" w:color="auto" w:fill="C6EFCE"/>
            <w:noWrap/>
            <w:vAlign w:val="center"/>
          </w:tcPr>
          <w:p w14:paraId="7C29E4D9" w14:textId="3778E963" w:rsidR="00C972CB" w:rsidRDefault="002457F6">
            <w:pPr>
              <w:pStyle w:val="P68B1DB1-Normal11"/>
              <w:spacing w:after="120"/>
              <w:jc w:val="center"/>
              <w:rPr>
                <w:noProof/>
              </w:rPr>
            </w:pPr>
            <w:r>
              <w:rPr>
                <w:noProof/>
              </w:rPr>
              <w:t>2. CET.</w:t>
            </w:r>
          </w:p>
        </w:tc>
        <w:tc>
          <w:tcPr>
            <w:tcW w:w="708" w:type="dxa"/>
            <w:shd w:val="clear" w:color="auto" w:fill="C6EFCE"/>
            <w:noWrap/>
            <w:vAlign w:val="center"/>
          </w:tcPr>
          <w:p w14:paraId="6E3D5FA0" w14:textId="37FD41F5" w:rsidR="00C972CB" w:rsidRDefault="002457F6">
            <w:pPr>
              <w:pStyle w:val="P68B1DB1-Normal11"/>
              <w:spacing w:after="120"/>
              <w:jc w:val="center"/>
              <w:rPr>
                <w:noProof/>
              </w:rPr>
            </w:pPr>
            <w:r>
              <w:rPr>
                <w:noProof/>
              </w:rPr>
              <w:t>2024</w:t>
            </w:r>
          </w:p>
        </w:tc>
        <w:tc>
          <w:tcPr>
            <w:tcW w:w="3261" w:type="dxa"/>
            <w:shd w:val="clear" w:color="auto" w:fill="C6EFCE"/>
            <w:noWrap/>
            <w:vAlign w:val="center"/>
          </w:tcPr>
          <w:p w14:paraId="438A74A3" w14:textId="66FBF93C" w:rsidR="00C972CB" w:rsidRDefault="002457F6">
            <w:pPr>
              <w:pStyle w:val="P68B1DB1-ListParagraph13"/>
              <w:spacing w:before="0"/>
              <w:ind w:left="0"/>
              <w:contextualSpacing w:val="0"/>
              <w:jc w:val="left"/>
              <w:rPr>
                <w:noProof/>
              </w:rPr>
            </w:pPr>
            <w:r>
              <w:rPr>
                <w:noProof/>
              </w:rPr>
              <w:t>Paziņojums par visu līgumu slēgšanas tiesību piešķiršanu darbiem, kas vajadzīgi Sulmonas kompresorstacijas un Sestino-Minerbio gāzes cauruļvada pabeigšanai.</w:t>
            </w:r>
          </w:p>
        </w:tc>
      </w:tr>
      <w:tr w:rsidR="00C972CB" w14:paraId="01EC62B7" w14:textId="77777777">
        <w:trPr>
          <w:trHeight w:val="309"/>
        </w:trPr>
        <w:tc>
          <w:tcPr>
            <w:tcW w:w="1187" w:type="dxa"/>
            <w:shd w:val="clear" w:color="auto" w:fill="C6EFCE"/>
            <w:noWrap/>
            <w:vAlign w:val="center"/>
          </w:tcPr>
          <w:p w14:paraId="38961761" w14:textId="73FA1C9D" w:rsidR="00C972CB" w:rsidRDefault="002457F6">
            <w:pPr>
              <w:pStyle w:val="P68B1DB1-Normal11"/>
              <w:jc w:val="center"/>
              <w:rPr>
                <w:noProof/>
              </w:rPr>
            </w:pPr>
            <w:r>
              <w:rPr>
                <w:noProof/>
              </w:rPr>
              <w:t>M7–37</w:t>
            </w:r>
          </w:p>
        </w:tc>
        <w:tc>
          <w:tcPr>
            <w:tcW w:w="1559" w:type="dxa"/>
            <w:shd w:val="clear" w:color="auto" w:fill="C6EFCE"/>
            <w:noWrap/>
            <w:vAlign w:val="center"/>
          </w:tcPr>
          <w:p w14:paraId="710BA832" w14:textId="4571C212" w:rsidR="00C972CB" w:rsidRDefault="002457F6">
            <w:pPr>
              <w:pStyle w:val="P68B1DB1-Normal11"/>
              <w:jc w:val="center"/>
              <w:rPr>
                <w:noProof/>
              </w:rPr>
            </w:pPr>
            <w:r>
              <w:rPr>
                <w:noProof/>
              </w:rPr>
              <w:t>Ieguldījums 13: Adrijas jūras līnija, 1. posms (Sulmonas kompresora stacija un Sestino-Minerbio gāzes cauruļvads)</w:t>
            </w:r>
          </w:p>
        </w:tc>
        <w:tc>
          <w:tcPr>
            <w:tcW w:w="1134" w:type="dxa"/>
            <w:shd w:val="clear" w:color="auto" w:fill="C6EFCE"/>
            <w:noWrap/>
            <w:vAlign w:val="center"/>
          </w:tcPr>
          <w:p w14:paraId="67407CB3" w14:textId="14CA213B" w:rsidR="00C972CB" w:rsidRDefault="002457F6">
            <w:pPr>
              <w:pStyle w:val="P68B1DB1-Normal11"/>
              <w:jc w:val="center"/>
              <w:rPr>
                <w:noProof/>
              </w:rPr>
            </w:pPr>
            <w:r>
              <w:rPr>
                <w:noProof/>
              </w:rPr>
              <w:t>Starpposma mērķis</w:t>
            </w:r>
          </w:p>
        </w:tc>
        <w:tc>
          <w:tcPr>
            <w:tcW w:w="1417" w:type="dxa"/>
            <w:shd w:val="clear" w:color="auto" w:fill="C6EFCE"/>
            <w:noWrap/>
            <w:vAlign w:val="center"/>
          </w:tcPr>
          <w:p w14:paraId="2FFCC6A8" w14:textId="3902949A" w:rsidR="00C972CB" w:rsidRDefault="002457F6">
            <w:pPr>
              <w:pStyle w:val="P68B1DB1-Normal11"/>
              <w:jc w:val="center"/>
              <w:rPr>
                <w:rFonts w:eastAsia="Calibri" w:cstheme="minorHAnsi"/>
                <w:noProof/>
              </w:rPr>
            </w:pPr>
            <w:r>
              <w:rPr>
                <w:noProof/>
              </w:rPr>
              <w:t>Darbu pabeigšana</w:t>
            </w:r>
          </w:p>
        </w:tc>
        <w:tc>
          <w:tcPr>
            <w:tcW w:w="1701" w:type="dxa"/>
            <w:shd w:val="clear" w:color="auto" w:fill="C6EFCE"/>
            <w:noWrap/>
            <w:vAlign w:val="center"/>
          </w:tcPr>
          <w:p w14:paraId="0F5DD687" w14:textId="37983213" w:rsidR="00C972CB" w:rsidRDefault="002457F6">
            <w:pPr>
              <w:pStyle w:val="P68B1DB1-Normal11"/>
              <w:jc w:val="center"/>
              <w:rPr>
                <w:noProof/>
              </w:rPr>
            </w:pPr>
            <w:r>
              <w:rPr>
                <w:noProof/>
              </w:rPr>
              <w:t>Paziņojums par darbu pabeigšanu</w:t>
            </w:r>
          </w:p>
        </w:tc>
        <w:tc>
          <w:tcPr>
            <w:tcW w:w="1276" w:type="dxa"/>
            <w:shd w:val="clear" w:color="auto" w:fill="C6EFCE"/>
            <w:noWrap/>
            <w:vAlign w:val="center"/>
          </w:tcPr>
          <w:p w14:paraId="1DFBB510" w14:textId="633B5F97" w:rsidR="00C972CB" w:rsidRDefault="00C972CB">
            <w:pPr>
              <w:jc w:val="center"/>
              <w:rPr>
                <w:rFonts w:ascii="Arial Narrow" w:hAnsi="Arial Narrow"/>
                <w:noProof/>
                <w:color w:val="006100"/>
                <w:sz w:val="20"/>
              </w:rPr>
            </w:pPr>
          </w:p>
        </w:tc>
        <w:tc>
          <w:tcPr>
            <w:tcW w:w="992" w:type="dxa"/>
            <w:shd w:val="clear" w:color="auto" w:fill="C6EFCE"/>
            <w:noWrap/>
            <w:vAlign w:val="center"/>
          </w:tcPr>
          <w:p w14:paraId="5C5DED3E" w14:textId="53214C56" w:rsidR="00C972CB" w:rsidRDefault="00C972CB">
            <w:pPr>
              <w:jc w:val="center"/>
              <w:rPr>
                <w:rFonts w:ascii="Arial Narrow" w:hAnsi="Arial Narrow"/>
                <w:noProof/>
                <w:color w:val="006100"/>
                <w:sz w:val="20"/>
              </w:rPr>
            </w:pPr>
          </w:p>
        </w:tc>
        <w:tc>
          <w:tcPr>
            <w:tcW w:w="1276" w:type="dxa"/>
            <w:shd w:val="clear" w:color="auto" w:fill="C6EFCE"/>
            <w:noWrap/>
            <w:vAlign w:val="center"/>
          </w:tcPr>
          <w:p w14:paraId="1A6359D6" w14:textId="1F386FAF" w:rsidR="00C972CB" w:rsidRDefault="00C972CB">
            <w:pPr>
              <w:jc w:val="center"/>
              <w:rPr>
                <w:rFonts w:ascii="Arial Narrow" w:hAnsi="Arial Narrow"/>
                <w:noProof/>
                <w:color w:val="006100"/>
                <w:sz w:val="20"/>
              </w:rPr>
            </w:pPr>
          </w:p>
        </w:tc>
        <w:tc>
          <w:tcPr>
            <w:tcW w:w="851" w:type="dxa"/>
            <w:shd w:val="clear" w:color="auto" w:fill="C6EFCE"/>
            <w:noWrap/>
            <w:vAlign w:val="center"/>
          </w:tcPr>
          <w:p w14:paraId="707A394F" w14:textId="4E8AC454" w:rsidR="00C972CB" w:rsidRDefault="002457F6">
            <w:pPr>
              <w:pStyle w:val="P68B1DB1-Normal11"/>
              <w:jc w:val="center"/>
              <w:rPr>
                <w:noProof/>
              </w:rPr>
            </w:pPr>
            <w:r>
              <w:rPr>
                <w:noProof/>
              </w:rPr>
              <w:t>2. CET.</w:t>
            </w:r>
          </w:p>
        </w:tc>
        <w:tc>
          <w:tcPr>
            <w:tcW w:w="708" w:type="dxa"/>
            <w:shd w:val="clear" w:color="auto" w:fill="C6EFCE"/>
            <w:noWrap/>
            <w:vAlign w:val="center"/>
          </w:tcPr>
          <w:p w14:paraId="1BF59259" w14:textId="3C9AB67D" w:rsidR="00C972CB" w:rsidRDefault="002457F6">
            <w:pPr>
              <w:pStyle w:val="P68B1DB1-Normal11"/>
              <w:jc w:val="center"/>
              <w:rPr>
                <w:noProof/>
              </w:rPr>
            </w:pPr>
            <w:r>
              <w:rPr>
                <w:noProof/>
              </w:rPr>
              <w:t>2026</w:t>
            </w:r>
          </w:p>
        </w:tc>
        <w:tc>
          <w:tcPr>
            <w:tcW w:w="3261" w:type="dxa"/>
            <w:shd w:val="clear" w:color="auto" w:fill="C6EFCE"/>
            <w:noWrap/>
            <w:vAlign w:val="center"/>
          </w:tcPr>
          <w:p w14:paraId="36FC238B" w14:textId="19082E71" w:rsidR="00C972CB" w:rsidRDefault="002457F6">
            <w:pPr>
              <w:pStyle w:val="P68B1DB1-Normal11"/>
              <w:rPr>
                <w:noProof/>
              </w:rPr>
            </w:pPr>
            <w:r>
              <w:rPr>
                <w:noProof/>
              </w:rPr>
              <w:t>Pabeidz Sulmonas kompresorstaciju un Sestino-Minerbio gāzes</w:t>
            </w:r>
            <w:r>
              <w:rPr>
                <w:noProof/>
              </w:rPr>
              <w:t xml:space="preserve"> cauruļvadu.</w:t>
            </w:r>
          </w:p>
        </w:tc>
      </w:tr>
      <w:tr w:rsidR="00C972CB" w14:paraId="33F6A0B9" w14:textId="77777777">
        <w:trPr>
          <w:trHeight w:val="309"/>
        </w:trPr>
        <w:tc>
          <w:tcPr>
            <w:tcW w:w="1187" w:type="dxa"/>
            <w:shd w:val="clear" w:color="auto" w:fill="C6EFCE"/>
            <w:noWrap/>
            <w:vAlign w:val="center"/>
          </w:tcPr>
          <w:p w14:paraId="1829C4C0" w14:textId="2AEE70F1" w:rsidR="00C972CB" w:rsidRDefault="002457F6">
            <w:pPr>
              <w:pStyle w:val="P68B1DB1-Normal11"/>
              <w:jc w:val="center"/>
              <w:rPr>
                <w:noProof/>
              </w:rPr>
            </w:pPr>
            <w:r>
              <w:rPr>
                <w:noProof/>
              </w:rPr>
              <w:t>M7–38</w:t>
            </w:r>
          </w:p>
        </w:tc>
        <w:tc>
          <w:tcPr>
            <w:tcW w:w="1559" w:type="dxa"/>
            <w:shd w:val="clear" w:color="auto" w:fill="C6EFCE"/>
            <w:noWrap/>
            <w:vAlign w:val="center"/>
          </w:tcPr>
          <w:p w14:paraId="156DBD43" w14:textId="7D45BDBA" w:rsidR="00C972CB" w:rsidRDefault="002457F6">
            <w:pPr>
              <w:pStyle w:val="P68B1DB1-Normal11"/>
              <w:jc w:val="center"/>
              <w:rPr>
                <w:noProof/>
              </w:rPr>
            </w:pPr>
            <w:r>
              <w:rPr>
                <w:noProof/>
              </w:rPr>
              <w:t>Ieguldījums 14: Gāzes pārrobežu eksporta infrastruktūra</w:t>
            </w:r>
          </w:p>
        </w:tc>
        <w:tc>
          <w:tcPr>
            <w:tcW w:w="1134" w:type="dxa"/>
            <w:shd w:val="clear" w:color="auto" w:fill="C6EFCE"/>
            <w:noWrap/>
            <w:vAlign w:val="center"/>
          </w:tcPr>
          <w:p w14:paraId="2E028011" w14:textId="379B4BBF" w:rsidR="00C972CB" w:rsidRDefault="002457F6">
            <w:pPr>
              <w:pStyle w:val="P68B1DB1-Normal11"/>
              <w:jc w:val="center"/>
              <w:rPr>
                <w:noProof/>
              </w:rPr>
            </w:pPr>
            <w:r>
              <w:rPr>
                <w:noProof/>
              </w:rPr>
              <w:t>Starpposma mērķis</w:t>
            </w:r>
          </w:p>
        </w:tc>
        <w:tc>
          <w:tcPr>
            <w:tcW w:w="1417" w:type="dxa"/>
            <w:shd w:val="clear" w:color="auto" w:fill="C6EFCE"/>
            <w:noWrap/>
            <w:vAlign w:val="center"/>
          </w:tcPr>
          <w:p w14:paraId="30F7E604" w14:textId="34FEE9B6" w:rsidR="00C972CB" w:rsidRDefault="002457F6">
            <w:pPr>
              <w:pStyle w:val="P68B1DB1-Normal11"/>
              <w:jc w:val="center"/>
              <w:rPr>
                <w:noProof/>
              </w:rPr>
            </w:pPr>
            <w:r>
              <w:rPr>
                <w:noProof/>
              </w:rPr>
              <w:t>Līgumu piešķiršana</w:t>
            </w:r>
          </w:p>
        </w:tc>
        <w:tc>
          <w:tcPr>
            <w:tcW w:w="1701" w:type="dxa"/>
            <w:shd w:val="clear" w:color="auto" w:fill="C6EFCE"/>
            <w:noWrap/>
            <w:vAlign w:val="center"/>
          </w:tcPr>
          <w:p w14:paraId="313FF920" w14:textId="128B9C8D" w:rsidR="00C972CB" w:rsidRDefault="002457F6">
            <w:pPr>
              <w:pStyle w:val="P68B1DB1-Normal11"/>
              <w:jc w:val="center"/>
              <w:rPr>
                <w:noProof/>
              </w:rPr>
            </w:pPr>
            <w:r>
              <w:rPr>
                <w:noProof/>
              </w:rPr>
              <w:t>Paziņojums par līgumu slēgšanas tiesību piešķiršanu</w:t>
            </w:r>
          </w:p>
        </w:tc>
        <w:tc>
          <w:tcPr>
            <w:tcW w:w="1276" w:type="dxa"/>
            <w:shd w:val="clear" w:color="auto" w:fill="C6EFCE"/>
            <w:noWrap/>
            <w:vAlign w:val="center"/>
          </w:tcPr>
          <w:p w14:paraId="7E451A03" w14:textId="3C32F1DB" w:rsidR="00C972CB" w:rsidRDefault="00C972CB">
            <w:pPr>
              <w:jc w:val="center"/>
              <w:rPr>
                <w:rFonts w:ascii="Arial Narrow" w:hAnsi="Arial Narrow"/>
                <w:noProof/>
                <w:color w:val="FF0000"/>
                <w:sz w:val="20"/>
              </w:rPr>
            </w:pPr>
          </w:p>
        </w:tc>
        <w:tc>
          <w:tcPr>
            <w:tcW w:w="992" w:type="dxa"/>
            <w:shd w:val="clear" w:color="auto" w:fill="C6EFCE"/>
            <w:noWrap/>
            <w:vAlign w:val="center"/>
          </w:tcPr>
          <w:p w14:paraId="3C03D9AE" w14:textId="77777777" w:rsidR="00C972CB" w:rsidRDefault="00C972CB">
            <w:pPr>
              <w:jc w:val="center"/>
              <w:rPr>
                <w:rFonts w:ascii="Arial Narrow" w:hAnsi="Arial Narrow"/>
                <w:noProof/>
                <w:color w:val="006100"/>
                <w:sz w:val="20"/>
              </w:rPr>
            </w:pPr>
          </w:p>
        </w:tc>
        <w:tc>
          <w:tcPr>
            <w:tcW w:w="1276" w:type="dxa"/>
            <w:shd w:val="clear" w:color="auto" w:fill="C6EFCE"/>
            <w:noWrap/>
            <w:vAlign w:val="center"/>
          </w:tcPr>
          <w:p w14:paraId="7AC2B3F6" w14:textId="77777777" w:rsidR="00C972CB" w:rsidRDefault="00C972CB">
            <w:pPr>
              <w:jc w:val="center"/>
              <w:rPr>
                <w:rFonts w:ascii="Arial Narrow" w:hAnsi="Arial Narrow"/>
                <w:noProof/>
                <w:color w:val="006100"/>
                <w:sz w:val="20"/>
              </w:rPr>
            </w:pPr>
          </w:p>
        </w:tc>
        <w:tc>
          <w:tcPr>
            <w:tcW w:w="851" w:type="dxa"/>
            <w:shd w:val="clear" w:color="auto" w:fill="C6EFCE"/>
            <w:noWrap/>
            <w:vAlign w:val="center"/>
          </w:tcPr>
          <w:p w14:paraId="1A7ED6B6" w14:textId="464F3E89" w:rsidR="00C972CB" w:rsidRDefault="002457F6">
            <w:pPr>
              <w:pStyle w:val="P68B1DB1-Normal11"/>
              <w:jc w:val="center"/>
              <w:rPr>
                <w:noProof/>
              </w:rPr>
            </w:pPr>
            <w:r>
              <w:rPr>
                <w:noProof/>
              </w:rPr>
              <w:t>2. CET.</w:t>
            </w:r>
          </w:p>
        </w:tc>
        <w:tc>
          <w:tcPr>
            <w:tcW w:w="708" w:type="dxa"/>
            <w:shd w:val="clear" w:color="auto" w:fill="C6EFCE"/>
            <w:noWrap/>
            <w:vAlign w:val="center"/>
          </w:tcPr>
          <w:p w14:paraId="0EFFBECA" w14:textId="62B09172" w:rsidR="00C972CB" w:rsidRDefault="002457F6">
            <w:pPr>
              <w:pStyle w:val="P68B1DB1-Normal11"/>
              <w:jc w:val="center"/>
              <w:rPr>
                <w:noProof/>
              </w:rPr>
            </w:pPr>
            <w:r>
              <w:rPr>
                <w:noProof/>
              </w:rPr>
              <w:t>2024</w:t>
            </w:r>
          </w:p>
        </w:tc>
        <w:tc>
          <w:tcPr>
            <w:tcW w:w="3261" w:type="dxa"/>
            <w:shd w:val="clear" w:color="auto" w:fill="C6EFCE"/>
            <w:noWrap/>
            <w:vAlign w:val="center"/>
          </w:tcPr>
          <w:p w14:paraId="0447077B" w14:textId="3AB7C980" w:rsidR="00C972CB" w:rsidRDefault="002457F6">
            <w:pPr>
              <w:pStyle w:val="P68B1DB1-Normal11"/>
              <w:rPr>
                <w:noProof/>
              </w:rPr>
            </w:pPr>
            <w:r>
              <w:rPr>
                <w:noProof/>
              </w:rPr>
              <w:t xml:space="preserve">Paziņojums par visu līgumu slēgšanas tiesību piešķiršanu attiecībā uz </w:t>
            </w:r>
            <w:r>
              <w:rPr>
                <w:noProof/>
              </w:rPr>
              <w:t>Poggio Renatico kompresorstacijas pabeigšanai nepieciešamajiem būvdarbiem</w:t>
            </w:r>
          </w:p>
        </w:tc>
      </w:tr>
      <w:tr w:rsidR="00C972CB" w14:paraId="5D835847" w14:textId="77777777">
        <w:trPr>
          <w:trHeight w:val="309"/>
        </w:trPr>
        <w:tc>
          <w:tcPr>
            <w:tcW w:w="1187" w:type="dxa"/>
            <w:shd w:val="clear" w:color="auto" w:fill="C6EFCE"/>
            <w:noWrap/>
            <w:vAlign w:val="center"/>
          </w:tcPr>
          <w:p w14:paraId="50FB7CAA" w14:textId="7FFAC309" w:rsidR="00C972CB" w:rsidRDefault="002457F6">
            <w:pPr>
              <w:pStyle w:val="P68B1DB1-Normal11"/>
              <w:jc w:val="center"/>
              <w:rPr>
                <w:noProof/>
              </w:rPr>
            </w:pPr>
            <w:r>
              <w:rPr>
                <w:noProof/>
              </w:rPr>
              <w:t>M7–39</w:t>
            </w:r>
          </w:p>
        </w:tc>
        <w:tc>
          <w:tcPr>
            <w:tcW w:w="1559" w:type="dxa"/>
            <w:shd w:val="clear" w:color="auto" w:fill="C6EFCE"/>
            <w:noWrap/>
            <w:vAlign w:val="center"/>
          </w:tcPr>
          <w:p w14:paraId="5AEA7433" w14:textId="01842A7B" w:rsidR="00C972CB" w:rsidRDefault="002457F6">
            <w:pPr>
              <w:pStyle w:val="P68B1DB1-Normal11"/>
              <w:jc w:val="center"/>
              <w:rPr>
                <w:noProof/>
              </w:rPr>
            </w:pPr>
            <w:r>
              <w:rPr>
                <w:noProof/>
              </w:rPr>
              <w:t>Ieguldījums 14: Gāzes pārrobežu eksporta infrastruktūra</w:t>
            </w:r>
          </w:p>
        </w:tc>
        <w:tc>
          <w:tcPr>
            <w:tcW w:w="1134" w:type="dxa"/>
            <w:shd w:val="clear" w:color="auto" w:fill="C6EFCE"/>
            <w:noWrap/>
            <w:vAlign w:val="center"/>
          </w:tcPr>
          <w:p w14:paraId="6F78BEB0" w14:textId="04ACFFD8" w:rsidR="00C972CB" w:rsidRDefault="002457F6">
            <w:pPr>
              <w:pStyle w:val="P68B1DB1-Normal11"/>
              <w:jc w:val="center"/>
              <w:rPr>
                <w:noProof/>
              </w:rPr>
            </w:pPr>
            <w:r>
              <w:rPr>
                <w:noProof/>
              </w:rPr>
              <w:t>Starpposma mērķis</w:t>
            </w:r>
          </w:p>
        </w:tc>
        <w:tc>
          <w:tcPr>
            <w:tcW w:w="1417" w:type="dxa"/>
            <w:shd w:val="clear" w:color="auto" w:fill="C6EFCE"/>
            <w:noWrap/>
            <w:vAlign w:val="center"/>
          </w:tcPr>
          <w:p w14:paraId="063850F0" w14:textId="56371B69" w:rsidR="00C972CB" w:rsidRDefault="002457F6">
            <w:pPr>
              <w:pStyle w:val="P68B1DB1-Normal11"/>
              <w:jc w:val="center"/>
              <w:rPr>
                <w:noProof/>
              </w:rPr>
            </w:pPr>
            <w:r>
              <w:rPr>
                <w:noProof/>
              </w:rPr>
              <w:t>Darbu pabeigšana</w:t>
            </w:r>
          </w:p>
        </w:tc>
        <w:tc>
          <w:tcPr>
            <w:tcW w:w="1701" w:type="dxa"/>
            <w:shd w:val="clear" w:color="auto" w:fill="C6EFCE"/>
            <w:noWrap/>
            <w:vAlign w:val="center"/>
          </w:tcPr>
          <w:p w14:paraId="3985C95A" w14:textId="386A2345" w:rsidR="00C972CB" w:rsidRDefault="002457F6">
            <w:pPr>
              <w:pStyle w:val="P68B1DB1-Normal11"/>
              <w:jc w:val="center"/>
              <w:rPr>
                <w:noProof/>
              </w:rPr>
            </w:pPr>
            <w:r>
              <w:rPr>
                <w:noProof/>
              </w:rPr>
              <w:t>Paziņojums par darbu pabeigšanu</w:t>
            </w:r>
          </w:p>
        </w:tc>
        <w:tc>
          <w:tcPr>
            <w:tcW w:w="1276" w:type="dxa"/>
            <w:shd w:val="clear" w:color="auto" w:fill="C6EFCE"/>
            <w:noWrap/>
            <w:vAlign w:val="center"/>
          </w:tcPr>
          <w:p w14:paraId="5C8A4415" w14:textId="5AD7E9B4" w:rsidR="00C972CB" w:rsidRDefault="00C972CB">
            <w:pPr>
              <w:jc w:val="center"/>
              <w:rPr>
                <w:rFonts w:ascii="Arial Narrow" w:hAnsi="Arial Narrow"/>
                <w:noProof/>
                <w:color w:val="006100"/>
                <w:sz w:val="20"/>
              </w:rPr>
            </w:pPr>
          </w:p>
        </w:tc>
        <w:tc>
          <w:tcPr>
            <w:tcW w:w="992" w:type="dxa"/>
            <w:shd w:val="clear" w:color="auto" w:fill="C6EFCE"/>
            <w:noWrap/>
            <w:vAlign w:val="center"/>
          </w:tcPr>
          <w:p w14:paraId="3F62B0EC" w14:textId="282D7DDA" w:rsidR="00C972CB" w:rsidRDefault="00C972CB">
            <w:pPr>
              <w:jc w:val="center"/>
              <w:rPr>
                <w:rFonts w:ascii="Arial Narrow" w:hAnsi="Arial Narrow"/>
                <w:noProof/>
                <w:color w:val="006100"/>
                <w:sz w:val="20"/>
              </w:rPr>
            </w:pPr>
          </w:p>
        </w:tc>
        <w:tc>
          <w:tcPr>
            <w:tcW w:w="1276" w:type="dxa"/>
            <w:shd w:val="clear" w:color="auto" w:fill="C6EFCE"/>
            <w:noWrap/>
            <w:vAlign w:val="center"/>
          </w:tcPr>
          <w:p w14:paraId="482A18AA" w14:textId="7441D767" w:rsidR="00C972CB" w:rsidRDefault="00C972CB">
            <w:pPr>
              <w:jc w:val="center"/>
              <w:rPr>
                <w:rFonts w:ascii="Arial Narrow" w:hAnsi="Arial Narrow"/>
                <w:noProof/>
                <w:color w:val="006100"/>
                <w:sz w:val="20"/>
              </w:rPr>
            </w:pPr>
          </w:p>
        </w:tc>
        <w:tc>
          <w:tcPr>
            <w:tcW w:w="851" w:type="dxa"/>
            <w:shd w:val="clear" w:color="auto" w:fill="C6EFCE"/>
            <w:noWrap/>
            <w:vAlign w:val="center"/>
          </w:tcPr>
          <w:p w14:paraId="1200FDD0" w14:textId="3BFB6B59" w:rsidR="00C972CB" w:rsidRDefault="002457F6">
            <w:pPr>
              <w:pStyle w:val="P68B1DB1-Normal11"/>
              <w:jc w:val="center"/>
              <w:rPr>
                <w:noProof/>
              </w:rPr>
            </w:pPr>
            <w:r>
              <w:rPr>
                <w:noProof/>
              </w:rPr>
              <w:t>2. CET.</w:t>
            </w:r>
          </w:p>
        </w:tc>
        <w:tc>
          <w:tcPr>
            <w:tcW w:w="708" w:type="dxa"/>
            <w:shd w:val="clear" w:color="auto" w:fill="C6EFCE"/>
            <w:noWrap/>
            <w:vAlign w:val="center"/>
          </w:tcPr>
          <w:p w14:paraId="4B15D60D" w14:textId="279807E7" w:rsidR="00C972CB" w:rsidRDefault="002457F6">
            <w:pPr>
              <w:pStyle w:val="P68B1DB1-Normal11"/>
              <w:jc w:val="center"/>
              <w:rPr>
                <w:noProof/>
              </w:rPr>
            </w:pPr>
            <w:r>
              <w:rPr>
                <w:noProof/>
              </w:rPr>
              <w:t>2026</w:t>
            </w:r>
          </w:p>
        </w:tc>
        <w:tc>
          <w:tcPr>
            <w:tcW w:w="3261" w:type="dxa"/>
            <w:shd w:val="clear" w:color="auto" w:fill="C6EFCE"/>
            <w:noWrap/>
            <w:vAlign w:val="center"/>
          </w:tcPr>
          <w:p w14:paraId="1FC1811F" w14:textId="5102872E" w:rsidR="00C972CB" w:rsidRDefault="002457F6">
            <w:pPr>
              <w:pStyle w:val="P68B1DB1-Normal11"/>
              <w:rPr>
                <w:noProof/>
              </w:rPr>
            </w:pPr>
            <w:r>
              <w:rPr>
                <w:noProof/>
              </w:rPr>
              <w:t xml:space="preserve">Pabeidz kompresijas iekārtu Poggio </w:t>
            </w:r>
            <w:r>
              <w:rPr>
                <w:noProof/>
              </w:rPr>
              <w:t>Renatico kompresorstacijā.</w:t>
            </w:r>
          </w:p>
        </w:tc>
      </w:tr>
      <w:tr w:rsidR="00C972CB" w14:paraId="19B21631" w14:textId="77777777">
        <w:trPr>
          <w:trHeight w:val="309"/>
        </w:trPr>
        <w:tc>
          <w:tcPr>
            <w:tcW w:w="1187" w:type="dxa"/>
            <w:shd w:val="clear" w:color="auto" w:fill="C6EFCE"/>
            <w:noWrap/>
            <w:vAlign w:val="center"/>
          </w:tcPr>
          <w:p w14:paraId="4C065DBB" w14:textId="36B534DD" w:rsidR="00C972CB" w:rsidRDefault="002457F6">
            <w:pPr>
              <w:pStyle w:val="P68B1DB1-Normal11"/>
              <w:jc w:val="center"/>
              <w:rPr>
                <w:noProof/>
              </w:rPr>
            </w:pPr>
            <w:r>
              <w:rPr>
                <w:noProof/>
              </w:rPr>
              <w:t>M7–40</w:t>
            </w:r>
          </w:p>
        </w:tc>
        <w:tc>
          <w:tcPr>
            <w:tcW w:w="1559" w:type="dxa"/>
            <w:shd w:val="clear" w:color="auto" w:fill="C6EFCE"/>
            <w:noWrap/>
            <w:vAlign w:val="center"/>
          </w:tcPr>
          <w:p w14:paraId="2B46A7E0" w14:textId="3012751A" w:rsidR="00C972CB" w:rsidRDefault="002457F6">
            <w:pPr>
              <w:pStyle w:val="P68B1DB1-Normal11"/>
              <w:jc w:val="center"/>
              <w:rPr>
                <w:noProof/>
              </w:rPr>
            </w:pPr>
            <w:r>
              <w:rPr>
                <w:noProof/>
              </w:rPr>
              <w:t>Ieguldījums 15: Transizione 5.0 zaļa</w:t>
            </w:r>
          </w:p>
        </w:tc>
        <w:tc>
          <w:tcPr>
            <w:tcW w:w="1134" w:type="dxa"/>
            <w:shd w:val="clear" w:color="auto" w:fill="C6EFCE"/>
            <w:noWrap/>
            <w:vAlign w:val="center"/>
          </w:tcPr>
          <w:p w14:paraId="50A30727" w14:textId="6CC85106" w:rsidR="00C972CB" w:rsidRDefault="002457F6">
            <w:pPr>
              <w:pStyle w:val="P68B1DB1-Normal11"/>
              <w:jc w:val="center"/>
              <w:rPr>
                <w:noProof/>
              </w:rPr>
            </w:pPr>
            <w:r>
              <w:rPr>
                <w:noProof/>
              </w:rPr>
              <w:t>Starpposma mērķis</w:t>
            </w:r>
          </w:p>
        </w:tc>
        <w:tc>
          <w:tcPr>
            <w:tcW w:w="1417" w:type="dxa"/>
            <w:shd w:val="clear" w:color="auto" w:fill="C6EFCE"/>
            <w:noWrap/>
            <w:vAlign w:val="center"/>
          </w:tcPr>
          <w:p w14:paraId="195647A6" w14:textId="3B2FE18D" w:rsidR="00C972CB" w:rsidRDefault="002457F6">
            <w:pPr>
              <w:pStyle w:val="P68B1DB1-Normal11"/>
              <w:jc w:val="center"/>
              <w:rPr>
                <w:noProof/>
              </w:rPr>
            </w:pPr>
            <w:r>
              <w:rPr>
                <w:noProof/>
              </w:rPr>
              <w:t>Tiesību akta, ar ko nosaka atbalsttiesīgu intervenču kritērijus, stāšanās spēkā</w:t>
            </w:r>
          </w:p>
        </w:tc>
        <w:tc>
          <w:tcPr>
            <w:tcW w:w="1701" w:type="dxa"/>
            <w:shd w:val="clear" w:color="auto" w:fill="C6EFCE"/>
            <w:noWrap/>
            <w:vAlign w:val="center"/>
          </w:tcPr>
          <w:p w14:paraId="30FC7F65" w14:textId="0359D165" w:rsidR="00C972CB" w:rsidRDefault="002457F6">
            <w:pPr>
              <w:pStyle w:val="P68B1DB1-Normal11"/>
              <w:jc w:val="center"/>
              <w:rPr>
                <w:noProof/>
              </w:rPr>
            </w:pPr>
            <w:r>
              <w:rPr>
                <w:noProof/>
              </w:rPr>
              <w:t>Noteikums</w:t>
            </w:r>
          </w:p>
          <w:p w14:paraId="61B000E2" w14:textId="27C2BA7A" w:rsidR="00C972CB" w:rsidRDefault="002457F6">
            <w:pPr>
              <w:pStyle w:val="P68B1DB1-Normal11"/>
              <w:jc w:val="center"/>
              <w:rPr>
                <w:noProof/>
              </w:rPr>
            </w:pPr>
            <w:r>
              <w:rPr>
                <w:noProof/>
              </w:rPr>
              <w:t>tiesību akti, kuros norādīts</w:t>
            </w:r>
          </w:p>
          <w:p w14:paraId="381ECAF9" w14:textId="7478A94B" w:rsidR="00C972CB" w:rsidRDefault="002457F6">
            <w:pPr>
              <w:pStyle w:val="P68B1DB1-Normal11"/>
              <w:jc w:val="center"/>
              <w:rPr>
                <w:noProof/>
              </w:rPr>
            </w:pPr>
            <w:r>
              <w:rPr>
                <w:noProof/>
              </w:rPr>
              <w:t>ievešana</w:t>
            </w:r>
          </w:p>
          <w:p w14:paraId="1E077509" w14:textId="105D8961" w:rsidR="00C972CB" w:rsidRDefault="002457F6">
            <w:pPr>
              <w:pStyle w:val="P68B1DB1-Normal11"/>
              <w:jc w:val="center"/>
              <w:rPr>
                <w:noProof/>
                <w:color w:val="FF0000"/>
              </w:rPr>
            </w:pPr>
            <w:r>
              <w:rPr>
                <w:noProof/>
              </w:rPr>
              <w:t>likuma spēks</w:t>
            </w:r>
          </w:p>
        </w:tc>
        <w:tc>
          <w:tcPr>
            <w:tcW w:w="1276" w:type="dxa"/>
            <w:shd w:val="clear" w:color="auto" w:fill="C6EFCE"/>
            <w:noWrap/>
            <w:vAlign w:val="center"/>
          </w:tcPr>
          <w:p w14:paraId="1F21A9EC" w14:textId="77777777" w:rsidR="00C972CB" w:rsidRDefault="00C972CB">
            <w:pPr>
              <w:jc w:val="center"/>
              <w:rPr>
                <w:rFonts w:ascii="Arial Narrow" w:hAnsi="Arial Narrow"/>
                <w:noProof/>
                <w:color w:val="006100"/>
                <w:sz w:val="20"/>
              </w:rPr>
            </w:pPr>
          </w:p>
        </w:tc>
        <w:tc>
          <w:tcPr>
            <w:tcW w:w="992" w:type="dxa"/>
            <w:shd w:val="clear" w:color="auto" w:fill="C6EFCE"/>
            <w:noWrap/>
            <w:vAlign w:val="center"/>
          </w:tcPr>
          <w:p w14:paraId="6980796E" w14:textId="77777777" w:rsidR="00C972CB" w:rsidRDefault="00C972CB">
            <w:pPr>
              <w:jc w:val="center"/>
              <w:rPr>
                <w:rFonts w:ascii="Arial Narrow" w:hAnsi="Arial Narrow"/>
                <w:noProof/>
                <w:color w:val="006100"/>
                <w:sz w:val="20"/>
              </w:rPr>
            </w:pPr>
          </w:p>
        </w:tc>
        <w:tc>
          <w:tcPr>
            <w:tcW w:w="1276" w:type="dxa"/>
            <w:shd w:val="clear" w:color="auto" w:fill="C6EFCE"/>
            <w:noWrap/>
            <w:vAlign w:val="center"/>
          </w:tcPr>
          <w:p w14:paraId="00BF61BB" w14:textId="77777777" w:rsidR="00C972CB" w:rsidRDefault="00C972CB">
            <w:pPr>
              <w:jc w:val="center"/>
              <w:rPr>
                <w:rFonts w:ascii="Arial Narrow" w:hAnsi="Arial Narrow"/>
                <w:noProof/>
                <w:color w:val="006100"/>
                <w:sz w:val="20"/>
              </w:rPr>
            </w:pPr>
          </w:p>
        </w:tc>
        <w:tc>
          <w:tcPr>
            <w:tcW w:w="851" w:type="dxa"/>
            <w:shd w:val="clear" w:color="auto" w:fill="C6EFCE"/>
            <w:noWrap/>
            <w:vAlign w:val="center"/>
          </w:tcPr>
          <w:p w14:paraId="49150492" w14:textId="1BD5AED0" w:rsidR="00C972CB" w:rsidRDefault="002457F6">
            <w:pPr>
              <w:pStyle w:val="P68B1DB1-Normal11"/>
              <w:jc w:val="center"/>
              <w:rPr>
                <w:noProof/>
              </w:rPr>
            </w:pPr>
            <w:r>
              <w:rPr>
                <w:noProof/>
              </w:rPr>
              <w:t>1. CET.</w:t>
            </w:r>
          </w:p>
        </w:tc>
        <w:tc>
          <w:tcPr>
            <w:tcW w:w="708" w:type="dxa"/>
            <w:shd w:val="clear" w:color="auto" w:fill="C6EFCE"/>
            <w:noWrap/>
            <w:vAlign w:val="center"/>
          </w:tcPr>
          <w:p w14:paraId="465D3360" w14:textId="6D2B5D18" w:rsidR="00C972CB" w:rsidRDefault="002457F6">
            <w:pPr>
              <w:pStyle w:val="P68B1DB1-Normal11"/>
              <w:jc w:val="center"/>
              <w:rPr>
                <w:noProof/>
              </w:rPr>
            </w:pPr>
            <w:r>
              <w:rPr>
                <w:noProof/>
              </w:rPr>
              <w:t>2024</w:t>
            </w:r>
          </w:p>
        </w:tc>
        <w:tc>
          <w:tcPr>
            <w:tcW w:w="3261" w:type="dxa"/>
            <w:shd w:val="clear" w:color="auto" w:fill="C6EFCE"/>
            <w:noWrap/>
            <w:vAlign w:val="center"/>
          </w:tcPr>
          <w:p w14:paraId="0088C31E" w14:textId="69E45F86" w:rsidR="00C972CB" w:rsidRDefault="002457F6">
            <w:pPr>
              <w:pStyle w:val="P68B1DB1-Normal11"/>
              <w:rPr>
                <w:noProof/>
              </w:rPr>
            </w:pPr>
            <w:r>
              <w:rPr>
                <w:noProof/>
              </w:rPr>
              <w:t>Ar tiesību</w:t>
            </w:r>
            <w:r>
              <w:rPr>
                <w:noProof/>
              </w:rPr>
              <w:t xml:space="preserve"> aktu tiek darīti pieejami 5.0 pārejas perioda nodokļu kredīti potenciālajiem saņēmējiem, nosakot atbilstības kritērijus, tostarp attiecībā uz minimālo enerģijas ietaupījumu, un pasākuma maksimālo izdevumu maksimālo apjomu.</w:t>
            </w:r>
          </w:p>
        </w:tc>
      </w:tr>
      <w:tr w:rsidR="00C972CB" w14:paraId="00414DB7" w14:textId="77777777">
        <w:trPr>
          <w:trHeight w:val="64"/>
        </w:trPr>
        <w:tc>
          <w:tcPr>
            <w:tcW w:w="1187" w:type="dxa"/>
            <w:shd w:val="clear" w:color="auto" w:fill="C6EFCE"/>
            <w:noWrap/>
            <w:vAlign w:val="center"/>
          </w:tcPr>
          <w:p w14:paraId="6328F05C" w14:textId="51A45B74" w:rsidR="00C972CB" w:rsidRDefault="002457F6">
            <w:pPr>
              <w:pStyle w:val="P68B1DB1-Normal11"/>
              <w:jc w:val="center"/>
              <w:rPr>
                <w:noProof/>
              </w:rPr>
            </w:pPr>
            <w:r>
              <w:rPr>
                <w:noProof/>
              </w:rPr>
              <w:t>M7–41</w:t>
            </w:r>
          </w:p>
        </w:tc>
        <w:tc>
          <w:tcPr>
            <w:tcW w:w="1559" w:type="dxa"/>
            <w:shd w:val="clear" w:color="auto" w:fill="C6EFCE"/>
            <w:noWrap/>
            <w:vAlign w:val="center"/>
          </w:tcPr>
          <w:p w14:paraId="3499E1CC" w14:textId="149658D1" w:rsidR="00C972CB" w:rsidRDefault="002457F6">
            <w:pPr>
              <w:pStyle w:val="P68B1DB1-Normal11"/>
              <w:jc w:val="center"/>
              <w:rPr>
                <w:noProof/>
              </w:rPr>
            </w:pPr>
            <w:r>
              <w:rPr>
                <w:noProof/>
              </w:rPr>
              <w:t xml:space="preserve">Ieguldījums 15: </w:t>
            </w:r>
            <w:r>
              <w:rPr>
                <w:noProof/>
              </w:rPr>
              <w:t>Transizione 5.0 zaļa</w:t>
            </w:r>
          </w:p>
        </w:tc>
        <w:tc>
          <w:tcPr>
            <w:tcW w:w="1134" w:type="dxa"/>
            <w:shd w:val="clear" w:color="auto" w:fill="C6EFCE"/>
            <w:noWrap/>
            <w:vAlign w:val="center"/>
          </w:tcPr>
          <w:p w14:paraId="0E7829ED" w14:textId="32C6B92B" w:rsidR="00C972CB" w:rsidRDefault="002457F6">
            <w:pPr>
              <w:pStyle w:val="P68B1DB1-Normal11"/>
              <w:jc w:val="center"/>
              <w:rPr>
                <w:noProof/>
              </w:rPr>
            </w:pPr>
            <w:r>
              <w:rPr>
                <w:noProof/>
              </w:rPr>
              <w:t>Mērķa</w:t>
            </w:r>
          </w:p>
        </w:tc>
        <w:tc>
          <w:tcPr>
            <w:tcW w:w="1417" w:type="dxa"/>
            <w:shd w:val="clear" w:color="auto" w:fill="C6EFCE"/>
            <w:noWrap/>
            <w:vAlign w:val="center"/>
          </w:tcPr>
          <w:p w14:paraId="32ED2245" w14:textId="69E7A026" w:rsidR="00C972CB" w:rsidRDefault="002457F6">
            <w:pPr>
              <w:pStyle w:val="P68B1DB1-Normal11"/>
              <w:jc w:val="center"/>
              <w:rPr>
                <w:noProof/>
              </w:rPr>
            </w:pPr>
            <w:r>
              <w:rPr>
                <w:noProof/>
              </w:rPr>
              <w:t>ANM resursu piešķiršana</w:t>
            </w:r>
          </w:p>
        </w:tc>
        <w:tc>
          <w:tcPr>
            <w:tcW w:w="1701" w:type="dxa"/>
            <w:shd w:val="clear" w:color="auto" w:fill="C6EFCE"/>
            <w:noWrap/>
            <w:vAlign w:val="center"/>
          </w:tcPr>
          <w:p w14:paraId="4E487B3F" w14:textId="77777777" w:rsidR="00C972CB" w:rsidRDefault="00C972CB">
            <w:pPr>
              <w:jc w:val="center"/>
              <w:rPr>
                <w:rFonts w:ascii="Arial Narrow" w:hAnsi="Arial Narrow"/>
                <w:noProof/>
                <w:color w:val="006100"/>
                <w:sz w:val="20"/>
              </w:rPr>
            </w:pPr>
          </w:p>
        </w:tc>
        <w:tc>
          <w:tcPr>
            <w:tcW w:w="1276" w:type="dxa"/>
            <w:shd w:val="clear" w:color="auto" w:fill="C6EFCE"/>
            <w:noWrap/>
            <w:vAlign w:val="center"/>
          </w:tcPr>
          <w:p w14:paraId="4DACF2FB" w14:textId="682DA812" w:rsidR="00C972CB" w:rsidRDefault="002457F6">
            <w:pPr>
              <w:pStyle w:val="P68B1DB1-Normal11"/>
              <w:jc w:val="center"/>
              <w:rPr>
                <w:noProof/>
              </w:rPr>
            </w:pPr>
            <w:r>
              <w:rPr>
                <w:noProof/>
              </w:rPr>
              <w:t>Piešķirto līdzekļu summa (EUR)</w:t>
            </w:r>
          </w:p>
        </w:tc>
        <w:tc>
          <w:tcPr>
            <w:tcW w:w="992" w:type="dxa"/>
            <w:shd w:val="clear" w:color="auto" w:fill="C6EFCE"/>
            <w:noWrap/>
            <w:vAlign w:val="center"/>
          </w:tcPr>
          <w:p w14:paraId="7EF271E1" w14:textId="54038D51" w:rsidR="00C972CB" w:rsidRDefault="002457F6">
            <w:pPr>
              <w:pStyle w:val="P68B1DB1-Normal11"/>
              <w:jc w:val="center"/>
              <w:rPr>
                <w:noProof/>
              </w:rPr>
            </w:pPr>
            <w:r>
              <w:rPr>
                <w:noProof/>
              </w:rPr>
              <w:t>0</w:t>
            </w:r>
          </w:p>
        </w:tc>
        <w:tc>
          <w:tcPr>
            <w:tcW w:w="1276" w:type="dxa"/>
            <w:shd w:val="clear" w:color="auto" w:fill="C6EFCE"/>
            <w:noWrap/>
            <w:vAlign w:val="center"/>
          </w:tcPr>
          <w:p w14:paraId="3607B7C1" w14:textId="367A8864" w:rsidR="00C972CB" w:rsidRDefault="002457F6">
            <w:pPr>
              <w:pStyle w:val="P68B1DB1-Normal11"/>
              <w:jc w:val="center"/>
              <w:rPr>
                <w:noProof/>
              </w:rPr>
            </w:pPr>
            <w:r>
              <w:rPr>
                <w:noProof/>
              </w:rPr>
              <w:t>6 300 000 000</w:t>
            </w:r>
          </w:p>
        </w:tc>
        <w:tc>
          <w:tcPr>
            <w:tcW w:w="851" w:type="dxa"/>
            <w:shd w:val="clear" w:color="auto" w:fill="C6EFCE"/>
            <w:noWrap/>
            <w:vAlign w:val="center"/>
          </w:tcPr>
          <w:p w14:paraId="61213A0F" w14:textId="3CBAF6EE" w:rsidR="00C972CB" w:rsidRDefault="002457F6">
            <w:pPr>
              <w:pStyle w:val="P68B1DB1-Normal11"/>
              <w:jc w:val="center"/>
              <w:rPr>
                <w:noProof/>
              </w:rPr>
            </w:pPr>
            <w:r>
              <w:rPr>
                <w:noProof/>
              </w:rPr>
              <w:t>2. CET.</w:t>
            </w:r>
          </w:p>
        </w:tc>
        <w:tc>
          <w:tcPr>
            <w:tcW w:w="708" w:type="dxa"/>
            <w:shd w:val="clear" w:color="auto" w:fill="C6EFCE"/>
            <w:noWrap/>
            <w:vAlign w:val="center"/>
          </w:tcPr>
          <w:p w14:paraId="52BD2E36" w14:textId="6F54DA2B" w:rsidR="00C972CB" w:rsidRDefault="002457F6">
            <w:pPr>
              <w:pStyle w:val="P68B1DB1-Normal11"/>
              <w:jc w:val="center"/>
              <w:rPr>
                <w:noProof/>
              </w:rPr>
            </w:pPr>
            <w:r>
              <w:rPr>
                <w:noProof/>
              </w:rPr>
              <w:t>2026</w:t>
            </w:r>
          </w:p>
        </w:tc>
        <w:tc>
          <w:tcPr>
            <w:tcW w:w="3261" w:type="dxa"/>
            <w:shd w:val="clear" w:color="auto" w:fill="C6EFCE"/>
            <w:noWrap/>
            <w:vAlign w:val="center"/>
          </w:tcPr>
          <w:p w14:paraId="0723B7F5" w14:textId="77777777" w:rsidR="00C972CB" w:rsidRDefault="002457F6">
            <w:pPr>
              <w:pStyle w:val="P68B1DB1-Normal11"/>
              <w:rPr>
                <w:noProof/>
              </w:rPr>
            </w:pPr>
            <w:r>
              <w:rPr>
                <w:noProof/>
              </w:rPr>
              <w:t xml:space="preserve">Paziņojums par visu šai investīcijai paredzēto ANM resursu piešķiršanu. </w:t>
            </w:r>
          </w:p>
          <w:p w14:paraId="0054E269" w14:textId="77777777" w:rsidR="00C972CB" w:rsidRDefault="00C972CB">
            <w:pPr>
              <w:rPr>
                <w:rFonts w:ascii="Arial Narrow" w:hAnsi="Arial Narrow"/>
                <w:noProof/>
                <w:color w:val="006100"/>
                <w:sz w:val="20"/>
              </w:rPr>
            </w:pPr>
          </w:p>
          <w:p w14:paraId="3EA2A283" w14:textId="537E96A8" w:rsidR="00C972CB" w:rsidRDefault="002457F6">
            <w:pPr>
              <w:pStyle w:val="P68B1DB1-Normal11"/>
              <w:rPr>
                <w:noProof/>
              </w:rPr>
            </w:pPr>
            <w:r>
              <w:rPr>
                <w:noProof/>
              </w:rPr>
              <w:t xml:space="preserve">Mērķrādītāja apmierinoša sasniegšana ir atkarīga arī no tā, vai tiks </w:t>
            </w:r>
            <w:r>
              <w:rPr>
                <w:noProof/>
              </w:rPr>
              <w:t>publicēts ziņojums, kurā novērtētas Itālijas Uzņēmumu un madu ministrijas atbildībā esošās ANM investīcijas.</w:t>
            </w:r>
          </w:p>
        </w:tc>
      </w:tr>
      <w:tr w:rsidR="00C972CB" w14:paraId="7560E5FF" w14:textId="77777777">
        <w:trPr>
          <w:trHeight w:val="309"/>
        </w:trPr>
        <w:tc>
          <w:tcPr>
            <w:tcW w:w="1187" w:type="dxa"/>
            <w:shd w:val="clear" w:color="auto" w:fill="C6EFCE"/>
            <w:noWrap/>
            <w:vAlign w:val="center"/>
          </w:tcPr>
          <w:p w14:paraId="1F12BA52" w14:textId="3755EB26" w:rsidR="00C972CB" w:rsidRDefault="002457F6">
            <w:pPr>
              <w:pStyle w:val="P68B1DB1-Normal11"/>
              <w:spacing w:after="120"/>
              <w:jc w:val="center"/>
              <w:rPr>
                <w:noProof/>
              </w:rPr>
            </w:pPr>
            <w:r>
              <w:rPr>
                <w:noProof/>
              </w:rPr>
              <w:t>M7–42</w:t>
            </w:r>
          </w:p>
        </w:tc>
        <w:tc>
          <w:tcPr>
            <w:tcW w:w="1559" w:type="dxa"/>
            <w:shd w:val="clear" w:color="auto" w:fill="C6EFCE"/>
            <w:noWrap/>
            <w:vAlign w:val="center"/>
          </w:tcPr>
          <w:p w14:paraId="2C829290" w14:textId="41B14794" w:rsidR="00C972CB" w:rsidRDefault="002457F6">
            <w:pPr>
              <w:pStyle w:val="P68B1DB1-Normal11"/>
              <w:spacing w:after="120"/>
              <w:jc w:val="center"/>
              <w:rPr>
                <w:noProof/>
              </w:rPr>
            </w:pPr>
            <w:r>
              <w:rPr>
                <w:noProof/>
              </w:rPr>
              <w:t>Ieguldījums 15: Transizione 5.0 zaļa</w:t>
            </w:r>
          </w:p>
        </w:tc>
        <w:tc>
          <w:tcPr>
            <w:tcW w:w="1134" w:type="dxa"/>
            <w:shd w:val="clear" w:color="auto" w:fill="C6EFCE"/>
            <w:noWrap/>
            <w:vAlign w:val="center"/>
          </w:tcPr>
          <w:p w14:paraId="283D6FB0" w14:textId="51DB775C" w:rsidR="00C972CB" w:rsidRDefault="002457F6">
            <w:pPr>
              <w:pStyle w:val="P68B1DB1-Normal11"/>
              <w:spacing w:after="120"/>
              <w:jc w:val="center"/>
              <w:rPr>
                <w:noProof/>
              </w:rPr>
            </w:pPr>
            <w:r>
              <w:rPr>
                <w:noProof/>
              </w:rPr>
              <w:t>Mērķa</w:t>
            </w:r>
          </w:p>
        </w:tc>
        <w:tc>
          <w:tcPr>
            <w:tcW w:w="1417" w:type="dxa"/>
            <w:shd w:val="clear" w:color="auto" w:fill="C6EFCE"/>
            <w:noWrap/>
            <w:vAlign w:val="center"/>
          </w:tcPr>
          <w:p w14:paraId="57F27074" w14:textId="242174F6" w:rsidR="00C972CB" w:rsidRDefault="002457F6">
            <w:pPr>
              <w:pStyle w:val="P68B1DB1-Normal11"/>
              <w:spacing w:after="120"/>
              <w:jc w:val="center"/>
              <w:rPr>
                <w:noProof/>
              </w:rPr>
            </w:pPr>
            <w:r>
              <w:rPr>
                <w:noProof/>
              </w:rPr>
              <w:t>0,4 Mtoe enerģijas galapatēriņa ietaupījums 2024.–2026. gada periodā</w:t>
            </w:r>
          </w:p>
        </w:tc>
        <w:tc>
          <w:tcPr>
            <w:tcW w:w="1701" w:type="dxa"/>
            <w:shd w:val="clear" w:color="auto" w:fill="C6EFCE"/>
            <w:noWrap/>
            <w:vAlign w:val="center"/>
          </w:tcPr>
          <w:p w14:paraId="0AD0F0DB" w14:textId="553F5F56" w:rsidR="00C972CB" w:rsidRDefault="00C972CB">
            <w:pPr>
              <w:spacing w:after="120"/>
              <w:jc w:val="center"/>
              <w:rPr>
                <w:rFonts w:ascii="Arial Narrow" w:hAnsi="Arial Narrow"/>
                <w:noProof/>
                <w:color w:val="006100"/>
                <w:sz w:val="20"/>
              </w:rPr>
            </w:pPr>
          </w:p>
        </w:tc>
        <w:tc>
          <w:tcPr>
            <w:tcW w:w="1276" w:type="dxa"/>
            <w:shd w:val="clear" w:color="auto" w:fill="C6EFCE"/>
            <w:noWrap/>
            <w:vAlign w:val="center"/>
          </w:tcPr>
          <w:p w14:paraId="0CB4A574" w14:textId="2AEE5686" w:rsidR="00C972CB" w:rsidRDefault="002457F6">
            <w:pPr>
              <w:pStyle w:val="P68B1DB1-Normal11"/>
              <w:spacing w:after="120"/>
              <w:jc w:val="center"/>
              <w:rPr>
                <w:noProof/>
              </w:rPr>
            </w:pPr>
            <w:r>
              <w:rPr>
                <w:noProof/>
              </w:rPr>
              <w:t>Mtoe</w:t>
            </w:r>
          </w:p>
        </w:tc>
        <w:tc>
          <w:tcPr>
            <w:tcW w:w="992" w:type="dxa"/>
            <w:shd w:val="clear" w:color="auto" w:fill="C6EFCE"/>
            <w:noWrap/>
            <w:vAlign w:val="center"/>
          </w:tcPr>
          <w:p w14:paraId="093C06D8" w14:textId="2CBA6B1F" w:rsidR="00C972CB" w:rsidRDefault="002457F6">
            <w:pPr>
              <w:pStyle w:val="P68B1DB1-Normal11"/>
              <w:spacing w:after="120"/>
              <w:jc w:val="center"/>
              <w:rPr>
                <w:noProof/>
              </w:rPr>
            </w:pPr>
            <w:r>
              <w:rPr>
                <w:noProof/>
              </w:rPr>
              <w:t>0</w:t>
            </w:r>
          </w:p>
        </w:tc>
        <w:tc>
          <w:tcPr>
            <w:tcW w:w="1276" w:type="dxa"/>
            <w:shd w:val="clear" w:color="auto" w:fill="C6EFCE"/>
            <w:noWrap/>
            <w:vAlign w:val="center"/>
          </w:tcPr>
          <w:p w14:paraId="5EDF4CAE" w14:textId="42905948" w:rsidR="00C972CB" w:rsidRDefault="002457F6">
            <w:pPr>
              <w:pStyle w:val="P68B1DB1-Normal11"/>
              <w:spacing w:after="120"/>
              <w:jc w:val="center"/>
              <w:rPr>
                <w:noProof/>
              </w:rPr>
            </w:pPr>
            <w:r>
              <w:rPr>
                <w:noProof/>
              </w:rPr>
              <w:t>0.4</w:t>
            </w:r>
          </w:p>
        </w:tc>
        <w:tc>
          <w:tcPr>
            <w:tcW w:w="851" w:type="dxa"/>
            <w:shd w:val="clear" w:color="auto" w:fill="C6EFCE"/>
            <w:noWrap/>
            <w:vAlign w:val="center"/>
          </w:tcPr>
          <w:p w14:paraId="378DA29A" w14:textId="7BD24414" w:rsidR="00C972CB" w:rsidRDefault="002457F6">
            <w:pPr>
              <w:pStyle w:val="P68B1DB1-Normal11"/>
              <w:spacing w:after="120"/>
              <w:jc w:val="center"/>
              <w:rPr>
                <w:noProof/>
              </w:rPr>
            </w:pPr>
            <w:r>
              <w:rPr>
                <w:noProof/>
              </w:rPr>
              <w:t>2. CET.</w:t>
            </w:r>
          </w:p>
        </w:tc>
        <w:tc>
          <w:tcPr>
            <w:tcW w:w="708" w:type="dxa"/>
            <w:shd w:val="clear" w:color="auto" w:fill="C6EFCE"/>
            <w:noWrap/>
            <w:vAlign w:val="center"/>
          </w:tcPr>
          <w:p w14:paraId="4FA3BD4B" w14:textId="7D08D74F"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57A1CDCC" w14:textId="728DE1DE" w:rsidR="00C972CB" w:rsidRDefault="002457F6">
            <w:pPr>
              <w:pStyle w:val="P68B1DB1-Normal11"/>
              <w:spacing w:after="120"/>
              <w:rPr>
                <w:noProof/>
              </w:rPr>
            </w:pPr>
            <w:r>
              <w:rPr>
                <w:noProof/>
              </w:rPr>
              <w:t>Investīcijas 2024.–2026. gada periodā rada enerģijas ietaupījumu 0,4 MTOE enerģijas galapatēriņā.</w:t>
            </w:r>
          </w:p>
        </w:tc>
      </w:tr>
      <w:tr w:rsidR="00C972CB" w14:paraId="610FEABA" w14:textId="77777777">
        <w:trPr>
          <w:trHeight w:val="309"/>
        </w:trPr>
        <w:tc>
          <w:tcPr>
            <w:tcW w:w="1187" w:type="dxa"/>
            <w:shd w:val="clear" w:color="auto" w:fill="C6EFCE"/>
            <w:noWrap/>
            <w:vAlign w:val="center"/>
          </w:tcPr>
          <w:p w14:paraId="452CD2A7" w14:textId="268F1E30" w:rsidR="00C972CB" w:rsidRDefault="002457F6">
            <w:pPr>
              <w:pStyle w:val="P68B1DB1-Normal11"/>
              <w:spacing w:after="120"/>
              <w:jc w:val="center"/>
              <w:rPr>
                <w:noProof/>
              </w:rPr>
            </w:pPr>
            <w:r>
              <w:rPr>
                <w:noProof/>
              </w:rPr>
              <w:t>M7–43</w:t>
            </w:r>
          </w:p>
        </w:tc>
        <w:tc>
          <w:tcPr>
            <w:tcW w:w="1559" w:type="dxa"/>
            <w:shd w:val="clear" w:color="auto" w:fill="C6EFCE"/>
            <w:noWrap/>
            <w:vAlign w:val="center"/>
          </w:tcPr>
          <w:p w14:paraId="639A2E1A" w14:textId="192FCE39" w:rsidR="00C972CB" w:rsidRDefault="002457F6">
            <w:pPr>
              <w:pStyle w:val="P68B1DB1-Normal11"/>
              <w:spacing w:after="120"/>
              <w:jc w:val="center"/>
              <w:rPr>
                <w:noProof/>
              </w:rPr>
            </w:pPr>
            <w:r>
              <w:rPr>
                <w:noProof/>
              </w:rPr>
              <w:t>Ieguldījums 16: Atbalsts MVU pašražošanai no atjaunojamiem enerģijas avotiem</w:t>
            </w:r>
          </w:p>
        </w:tc>
        <w:tc>
          <w:tcPr>
            <w:tcW w:w="1134" w:type="dxa"/>
            <w:shd w:val="clear" w:color="auto" w:fill="C6EFCE"/>
            <w:noWrap/>
            <w:vAlign w:val="center"/>
          </w:tcPr>
          <w:p w14:paraId="2CE788B1" w14:textId="79142297" w:rsidR="00C972CB" w:rsidRDefault="002457F6">
            <w:pPr>
              <w:pStyle w:val="P68B1DB1-Normal11"/>
              <w:spacing w:after="120"/>
              <w:jc w:val="center"/>
              <w:rPr>
                <w:noProof/>
              </w:rPr>
            </w:pPr>
            <w:r>
              <w:rPr>
                <w:noProof/>
              </w:rPr>
              <w:t>Starpposma mērķis</w:t>
            </w:r>
          </w:p>
        </w:tc>
        <w:tc>
          <w:tcPr>
            <w:tcW w:w="1417" w:type="dxa"/>
            <w:shd w:val="clear" w:color="auto" w:fill="C6EFCE"/>
            <w:noWrap/>
            <w:vAlign w:val="center"/>
          </w:tcPr>
          <w:p w14:paraId="4973C1B2" w14:textId="65E2CECF" w:rsidR="00C972CB" w:rsidRDefault="002457F6">
            <w:pPr>
              <w:pStyle w:val="P68B1DB1-Normal11"/>
              <w:spacing w:after="120"/>
              <w:jc w:val="center"/>
              <w:rPr>
                <w:noProof/>
              </w:rPr>
            </w:pPr>
            <w:r>
              <w:rPr>
                <w:noProof/>
              </w:rPr>
              <w:t>Īstenošanas nolīgums</w:t>
            </w:r>
          </w:p>
        </w:tc>
        <w:tc>
          <w:tcPr>
            <w:tcW w:w="1701" w:type="dxa"/>
            <w:shd w:val="clear" w:color="auto" w:fill="C6EFCE"/>
            <w:noWrap/>
            <w:vAlign w:val="center"/>
          </w:tcPr>
          <w:p w14:paraId="78DAA9DE" w14:textId="0E788516" w:rsidR="00C972CB" w:rsidRDefault="002457F6">
            <w:pPr>
              <w:pStyle w:val="P68B1DB1-Normal11"/>
              <w:spacing w:after="120"/>
              <w:jc w:val="center"/>
              <w:rPr>
                <w:noProof/>
              </w:rPr>
            </w:pPr>
            <w:r>
              <w:rPr>
                <w:noProof/>
              </w:rPr>
              <w:t>Īstenošanas nolīguma stāšanās spēkā</w:t>
            </w:r>
          </w:p>
        </w:tc>
        <w:tc>
          <w:tcPr>
            <w:tcW w:w="1276" w:type="dxa"/>
            <w:shd w:val="clear" w:color="auto" w:fill="C6EFCE"/>
            <w:noWrap/>
            <w:vAlign w:val="center"/>
          </w:tcPr>
          <w:p w14:paraId="77B3B28A" w14:textId="27514BFF"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43D552F1" w14:textId="74DD3ADE" w:rsidR="00C972CB" w:rsidRDefault="00C972CB">
            <w:pPr>
              <w:spacing w:after="120"/>
              <w:jc w:val="center"/>
              <w:rPr>
                <w:rFonts w:ascii="Arial Narrow" w:hAnsi="Arial Narrow"/>
                <w:noProof/>
                <w:color w:val="006100"/>
                <w:sz w:val="20"/>
              </w:rPr>
            </w:pPr>
          </w:p>
        </w:tc>
        <w:tc>
          <w:tcPr>
            <w:tcW w:w="1276" w:type="dxa"/>
            <w:shd w:val="clear" w:color="auto" w:fill="C6EFCE"/>
            <w:noWrap/>
            <w:vAlign w:val="center"/>
          </w:tcPr>
          <w:p w14:paraId="69DBB64C" w14:textId="6628508E" w:rsidR="00C972CB" w:rsidRDefault="00C972CB">
            <w:pPr>
              <w:spacing w:after="120"/>
              <w:jc w:val="center"/>
              <w:rPr>
                <w:rFonts w:ascii="Arial Narrow" w:hAnsi="Arial Narrow"/>
                <w:noProof/>
                <w:color w:val="006100"/>
                <w:sz w:val="20"/>
              </w:rPr>
            </w:pPr>
          </w:p>
        </w:tc>
        <w:tc>
          <w:tcPr>
            <w:tcW w:w="851" w:type="dxa"/>
            <w:shd w:val="clear" w:color="auto" w:fill="C6EFCE"/>
            <w:noWrap/>
            <w:vAlign w:val="center"/>
          </w:tcPr>
          <w:p w14:paraId="2CED7E24" w14:textId="492AD846" w:rsidR="00C972CB" w:rsidRDefault="002457F6">
            <w:pPr>
              <w:pStyle w:val="P68B1DB1-Normal11"/>
              <w:spacing w:after="120"/>
              <w:jc w:val="center"/>
              <w:rPr>
                <w:noProof/>
              </w:rPr>
            </w:pPr>
            <w:r>
              <w:rPr>
                <w:noProof/>
              </w:rPr>
              <w:t>4. CET.</w:t>
            </w:r>
          </w:p>
        </w:tc>
        <w:tc>
          <w:tcPr>
            <w:tcW w:w="708" w:type="dxa"/>
            <w:shd w:val="clear" w:color="auto" w:fill="C6EFCE"/>
            <w:noWrap/>
            <w:vAlign w:val="center"/>
          </w:tcPr>
          <w:p w14:paraId="2E0D0093" w14:textId="25FED716" w:rsidR="00C972CB" w:rsidRDefault="002457F6">
            <w:pPr>
              <w:pStyle w:val="P68B1DB1-Normal11"/>
              <w:spacing w:after="120"/>
              <w:jc w:val="center"/>
              <w:rPr>
                <w:noProof/>
              </w:rPr>
            </w:pPr>
            <w:r>
              <w:rPr>
                <w:noProof/>
              </w:rPr>
              <w:t>2024</w:t>
            </w:r>
          </w:p>
        </w:tc>
        <w:tc>
          <w:tcPr>
            <w:tcW w:w="3261" w:type="dxa"/>
            <w:shd w:val="clear" w:color="auto" w:fill="C6EFCE"/>
            <w:noWrap/>
            <w:vAlign w:val="center"/>
          </w:tcPr>
          <w:p w14:paraId="43DBC48B" w14:textId="0CB7B2C2" w:rsidR="00C972CB" w:rsidRDefault="002457F6">
            <w:pPr>
              <w:pStyle w:val="P68B1DB1-Normal11"/>
              <w:spacing w:after="120"/>
              <w:rPr>
                <w:noProof/>
              </w:rPr>
            </w:pPr>
            <w:r>
              <w:rPr>
                <w:noProof/>
              </w:rPr>
              <w:t>Īstenošanas nolīguma stāšanās spēkā.</w:t>
            </w:r>
          </w:p>
        </w:tc>
      </w:tr>
      <w:tr w:rsidR="00C972CB" w14:paraId="232C2BE7" w14:textId="77777777">
        <w:trPr>
          <w:trHeight w:val="309"/>
        </w:trPr>
        <w:tc>
          <w:tcPr>
            <w:tcW w:w="1187" w:type="dxa"/>
            <w:shd w:val="clear" w:color="auto" w:fill="C6EFCE"/>
            <w:noWrap/>
            <w:vAlign w:val="center"/>
          </w:tcPr>
          <w:p w14:paraId="0B66D527" w14:textId="7ED4FCD2" w:rsidR="00C972CB" w:rsidRDefault="002457F6">
            <w:pPr>
              <w:pStyle w:val="P68B1DB1-Normal11"/>
              <w:spacing w:after="120"/>
              <w:jc w:val="center"/>
              <w:rPr>
                <w:noProof/>
                <w:color w:val="000000" w:themeColor="text1"/>
              </w:rPr>
            </w:pPr>
            <w:r>
              <w:rPr>
                <w:noProof/>
              </w:rPr>
              <w:t>M7–44</w:t>
            </w:r>
          </w:p>
        </w:tc>
        <w:tc>
          <w:tcPr>
            <w:tcW w:w="1559" w:type="dxa"/>
            <w:shd w:val="clear" w:color="auto" w:fill="C6EFCE"/>
            <w:noWrap/>
            <w:vAlign w:val="center"/>
          </w:tcPr>
          <w:p w14:paraId="030C0167" w14:textId="3D005885" w:rsidR="00C972CB" w:rsidRDefault="002457F6">
            <w:pPr>
              <w:pStyle w:val="P68B1DB1-Normal11"/>
              <w:spacing w:after="120"/>
              <w:jc w:val="center"/>
              <w:rPr>
                <w:noProof/>
              </w:rPr>
            </w:pPr>
            <w:r>
              <w:rPr>
                <w:noProof/>
              </w:rPr>
              <w:t>Ieguldījums 16: Atbalsts MVU pašražošanai no atjaunojamiem enerģijas avotiem</w:t>
            </w:r>
          </w:p>
        </w:tc>
        <w:tc>
          <w:tcPr>
            <w:tcW w:w="1134" w:type="dxa"/>
            <w:shd w:val="clear" w:color="auto" w:fill="C6EFCE"/>
            <w:noWrap/>
            <w:vAlign w:val="center"/>
          </w:tcPr>
          <w:p w14:paraId="7E9E83C9" w14:textId="0581B784" w:rsidR="00C972CB" w:rsidRDefault="002457F6">
            <w:pPr>
              <w:pStyle w:val="P68B1DB1-Normal11"/>
              <w:spacing w:after="120"/>
              <w:jc w:val="center"/>
              <w:rPr>
                <w:noProof/>
              </w:rPr>
            </w:pPr>
            <w:r>
              <w:rPr>
                <w:noProof/>
              </w:rPr>
              <w:t>Starpposma mērķis</w:t>
            </w:r>
          </w:p>
        </w:tc>
        <w:tc>
          <w:tcPr>
            <w:tcW w:w="1417" w:type="dxa"/>
            <w:shd w:val="clear" w:color="auto" w:fill="C6EFCE"/>
            <w:noWrap/>
            <w:vAlign w:val="center"/>
          </w:tcPr>
          <w:p w14:paraId="2232BF25" w14:textId="6A78709A" w:rsidR="00C972CB" w:rsidRDefault="002457F6">
            <w:pPr>
              <w:pStyle w:val="P68B1DB1-Normal11"/>
              <w:spacing w:after="120"/>
              <w:jc w:val="center"/>
              <w:rPr>
                <w:noProof/>
              </w:rPr>
            </w:pPr>
            <w:r>
              <w:rPr>
                <w:noProof/>
              </w:rPr>
              <w:t>Itālijas Uzņēmumu un Madu ministrija ir pabeigusi līdzekļu pārskaitīšanu Invitalia</w:t>
            </w:r>
          </w:p>
        </w:tc>
        <w:tc>
          <w:tcPr>
            <w:tcW w:w="1701" w:type="dxa"/>
            <w:shd w:val="clear" w:color="auto" w:fill="C6EFCE"/>
            <w:noWrap/>
            <w:vAlign w:val="center"/>
          </w:tcPr>
          <w:p w14:paraId="0FDBA212" w14:textId="332DD118" w:rsidR="00C972CB" w:rsidRDefault="002457F6">
            <w:pPr>
              <w:pStyle w:val="P68B1DB1-Normal11"/>
              <w:spacing w:after="120"/>
              <w:jc w:val="center"/>
              <w:rPr>
                <w:noProof/>
              </w:rPr>
            </w:pPr>
            <w:r>
              <w:rPr>
                <w:noProof/>
              </w:rPr>
              <w:t xml:space="preserve">Nodošanas </w:t>
            </w:r>
            <w:r>
              <w:rPr>
                <w:noProof/>
              </w:rPr>
              <w:t>sertifikāts</w:t>
            </w:r>
          </w:p>
        </w:tc>
        <w:tc>
          <w:tcPr>
            <w:tcW w:w="1276" w:type="dxa"/>
            <w:shd w:val="clear" w:color="auto" w:fill="C6EFCE"/>
            <w:noWrap/>
            <w:vAlign w:val="center"/>
          </w:tcPr>
          <w:p w14:paraId="77E545C8" w14:textId="730C949F" w:rsidR="00C972CB" w:rsidRDefault="00C972CB">
            <w:pPr>
              <w:spacing w:after="120"/>
              <w:jc w:val="center"/>
              <w:rPr>
                <w:rFonts w:ascii="Arial Narrow" w:hAnsi="Arial Narrow"/>
                <w:noProof/>
                <w:color w:val="006100"/>
                <w:sz w:val="20"/>
              </w:rPr>
            </w:pPr>
          </w:p>
        </w:tc>
        <w:tc>
          <w:tcPr>
            <w:tcW w:w="992" w:type="dxa"/>
            <w:shd w:val="clear" w:color="auto" w:fill="C6EFCE"/>
            <w:noWrap/>
            <w:vAlign w:val="center"/>
          </w:tcPr>
          <w:p w14:paraId="31B3012B" w14:textId="44AE8049" w:rsidR="00C972CB" w:rsidRDefault="00C972CB">
            <w:pPr>
              <w:spacing w:after="120"/>
              <w:jc w:val="center"/>
              <w:rPr>
                <w:rFonts w:ascii="Arial Narrow" w:hAnsi="Arial Narrow"/>
                <w:noProof/>
                <w:color w:val="006100"/>
                <w:sz w:val="20"/>
              </w:rPr>
            </w:pPr>
          </w:p>
        </w:tc>
        <w:tc>
          <w:tcPr>
            <w:tcW w:w="1276" w:type="dxa"/>
            <w:shd w:val="clear" w:color="auto" w:fill="C6EFCE"/>
            <w:noWrap/>
            <w:vAlign w:val="center"/>
          </w:tcPr>
          <w:p w14:paraId="3B409DAC" w14:textId="757C5957" w:rsidR="00C972CB" w:rsidRDefault="00C972CB">
            <w:pPr>
              <w:spacing w:after="120"/>
              <w:jc w:val="center"/>
              <w:rPr>
                <w:rFonts w:ascii="Arial Narrow" w:hAnsi="Arial Narrow"/>
                <w:noProof/>
                <w:color w:val="006100"/>
                <w:sz w:val="20"/>
              </w:rPr>
            </w:pPr>
          </w:p>
        </w:tc>
        <w:tc>
          <w:tcPr>
            <w:tcW w:w="851" w:type="dxa"/>
            <w:shd w:val="clear" w:color="auto" w:fill="C6EFCE"/>
            <w:noWrap/>
            <w:vAlign w:val="center"/>
          </w:tcPr>
          <w:p w14:paraId="38ED9B2A" w14:textId="44F79564" w:rsidR="00C972CB" w:rsidRDefault="002457F6">
            <w:pPr>
              <w:pStyle w:val="P68B1DB1-Normal11"/>
              <w:spacing w:after="120"/>
              <w:jc w:val="center"/>
              <w:rPr>
                <w:noProof/>
              </w:rPr>
            </w:pPr>
            <w:r>
              <w:rPr>
                <w:noProof/>
              </w:rPr>
              <w:t>4. CET.</w:t>
            </w:r>
          </w:p>
        </w:tc>
        <w:tc>
          <w:tcPr>
            <w:tcW w:w="708" w:type="dxa"/>
            <w:shd w:val="clear" w:color="auto" w:fill="C6EFCE"/>
            <w:noWrap/>
            <w:vAlign w:val="center"/>
          </w:tcPr>
          <w:p w14:paraId="0E665F45" w14:textId="306D1D64" w:rsidR="00C972CB" w:rsidRDefault="002457F6">
            <w:pPr>
              <w:pStyle w:val="P68B1DB1-Normal11"/>
              <w:spacing w:after="120"/>
              <w:jc w:val="center"/>
              <w:rPr>
                <w:noProof/>
              </w:rPr>
            </w:pPr>
            <w:r>
              <w:rPr>
                <w:noProof/>
              </w:rPr>
              <w:t>2024</w:t>
            </w:r>
          </w:p>
        </w:tc>
        <w:tc>
          <w:tcPr>
            <w:tcW w:w="3261" w:type="dxa"/>
            <w:shd w:val="clear" w:color="auto" w:fill="C6EFCE"/>
            <w:noWrap/>
            <w:vAlign w:val="center"/>
          </w:tcPr>
          <w:p w14:paraId="086198B6" w14:textId="5E3207C7" w:rsidR="00C972CB" w:rsidRDefault="002457F6">
            <w:pPr>
              <w:pStyle w:val="P68B1DB1-Normal11"/>
              <w:spacing w:after="120"/>
              <w:rPr>
                <w:noProof/>
              </w:rPr>
            </w:pPr>
            <w:r>
              <w:rPr>
                <w:noProof/>
              </w:rPr>
              <w:t>Itālija pārskaita Invitalia EUR 320000000 Mehānisma vajadzībām.</w:t>
            </w:r>
          </w:p>
        </w:tc>
      </w:tr>
      <w:tr w:rsidR="00C972CB" w14:paraId="14E39A56" w14:textId="77777777">
        <w:trPr>
          <w:trHeight w:val="309"/>
        </w:trPr>
        <w:tc>
          <w:tcPr>
            <w:tcW w:w="1187" w:type="dxa"/>
            <w:shd w:val="clear" w:color="auto" w:fill="C6EFCE"/>
            <w:noWrap/>
            <w:vAlign w:val="center"/>
          </w:tcPr>
          <w:p w14:paraId="4E54FA68" w14:textId="6286BA22" w:rsidR="00C972CB" w:rsidRDefault="002457F6">
            <w:pPr>
              <w:pStyle w:val="P68B1DB1-Normal11"/>
              <w:spacing w:after="120"/>
              <w:jc w:val="center"/>
              <w:rPr>
                <w:noProof/>
              </w:rPr>
            </w:pPr>
            <w:r>
              <w:rPr>
                <w:noProof/>
              </w:rPr>
              <w:t>M7–45</w:t>
            </w:r>
          </w:p>
        </w:tc>
        <w:tc>
          <w:tcPr>
            <w:tcW w:w="1559" w:type="dxa"/>
            <w:shd w:val="clear" w:color="auto" w:fill="C6EFCE"/>
            <w:noWrap/>
            <w:vAlign w:val="center"/>
          </w:tcPr>
          <w:p w14:paraId="2D173C14" w14:textId="152E8F33" w:rsidR="00C972CB" w:rsidRDefault="002457F6">
            <w:pPr>
              <w:pStyle w:val="P68B1DB1-Normal11"/>
              <w:spacing w:after="120"/>
              <w:jc w:val="center"/>
              <w:rPr>
                <w:noProof/>
              </w:rPr>
            </w:pPr>
            <w:r>
              <w:rPr>
                <w:noProof/>
              </w:rPr>
              <w:t>Ieguldījums 16: Atbalsts MVU pašražošanai no atjaunojamiem enerģijas avotiem</w:t>
            </w:r>
          </w:p>
        </w:tc>
        <w:tc>
          <w:tcPr>
            <w:tcW w:w="1134" w:type="dxa"/>
            <w:shd w:val="clear" w:color="auto" w:fill="C6EFCE"/>
            <w:noWrap/>
            <w:vAlign w:val="center"/>
          </w:tcPr>
          <w:p w14:paraId="6F688C00" w14:textId="382D013C" w:rsidR="00C972CB" w:rsidRDefault="002457F6">
            <w:pPr>
              <w:pStyle w:val="P68B1DB1-Normal11"/>
              <w:spacing w:after="120"/>
              <w:jc w:val="center"/>
              <w:rPr>
                <w:noProof/>
              </w:rPr>
            </w:pPr>
            <w:r>
              <w:rPr>
                <w:noProof/>
              </w:rPr>
              <w:t>Mērķa</w:t>
            </w:r>
          </w:p>
        </w:tc>
        <w:tc>
          <w:tcPr>
            <w:tcW w:w="1417" w:type="dxa"/>
            <w:shd w:val="clear" w:color="auto" w:fill="C6EFCE"/>
            <w:noWrap/>
            <w:vAlign w:val="center"/>
          </w:tcPr>
          <w:p w14:paraId="18CFD9CF" w14:textId="212E8BEC" w:rsidR="00C972CB" w:rsidRDefault="002457F6">
            <w:pPr>
              <w:pStyle w:val="P68B1DB1-Normal11"/>
              <w:spacing w:after="120"/>
              <w:jc w:val="center"/>
              <w:rPr>
                <w:noProof/>
              </w:rPr>
            </w:pPr>
            <w:r>
              <w:rPr>
                <w:noProof/>
              </w:rPr>
              <w:t>Juridiski nolīgumi ar galasaņēmējiem</w:t>
            </w:r>
          </w:p>
        </w:tc>
        <w:tc>
          <w:tcPr>
            <w:tcW w:w="1701" w:type="dxa"/>
            <w:shd w:val="clear" w:color="auto" w:fill="C6EFCE"/>
            <w:noWrap/>
            <w:vAlign w:val="center"/>
          </w:tcPr>
          <w:p w14:paraId="78E38CC6" w14:textId="11BA8E44" w:rsidR="00C972CB" w:rsidRDefault="002457F6">
            <w:pPr>
              <w:pStyle w:val="P68B1DB1-Normal11"/>
              <w:spacing w:after="120"/>
              <w:jc w:val="center"/>
              <w:rPr>
                <w:noProof/>
              </w:rPr>
            </w:pPr>
            <w:r>
              <w:rPr>
                <w:noProof/>
              </w:rPr>
              <w:t>Piešķiršanas aktu stāšanās spēkā</w:t>
            </w:r>
          </w:p>
        </w:tc>
        <w:tc>
          <w:tcPr>
            <w:tcW w:w="1276" w:type="dxa"/>
            <w:shd w:val="clear" w:color="auto" w:fill="C6EFCE"/>
            <w:noWrap/>
            <w:vAlign w:val="center"/>
          </w:tcPr>
          <w:p w14:paraId="3CF07CA7" w14:textId="77777777" w:rsidR="00C972CB" w:rsidRDefault="002457F6">
            <w:pPr>
              <w:pStyle w:val="P68B1DB1-Normal11"/>
              <w:spacing w:after="120"/>
              <w:jc w:val="center"/>
              <w:rPr>
                <w:noProof/>
              </w:rPr>
            </w:pPr>
            <w:r>
              <w:rPr>
                <w:noProof/>
              </w:rPr>
              <w:t>Procentuālā daļa</w:t>
            </w:r>
          </w:p>
          <w:p w14:paraId="4C9C7912" w14:textId="70EAE41D" w:rsidR="00C972CB" w:rsidRDefault="002457F6">
            <w:pPr>
              <w:pStyle w:val="P68B1DB1-Normal11"/>
              <w:spacing w:after="120"/>
              <w:jc w:val="center"/>
              <w:rPr>
                <w:noProof/>
              </w:rPr>
            </w:pPr>
            <w:r>
              <w:rPr>
                <w:noProof/>
              </w:rPr>
              <w:t>(%)</w:t>
            </w:r>
          </w:p>
        </w:tc>
        <w:tc>
          <w:tcPr>
            <w:tcW w:w="992" w:type="dxa"/>
            <w:shd w:val="clear" w:color="auto" w:fill="C6EFCE"/>
            <w:noWrap/>
            <w:vAlign w:val="center"/>
          </w:tcPr>
          <w:p w14:paraId="29DD8C2B" w14:textId="7E3E1761" w:rsidR="00C972CB" w:rsidRDefault="002457F6">
            <w:pPr>
              <w:pStyle w:val="P68B1DB1-Normal11"/>
              <w:spacing w:after="120"/>
              <w:jc w:val="center"/>
              <w:rPr>
                <w:noProof/>
              </w:rPr>
            </w:pPr>
            <w:r>
              <w:rPr>
                <w:noProof/>
              </w:rPr>
              <w:t>0</w:t>
            </w:r>
          </w:p>
        </w:tc>
        <w:tc>
          <w:tcPr>
            <w:tcW w:w="1276" w:type="dxa"/>
            <w:shd w:val="clear" w:color="auto" w:fill="C6EFCE"/>
            <w:noWrap/>
            <w:vAlign w:val="center"/>
          </w:tcPr>
          <w:p w14:paraId="3357254A" w14:textId="2F13E557" w:rsidR="00C972CB" w:rsidRDefault="002457F6">
            <w:pPr>
              <w:pStyle w:val="P68B1DB1-Normal11"/>
              <w:spacing w:after="120"/>
              <w:jc w:val="center"/>
              <w:rPr>
                <w:noProof/>
              </w:rPr>
            </w:pPr>
            <w:r>
              <w:rPr>
                <w:noProof/>
              </w:rPr>
              <w:t>100 %</w:t>
            </w:r>
          </w:p>
        </w:tc>
        <w:tc>
          <w:tcPr>
            <w:tcW w:w="851" w:type="dxa"/>
            <w:shd w:val="clear" w:color="auto" w:fill="C6EFCE"/>
            <w:noWrap/>
            <w:vAlign w:val="center"/>
          </w:tcPr>
          <w:p w14:paraId="313E4F4A" w14:textId="2952133F" w:rsidR="00C972CB" w:rsidRDefault="002457F6">
            <w:pPr>
              <w:pStyle w:val="P68B1DB1-Normal11"/>
              <w:spacing w:after="120"/>
              <w:jc w:val="center"/>
              <w:rPr>
                <w:noProof/>
              </w:rPr>
            </w:pPr>
            <w:r>
              <w:rPr>
                <w:noProof/>
              </w:rPr>
              <w:t>2. CET.</w:t>
            </w:r>
          </w:p>
        </w:tc>
        <w:tc>
          <w:tcPr>
            <w:tcW w:w="708" w:type="dxa"/>
            <w:shd w:val="clear" w:color="auto" w:fill="C6EFCE"/>
            <w:noWrap/>
            <w:vAlign w:val="center"/>
          </w:tcPr>
          <w:p w14:paraId="3E74A7B2" w14:textId="4CB92D28" w:rsidR="00C972CB" w:rsidRDefault="002457F6">
            <w:pPr>
              <w:pStyle w:val="P68B1DB1-Normal11"/>
              <w:spacing w:after="120"/>
              <w:jc w:val="center"/>
              <w:rPr>
                <w:noProof/>
              </w:rPr>
            </w:pPr>
            <w:r>
              <w:rPr>
                <w:noProof/>
              </w:rPr>
              <w:t>2026</w:t>
            </w:r>
          </w:p>
        </w:tc>
        <w:tc>
          <w:tcPr>
            <w:tcW w:w="3261" w:type="dxa"/>
            <w:shd w:val="clear" w:color="auto" w:fill="C6EFCE"/>
            <w:noWrap/>
            <w:vAlign w:val="center"/>
          </w:tcPr>
          <w:p w14:paraId="1C521B07" w14:textId="5F106AC4" w:rsidR="00C972CB" w:rsidRDefault="002457F6">
            <w:pPr>
              <w:pStyle w:val="P68B1DB1-Normal11"/>
              <w:spacing w:after="120"/>
              <w:rPr>
                <w:noProof/>
              </w:rPr>
            </w:pPr>
            <w:r>
              <w:rPr>
                <w:noProof/>
              </w:rPr>
              <w:t xml:space="preserve">Invitalia pieņem dotāciju aktus par labu galasaņēmējiem par summu, kas nepieciešama, lai izmantotu 100 % no ANM ieguldījumiem 320 000 000 EUR apmērā </w:t>
            </w:r>
          </w:p>
        </w:tc>
      </w:tr>
      <w:tr w:rsidR="00C972CB" w14:paraId="1A681D32"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664C31" w14:textId="611D425E" w:rsidR="00C972CB" w:rsidRDefault="002457F6">
            <w:pPr>
              <w:pStyle w:val="P68B1DB1-Normal11"/>
              <w:spacing w:after="120"/>
              <w:jc w:val="center"/>
              <w:rPr>
                <w:noProof/>
              </w:rPr>
            </w:pPr>
            <w:r>
              <w:rPr>
                <w:noProof/>
              </w:rPr>
              <w:t>M7–46</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5D91A" w14:textId="2B6DF6D6" w:rsidR="00C972CB" w:rsidRDefault="002457F6">
            <w:pPr>
              <w:pStyle w:val="P68B1DB1-Normal11"/>
              <w:spacing w:after="120"/>
              <w:jc w:val="center"/>
              <w:rPr>
                <w:noProof/>
              </w:rPr>
            </w:pPr>
            <w:r>
              <w:rPr>
                <w:noProof/>
              </w:rPr>
              <w:t xml:space="preserve">Ieguldījums 17: Finanšu instruments publisko un sociālo </w:t>
            </w:r>
            <w:r>
              <w:rPr>
                <w:noProof/>
              </w:rPr>
              <w:t>mājokļu energorenovācijai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E6AA76" w14:textId="1D2452FD" w:rsidR="00C972CB" w:rsidRDefault="002457F6">
            <w:pPr>
              <w:pStyle w:val="P68B1DB1-Normal11"/>
              <w:spacing w:after="120"/>
              <w:jc w:val="center"/>
              <w:rPr>
                <w:noProof/>
              </w:rPr>
            </w:pPr>
            <w:r>
              <w:rPr>
                <w:noProof/>
              </w:rPr>
              <w:t>Starpposma mērķis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265FEA" w14:textId="77777777" w:rsidR="00C972CB" w:rsidRDefault="002457F6">
            <w:pPr>
              <w:pStyle w:val="P68B1DB1-Normal11"/>
              <w:spacing w:after="120"/>
              <w:jc w:val="center"/>
              <w:rPr>
                <w:noProof/>
              </w:rPr>
            </w:pPr>
            <w:r>
              <w:rPr>
                <w:noProof/>
              </w:rPr>
              <w:t>Uzdevuma mērķa noteikšana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A4EFA" w14:textId="637CE1A6" w:rsidR="00C972CB" w:rsidRDefault="002457F6">
            <w:pPr>
              <w:pStyle w:val="P68B1DB1-Normal11"/>
              <w:spacing w:after="120"/>
              <w:jc w:val="center"/>
              <w:rPr>
                <w:noProof/>
              </w:rPr>
            </w:pPr>
            <w:r>
              <w:rPr>
                <w:noProof/>
              </w:rPr>
              <w:t>Tiesību akta stāšanās spēkā ar finanšu instrumenta darba uzdevumu definīciju</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4A4CA" w14:textId="77777777" w:rsidR="00C972CB" w:rsidRDefault="00C972CB">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62964D" w14:textId="77777777" w:rsidR="00C972CB" w:rsidRDefault="00C972CB">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D54D" w14:textId="77777777" w:rsidR="00C972CB" w:rsidRDefault="00C972CB">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FAFD5" w14:textId="6DE81B87" w:rsidR="00C972CB" w:rsidRDefault="002457F6">
            <w:pPr>
              <w:pStyle w:val="P68B1DB1-Normal11"/>
              <w:spacing w:after="120"/>
              <w:jc w:val="center"/>
              <w:rPr>
                <w:noProof/>
              </w:rPr>
            </w:pPr>
            <w:r>
              <w:rPr>
                <w:noProof/>
              </w:rPr>
              <w:t>3. CET.</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95573" w14:textId="77777777" w:rsidR="00C972CB" w:rsidRDefault="002457F6">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41FD2CD" w14:textId="6EFF6143" w:rsidR="00C972CB" w:rsidRDefault="002457F6">
            <w:pPr>
              <w:pStyle w:val="P68B1DB1-Normal11"/>
              <w:spacing w:after="120"/>
              <w:rPr>
                <w:noProof/>
              </w:rPr>
            </w:pPr>
            <w:r>
              <w:rPr>
                <w:noProof/>
              </w:rPr>
              <w:t xml:space="preserve">Noteikt finanšu instrumenta darba uzdevumus, kas attiecas uz publiskajiem un sociālajiem mājokļiem un energorenovācijām daudzdzīvokļu ēkās dzīvojamās un mazaizsargātās mājsaimniecībās ar zemiem ienākumiem. </w:t>
            </w:r>
          </w:p>
          <w:p w14:paraId="13E6DAE4" w14:textId="77777777" w:rsidR="00C972CB" w:rsidRDefault="00C972CB">
            <w:pPr>
              <w:spacing w:after="120"/>
              <w:rPr>
                <w:rFonts w:ascii="Arial Narrow" w:hAnsi="Arial Narrow"/>
                <w:noProof/>
                <w:color w:val="006100"/>
                <w:sz w:val="20"/>
              </w:rPr>
            </w:pPr>
          </w:p>
        </w:tc>
      </w:tr>
      <w:tr w:rsidR="00C972CB" w14:paraId="7B6229D6"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34BBC4" w14:textId="59217D68" w:rsidR="00C972CB" w:rsidRDefault="002457F6">
            <w:pPr>
              <w:pStyle w:val="P68B1DB1-Normal11"/>
              <w:spacing w:after="120"/>
              <w:jc w:val="center"/>
              <w:rPr>
                <w:noProof/>
              </w:rPr>
            </w:pPr>
            <w:r>
              <w:rPr>
                <w:noProof/>
              </w:rPr>
              <w:t>M7–47</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141550" w14:textId="70166B24" w:rsidR="00C972CB" w:rsidRDefault="002457F6">
            <w:pPr>
              <w:pStyle w:val="P68B1DB1-Normal11"/>
              <w:spacing w:after="120"/>
              <w:jc w:val="center"/>
              <w:rPr>
                <w:noProof/>
              </w:rPr>
            </w:pPr>
            <w:r>
              <w:rPr>
                <w:noProof/>
              </w:rPr>
              <w:t xml:space="preserve">Ieguldījums 17: Finanšu instruments </w:t>
            </w:r>
            <w:r>
              <w:rPr>
                <w:noProof/>
              </w:rPr>
              <w:t>publisko un sociālo mājokļu energorenovācijai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25FFF" w14:textId="0E19BA18" w:rsidR="00C972CB" w:rsidRDefault="002457F6">
            <w:pPr>
              <w:pStyle w:val="P68B1DB1-Normal11"/>
              <w:spacing w:after="120"/>
              <w:jc w:val="center"/>
              <w:rPr>
                <w:noProof/>
              </w:rPr>
            </w:pPr>
            <w:r>
              <w:rPr>
                <w:noProof/>
              </w:rPr>
              <w:t>Starpposma mērķis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9B3D9" w14:textId="77777777" w:rsidR="00C972CB" w:rsidRDefault="002457F6">
            <w:pPr>
              <w:pStyle w:val="P68B1DB1-Normal11"/>
              <w:spacing w:after="120"/>
              <w:jc w:val="center"/>
              <w:rPr>
                <w:noProof/>
              </w:rPr>
            </w:pPr>
            <w:r>
              <w:rPr>
                <w:noProof/>
              </w:rPr>
              <w:t>Īstenošanas nolīgums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54933" w14:textId="77777777" w:rsidR="00C972CB" w:rsidRDefault="002457F6">
            <w:pPr>
              <w:pStyle w:val="P68B1DB1-Normal11"/>
              <w:spacing w:after="120"/>
              <w:jc w:val="center"/>
              <w:rPr>
                <w:noProof/>
              </w:rPr>
            </w:pPr>
            <w:r>
              <w:rPr>
                <w:noProof/>
              </w:rPr>
              <w:t>Īstenošanas nolīguma stāšanās spēkā</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5FA4E" w14:textId="7FBB56B6" w:rsidR="00C972CB" w:rsidRDefault="00C972CB">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504579" w14:textId="50FA91E1" w:rsidR="00C972CB" w:rsidRDefault="00C972CB">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60334" w14:textId="37BB580E" w:rsidR="00C972CB" w:rsidRDefault="00C972CB">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5D057" w14:textId="72D76196" w:rsidR="00C972CB" w:rsidRDefault="002457F6">
            <w:pPr>
              <w:pStyle w:val="P68B1DB1-Normal11"/>
              <w:spacing w:after="120"/>
              <w:jc w:val="center"/>
              <w:rPr>
                <w:noProof/>
              </w:rPr>
            </w:pPr>
            <w:r>
              <w:rPr>
                <w:noProof/>
              </w:rPr>
              <w:t>1. CET.</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6430A" w14:textId="7E9CA1C1" w:rsidR="00C972CB" w:rsidRDefault="002457F6">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5C6C1A1" w14:textId="77777777" w:rsidR="00C972CB" w:rsidRDefault="002457F6">
            <w:pPr>
              <w:pStyle w:val="P68B1DB1-Normal11"/>
              <w:spacing w:after="120"/>
              <w:jc w:val="both"/>
              <w:rPr>
                <w:noProof/>
              </w:rPr>
            </w:pPr>
            <w:r>
              <w:rPr>
                <w:noProof/>
              </w:rPr>
              <w:t>Īstenošanas nolīguma stāšanās spēkā saskaņā ar pasākuma aprakstā norādītajām prasībām.</w:t>
            </w:r>
          </w:p>
          <w:p w14:paraId="74FF2603" w14:textId="05185265" w:rsidR="00C972CB" w:rsidRDefault="002457F6">
            <w:pPr>
              <w:pStyle w:val="P68B1DB1-Normal11"/>
              <w:spacing w:after="120"/>
              <w:jc w:val="both"/>
              <w:rPr>
                <w:noProof/>
              </w:rPr>
            </w:pPr>
            <w:r>
              <w:rPr>
                <w:noProof/>
              </w:rPr>
              <w:t xml:space="preserve">Jo īpaši īstenošanas nolīgumā </w:t>
            </w:r>
            <w:r>
              <w:rPr>
                <w:noProof/>
              </w:rPr>
              <w:t>iekļauj atbilstības kritērijus attiecībā uz minimālo energoefektivitātes uzlabojumu, kas jāsasniedz ar instrumentu (vismaz 30 % primārās enerģijas pieprasījuma samazinājums) un atbalsttiesīgajām mājsaimniecībām (ja atbilstība ir noteikta, pamatojoties uz t</w:t>
            </w:r>
            <w:r>
              <w:rPr>
                <w:noProof/>
              </w:rPr>
              <w:t>o neaizsargātību).</w:t>
            </w:r>
          </w:p>
        </w:tc>
      </w:tr>
      <w:tr w:rsidR="00C972CB" w14:paraId="16B3F611"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BF48B" w14:textId="48B3F0C4" w:rsidR="00C972CB" w:rsidRDefault="002457F6">
            <w:pPr>
              <w:pStyle w:val="P68B1DB1-Normal11"/>
              <w:spacing w:after="120"/>
              <w:jc w:val="center"/>
              <w:rPr>
                <w:noProof/>
              </w:rPr>
            </w:pPr>
            <w:r>
              <w:rPr>
                <w:noProof/>
              </w:rPr>
              <w:t>M7–48</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177CD" w14:textId="6A0F1A40" w:rsidR="00C972CB" w:rsidRDefault="002457F6">
            <w:pPr>
              <w:pStyle w:val="P68B1DB1-Normal11"/>
              <w:spacing w:after="120"/>
              <w:jc w:val="center"/>
              <w:rPr>
                <w:noProof/>
              </w:rPr>
            </w:pPr>
            <w:r>
              <w:rPr>
                <w:noProof/>
              </w:rPr>
              <w:t>Ieguldījums 17: Finanšu instruments publisko un sociālo mājokļu energorenovācijai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DBE54" w14:textId="3D7A1AB1" w:rsidR="00C972CB" w:rsidRDefault="002457F6">
            <w:pPr>
              <w:pStyle w:val="P68B1DB1-Normal11"/>
              <w:spacing w:after="120"/>
              <w:jc w:val="center"/>
              <w:rPr>
                <w:noProof/>
              </w:rPr>
            </w:pPr>
            <w:r>
              <w:rPr>
                <w:noProof/>
              </w:rPr>
              <w:t>Starpposma mērķis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619A" w14:textId="77777777" w:rsidR="00C972CB" w:rsidRDefault="002457F6">
            <w:pPr>
              <w:pStyle w:val="P68B1DB1-Normal11"/>
              <w:spacing w:after="120"/>
              <w:jc w:val="center"/>
              <w:rPr>
                <w:noProof/>
              </w:rPr>
            </w:pPr>
            <w:r>
              <w:rPr>
                <w:noProof/>
              </w:rPr>
              <w:t>Ministrija ir pabeigusi ieguldījumu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C168E" w14:textId="77777777" w:rsidR="00C972CB" w:rsidRDefault="002457F6">
            <w:pPr>
              <w:pStyle w:val="P68B1DB1-Normal11"/>
              <w:spacing w:after="120"/>
              <w:jc w:val="center"/>
              <w:rPr>
                <w:noProof/>
              </w:rPr>
            </w:pPr>
            <w:r>
              <w:rPr>
                <w:noProof/>
              </w:rPr>
              <w:t>Nodošanas sertifikāts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A159C" w14:textId="14AB2F04" w:rsidR="00C972CB" w:rsidRDefault="002457F6">
            <w:pPr>
              <w:pStyle w:val="P68B1DB1-Normal11"/>
              <w:spacing w:after="120"/>
              <w:jc w:val="center"/>
              <w:rPr>
                <w:noProof/>
              </w:rPr>
            </w:pPr>
            <w:r>
              <w:rPr>
                <w:noProof/>
              </w:rPr>
              <w:t>EUR</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BDB35" w14:textId="717D6BEF" w:rsidR="00C972CB" w:rsidRDefault="002457F6">
            <w:pPr>
              <w:pStyle w:val="P68B1DB1-Normal11"/>
              <w:spacing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582C7" w14:textId="69CFA634" w:rsidR="00C972CB" w:rsidRDefault="002457F6">
            <w:pPr>
              <w:pStyle w:val="P68B1DB1-Normal11"/>
              <w:spacing w:after="120"/>
              <w:jc w:val="center"/>
              <w:rPr>
                <w:noProof/>
              </w:rPr>
            </w:pPr>
            <w:r>
              <w:rPr>
                <w:noProof/>
              </w:rPr>
              <w:t>1 381 000 000</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6F651" w14:textId="77777777" w:rsidR="00C972CB" w:rsidRDefault="002457F6">
            <w:pPr>
              <w:pStyle w:val="P68B1DB1-Normal11"/>
              <w:spacing w:after="120"/>
              <w:jc w:val="center"/>
              <w:rPr>
                <w:noProof/>
              </w:rPr>
            </w:pPr>
            <w:r>
              <w:rPr>
                <w:noProof/>
              </w:rPr>
              <w:t>4. CET.</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5C16" w14:textId="77777777" w:rsidR="00C972CB" w:rsidRDefault="002457F6">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FDDAFF4" w14:textId="09A0E592" w:rsidR="00C972CB" w:rsidRDefault="002457F6">
            <w:pPr>
              <w:pStyle w:val="P68B1DB1-Normal11"/>
              <w:spacing w:after="120"/>
              <w:jc w:val="both"/>
              <w:rPr>
                <w:noProof/>
              </w:rPr>
            </w:pPr>
            <w:r>
              <w:rPr>
                <w:noProof/>
              </w:rPr>
              <w:t xml:space="preserve">Itālija pārskaita EUR 1381000000 </w:t>
            </w:r>
            <w:r>
              <w:rPr>
                <w:noProof/>
              </w:rPr>
              <w:t>Mehānisma īstenošanas partnerim.</w:t>
            </w:r>
          </w:p>
        </w:tc>
      </w:tr>
      <w:tr w:rsidR="00C972CB" w14:paraId="4476B6A8"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39629" w14:textId="5FE61AA6" w:rsidR="00C972CB" w:rsidRDefault="002457F6">
            <w:pPr>
              <w:pStyle w:val="P68B1DB1-Normal11"/>
              <w:spacing w:after="120"/>
              <w:jc w:val="center"/>
              <w:rPr>
                <w:noProof/>
              </w:rPr>
            </w:pPr>
            <w:r>
              <w:rPr>
                <w:noProof/>
              </w:rPr>
              <w:t>M7–49</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46E45" w14:textId="5DFF7438" w:rsidR="00C972CB" w:rsidRDefault="002457F6">
            <w:pPr>
              <w:pStyle w:val="P68B1DB1-Normal11"/>
              <w:spacing w:after="120"/>
              <w:jc w:val="center"/>
              <w:rPr>
                <w:noProof/>
              </w:rPr>
            </w:pPr>
            <w:r>
              <w:rPr>
                <w:noProof/>
              </w:rPr>
              <w:t>Ieguldījums 17: Finanšu instruments publisko un sociālo mājokļu energorenovācijai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742EE" w14:textId="78444F33" w:rsidR="00C972CB" w:rsidRDefault="002457F6">
            <w:pPr>
              <w:pStyle w:val="P68B1DB1-Normal11"/>
              <w:spacing w:after="120"/>
              <w:jc w:val="center"/>
              <w:rPr>
                <w:noProof/>
              </w:rPr>
            </w:pPr>
            <w:r>
              <w:rPr>
                <w:noProof/>
              </w:rPr>
              <w:t>Mērķa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F73A8" w14:textId="77777777" w:rsidR="00C972CB" w:rsidRDefault="002457F6">
            <w:pPr>
              <w:pStyle w:val="P68B1DB1-Normal11"/>
              <w:spacing w:after="120"/>
              <w:jc w:val="center"/>
              <w:rPr>
                <w:noProof/>
              </w:rPr>
            </w:pPr>
            <w:r>
              <w:rPr>
                <w:noProof/>
              </w:rPr>
              <w:t>Ar galīgajiem saņēmējiem parakstītie juridiskie nolīgumi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4F403" w14:textId="77777777" w:rsidR="00C972CB" w:rsidRDefault="00C972CB">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81D3DC" w14:textId="77777777" w:rsidR="00C972CB" w:rsidRDefault="002457F6">
            <w:pPr>
              <w:pStyle w:val="P68B1DB1-Normal11"/>
              <w:spacing w:after="120"/>
              <w:jc w:val="center"/>
              <w:rPr>
                <w:noProof/>
              </w:rPr>
            </w:pPr>
            <w:r>
              <w:rPr>
                <w:noProof/>
              </w:rPr>
              <w:t>Procentuālā daļa (%)</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95E50" w14:textId="77777777" w:rsidR="00C972CB" w:rsidRDefault="002457F6">
            <w:pPr>
              <w:pStyle w:val="P68B1DB1-Normal11"/>
              <w:spacing w:after="120"/>
              <w:jc w:val="center"/>
              <w:rPr>
                <w:noProof/>
              </w:rPr>
            </w:pPr>
            <w:r>
              <w:rPr>
                <w:noProof/>
              </w:rPr>
              <w:t>0 %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3F02A" w14:textId="77777777" w:rsidR="00C972CB" w:rsidRDefault="002457F6">
            <w:pPr>
              <w:pStyle w:val="P68B1DB1-Normal11"/>
              <w:spacing w:after="120"/>
              <w:jc w:val="center"/>
              <w:rPr>
                <w:noProof/>
              </w:rPr>
            </w:pPr>
            <w:r>
              <w:rPr>
                <w:noProof/>
              </w:rPr>
              <w:t>100 %</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15193" w14:textId="77777777" w:rsidR="00C972CB" w:rsidRDefault="002457F6">
            <w:pPr>
              <w:pStyle w:val="P68B1DB1-Normal11"/>
              <w:spacing w:after="120"/>
              <w:jc w:val="center"/>
              <w:rPr>
                <w:noProof/>
              </w:rPr>
            </w:pPr>
            <w:r>
              <w:rPr>
                <w:noProof/>
              </w:rPr>
              <w:t>2. CET.</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5357D5" w14:textId="77777777" w:rsidR="00C972CB" w:rsidRDefault="002457F6">
            <w:pPr>
              <w:pStyle w:val="P68B1DB1-Normal11"/>
              <w:spacing w:after="120"/>
              <w:jc w:val="center"/>
              <w:rPr>
                <w:noProof/>
              </w:rPr>
            </w:pPr>
            <w:r>
              <w:rPr>
                <w:noProof/>
              </w:rPr>
              <w:t>2026</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065D61B8" w14:textId="77777777" w:rsidR="00C972CB" w:rsidRDefault="002457F6">
            <w:pPr>
              <w:pStyle w:val="P68B1DB1-Normal11"/>
              <w:spacing w:after="120"/>
              <w:jc w:val="both"/>
              <w:rPr>
                <w:noProof/>
              </w:rPr>
            </w:pPr>
            <w:r>
              <w:rPr>
                <w:noProof/>
              </w:rPr>
              <w:t xml:space="preserve">Īstenošanas partneris ir </w:t>
            </w:r>
            <w:r>
              <w:rPr>
                <w:noProof/>
              </w:rPr>
              <w:t>noslēdzis juridiska finansējuma līgumus ar energopakalpojumu uzņēmumiem (ESCO) par summu, kas nepieciešama, lai Mehānismā izmantotu 100 % ANM ieguldījumu (ņemot vērā pārvaldības maksas).</w:t>
            </w:r>
          </w:p>
          <w:p w14:paraId="452407DB" w14:textId="77777777" w:rsidR="00C972CB" w:rsidRDefault="002457F6">
            <w:pPr>
              <w:pStyle w:val="P68B1DB1-Normal11"/>
              <w:spacing w:after="120"/>
              <w:jc w:val="both"/>
              <w:rPr>
                <w:noProof/>
              </w:rPr>
            </w:pPr>
            <w:r>
              <w:rPr>
                <w:noProof/>
              </w:rPr>
              <w:t>Finansēšanas līgumā ar energopakalpojumu uzņēmumiem (ESCO) norāda akt</w:t>
            </w:r>
            <w:r>
              <w:rPr>
                <w:noProof/>
              </w:rPr>
              <w:t>īvu, uz kuru attieksies energoefektivitātes renovācija.</w:t>
            </w:r>
          </w:p>
          <w:p w14:paraId="477A936E" w14:textId="5A72B0FB" w:rsidR="00C972CB" w:rsidRDefault="002457F6">
            <w:pPr>
              <w:pStyle w:val="P68B1DB1-Normal11"/>
              <w:spacing w:after="120"/>
              <w:jc w:val="both"/>
              <w:rPr>
                <w:noProof/>
              </w:rPr>
            </w:pPr>
            <w:r>
              <w:rPr>
                <w:noProof/>
              </w:rPr>
              <w:t>100 % no šā finansējuma veicina klimata mērķu sasniegšanu, izmantojot ANM regulas VI pielikumā izklāstīto metodiku.</w:t>
            </w:r>
          </w:p>
        </w:tc>
      </w:tr>
    </w:tbl>
    <w:p w14:paraId="45F22E0F" w14:textId="77777777" w:rsidR="00C972CB" w:rsidRDefault="00C972CB">
      <w:pPr>
        <w:spacing w:after="120"/>
        <w:jc w:val="both"/>
        <w:rPr>
          <w:rFonts w:ascii="Calibri" w:eastAsia="Calibri" w:hAnsi="Calibri" w:cs="Calibri"/>
          <w:noProof/>
          <w:color w:val="000000" w:themeColor="text1"/>
        </w:rPr>
        <w:sectPr w:rsidR="00C972CB" w:rsidSect="00C9514F">
          <w:headerReference w:type="even" r:id="rId405"/>
          <w:headerReference w:type="default" r:id="rId406"/>
          <w:footerReference w:type="even" r:id="rId407"/>
          <w:footerReference w:type="default" r:id="rId408"/>
          <w:headerReference w:type="first" r:id="rId409"/>
          <w:footerReference w:type="first" r:id="rId410"/>
          <w:pgSz w:w="16838" w:h="11906" w:orient="landscape" w:code="12"/>
          <w:pgMar w:top="1440" w:right="1440" w:bottom="1440" w:left="1440" w:header="567" w:footer="567" w:gutter="0"/>
          <w:cols w:space="720"/>
          <w:docGrid w:linePitch="360"/>
        </w:sectPr>
      </w:pPr>
    </w:p>
    <w:p w14:paraId="4AF9AD57" w14:textId="77777777" w:rsidR="00C972CB" w:rsidRDefault="002457F6">
      <w:pPr>
        <w:pStyle w:val="Heading1"/>
        <w:rPr>
          <w:noProof/>
        </w:rPr>
      </w:pPr>
      <w:r>
        <w:rPr>
          <w:noProof/>
        </w:rPr>
        <w:t xml:space="preserve">Atveseļošanas un noturības plānā aplēstās kopējās izmaksas </w:t>
      </w:r>
    </w:p>
    <w:p w14:paraId="53BA8B92" w14:textId="10A433C9" w:rsidR="00C972CB" w:rsidRDefault="002457F6">
      <w:pPr>
        <w:pStyle w:val="P68B1DB1-Normal41"/>
        <w:spacing w:before="120" w:after="120"/>
        <w:jc w:val="both"/>
        <w:rPr>
          <w:noProof/>
        </w:rPr>
      </w:pPr>
      <w:r>
        <w:rPr>
          <w:noProof/>
        </w:rPr>
        <w:t>Itālijas atveseļošanas un noturības plānā aplēstās kopējās izmaksas ir 194 415 951 466 EUR.</w:t>
      </w:r>
    </w:p>
    <w:p w14:paraId="10B07BC1" w14:textId="77777777" w:rsidR="00C972CB" w:rsidRDefault="002457F6">
      <w:pPr>
        <w:pStyle w:val="P68B1DB1-Normal42"/>
        <w:spacing w:before="120" w:after="120"/>
        <w:jc w:val="both"/>
        <w:rPr>
          <w:noProof/>
        </w:rPr>
      </w:pPr>
      <w:r>
        <w:rPr>
          <w:noProof/>
        </w:rPr>
        <w:t>2. IEDAĻA. FINANSIĀLAIS ATBALSTS</w:t>
      </w:r>
    </w:p>
    <w:p w14:paraId="06D860FA" w14:textId="77777777" w:rsidR="00C972CB" w:rsidRDefault="002457F6">
      <w:pPr>
        <w:pStyle w:val="P68B1DB1-NumPar143"/>
        <w:numPr>
          <w:ilvl w:val="0"/>
          <w:numId w:val="141"/>
        </w:numPr>
        <w:rPr>
          <w:noProof/>
        </w:rPr>
      </w:pPr>
      <w:r>
        <w:rPr>
          <w:noProof/>
        </w:rPr>
        <w:t>Finanšu ieguldījums</w:t>
      </w:r>
    </w:p>
    <w:p w14:paraId="2E81C0B0" w14:textId="77777777" w:rsidR="00C972CB" w:rsidRDefault="002457F6">
      <w:pPr>
        <w:pStyle w:val="P68B1DB1-Normal44"/>
        <w:spacing w:before="120" w:after="120"/>
        <w:ind w:left="850"/>
        <w:jc w:val="both"/>
        <w:rPr>
          <w:noProof/>
        </w:rPr>
      </w:pPr>
      <w:r>
        <w:rPr>
          <w:noProof/>
        </w:rPr>
        <w:t>Šā lēmuma 2. panta 2. punktā minētās maksājumu daļa</w:t>
      </w:r>
      <w:r>
        <w:rPr>
          <w:noProof/>
        </w:rPr>
        <w:t>s ir šādas:</w:t>
      </w:r>
    </w:p>
    <w:p w14:paraId="59D37537" w14:textId="43336A9A" w:rsidR="00C972CB" w:rsidRDefault="002457F6">
      <w:pPr>
        <w:pStyle w:val="P68B1DB1-Normal44"/>
        <w:numPr>
          <w:ilvl w:val="1"/>
          <w:numId w:val="6"/>
        </w:numPr>
        <w:spacing w:before="120" w:after="120"/>
        <w:jc w:val="both"/>
        <w:rPr>
          <w:noProof/>
        </w:rPr>
      </w:pPr>
      <w:r>
        <w:rPr>
          <w:noProof/>
        </w:rPr>
        <w:t>Pirmā daļa (neatmaksājamais atbalsts):</w:t>
      </w:r>
    </w:p>
    <w:tbl>
      <w:tblPr>
        <w:tblW w:w="9663" w:type="dxa"/>
        <w:tblInd w:w="113" w:type="dxa"/>
        <w:tblLook w:val="04A0" w:firstRow="1" w:lastRow="0" w:firstColumn="1" w:lastColumn="0" w:noHBand="0" w:noVBand="1"/>
      </w:tblPr>
      <w:tblGrid>
        <w:gridCol w:w="1413"/>
        <w:gridCol w:w="3118"/>
        <w:gridCol w:w="1983"/>
        <w:gridCol w:w="3714"/>
      </w:tblGrid>
      <w:tr w:rsidR="00C972CB" w14:paraId="1D626B0F"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3593CA" w14:textId="77777777" w:rsidR="00C972CB" w:rsidRDefault="002457F6">
            <w:pPr>
              <w:pStyle w:val="P68B1DB1-Normal45"/>
              <w:jc w:val="center"/>
              <w:rPr>
                <w:noProof/>
              </w:rPr>
            </w:pPr>
            <w:r>
              <w:rPr>
                <w:noProof/>
              </w:rPr>
              <w:t>Kārtas numurs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73AB9D" w14:textId="77777777" w:rsidR="00C972CB" w:rsidRDefault="002457F6">
            <w:pPr>
              <w:pStyle w:val="P68B1DB1-Normal45"/>
              <w:jc w:val="center"/>
              <w:rPr>
                <w:noProof/>
              </w:rPr>
            </w:pPr>
            <w:r>
              <w:rPr>
                <w:noProof/>
              </w:rPr>
              <w:t>Pasākums (reforma vai investīcija)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B8B7562" w14:textId="77777777" w:rsidR="00C972CB" w:rsidRDefault="002457F6">
            <w:pPr>
              <w:pStyle w:val="P68B1DB1-Normal45"/>
              <w:jc w:val="center"/>
              <w:rPr>
                <w:noProof/>
              </w:rPr>
            </w:pPr>
            <w:r>
              <w:rPr>
                <w:noProof/>
              </w:rPr>
              <w:t>Atskaites punkts/mērķrādītājs</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231827" w14:textId="77777777" w:rsidR="00C972CB" w:rsidRDefault="002457F6">
            <w:pPr>
              <w:pStyle w:val="P68B1DB1-Normal45"/>
              <w:jc w:val="center"/>
              <w:rPr>
                <w:noProof/>
              </w:rPr>
            </w:pPr>
            <w:r>
              <w:rPr>
                <w:noProof/>
              </w:rPr>
              <w:t>Uzvārds</w:t>
            </w:r>
          </w:p>
        </w:tc>
      </w:tr>
      <w:tr w:rsidR="00C972CB" w14:paraId="5C45399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3B1DE96" w14:textId="77777777" w:rsidR="00C972CB" w:rsidRDefault="00C972C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9B50CEA" w14:textId="77777777" w:rsidR="00C972CB" w:rsidRDefault="00C972C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1BD407A" w14:textId="77777777" w:rsidR="00C972CB" w:rsidRDefault="00C972CB">
            <w:pPr>
              <w:rPr>
                <w:b/>
                <w:noProof/>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045F6F80" w14:textId="77777777" w:rsidR="00C972CB" w:rsidRDefault="00C972CB">
            <w:pPr>
              <w:rPr>
                <w:b/>
                <w:noProof/>
              </w:rPr>
            </w:pPr>
          </w:p>
        </w:tc>
      </w:tr>
      <w:tr w:rsidR="00C972CB" w14:paraId="210B8C6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6C06479" w14:textId="77777777" w:rsidR="00C972CB" w:rsidRDefault="002457F6">
            <w:pPr>
              <w:pStyle w:val="P68B1DB1-Normal12"/>
              <w:jc w:val="center"/>
              <w:rPr>
                <w:noProof/>
              </w:rPr>
            </w:pPr>
            <w:r>
              <w:rPr>
                <w:noProof/>
              </w:rPr>
              <w:t>M1C1–51</w:t>
            </w:r>
          </w:p>
        </w:tc>
        <w:tc>
          <w:tcPr>
            <w:tcW w:w="3118" w:type="dxa"/>
            <w:tcBorders>
              <w:top w:val="single" w:sz="4" w:space="0" w:color="auto"/>
              <w:left w:val="nil"/>
              <w:bottom w:val="single" w:sz="4" w:space="0" w:color="auto"/>
              <w:right w:val="single" w:sz="4" w:space="0" w:color="auto"/>
            </w:tcBorders>
            <w:shd w:val="clear" w:color="auto" w:fill="C6EFCE"/>
            <w:noWrap/>
            <w:vAlign w:val="center"/>
            <w:hideMark/>
          </w:tcPr>
          <w:p w14:paraId="7DDB5C61" w14:textId="77777777" w:rsidR="00C972CB" w:rsidRDefault="002457F6">
            <w:pPr>
              <w:pStyle w:val="P68B1DB1-Normal12"/>
              <w:rPr>
                <w:noProof/>
              </w:rPr>
            </w:pPr>
            <w:r>
              <w:rPr>
                <w:noProof/>
              </w:rPr>
              <w:t>Reforma: Valsts pārvaldes reforma</w:t>
            </w:r>
          </w:p>
        </w:tc>
        <w:tc>
          <w:tcPr>
            <w:tcW w:w="1418" w:type="dxa"/>
            <w:tcBorders>
              <w:top w:val="single" w:sz="4" w:space="0" w:color="auto"/>
              <w:left w:val="nil"/>
              <w:bottom w:val="single" w:sz="4" w:space="0" w:color="auto"/>
              <w:right w:val="single" w:sz="4" w:space="0" w:color="auto"/>
            </w:tcBorders>
            <w:shd w:val="clear" w:color="auto" w:fill="C6EFCE"/>
            <w:noWrap/>
            <w:vAlign w:val="center"/>
            <w:hideMark/>
          </w:tcPr>
          <w:p w14:paraId="6374010D" w14:textId="77777777" w:rsidR="00C972CB" w:rsidRDefault="002457F6">
            <w:pPr>
              <w:pStyle w:val="P68B1DB1-Normal12"/>
              <w:rPr>
                <w:noProof/>
              </w:rPr>
            </w:pPr>
            <w:r>
              <w:rPr>
                <w:noProof/>
              </w:rPr>
              <w:t>Starpposma mērķis</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74594DD3" w14:textId="77777777" w:rsidR="00C972CB" w:rsidRDefault="002457F6">
            <w:pPr>
              <w:pStyle w:val="P68B1DB1-Normal12"/>
              <w:rPr>
                <w:noProof/>
              </w:rPr>
            </w:pPr>
            <w:r>
              <w:rPr>
                <w:noProof/>
              </w:rPr>
              <w:t xml:space="preserve">Stājas spēkā primārie tiesību akti par Itālijas </w:t>
            </w:r>
            <w:r>
              <w:rPr>
                <w:noProof/>
              </w:rPr>
              <w:t>atveseļošanas un noturības plāna pārvaldību</w:t>
            </w:r>
          </w:p>
        </w:tc>
      </w:tr>
      <w:tr w:rsidR="00C972CB" w14:paraId="129A27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315B22B" w14:textId="77777777" w:rsidR="00C972CB" w:rsidRDefault="002457F6">
            <w:pPr>
              <w:pStyle w:val="P68B1DB1-Normal12"/>
              <w:jc w:val="center"/>
              <w:rPr>
                <w:noProof/>
              </w:rPr>
            </w:pPr>
            <w:r>
              <w:rPr>
                <w:noProof/>
              </w:rPr>
              <w:t>M1C1–52</w:t>
            </w:r>
          </w:p>
        </w:tc>
        <w:tc>
          <w:tcPr>
            <w:tcW w:w="3118" w:type="dxa"/>
            <w:tcBorders>
              <w:top w:val="nil"/>
              <w:left w:val="nil"/>
              <w:bottom w:val="single" w:sz="4" w:space="0" w:color="auto"/>
              <w:right w:val="single" w:sz="4" w:space="0" w:color="auto"/>
            </w:tcBorders>
            <w:shd w:val="clear" w:color="auto" w:fill="C6EFCE"/>
            <w:noWrap/>
            <w:vAlign w:val="center"/>
            <w:hideMark/>
          </w:tcPr>
          <w:p w14:paraId="0260ED4C" w14:textId="77777777" w:rsidR="00C972CB" w:rsidRDefault="002457F6">
            <w:pPr>
              <w:pStyle w:val="P68B1DB1-Normal12"/>
              <w:rPr>
                <w:noProof/>
              </w:rPr>
            </w:pPr>
            <w:r>
              <w:rPr>
                <w:noProof/>
              </w:rPr>
              <w:t>Reforma: Valsts pārvaldes reforma</w:t>
            </w:r>
          </w:p>
        </w:tc>
        <w:tc>
          <w:tcPr>
            <w:tcW w:w="1418" w:type="dxa"/>
            <w:tcBorders>
              <w:top w:val="nil"/>
              <w:left w:val="nil"/>
              <w:bottom w:val="single" w:sz="4" w:space="0" w:color="auto"/>
              <w:right w:val="single" w:sz="4" w:space="0" w:color="auto"/>
            </w:tcBorders>
            <w:shd w:val="clear" w:color="auto" w:fill="C6EFCE"/>
            <w:noWrap/>
            <w:vAlign w:val="center"/>
            <w:hideMark/>
          </w:tcPr>
          <w:p w14:paraId="5B7C2FA2"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hideMark/>
          </w:tcPr>
          <w:p w14:paraId="463C4E71" w14:textId="77777777" w:rsidR="00C972CB" w:rsidRDefault="002457F6">
            <w:pPr>
              <w:pStyle w:val="P68B1DB1-Normal12"/>
              <w:rPr>
                <w:noProof/>
              </w:rPr>
            </w:pPr>
            <w:r>
              <w:rPr>
                <w:noProof/>
              </w:rPr>
              <w:t>Stājas spēkā primārie tiesību akti par administratīvo procedūru vienkāršošanu Itālijas atveseļošanas un noturības plāna īstenošanai.</w:t>
            </w:r>
          </w:p>
        </w:tc>
      </w:tr>
      <w:tr w:rsidR="00C972CB" w14:paraId="4F3DF7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3EF5F31C" w14:textId="77777777" w:rsidR="00C972CB" w:rsidRDefault="002457F6">
            <w:pPr>
              <w:pStyle w:val="P68B1DB1-Normal12"/>
              <w:jc w:val="center"/>
              <w:rPr>
                <w:noProof/>
              </w:rPr>
            </w:pPr>
            <w:r>
              <w:rPr>
                <w:noProof/>
              </w:rPr>
              <w:t>M1C1–53</w:t>
            </w:r>
          </w:p>
        </w:tc>
        <w:tc>
          <w:tcPr>
            <w:tcW w:w="3118" w:type="dxa"/>
            <w:tcBorders>
              <w:top w:val="nil"/>
              <w:left w:val="nil"/>
              <w:bottom w:val="single" w:sz="4" w:space="0" w:color="auto"/>
              <w:right w:val="single" w:sz="4" w:space="0" w:color="auto"/>
            </w:tcBorders>
            <w:shd w:val="clear" w:color="auto" w:fill="C6EFCE"/>
            <w:noWrap/>
            <w:vAlign w:val="center"/>
            <w:hideMark/>
          </w:tcPr>
          <w:p w14:paraId="7C7C5AE0" w14:textId="77777777" w:rsidR="00C972CB" w:rsidRDefault="002457F6">
            <w:pPr>
              <w:pStyle w:val="P68B1DB1-Normal12"/>
              <w:rPr>
                <w:noProof/>
              </w:rPr>
            </w:pPr>
            <w:r>
              <w:rPr>
                <w:noProof/>
              </w:rPr>
              <w:t>Ieguldījums 1.9: Sniegt tehnisko palīdzību un stiprināt spēju veidošanu Itālijas atveseļošanas un noturības plāna īstenošanai</w:t>
            </w:r>
          </w:p>
        </w:tc>
        <w:tc>
          <w:tcPr>
            <w:tcW w:w="1418" w:type="dxa"/>
            <w:tcBorders>
              <w:top w:val="nil"/>
              <w:left w:val="nil"/>
              <w:bottom w:val="single" w:sz="4" w:space="0" w:color="auto"/>
              <w:right w:val="single" w:sz="4" w:space="0" w:color="auto"/>
            </w:tcBorders>
            <w:shd w:val="clear" w:color="auto" w:fill="C6EFCE"/>
            <w:noWrap/>
            <w:vAlign w:val="center"/>
            <w:hideMark/>
          </w:tcPr>
          <w:p w14:paraId="49B73E2F"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hideMark/>
          </w:tcPr>
          <w:p w14:paraId="15D95FD4" w14:textId="77777777" w:rsidR="00C972CB" w:rsidRDefault="002457F6">
            <w:pPr>
              <w:pStyle w:val="P68B1DB1-Normal12"/>
              <w:rPr>
                <w:noProof/>
              </w:rPr>
            </w:pPr>
            <w:r>
              <w:rPr>
                <w:noProof/>
              </w:rPr>
              <w:t xml:space="preserve">Primāro tiesību aktu stāšanās spēkā, lai sniegtu tehnisko palīdzību un stiprinātu spēju veidošanu Itālijas </w:t>
            </w:r>
            <w:r>
              <w:rPr>
                <w:noProof/>
              </w:rPr>
              <w:t>atveseļošanas un noturības plāna īstenošanai</w:t>
            </w:r>
          </w:p>
        </w:tc>
      </w:tr>
      <w:tr w:rsidR="00C972CB" w14:paraId="507F82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5908C9" w14:textId="77777777" w:rsidR="00C972CB" w:rsidRDefault="002457F6">
            <w:pPr>
              <w:pStyle w:val="P68B1DB1-Normal12"/>
              <w:jc w:val="center"/>
              <w:rPr>
                <w:noProof/>
              </w:rPr>
            </w:pPr>
            <w:r>
              <w:rPr>
                <w:noProof/>
              </w:rPr>
              <w:t>M1C1–69</w:t>
            </w:r>
          </w:p>
        </w:tc>
        <w:tc>
          <w:tcPr>
            <w:tcW w:w="3118" w:type="dxa"/>
            <w:tcBorders>
              <w:top w:val="nil"/>
              <w:left w:val="nil"/>
              <w:bottom w:val="single" w:sz="4" w:space="0" w:color="auto"/>
              <w:right w:val="single" w:sz="4" w:space="0" w:color="auto"/>
            </w:tcBorders>
            <w:shd w:val="clear" w:color="auto" w:fill="C6EFCE"/>
            <w:noWrap/>
            <w:vAlign w:val="center"/>
          </w:tcPr>
          <w:p w14:paraId="4DB2C429"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5E1C3B20"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7C15197B" w14:textId="77777777" w:rsidR="00C972CB" w:rsidRDefault="002457F6">
            <w:pPr>
              <w:pStyle w:val="P68B1DB1-Normal12"/>
              <w:rPr>
                <w:noProof/>
              </w:rPr>
            </w:pPr>
            <w:r>
              <w:rPr>
                <w:noProof/>
              </w:rPr>
              <w:t>Noteikumu par publiskā iepirkuma sistēmas vienkāršošanu stāšanās spēkā</w:t>
            </w:r>
          </w:p>
        </w:tc>
      </w:tr>
      <w:tr w:rsidR="00C972CB" w14:paraId="1D64D9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B4300F" w14:textId="77777777" w:rsidR="00C972CB" w:rsidRDefault="002457F6">
            <w:pPr>
              <w:pStyle w:val="P68B1DB1-Normal12"/>
              <w:jc w:val="center"/>
              <w:rPr>
                <w:noProof/>
              </w:rPr>
            </w:pPr>
            <w:r>
              <w:rPr>
                <w:noProof/>
              </w:rPr>
              <w:t>M1C1–1</w:t>
            </w:r>
          </w:p>
        </w:tc>
        <w:tc>
          <w:tcPr>
            <w:tcW w:w="3118" w:type="dxa"/>
            <w:tcBorders>
              <w:top w:val="nil"/>
              <w:left w:val="nil"/>
              <w:bottom w:val="single" w:sz="4" w:space="0" w:color="auto"/>
              <w:right w:val="single" w:sz="4" w:space="0" w:color="auto"/>
            </w:tcBorders>
            <w:shd w:val="clear" w:color="auto" w:fill="C6EFCE"/>
            <w:noWrap/>
            <w:vAlign w:val="center"/>
          </w:tcPr>
          <w:p w14:paraId="09A47762" w14:textId="77777777" w:rsidR="00C972CB" w:rsidRDefault="002457F6">
            <w:pPr>
              <w:pStyle w:val="P68B1DB1-Normal12"/>
              <w:rPr>
                <w:noProof/>
              </w:rPr>
            </w:pPr>
            <w:r>
              <w:rPr>
                <w:noProof/>
              </w:rPr>
              <w:t>Reforma. IKT iepirkums</w:t>
            </w:r>
          </w:p>
        </w:tc>
        <w:tc>
          <w:tcPr>
            <w:tcW w:w="1418" w:type="dxa"/>
            <w:tcBorders>
              <w:top w:val="nil"/>
              <w:left w:val="nil"/>
              <w:bottom w:val="single" w:sz="4" w:space="0" w:color="auto"/>
              <w:right w:val="single" w:sz="4" w:space="0" w:color="auto"/>
            </w:tcBorders>
            <w:shd w:val="clear" w:color="auto" w:fill="C6EFCE"/>
            <w:noWrap/>
            <w:vAlign w:val="center"/>
          </w:tcPr>
          <w:p w14:paraId="0584AC78"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4DD91E1B" w14:textId="77777777" w:rsidR="00C972CB" w:rsidRDefault="002457F6">
            <w:pPr>
              <w:pStyle w:val="P68B1DB1-Normal12"/>
              <w:rPr>
                <w:noProof/>
              </w:rPr>
            </w:pPr>
            <w:r>
              <w:rPr>
                <w:noProof/>
              </w:rPr>
              <w:t xml:space="preserve">Stājas </w:t>
            </w:r>
            <w:r>
              <w:rPr>
                <w:noProof/>
              </w:rPr>
              <w:t>spēkā dekrēti par reformu 1.1 “IKT iepirkums”</w:t>
            </w:r>
          </w:p>
        </w:tc>
      </w:tr>
      <w:tr w:rsidR="00C972CB" w14:paraId="445B02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FC18EC" w14:textId="77777777" w:rsidR="00C972CB" w:rsidRDefault="002457F6">
            <w:pPr>
              <w:pStyle w:val="P68B1DB1-Normal12"/>
              <w:jc w:val="center"/>
              <w:rPr>
                <w:noProof/>
              </w:rPr>
            </w:pPr>
            <w:r>
              <w:rPr>
                <w:noProof/>
              </w:rPr>
              <w:t>M1C1–2</w:t>
            </w:r>
          </w:p>
        </w:tc>
        <w:tc>
          <w:tcPr>
            <w:tcW w:w="3118" w:type="dxa"/>
            <w:tcBorders>
              <w:top w:val="nil"/>
              <w:left w:val="nil"/>
              <w:bottom w:val="single" w:sz="4" w:space="0" w:color="auto"/>
              <w:right w:val="single" w:sz="4" w:space="0" w:color="auto"/>
            </w:tcBorders>
            <w:shd w:val="clear" w:color="auto" w:fill="C6EFCE"/>
            <w:noWrap/>
            <w:vAlign w:val="center"/>
          </w:tcPr>
          <w:p w14:paraId="2254EFE0" w14:textId="77777777" w:rsidR="00C972CB" w:rsidRDefault="002457F6">
            <w:pPr>
              <w:pStyle w:val="P68B1DB1-Normal12"/>
              <w:rPr>
                <w:noProof/>
              </w:rPr>
            </w:pPr>
            <w:r>
              <w:rPr>
                <w:noProof/>
              </w:rPr>
              <w:t>Reforma: Mākoņdatošana vispirms un sadarbspēja</w:t>
            </w:r>
          </w:p>
        </w:tc>
        <w:tc>
          <w:tcPr>
            <w:tcW w:w="1418" w:type="dxa"/>
            <w:tcBorders>
              <w:top w:val="nil"/>
              <w:left w:val="nil"/>
              <w:bottom w:val="single" w:sz="4" w:space="0" w:color="auto"/>
              <w:right w:val="single" w:sz="4" w:space="0" w:color="auto"/>
            </w:tcBorders>
            <w:shd w:val="clear" w:color="auto" w:fill="C6EFCE"/>
            <w:noWrap/>
            <w:vAlign w:val="center"/>
          </w:tcPr>
          <w:p w14:paraId="2F832B8F"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562AD5DA" w14:textId="77777777" w:rsidR="00C972CB" w:rsidRDefault="002457F6">
            <w:pPr>
              <w:pStyle w:val="P68B1DB1-Normal12"/>
              <w:rPr>
                <w:noProof/>
              </w:rPr>
            </w:pPr>
            <w:r>
              <w:rPr>
                <w:noProof/>
              </w:rPr>
              <w:t>Stājas spēkā dekrēti par 1.3. reformu “Mākonis vispirms un sadarbspēja”</w:t>
            </w:r>
          </w:p>
        </w:tc>
      </w:tr>
      <w:tr w:rsidR="00C972CB" w14:paraId="04B4E2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3682F" w14:textId="77777777" w:rsidR="00C972CB" w:rsidRDefault="002457F6">
            <w:pPr>
              <w:pStyle w:val="P68B1DB1-Normal12"/>
              <w:jc w:val="center"/>
              <w:rPr>
                <w:noProof/>
              </w:rPr>
            </w:pPr>
            <w:r>
              <w:rPr>
                <w:noProof/>
              </w:rPr>
              <w:t>M1C1–29</w:t>
            </w:r>
          </w:p>
        </w:tc>
        <w:tc>
          <w:tcPr>
            <w:tcW w:w="3118" w:type="dxa"/>
            <w:tcBorders>
              <w:top w:val="nil"/>
              <w:left w:val="nil"/>
              <w:bottom w:val="single" w:sz="4" w:space="0" w:color="auto"/>
              <w:right w:val="single" w:sz="4" w:space="0" w:color="auto"/>
            </w:tcBorders>
            <w:shd w:val="clear" w:color="auto" w:fill="C6EFCE"/>
            <w:noWrap/>
            <w:vAlign w:val="center"/>
          </w:tcPr>
          <w:p w14:paraId="5070BFB8" w14:textId="77777777" w:rsidR="00C972CB" w:rsidRDefault="002457F6">
            <w:pPr>
              <w:pStyle w:val="P68B1DB1-Normal12"/>
              <w:rPr>
                <w:noProof/>
              </w:rPr>
            </w:pPr>
            <w:r>
              <w:rPr>
                <w:noProof/>
              </w:rPr>
              <w:t>Reforma: Civiltiesību reforma</w:t>
            </w:r>
          </w:p>
        </w:tc>
        <w:tc>
          <w:tcPr>
            <w:tcW w:w="1418" w:type="dxa"/>
            <w:tcBorders>
              <w:top w:val="nil"/>
              <w:left w:val="nil"/>
              <w:bottom w:val="single" w:sz="4" w:space="0" w:color="auto"/>
              <w:right w:val="single" w:sz="4" w:space="0" w:color="auto"/>
            </w:tcBorders>
            <w:shd w:val="clear" w:color="auto" w:fill="C6EFCE"/>
            <w:noWrap/>
            <w:vAlign w:val="center"/>
          </w:tcPr>
          <w:p w14:paraId="1077DE5F"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619AA4E5" w14:textId="77777777" w:rsidR="00C972CB" w:rsidRDefault="002457F6">
            <w:pPr>
              <w:pStyle w:val="P68B1DB1-Normal12"/>
              <w:rPr>
                <w:noProof/>
              </w:rPr>
            </w:pPr>
            <w:r>
              <w:rPr>
                <w:noProof/>
              </w:rPr>
              <w:t>Civiltiesību reformai paredzēto tiesību aktu stāšanās spēkā</w:t>
            </w:r>
          </w:p>
        </w:tc>
      </w:tr>
      <w:tr w:rsidR="00C972CB" w14:paraId="035B9C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6F69C3" w14:textId="77777777" w:rsidR="00C972CB" w:rsidRDefault="002457F6">
            <w:pPr>
              <w:pStyle w:val="P68B1DB1-Normal12"/>
              <w:jc w:val="center"/>
              <w:rPr>
                <w:noProof/>
              </w:rPr>
            </w:pPr>
            <w:r>
              <w:rPr>
                <w:noProof/>
              </w:rPr>
              <w:t>M1C1–30</w:t>
            </w:r>
          </w:p>
        </w:tc>
        <w:tc>
          <w:tcPr>
            <w:tcW w:w="3118" w:type="dxa"/>
            <w:tcBorders>
              <w:top w:val="nil"/>
              <w:left w:val="nil"/>
              <w:bottom w:val="single" w:sz="4" w:space="0" w:color="auto"/>
              <w:right w:val="single" w:sz="4" w:space="0" w:color="auto"/>
            </w:tcBorders>
            <w:shd w:val="clear" w:color="auto" w:fill="C6EFCE"/>
            <w:noWrap/>
            <w:vAlign w:val="center"/>
          </w:tcPr>
          <w:p w14:paraId="0F3929E5" w14:textId="77777777" w:rsidR="00C972CB" w:rsidRDefault="002457F6">
            <w:pPr>
              <w:pStyle w:val="P68B1DB1-Normal12"/>
              <w:rPr>
                <w:noProof/>
              </w:rPr>
            </w:pPr>
            <w:r>
              <w:rPr>
                <w:noProof/>
              </w:rPr>
              <w:t>Reforma: Krimināltiesību reforma</w:t>
            </w:r>
          </w:p>
        </w:tc>
        <w:tc>
          <w:tcPr>
            <w:tcW w:w="1418" w:type="dxa"/>
            <w:tcBorders>
              <w:top w:val="nil"/>
              <w:left w:val="nil"/>
              <w:bottom w:val="single" w:sz="4" w:space="0" w:color="auto"/>
              <w:right w:val="single" w:sz="4" w:space="0" w:color="auto"/>
            </w:tcBorders>
            <w:shd w:val="clear" w:color="auto" w:fill="C6EFCE"/>
            <w:noWrap/>
            <w:vAlign w:val="center"/>
          </w:tcPr>
          <w:p w14:paraId="1F08F7AE"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36129E9C" w14:textId="77777777" w:rsidR="00C972CB" w:rsidRDefault="002457F6">
            <w:pPr>
              <w:pStyle w:val="P68B1DB1-Normal12"/>
              <w:rPr>
                <w:noProof/>
              </w:rPr>
            </w:pPr>
            <w:r>
              <w:rPr>
                <w:noProof/>
              </w:rPr>
              <w:t>Krimināltiesību reformas veicinošo tiesību aktu stāšanās spēkā</w:t>
            </w:r>
          </w:p>
        </w:tc>
      </w:tr>
      <w:tr w:rsidR="00C972CB" w14:paraId="0F4A21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F9DB" w14:textId="77777777" w:rsidR="00C972CB" w:rsidRDefault="002457F6">
            <w:pPr>
              <w:pStyle w:val="P68B1DB1-Normal12"/>
              <w:jc w:val="center"/>
              <w:rPr>
                <w:noProof/>
              </w:rPr>
            </w:pPr>
            <w:r>
              <w:rPr>
                <w:noProof/>
              </w:rPr>
              <w:t>M1C1–31</w:t>
            </w:r>
          </w:p>
        </w:tc>
        <w:tc>
          <w:tcPr>
            <w:tcW w:w="3118" w:type="dxa"/>
            <w:tcBorders>
              <w:top w:val="nil"/>
              <w:left w:val="nil"/>
              <w:bottom w:val="single" w:sz="4" w:space="0" w:color="auto"/>
              <w:right w:val="single" w:sz="4" w:space="0" w:color="auto"/>
            </w:tcBorders>
            <w:shd w:val="clear" w:color="auto" w:fill="C6EFCE"/>
            <w:noWrap/>
            <w:vAlign w:val="center"/>
          </w:tcPr>
          <w:p w14:paraId="76FC324D" w14:textId="77777777" w:rsidR="00C972CB" w:rsidRDefault="002457F6">
            <w:pPr>
              <w:pStyle w:val="P68B1DB1-Normal12"/>
              <w:rPr>
                <w:noProof/>
              </w:rPr>
            </w:pPr>
            <w:r>
              <w:rPr>
                <w:noProof/>
              </w:rPr>
              <w:t>Reforma. Maksātnespējas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4422BBF8"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0391E6A6" w14:textId="77777777" w:rsidR="00C972CB" w:rsidRDefault="002457F6">
            <w:pPr>
              <w:pStyle w:val="P68B1DB1-Normal12"/>
              <w:rPr>
                <w:noProof/>
              </w:rPr>
            </w:pPr>
            <w:r>
              <w:rPr>
                <w:noProof/>
              </w:rPr>
              <w:t>Mak</w:t>
            </w:r>
            <w:r>
              <w:rPr>
                <w:noProof/>
              </w:rPr>
              <w:t>sātnespējas reformas regulējuma veicinošo tiesību aktu stāšanās spēkā</w:t>
            </w:r>
          </w:p>
        </w:tc>
      </w:tr>
      <w:tr w:rsidR="00C972CB" w14:paraId="6B55D8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FBE776" w14:textId="77777777" w:rsidR="00C972CB" w:rsidRDefault="002457F6">
            <w:pPr>
              <w:pStyle w:val="P68B1DB1-Normal12"/>
              <w:jc w:val="center"/>
              <w:rPr>
                <w:noProof/>
              </w:rPr>
            </w:pPr>
            <w:r>
              <w:rPr>
                <w:noProof/>
              </w:rPr>
              <w:t>M1C1–32</w:t>
            </w:r>
          </w:p>
        </w:tc>
        <w:tc>
          <w:tcPr>
            <w:tcW w:w="3118" w:type="dxa"/>
            <w:tcBorders>
              <w:top w:val="nil"/>
              <w:left w:val="nil"/>
              <w:bottom w:val="single" w:sz="4" w:space="0" w:color="auto"/>
              <w:right w:val="single" w:sz="4" w:space="0" w:color="auto"/>
            </w:tcBorders>
            <w:shd w:val="clear" w:color="auto" w:fill="C6EFCE"/>
            <w:noWrap/>
            <w:vAlign w:val="center"/>
          </w:tcPr>
          <w:p w14:paraId="3FEB5104" w14:textId="77777777" w:rsidR="00C972CB" w:rsidRDefault="002457F6">
            <w:pPr>
              <w:pStyle w:val="P68B1DB1-Normal12"/>
              <w:rPr>
                <w:noProof/>
              </w:rPr>
            </w:pPr>
            <w:r>
              <w:rPr>
                <w:noProof/>
              </w:rPr>
              <w:t>Ieguldījums 1.8: Civillietu, krimināltiesu un administratīvo tiesu darbā pieņemšanas procedūras</w:t>
            </w:r>
          </w:p>
        </w:tc>
        <w:tc>
          <w:tcPr>
            <w:tcW w:w="1418" w:type="dxa"/>
            <w:tcBorders>
              <w:top w:val="nil"/>
              <w:left w:val="nil"/>
              <w:bottom w:val="single" w:sz="4" w:space="0" w:color="auto"/>
              <w:right w:val="single" w:sz="4" w:space="0" w:color="auto"/>
            </w:tcBorders>
            <w:shd w:val="clear" w:color="auto" w:fill="C6EFCE"/>
            <w:noWrap/>
            <w:vAlign w:val="center"/>
          </w:tcPr>
          <w:p w14:paraId="418FD44E"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45D0839C" w14:textId="77777777" w:rsidR="00C972CB" w:rsidRDefault="002457F6">
            <w:pPr>
              <w:pStyle w:val="P68B1DB1-Normal12"/>
              <w:rPr>
                <w:noProof/>
              </w:rPr>
            </w:pPr>
            <w:r>
              <w:rPr>
                <w:noProof/>
              </w:rPr>
              <w:t xml:space="preserve">Stājas spēkā īpaši tiesību akti, kas reglamentē nacionālo </w:t>
            </w:r>
            <w:r>
              <w:rPr>
                <w:noProof/>
              </w:rPr>
              <w:t>atveseļošanas un noturības plānu pieņemšanu darbā</w:t>
            </w:r>
          </w:p>
        </w:tc>
      </w:tr>
      <w:tr w:rsidR="00C972CB" w14:paraId="5FA8A4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56149F" w14:textId="77777777" w:rsidR="00C972CB" w:rsidRDefault="002457F6">
            <w:pPr>
              <w:pStyle w:val="P68B1DB1-Normal12"/>
              <w:jc w:val="center"/>
              <w:rPr>
                <w:noProof/>
              </w:rPr>
            </w:pPr>
            <w:r>
              <w:rPr>
                <w:noProof/>
              </w:rPr>
              <w:t>M1C1–54</w:t>
            </w:r>
          </w:p>
        </w:tc>
        <w:tc>
          <w:tcPr>
            <w:tcW w:w="3118" w:type="dxa"/>
            <w:tcBorders>
              <w:top w:val="nil"/>
              <w:left w:val="nil"/>
              <w:bottom w:val="single" w:sz="4" w:space="0" w:color="auto"/>
              <w:right w:val="single" w:sz="4" w:space="0" w:color="auto"/>
            </w:tcBorders>
            <w:shd w:val="clear" w:color="auto" w:fill="C6EFCE"/>
            <w:noWrap/>
            <w:vAlign w:val="center"/>
          </w:tcPr>
          <w:p w14:paraId="1C61FDE4" w14:textId="77777777" w:rsidR="00C972CB" w:rsidRDefault="002457F6">
            <w:pPr>
              <w:pStyle w:val="P68B1DB1-Normal12"/>
              <w:rPr>
                <w:noProof/>
              </w:rPr>
            </w:pPr>
            <w:r>
              <w:rPr>
                <w:noProof/>
              </w:rPr>
              <w:t>Ieguldījums 1.9: Sniegt tehnisko palīdzību un stiprināt spēju veidošanu Itālijas atveseļošanas un noturības plāna īstenošanai</w:t>
            </w:r>
          </w:p>
        </w:tc>
        <w:tc>
          <w:tcPr>
            <w:tcW w:w="1418" w:type="dxa"/>
            <w:tcBorders>
              <w:top w:val="nil"/>
              <w:left w:val="nil"/>
              <w:bottom w:val="single" w:sz="4" w:space="0" w:color="auto"/>
              <w:right w:val="single" w:sz="4" w:space="0" w:color="auto"/>
            </w:tcBorders>
            <w:shd w:val="clear" w:color="auto" w:fill="C6EFCE"/>
            <w:noWrap/>
            <w:vAlign w:val="center"/>
          </w:tcPr>
          <w:p w14:paraId="7655DD68" w14:textId="77777777" w:rsidR="00C972CB" w:rsidRDefault="002457F6">
            <w:pPr>
              <w:pStyle w:val="P68B1DB1-Normal12"/>
              <w:rPr>
                <w:noProof/>
              </w:rPr>
            </w:pPr>
            <w:r>
              <w:rPr>
                <w:noProof/>
              </w:rPr>
              <w:t>Mērķa</w:t>
            </w:r>
          </w:p>
        </w:tc>
        <w:tc>
          <w:tcPr>
            <w:tcW w:w="3714" w:type="dxa"/>
            <w:tcBorders>
              <w:top w:val="nil"/>
              <w:left w:val="nil"/>
              <w:bottom w:val="single" w:sz="4" w:space="0" w:color="auto"/>
              <w:right w:val="single" w:sz="4" w:space="0" w:color="auto"/>
            </w:tcBorders>
            <w:shd w:val="clear" w:color="auto" w:fill="C6EFCE"/>
            <w:noWrap/>
            <w:vAlign w:val="center"/>
          </w:tcPr>
          <w:p w14:paraId="571BC6DB" w14:textId="77777777" w:rsidR="00C972CB" w:rsidRDefault="002457F6">
            <w:pPr>
              <w:pStyle w:val="P68B1DB1-Normal12"/>
              <w:rPr>
                <w:noProof/>
              </w:rPr>
            </w:pPr>
            <w:r>
              <w:rPr>
                <w:noProof/>
              </w:rPr>
              <w:t>Pabeigta ekspertu pieņemšana darbā Itālijas atveseļošanas un notu</w:t>
            </w:r>
            <w:r>
              <w:rPr>
                <w:noProof/>
              </w:rPr>
              <w:t>rības plāna īstenošanai</w:t>
            </w:r>
          </w:p>
        </w:tc>
      </w:tr>
      <w:tr w:rsidR="00C972CB" w14:paraId="73F120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CC5BCF" w14:textId="77777777" w:rsidR="00C972CB" w:rsidRDefault="002457F6">
            <w:pPr>
              <w:pStyle w:val="P68B1DB1-Normal12"/>
              <w:jc w:val="center"/>
              <w:rPr>
                <w:noProof/>
              </w:rPr>
            </w:pPr>
            <w:r>
              <w:rPr>
                <w:noProof/>
              </w:rPr>
              <w:t>M1C1–55</w:t>
            </w:r>
          </w:p>
        </w:tc>
        <w:tc>
          <w:tcPr>
            <w:tcW w:w="3118" w:type="dxa"/>
            <w:tcBorders>
              <w:top w:val="nil"/>
              <w:left w:val="nil"/>
              <w:bottom w:val="single" w:sz="4" w:space="0" w:color="auto"/>
              <w:right w:val="single" w:sz="4" w:space="0" w:color="auto"/>
            </w:tcBorders>
            <w:shd w:val="clear" w:color="auto" w:fill="C6EFCE"/>
            <w:noWrap/>
            <w:vAlign w:val="center"/>
          </w:tcPr>
          <w:p w14:paraId="31EAFF20" w14:textId="77777777" w:rsidR="00C972CB" w:rsidRDefault="002457F6">
            <w:pPr>
              <w:pStyle w:val="P68B1DB1-Normal12"/>
              <w:rPr>
                <w:noProof/>
              </w:rPr>
            </w:pPr>
            <w:r>
              <w:rPr>
                <w:noProof/>
              </w:rPr>
              <w:t>Reforma: Valsts pārvaldes reforma</w:t>
            </w:r>
          </w:p>
        </w:tc>
        <w:tc>
          <w:tcPr>
            <w:tcW w:w="1418" w:type="dxa"/>
            <w:tcBorders>
              <w:top w:val="nil"/>
              <w:left w:val="nil"/>
              <w:bottom w:val="single" w:sz="4" w:space="0" w:color="auto"/>
              <w:right w:val="single" w:sz="4" w:space="0" w:color="auto"/>
            </w:tcBorders>
            <w:shd w:val="clear" w:color="auto" w:fill="C6EFCE"/>
            <w:noWrap/>
            <w:vAlign w:val="center"/>
          </w:tcPr>
          <w:p w14:paraId="1F4A29D2"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7B3323CB" w14:textId="77777777" w:rsidR="00C972CB" w:rsidRDefault="002457F6">
            <w:pPr>
              <w:pStyle w:val="P68B1DB1-Normal12"/>
              <w:rPr>
                <w:noProof/>
              </w:rPr>
            </w:pPr>
            <w:r>
              <w:rPr>
                <w:noProof/>
              </w:rPr>
              <w:t>Itālijas atveseļošanas un noturības plānam piemērotās metodikas attiecināšana arī uz valsts budžetu, lai palielinātu investīciju apguvi</w:t>
            </w:r>
          </w:p>
        </w:tc>
      </w:tr>
      <w:tr w:rsidR="00C972CB" w14:paraId="3925E2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667AFF" w14:textId="77777777" w:rsidR="00C972CB" w:rsidRDefault="002457F6">
            <w:pPr>
              <w:pStyle w:val="P68B1DB1-Normal12"/>
              <w:jc w:val="center"/>
              <w:rPr>
                <w:noProof/>
              </w:rPr>
            </w:pPr>
            <w:r>
              <w:rPr>
                <w:noProof/>
              </w:rPr>
              <w:t>M1C1–68</w:t>
            </w:r>
          </w:p>
        </w:tc>
        <w:tc>
          <w:tcPr>
            <w:tcW w:w="3118" w:type="dxa"/>
            <w:tcBorders>
              <w:top w:val="nil"/>
              <w:left w:val="nil"/>
              <w:bottom w:val="single" w:sz="4" w:space="0" w:color="auto"/>
              <w:right w:val="single" w:sz="4" w:space="0" w:color="auto"/>
            </w:tcBorders>
            <w:shd w:val="clear" w:color="auto" w:fill="C6EFCE"/>
            <w:noWrap/>
            <w:vAlign w:val="center"/>
          </w:tcPr>
          <w:p w14:paraId="6A894301" w14:textId="77777777" w:rsidR="00C972CB" w:rsidRDefault="002457F6">
            <w:pPr>
              <w:pStyle w:val="P68B1DB1-Normal12"/>
              <w:rPr>
                <w:noProof/>
              </w:rPr>
            </w:pPr>
            <w:r>
              <w:rPr>
                <w:noProof/>
              </w:rPr>
              <w:t xml:space="preserve">Reforma: Valsts pārvaldes </w:t>
            </w:r>
            <w:r>
              <w:rPr>
                <w:noProof/>
              </w:rPr>
              <w:t>reforma</w:t>
            </w:r>
          </w:p>
        </w:tc>
        <w:tc>
          <w:tcPr>
            <w:tcW w:w="1418" w:type="dxa"/>
            <w:tcBorders>
              <w:top w:val="nil"/>
              <w:left w:val="nil"/>
              <w:bottom w:val="single" w:sz="4" w:space="0" w:color="auto"/>
              <w:right w:val="single" w:sz="4" w:space="0" w:color="auto"/>
            </w:tcBorders>
            <w:shd w:val="clear" w:color="auto" w:fill="C6EFCE"/>
            <w:noWrap/>
            <w:vAlign w:val="center"/>
          </w:tcPr>
          <w:p w14:paraId="2EDC6A4F"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58E73695" w14:textId="77777777" w:rsidR="00C972CB" w:rsidRDefault="002457F6">
            <w:pPr>
              <w:pStyle w:val="P68B1DB1-Normal12"/>
              <w:rPr>
                <w:noProof/>
              </w:rPr>
            </w:pPr>
            <w:r>
              <w:rPr>
                <w:noProof/>
              </w:rPr>
              <w:t>Revīzijas un kontroles repozitorija sistēma: informācija ANM īstenošanas uzraudzībai</w:t>
            </w:r>
          </w:p>
        </w:tc>
      </w:tr>
      <w:tr w:rsidR="00C972CB" w14:paraId="401673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7B7351" w14:textId="77777777" w:rsidR="00C972CB" w:rsidRDefault="002457F6">
            <w:pPr>
              <w:pStyle w:val="P68B1DB1-Normal12"/>
              <w:jc w:val="center"/>
              <w:rPr>
                <w:noProof/>
              </w:rPr>
            </w:pPr>
            <w:r>
              <w:rPr>
                <w:noProof/>
              </w:rPr>
              <w:t>M1C1–71</w:t>
            </w:r>
          </w:p>
        </w:tc>
        <w:tc>
          <w:tcPr>
            <w:tcW w:w="3118" w:type="dxa"/>
            <w:tcBorders>
              <w:top w:val="nil"/>
              <w:left w:val="nil"/>
              <w:bottom w:val="single" w:sz="4" w:space="0" w:color="auto"/>
              <w:right w:val="single" w:sz="4" w:space="0" w:color="auto"/>
            </w:tcBorders>
            <w:shd w:val="clear" w:color="auto" w:fill="C6EFCE"/>
            <w:noWrap/>
            <w:vAlign w:val="center"/>
          </w:tcPr>
          <w:p w14:paraId="0403F340"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26978570"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1DE6F374" w14:textId="77777777" w:rsidR="00C972CB" w:rsidRDefault="002457F6">
            <w:pPr>
              <w:pStyle w:val="P68B1DB1-Normal12"/>
              <w:rPr>
                <w:noProof/>
              </w:rPr>
            </w:pPr>
            <w:r>
              <w:rPr>
                <w:noProof/>
              </w:rPr>
              <w:t>Stājas spēkā visi publiskā iepirkuma sistēmai vajadzīgie tiesī</w:t>
            </w:r>
            <w:r>
              <w:rPr>
                <w:noProof/>
              </w:rPr>
              <w:t>bu akti, regulas un īstenošanas akti (tostarp sekundārie tiesību akti)</w:t>
            </w:r>
          </w:p>
        </w:tc>
      </w:tr>
      <w:tr w:rsidR="00C972CB" w14:paraId="5B4CC0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6702FB" w14:textId="77777777" w:rsidR="00C972CB" w:rsidRDefault="002457F6">
            <w:pPr>
              <w:pStyle w:val="P68B1DB1-Normal12"/>
              <w:jc w:val="center"/>
              <w:rPr>
                <w:noProof/>
              </w:rPr>
            </w:pPr>
            <w:r>
              <w:rPr>
                <w:noProof/>
              </w:rPr>
              <w:t>M1C1–100</w:t>
            </w:r>
          </w:p>
        </w:tc>
        <w:tc>
          <w:tcPr>
            <w:tcW w:w="3118" w:type="dxa"/>
            <w:tcBorders>
              <w:top w:val="nil"/>
              <w:left w:val="nil"/>
              <w:bottom w:val="single" w:sz="4" w:space="0" w:color="auto"/>
              <w:right w:val="single" w:sz="4" w:space="0" w:color="auto"/>
            </w:tcBorders>
            <w:shd w:val="clear" w:color="auto" w:fill="C6EFCE"/>
            <w:noWrap/>
            <w:vAlign w:val="center"/>
          </w:tcPr>
          <w:p w14:paraId="62EA2508" w14:textId="77777777" w:rsidR="00C972CB" w:rsidRDefault="002457F6">
            <w:pPr>
              <w:pStyle w:val="P68B1DB1-Normal12"/>
              <w:rPr>
                <w:noProof/>
              </w:rPr>
            </w:pPr>
            <w:r>
              <w:rPr>
                <w:noProof/>
              </w:rPr>
              <w:t>Reforma Nr. 1.13: Izdevumu pārskatīšanas sistēmas reforma</w:t>
            </w:r>
          </w:p>
        </w:tc>
        <w:tc>
          <w:tcPr>
            <w:tcW w:w="1418" w:type="dxa"/>
            <w:tcBorders>
              <w:top w:val="nil"/>
              <w:left w:val="nil"/>
              <w:bottom w:val="single" w:sz="4" w:space="0" w:color="auto"/>
              <w:right w:val="single" w:sz="4" w:space="0" w:color="auto"/>
            </w:tcBorders>
            <w:shd w:val="clear" w:color="auto" w:fill="C6EFCE"/>
            <w:noWrap/>
            <w:vAlign w:val="center"/>
          </w:tcPr>
          <w:p w14:paraId="4B9B998B"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2B5E4A15" w14:textId="77777777" w:rsidR="00C972CB" w:rsidRDefault="002457F6">
            <w:pPr>
              <w:pStyle w:val="P68B1DB1-Normal12"/>
              <w:rPr>
                <w:noProof/>
              </w:rPr>
            </w:pPr>
            <w:r>
              <w:rPr>
                <w:noProof/>
              </w:rPr>
              <w:t xml:space="preserve">Tādu tiesību aktu stāšanās spēkā, kas uzlabo izdevumu pārskatīšanas efektivitāti — Finanšu </w:t>
            </w:r>
            <w:r>
              <w:rPr>
                <w:noProof/>
              </w:rPr>
              <w:t>ministrijas stiprināšana</w:t>
            </w:r>
          </w:p>
        </w:tc>
      </w:tr>
      <w:tr w:rsidR="00C972CB" w14:paraId="47B709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79238F" w14:textId="77777777" w:rsidR="00C972CB" w:rsidRDefault="002457F6">
            <w:pPr>
              <w:pStyle w:val="P68B1DB1-Normal12"/>
              <w:jc w:val="center"/>
              <w:rPr>
                <w:noProof/>
              </w:rPr>
            </w:pPr>
            <w:r>
              <w:rPr>
                <w:noProof/>
              </w:rPr>
              <w:t>M1C1–101</w:t>
            </w:r>
          </w:p>
        </w:tc>
        <w:tc>
          <w:tcPr>
            <w:tcW w:w="3118" w:type="dxa"/>
            <w:tcBorders>
              <w:top w:val="nil"/>
              <w:left w:val="nil"/>
              <w:bottom w:val="single" w:sz="4" w:space="0" w:color="auto"/>
              <w:right w:val="single" w:sz="4" w:space="0" w:color="auto"/>
            </w:tcBorders>
            <w:shd w:val="clear" w:color="auto" w:fill="C6EFCE"/>
            <w:noWrap/>
            <w:vAlign w:val="center"/>
          </w:tcPr>
          <w:p w14:paraId="0455EE88" w14:textId="77777777" w:rsidR="00C972CB" w:rsidRDefault="002457F6">
            <w:pPr>
              <w:pStyle w:val="P68B1DB1-Normal12"/>
              <w:rPr>
                <w:noProof/>
              </w:rPr>
            </w:pPr>
            <w:r>
              <w:rPr>
                <w:noProof/>
              </w:rPr>
              <w:t xml:space="preserve">Reforma: Nodokļu administrācijas reforma </w:t>
            </w:r>
          </w:p>
        </w:tc>
        <w:tc>
          <w:tcPr>
            <w:tcW w:w="1418" w:type="dxa"/>
            <w:tcBorders>
              <w:top w:val="nil"/>
              <w:left w:val="nil"/>
              <w:bottom w:val="single" w:sz="4" w:space="0" w:color="auto"/>
              <w:right w:val="single" w:sz="4" w:space="0" w:color="auto"/>
            </w:tcBorders>
            <w:shd w:val="clear" w:color="auto" w:fill="C6EFCE"/>
            <w:noWrap/>
            <w:vAlign w:val="center"/>
          </w:tcPr>
          <w:p w14:paraId="6FAC991E"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4B7AF933" w14:textId="77777777" w:rsidR="00C972CB" w:rsidRDefault="002457F6">
            <w:pPr>
              <w:pStyle w:val="P68B1DB1-Normal12"/>
              <w:rPr>
                <w:noProof/>
              </w:rPr>
            </w:pPr>
            <w:r>
              <w:rPr>
                <w:noProof/>
              </w:rPr>
              <w:t>Pieņemt pārskatu par iespējamiem pasākumiem, lai samazinātu izvairīšanos no nodokļu maksāšanas</w:t>
            </w:r>
          </w:p>
        </w:tc>
      </w:tr>
      <w:tr w:rsidR="00C972CB" w14:paraId="1A95A7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6088A" w14:textId="77777777" w:rsidR="00C972CB" w:rsidRDefault="002457F6">
            <w:pPr>
              <w:pStyle w:val="P68B1DB1-Normal12"/>
              <w:jc w:val="center"/>
              <w:rPr>
                <w:noProof/>
              </w:rPr>
            </w:pPr>
            <w:r>
              <w:rPr>
                <w:noProof/>
              </w:rPr>
              <w:t>M1C2–1</w:t>
            </w:r>
          </w:p>
        </w:tc>
        <w:tc>
          <w:tcPr>
            <w:tcW w:w="3118" w:type="dxa"/>
            <w:tcBorders>
              <w:top w:val="nil"/>
              <w:left w:val="nil"/>
              <w:bottom w:val="single" w:sz="4" w:space="0" w:color="auto"/>
              <w:right w:val="single" w:sz="4" w:space="0" w:color="auto"/>
            </w:tcBorders>
            <w:shd w:val="clear" w:color="auto" w:fill="C6EFCE"/>
            <w:noWrap/>
            <w:vAlign w:val="center"/>
          </w:tcPr>
          <w:p w14:paraId="20B27751" w14:textId="77777777" w:rsidR="00C972CB" w:rsidRDefault="002457F6">
            <w:pPr>
              <w:pStyle w:val="P68B1DB1-Normal12"/>
              <w:rPr>
                <w:noProof/>
              </w:rPr>
            </w:pPr>
            <w:r>
              <w:rPr>
                <w:noProof/>
              </w:rPr>
              <w:t>Ieguldījums: Pāreja 4.0</w:t>
            </w:r>
          </w:p>
        </w:tc>
        <w:tc>
          <w:tcPr>
            <w:tcW w:w="1418" w:type="dxa"/>
            <w:tcBorders>
              <w:top w:val="nil"/>
              <w:left w:val="nil"/>
              <w:bottom w:val="single" w:sz="4" w:space="0" w:color="auto"/>
              <w:right w:val="single" w:sz="4" w:space="0" w:color="auto"/>
            </w:tcBorders>
            <w:shd w:val="clear" w:color="auto" w:fill="C6EFCE"/>
            <w:noWrap/>
            <w:vAlign w:val="center"/>
          </w:tcPr>
          <w:p w14:paraId="79982874"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5D54D5A9" w14:textId="77777777" w:rsidR="00C972CB" w:rsidRDefault="002457F6">
            <w:pPr>
              <w:pStyle w:val="P68B1DB1-Normal12"/>
              <w:rPr>
                <w:noProof/>
              </w:rPr>
            </w:pPr>
            <w:r>
              <w:rPr>
                <w:noProof/>
              </w:rPr>
              <w:t xml:space="preserve">Tiesību aktu </w:t>
            </w:r>
            <w:r>
              <w:rPr>
                <w:noProof/>
              </w:rPr>
              <w:t>stāšanās spēkā, lai potenciālajiem saņēmējiem darītu pieejamus 4.0 pārejas posma nodokļu kredītus, un Zinātniskās komitejas izveide</w:t>
            </w:r>
          </w:p>
        </w:tc>
      </w:tr>
      <w:tr w:rsidR="00C972CB" w14:paraId="2B8AED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443A03" w14:textId="77777777" w:rsidR="00C972CB" w:rsidRDefault="002457F6">
            <w:pPr>
              <w:pStyle w:val="P68B1DB1-Normal12"/>
              <w:jc w:val="center"/>
              <w:rPr>
                <w:noProof/>
              </w:rPr>
            </w:pPr>
            <w:r>
              <w:rPr>
                <w:noProof/>
              </w:rPr>
              <w:t>M1C3–8</w:t>
            </w:r>
          </w:p>
        </w:tc>
        <w:tc>
          <w:tcPr>
            <w:tcW w:w="3118" w:type="dxa"/>
            <w:tcBorders>
              <w:top w:val="nil"/>
              <w:left w:val="nil"/>
              <w:bottom w:val="single" w:sz="4" w:space="0" w:color="auto"/>
              <w:right w:val="single" w:sz="4" w:space="0" w:color="auto"/>
            </w:tcBorders>
            <w:shd w:val="clear" w:color="auto" w:fill="C6EFCE"/>
            <w:noWrap/>
            <w:vAlign w:val="center"/>
          </w:tcPr>
          <w:p w14:paraId="2672813F" w14:textId="77777777" w:rsidR="00C972CB" w:rsidRDefault="002457F6">
            <w:pPr>
              <w:pStyle w:val="P68B1DB1-Normal12"/>
              <w:rPr>
                <w:noProof/>
              </w:rPr>
            </w:pPr>
            <w:r>
              <w:rPr>
                <w:noProof/>
              </w:rPr>
              <w:t>Investīcijas — 4.1. Digitālais tūrisma centrs</w:t>
            </w:r>
          </w:p>
        </w:tc>
        <w:tc>
          <w:tcPr>
            <w:tcW w:w="1418" w:type="dxa"/>
            <w:tcBorders>
              <w:top w:val="nil"/>
              <w:left w:val="nil"/>
              <w:bottom w:val="single" w:sz="4" w:space="0" w:color="auto"/>
              <w:right w:val="single" w:sz="4" w:space="0" w:color="auto"/>
            </w:tcBorders>
            <w:shd w:val="clear" w:color="auto" w:fill="C6EFCE"/>
            <w:noWrap/>
            <w:vAlign w:val="center"/>
          </w:tcPr>
          <w:p w14:paraId="11D526FB"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39451D89" w14:textId="77777777" w:rsidR="00C972CB" w:rsidRDefault="002457F6">
            <w:pPr>
              <w:pStyle w:val="P68B1DB1-Normal12"/>
              <w:rPr>
                <w:noProof/>
              </w:rPr>
            </w:pPr>
            <w:r>
              <w:rPr>
                <w:noProof/>
              </w:rPr>
              <w:t xml:space="preserve">Digitālā tūrisma portāla izstrādes līgumu slēgšanas </w:t>
            </w:r>
            <w:r>
              <w:rPr>
                <w:noProof/>
              </w:rPr>
              <w:t>tiesību piešķiršana</w:t>
            </w:r>
          </w:p>
        </w:tc>
      </w:tr>
      <w:tr w:rsidR="00C972CB" w14:paraId="501214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B33035" w14:textId="77777777" w:rsidR="00C972CB" w:rsidRDefault="002457F6">
            <w:pPr>
              <w:pStyle w:val="P68B1DB1-Normal12"/>
              <w:jc w:val="center"/>
              <w:rPr>
                <w:noProof/>
              </w:rPr>
            </w:pPr>
            <w:r>
              <w:rPr>
                <w:noProof/>
              </w:rPr>
              <w:t>M2C2–7</w:t>
            </w:r>
          </w:p>
        </w:tc>
        <w:tc>
          <w:tcPr>
            <w:tcW w:w="3118" w:type="dxa"/>
            <w:tcBorders>
              <w:top w:val="nil"/>
              <w:left w:val="nil"/>
              <w:bottom w:val="single" w:sz="4" w:space="0" w:color="auto"/>
              <w:right w:val="single" w:sz="4" w:space="0" w:color="auto"/>
            </w:tcBorders>
            <w:shd w:val="clear" w:color="auto" w:fill="C6EFCE"/>
            <w:noWrap/>
            <w:vAlign w:val="center"/>
          </w:tcPr>
          <w:p w14:paraId="744D29DB" w14:textId="77777777" w:rsidR="00C972CB" w:rsidRDefault="002457F6">
            <w:pPr>
              <w:pStyle w:val="P68B1DB1-Normal12"/>
              <w:rPr>
                <w:noProof/>
              </w:rPr>
            </w:pPr>
            <w:r>
              <w:rPr>
                <w:noProof/>
              </w:rPr>
              <w:t>Reforma Nr. 2 Jauni tiesību akti atjaunojamās gāzes ražošanas un patēriņa veicināšanai</w:t>
            </w:r>
          </w:p>
        </w:tc>
        <w:tc>
          <w:tcPr>
            <w:tcW w:w="1418" w:type="dxa"/>
            <w:tcBorders>
              <w:top w:val="nil"/>
              <w:left w:val="nil"/>
              <w:bottom w:val="single" w:sz="4" w:space="0" w:color="auto"/>
              <w:right w:val="single" w:sz="4" w:space="0" w:color="auto"/>
            </w:tcBorders>
            <w:shd w:val="clear" w:color="auto" w:fill="C6EFCE"/>
            <w:noWrap/>
            <w:vAlign w:val="center"/>
          </w:tcPr>
          <w:p w14:paraId="4F4BB723"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26BD87DE" w14:textId="77777777" w:rsidR="00C972CB" w:rsidRDefault="002457F6">
            <w:pPr>
              <w:pStyle w:val="P68B1DB1-Normal12"/>
              <w:rPr>
                <w:noProof/>
              </w:rPr>
            </w:pPr>
            <w:r>
              <w:rPr>
                <w:noProof/>
              </w:rPr>
              <w:t>Stājies spēkā Leģislatīvais dekrēts par atjaunojamo energoresursu gāzes izmantošanas veicināšanu biometāna izmantošanai tra</w:t>
            </w:r>
            <w:r>
              <w:rPr>
                <w:noProof/>
              </w:rPr>
              <w:t>nsporta, rūpniecības un dzīvojamo ēku sektorā, kā arī īstenošanas dekrēts, kurā izklāstīti nosacījumi un kritēriji attiecībā uz tās izmantošanu un jauno stimulu sistēmu.</w:t>
            </w:r>
          </w:p>
        </w:tc>
      </w:tr>
      <w:tr w:rsidR="00C972CB" w14:paraId="4C5D98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A6B66C" w14:textId="77777777" w:rsidR="00C972CB" w:rsidRDefault="002457F6">
            <w:pPr>
              <w:pStyle w:val="P68B1DB1-Normal12"/>
              <w:jc w:val="center"/>
              <w:rPr>
                <w:noProof/>
              </w:rPr>
            </w:pPr>
            <w:r>
              <w:rPr>
                <w:noProof/>
              </w:rPr>
              <w:t>M2C2–37</w:t>
            </w:r>
          </w:p>
        </w:tc>
        <w:tc>
          <w:tcPr>
            <w:tcW w:w="3118" w:type="dxa"/>
            <w:tcBorders>
              <w:top w:val="nil"/>
              <w:left w:val="nil"/>
              <w:bottom w:val="single" w:sz="4" w:space="0" w:color="auto"/>
              <w:right w:val="single" w:sz="4" w:space="0" w:color="auto"/>
            </w:tcBorders>
            <w:shd w:val="clear" w:color="auto" w:fill="C6EFCE"/>
            <w:noWrap/>
            <w:vAlign w:val="center"/>
          </w:tcPr>
          <w:p w14:paraId="76B12DBD" w14:textId="77777777" w:rsidR="00C972CB" w:rsidRDefault="002457F6">
            <w:pPr>
              <w:pStyle w:val="P68B1DB1-Normal12"/>
              <w:rPr>
                <w:noProof/>
              </w:rPr>
            </w:pPr>
            <w:r>
              <w:rPr>
                <w:noProof/>
              </w:rPr>
              <w:t>Reforma: Viedākas procedūras projektu novērtēšanai vietējā sabiedriskā transp</w:t>
            </w:r>
            <w:r>
              <w:rPr>
                <w:noProof/>
              </w:rPr>
              <w:t>orta sistēmu nozarē ar stacionārām iekārtām un ātrā masu transporta nozarē</w:t>
            </w:r>
          </w:p>
        </w:tc>
        <w:tc>
          <w:tcPr>
            <w:tcW w:w="1418" w:type="dxa"/>
            <w:tcBorders>
              <w:top w:val="nil"/>
              <w:left w:val="nil"/>
              <w:bottom w:val="single" w:sz="4" w:space="0" w:color="auto"/>
              <w:right w:val="single" w:sz="4" w:space="0" w:color="auto"/>
            </w:tcBorders>
            <w:shd w:val="clear" w:color="auto" w:fill="C6EFCE"/>
            <w:noWrap/>
            <w:vAlign w:val="center"/>
          </w:tcPr>
          <w:p w14:paraId="0634AA11"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2D6D1223" w14:textId="77777777" w:rsidR="00C972CB" w:rsidRDefault="002457F6">
            <w:pPr>
              <w:pStyle w:val="P68B1DB1-Normal12"/>
              <w:rPr>
                <w:noProof/>
              </w:rPr>
            </w:pPr>
            <w:r>
              <w:rPr>
                <w:noProof/>
              </w:rPr>
              <w:t>Dekrētlikuma stāšanās spēkā</w:t>
            </w:r>
          </w:p>
        </w:tc>
      </w:tr>
      <w:tr w:rsidR="00C972CB" w14:paraId="626803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F23F1" w14:textId="77777777" w:rsidR="00C972CB" w:rsidRDefault="002457F6">
            <w:pPr>
              <w:pStyle w:val="P68B1DB1-Normal12"/>
              <w:jc w:val="center"/>
              <w:rPr>
                <w:noProof/>
              </w:rPr>
            </w:pPr>
            <w:r>
              <w:rPr>
                <w:noProof/>
              </w:rPr>
              <w:t>M2C2–41</w:t>
            </w:r>
          </w:p>
        </w:tc>
        <w:tc>
          <w:tcPr>
            <w:tcW w:w="3118" w:type="dxa"/>
            <w:tcBorders>
              <w:top w:val="nil"/>
              <w:left w:val="nil"/>
              <w:bottom w:val="single" w:sz="4" w:space="0" w:color="auto"/>
              <w:right w:val="single" w:sz="4" w:space="0" w:color="auto"/>
            </w:tcBorders>
            <w:shd w:val="clear" w:color="auto" w:fill="C6EFCE"/>
            <w:noWrap/>
            <w:vAlign w:val="center"/>
          </w:tcPr>
          <w:p w14:paraId="68D2A878" w14:textId="77777777" w:rsidR="00C972CB" w:rsidRDefault="002457F6">
            <w:pPr>
              <w:pStyle w:val="P68B1DB1-Normal12"/>
              <w:rPr>
                <w:noProof/>
              </w:rPr>
            </w:pPr>
            <w:r>
              <w:rPr>
                <w:noProof/>
              </w:rPr>
              <w:t>Ieguldījums 5.3.: Elektriskie autobusi</w:t>
            </w:r>
          </w:p>
        </w:tc>
        <w:tc>
          <w:tcPr>
            <w:tcW w:w="1418" w:type="dxa"/>
            <w:tcBorders>
              <w:top w:val="nil"/>
              <w:left w:val="nil"/>
              <w:bottom w:val="single" w:sz="4" w:space="0" w:color="auto"/>
              <w:right w:val="single" w:sz="4" w:space="0" w:color="auto"/>
            </w:tcBorders>
            <w:shd w:val="clear" w:color="auto" w:fill="C6EFCE"/>
            <w:noWrap/>
            <w:vAlign w:val="center"/>
          </w:tcPr>
          <w:p w14:paraId="7495EE37"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36E0A007" w14:textId="77777777" w:rsidR="00C972CB" w:rsidRDefault="002457F6">
            <w:pPr>
              <w:pStyle w:val="P68B1DB1-Normal12"/>
              <w:rPr>
                <w:noProof/>
              </w:rPr>
            </w:pPr>
            <w:r>
              <w:rPr>
                <w:noProof/>
              </w:rPr>
              <w:t xml:space="preserve">Stājas spēkā ministrijas dekrēts, kurā noteikts intervences mērķa </w:t>
            </w:r>
            <w:r>
              <w:rPr>
                <w:noProof/>
              </w:rPr>
              <w:t>sasniegšanai pieejamo resursu apjoms (autobusu piegādes ķēde)</w:t>
            </w:r>
          </w:p>
        </w:tc>
      </w:tr>
      <w:tr w:rsidR="00C972CB" w14:paraId="66946D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6233EE" w14:textId="77777777" w:rsidR="00C972CB" w:rsidRDefault="002457F6">
            <w:pPr>
              <w:pStyle w:val="P68B1DB1-Normal12"/>
              <w:jc w:val="center"/>
              <w:rPr>
                <w:noProof/>
              </w:rPr>
            </w:pPr>
            <w:r>
              <w:rPr>
                <w:noProof/>
              </w:rPr>
              <w:t>M2C3–1</w:t>
            </w:r>
          </w:p>
        </w:tc>
        <w:tc>
          <w:tcPr>
            <w:tcW w:w="3118" w:type="dxa"/>
            <w:tcBorders>
              <w:top w:val="nil"/>
              <w:left w:val="nil"/>
              <w:bottom w:val="single" w:sz="4" w:space="0" w:color="auto"/>
              <w:right w:val="single" w:sz="4" w:space="0" w:color="auto"/>
            </w:tcBorders>
            <w:shd w:val="clear" w:color="auto" w:fill="C6EFCE"/>
            <w:noWrap/>
            <w:vAlign w:val="center"/>
          </w:tcPr>
          <w:p w14:paraId="116F05C2" w14:textId="77777777" w:rsidR="00C972CB" w:rsidRDefault="002457F6">
            <w:pPr>
              <w:pStyle w:val="P68B1DB1-Normal12"/>
              <w:rPr>
                <w:noProof/>
              </w:rPr>
            </w:pPr>
            <w:r>
              <w:rPr>
                <w:noProof/>
              </w:rPr>
              <w:t xml:space="preserve">Ieguldījums 2.1.– Energoefektivitātes ekobona stiprināšana </w:t>
            </w:r>
          </w:p>
        </w:tc>
        <w:tc>
          <w:tcPr>
            <w:tcW w:w="1418" w:type="dxa"/>
            <w:tcBorders>
              <w:top w:val="nil"/>
              <w:left w:val="nil"/>
              <w:bottom w:val="single" w:sz="4" w:space="0" w:color="auto"/>
              <w:right w:val="single" w:sz="4" w:space="0" w:color="auto"/>
            </w:tcBorders>
            <w:shd w:val="clear" w:color="auto" w:fill="C6EFCE"/>
            <w:noWrap/>
            <w:vAlign w:val="center"/>
          </w:tcPr>
          <w:p w14:paraId="6B3CA436" w14:textId="77777777" w:rsidR="00C972CB" w:rsidRDefault="002457F6">
            <w:pPr>
              <w:pStyle w:val="P68B1DB1-Normal12"/>
              <w:rPr>
                <w:noProof/>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1074A96D" w14:textId="77777777" w:rsidR="00C972CB" w:rsidRDefault="002457F6">
            <w:pPr>
              <w:pStyle w:val="P68B1DB1-Normal12"/>
              <w:rPr>
                <w:noProof/>
              </w:rPr>
            </w:pPr>
            <w:r>
              <w:rPr>
                <w:noProof/>
              </w:rPr>
              <w:t xml:space="preserve">Superbonus pagarinājuma stāšanās spēkā  </w:t>
            </w:r>
          </w:p>
        </w:tc>
      </w:tr>
      <w:tr w:rsidR="00C972CB" w14:paraId="14BAADB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2D2220" w14:textId="77777777" w:rsidR="00C972CB" w:rsidRDefault="002457F6">
            <w:pPr>
              <w:pStyle w:val="P68B1DB1-Normal12"/>
              <w:jc w:val="center"/>
              <w:rPr>
                <w:noProof/>
              </w:rPr>
            </w:pPr>
            <w:r>
              <w:rPr>
                <w:noProof/>
              </w:rPr>
              <w:t>M2C4–3</w:t>
            </w:r>
          </w:p>
        </w:tc>
        <w:tc>
          <w:tcPr>
            <w:tcW w:w="3118" w:type="dxa"/>
            <w:tcBorders>
              <w:top w:val="nil"/>
              <w:left w:val="nil"/>
              <w:bottom w:val="single" w:sz="4" w:space="0" w:color="auto"/>
              <w:right w:val="single" w:sz="4" w:space="0" w:color="auto"/>
            </w:tcBorders>
            <w:shd w:val="clear" w:color="auto" w:fill="C6EFCE"/>
            <w:noWrap/>
            <w:vAlign w:val="center"/>
          </w:tcPr>
          <w:p w14:paraId="49830A1B" w14:textId="77777777" w:rsidR="00C972CB" w:rsidRDefault="002457F6">
            <w:pPr>
              <w:pStyle w:val="P68B1DB1-Normal12"/>
              <w:rPr>
                <w:noProof/>
              </w:rPr>
            </w:pPr>
            <w:r>
              <w:rPr>
                <w:noProof/>
              </w:rPr>
              <w:t xml:space="preserve">Reforma “Pasākumi integrētu ūdensapgādes pakalpojumu </w:t>
            </w:r>
            <w:r>
              <w:rPr>
                <w:noProof/>
              </w:rPr>
              <w:t>pilnīgas vadības nodrošināšanai”</w:t>
            </w:r>
          </w:p>
        </w:tc>
        <w:tc>
          <w:tcPr>
            <w:tcW w:w="1418" w:type="dxa"/>
            <w:tcBorders>
              <w:top w:val="nil"/>
              <w:left w:val="nil"/>
              <w:bottom w:val="single" w:sz="4" w:space="0" w:color="auto"/>
              <w:right w:val="single" w:sz="4" w:space="0" w:color="auto"/>
            </w:tcBorders>
            <w:shd w:val="clear" w:color="auto" w:fill="C6EFCE"/>
            <w:noWrap/>
            <w:vAlign w:val="center"/>
          </w:tcPr>
          <w:p w14:paraId="4327778A" w14:textId="77777777" w:rsidR="00C972CB" w:rsidRDefault="002457F6">
            <w:pPr>
              <w:pStyle w:val="P68B1DB1-Normal12"/>
              <w:rPr>
                <w:noProof/>
                <w:color w:val="006600"/>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5C21B8C8" w14:textId="77777777" w:rsidR="00C972CB" w:rsidRDefault="002457F6">
            <w:pPr>
              <w:pStyle w:val="P68B1DB1-Normal12"/>
              <w:rPr>
                <w:noProof/>
                <w:color w:val="006600"/>
              </w:rPr>
            </w:pPr>
            <w:r>
              <w:rPr>
                <w:noProof/>
              </w:rPr>
              <w:t>Tiesiskā regulējuma reforma labākai ūdens apsaimniekošanai un ilgtspējīgai izmantošanai</w:t>
            </w:r>
          </w:p>
        </w:tc>
      </w:tr>
      <w:tr w:rsidR="00C972CB" w14:paraId="6DE04D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A7363F" w14:textId="77777777" w:rsidR="00C972CB" w:rsidRDefault="002457F6">
            <w:pPr>
              <w:pStyle w:val="P68B1DB1-Normal12"/>
              <w:jc w:val="center"/>
              <w:rPr>
                <w:noProof/>
              </w:rPr>
            </w:pPr>
            <w:r>
              <w:rPr>
                <w:noProof/>
              </w:rPr>
              <w:t xml:space="preserve">M3C2–3 </w:t>
            </w:r>
          </w:p>
        </w:tc>
        <w:tc>
          <w:tcPr>
            <w:tcW w:w="3118" w:type="dxa"/>
            <w:tcBorders>
              <w:top w:val="nil"/>
              <w:left w:val="nil"/>
              <w:bottom w:val="single" w:sz="4" w:space="0" w:color="auto"/>
              <w:right w:val="single" w:sz="4" w:space="0" w:color="auto"/>
            </w:tcBorders>
            <w:shd w:val="clear" w:color="auto" w:fill="C6EFCE"/>
            <w:noWrap/>
            <w:vAlign w:val="center"/>
          </w:tcPr>
          <w:p w14:paraId="21D8F6E4" w14:textId="77777777" w:rsidR="00C972CB" w:rsidRDefault="002457F6">
            <w:pPr>
              <w:pStyle w:val="P68B1DB1-Normal12"/>
              <w:rPr>
                <w:noProof/>
              </w:rPr>
            </w:pPr>
            <w:r>
              <w:rPr>
                <w:noProof/>
              </w:rPr>
              <w:t>Reforma — vienota muitas kontaktpunkta (“Sportello Unico Doganale”) īstenošana </w:t>
            </w:r>
          </w:p>
        </w:tc>
        <w:tc>
          <w:tcPr>
            <w:tcW w:w="1418" w:type="dxa"/>
            <w:tcBorders>
              <w:top w:val="nil"/>
              <w:left w:val="nil"/>
              <w:bottom w:val="single" w:sz="4" w:space="0" w:color="auto"/>
              <w:right w:val="single" w:sz="4" w:space="0" w:color="auto"/>
            </w:tcBorders>
            <w:shd w:val="clear" w:color="auto" w:fill="C6EFCE"/>
            <w:noWrap/>
            <w:vAlign w:val="center"/>
          </w:tcPr>
          <w:p w14:paraId="1B8440CD" w14:textId="77777777" w:rsidR="00C972CB" w:rsidRDefault="002457F6">
            <w:pPr>
              <w:pStyle w:val="P68B1DB1-Normal12"/>
              <w:rPr>
                <w:noProof/>
                <w:color w:val="006600"/>
              </w:rPr>
            </w:pPr>
            <w:r>
              <w:rPr>
                <w:noProof/>
              </w:rPr>
              <w:t>Starpposma mērķis </w:t>
            </w:r>
          </w:p>
        </w:tc>
        <w:tc>
          <w:tcPr>
            <w:tcW w:w="3714" w:type="dxa"/>
            <w:tcBorders>
              <w:top w:val="nil"/>
              <w:left w:val="nil"/>
              <w:bottom w:val="single" w:sz="4" w:space="0" w:color="auto"/>
              <w:right w:val="single" w:sz="4" w:space="0" w:color="auto"/>
            </w:tcBorders>
            <w:shd w:val="clear" w:color="auto" w:fill="C6EFCE"/>
            <w:noWrap/>
            <w:vAlign w:val="center"/>
          </w:tcPr>
          <w:p w14:paraId="3BB6C640" w14:textId="77777777" w:rsidR="00C972CB" w:rsidRDefault="002457F6">
            <w:pPr>
              <w:pStyle w:val="P68B1DB1-Normal12"/>
              <w:rPr>
                <w:noProof/>
                <w:color w:val="006600"/>
              </w:rPr>
            </w:pPr>
            <w:r>
              <w:rPr>
                <w:noProof/>
              </w:rPr>
              <w:t>Lēmuma pa</w:t>
            </w:r>
            <w:r>
              <w:rPr>
                <w:noProof/>
              </w:rPr>
              <w:t>r vienoto muitas biroju (Sportello Unico Doganale) stāšanās spēkā </w:t>
            </w:r>
          </w:p>
        </w:tc>
      </w:tr>
      <w:tr w:rsidR="00C972CB" w14:paraId="2711B9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0C254A" w14:textId="77777777" w:rsidR="00C972CB" w:rsidRDefault="002457F6">
            <w:pPr>
              <w:pStyle w:val="P68B1DB1-Normal12"/>
              <w:jc w:val="center"/>
              <w:rPr>
                <w:noProof/>
              </w:rPr>
            </w:pPr>
            <w:r>
              <w:rPr>
                <w:noProof/>
              </w:rPr>
              <w:t>M4C1–1</w:t>
            </w:r>
          </w:p>
        </w:tc>
        <w:tc>
          <w:tcPr>
            <w:tcW w:w="3118" w:type="dxa"/>
            <w:tcBorders>
              <w:top w:val="nil"/>
              <w:left w:val="nil"/>
              <w:bottom w:val="single" w:sz="4" w:space="0" w:color="auto"/>
              <w:right w:val="single" w:sz="4" w:space="0" w:color="auto"/>
            </w:tcBorders>
            <w:shd w:val="clear" w:color="auto" w:fill="C6EFCE"/>
            <w:noWrap/>
            <w:vAlign w:val="center"/>
          </w:tcPr>
          <w:p w14:paraId="59FF6684" w14:textId="77777777" w:rsidR="00C972CB" w:rsidRDefault="002457F6">
            <w:pPr>
              <w:pStyle w:val="P68B1DB1-Normal12"/>
              <w:rPr>
                <w:noProof/>
              </w:rPr>
            </w:pPr>
            <w:r>
              <w:rPr>
                <w:noProof/>
              </w:rPr>
              <w:t>Reforma: Universitātes grāda grupu reforma; Reforma. Veicināt augstskolu diplomu reformu; Reforma: Doktorantūras programmu reforma</w:t>
            </w:r>
          </w:p>
        </w:tc>
        <w:tc>
          <w:tcPr>
            <w:tcW w:w="1418" w:type="dxa"/>
            <w:tcBorders>
              <w:top w:val="nil"/>
              <w:left w:val="nil"/>
              <w:bottom w:val="single" w:sz="4" w:space="0" w:color="auto"/>
              <w:right w:val="single" w:sz="4" w:space="0" w:color="auto"/>
            </w:tcBorders>
            <w:shd w:val="clear" w:color="auto" w:fill="C6EFCE"/>
            <w:noWrap/>
            <w:vAlign w:val="center"/>
          </w:tcPr>
          <w:p w14:paraId="360CBF9A" w14:textId="77777777" w:rsidR="00C972CB" w:rsidRDefault="002457F6">
            <w:pPr>
              <w:pStyle w:val="P68B1DB1-Normal12"/>
              <w:rPr>
                <w:noProof/>
                <w:color w:val="006600"/>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221F5522" w14:textId="77777777" w:rsidR="00C972CB" w:rsidRDefault="002457F6">
            <w:pPr>
              <w:pStyle w:val="P68B1DB1-Normal12"/>
              <w:rPr>
                <w:noProof/>
                <w:color w:val="006600"/>
              </w:rPr>
            </w:pPr>
            <w:r>
              <w:rPr>
                <w:noProof/>
              </w:rPr>
              <w:t xml:space="preserve">Stājas spēkā terciārās </w:t>
            </w:r>
            <w:r>
              <w:rPr>
                <w:noProof/>
              </w:rPr>
              <w:t>izglītības sistēmas reformas, lai uzlabotu izglītības rezultātus (pamattiesību akti) šādās jomās: dot iespēju iegūt akadēmiskos grādus; augstākās izglītības grupas; doktorantūras programmu reforma</w:t>
            </w:r>
          </w:p>
        </w:tc>
      </w:tr>
      <w:tr w:rsidR="00C972CB" w14:paraId="563298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FA5D59" w14:textId="77777777" w:rsidR="00C972CB" w:rsidRDefault="002457F6">
            <w:pPr>
              <w:pStyle w:val="P68B1DB1-Normal12"/>
              <w:jc w:val="center"/>
              <w:rPr>
                <w:noProof/>
              </w:rPr>
            </w:pPr>
            <w:r>
              <w:rPr>
                <w:noProof/>
              </w:rPr>
              <w:t>M4C1–2</w:t>
            </w:r>
          </w:p>
        </w:tc>
        <w:tc>
          <w:tcPr>
            <w:tcW w:w="3118" w:type="dxa"/>
            <w:tcBorders>
              <w:top w:val="nil"/>
              <w:left w:val="nil"/>
              <w:bottom w:val="single" w:sz="4" w:space="0" w:color="auto"/>
              <w:right w:val="single" w:sz="4" w:space="0" w:color="auto"/>
            </w:tcBorders>
            <w:shd w:val="clear" w:color="auto" w:fill="C6EFCE"/>
            <w:noWrap/>
            <w:vAlign w:val="center"/>
          </w:tcPr>
          <w:p w14:paraId="38DC034A" w14:textId="77777777" w:rsidR="00C972CB" w:rsidRDefault="002457F6">
            <w:pPr>
              <w:pStyle w:val="P68B1DB1-Normal12"/>
              <w:rPr>
                <w:noProof/>
              </w:rPr>
            </w:pPr>
            <w:r>
              <w:rPr>
                <w:noProof/>
              </w:rPr>
              <w:t>Ieguldījums 1.7. Stipendijas par piekļuvi universit</w:t>
            </w:r>
            <w:r>
              <w:rPr>
                <w:noProof/>
              </w:rPr>
              <w:t>ātēm</w:t>
            </w:r>
          </w:p>
        </w:tc>
        <w:tc>
          <w:tcPr>
            <w:tcW w:w="1418" w:type="dxa"/>
            <w:tcBorders>
              <w:top w:val="nil"/>
              <w:left w:val="nil"/>
              <w:bottom w:val="single" w:sz="4" w:space="0" w:color="auto"/>
              <w:right w:val="single" w:sz="4" w:space="0" w:color="auto"/>
            </w:tcBorders>
            <w:shd w:val="clear" w:color="auto" w:fill="C6EFCE"/>
            <w:noWrap/>
            <w:vAlign w:val="center"/>
          </w:tcPr>
          <w:p w14:paraId="6B76ED58" w14:textId="77777777" w:rsidR="00C972CB" w:rsidRDefault="002457F6">
            <w:pPr>
              <w:pStyle w:val="P68B1DB1-Normal12"/>
              <w:rPr>
                <w:noProof/>
                <w:color w:val="006600"/>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4C7C4367" w14:textId="77777777" w:rsidR="00C972CB" w:rsidRDefault="002457F6">
            <w:pPr>
              <w:pStyle w:val="P68B1DB1-Normal12"/>
              <w:rPr>
                <w:noProof/>
                <w:color w:val="006600"/>
              </w:rPr>
            </w:pPr>
            <w:r>
              <w:rPr>
                <w:noProof/>
              </w:rPr>
              <w:t>Stājas spēkā ministrijas dekrēti par reformām attiecībā uz stipendijām, lai uzlabotu piekļuvi augstākajai izglītībai</w:t>
            </w:r>
          </w:p>
        </w:tc>
      </w:tr>
      <w:tr w:rsidR="00C972CB" w14:paraId="2D1B11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1B6294" w14:textId="77777777" w:rsidR="00C972CB" w:rsidRDefault="002457F6">
            <w:pPr>
              <w:pStyle w:val="P68B1DB1-Normal12"/>
              <w:jc w:val="center"/>
              <w:rPr>
                <w:noProof/>
              </w:rPr>
            </w:pPr>
            <w:r>
              <w:rPr>
                <w:noProof/>
              </w:rPr>
              <w:t xml:space="preserve">M5C1–1 </w:t>
            </w:r>
          </w:p>
        </w:tc>
        <w:tc>
          <w:tcPr>
            <w:tcW w:w="3118" w:type="dxa"/>
            <w:tcBorders>
              <w:top w:val="nil"/>
              <w:left w:val="nil"/>
              <w:bottom w:val="single" w:sz="4" w:space="0" w:color="auto"/>
              <w:right w:val="single" w:sz="4" w:space="0" w:color="auto"/>
            </w:tcBorders>
            <w:shd w:val="clear" w:color="auto" w:fill="C6EFCE"/>
            <w:noWrap/>
            <w:vAlign w:val="center"/>
          </w:tcPr>
          <w:p w14:paraId="2BA1BDA1" w14:textId="77777777" w:rsidR="00C972CB" w:rsidRDefault="002457F6">
            <w:pPr>
              <w:pStyle w:val="P68B1DB1-Normal12"/>
              <w:rPr>
                <w:noProof/>
              </w:rPr>
            </w:pPr>
            <w:r>
              <w:rPr>
                <w:noProof/>
              </w:rPr>
              <w:t>Reforma — ADTP un profesionālā apmācība</w:t>
            </w:r>
          </w:p>
        </w:tc>
        <w:tc>
          <w:tcPr>
            <w:tcW w:w="1418" w:type="dxa"/>
            <w:tcBorders>
              <w:top w:val="nil"/>
              <w:left w:val="nil"/>
              <w:bottom w:val="single" w:sz="4" w:space="0" w:color="auto"/>
              <w:right w:val="single" w:sz="4" w:space="0" w:color="auto"/>
            </w:tcBorders>
            <w:shd w:val="clear" w:color="auto" w:fill="C6EFCE"/>
            <w:noWrap/>
            <w:vAlign w:val="center"/>
          </w:tcPr>
          <w:p w14:paraId="76F498AF" w14:textId="77777777" w:rsidR="00C972CB" w:rsidRDefault="002457F6">
            <w:pPr>
              <w:pStyle w:val="P68B1DB1-Normal12"/>
              <w:rPr>
                <w:noProof/>
                <w:color w:val="006600"/>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2092718E" w14:textId="77777777" w:rsidR="00C972CB" w:rsidRDefault="002457F6">
            <w:pPr>
              <w:pStyle w:val="P68B1DB1-Normal12"/>
              <w:rPr>
                <w:noProof/>
                <w:color w:val="006600"/>
              </w:rPr>
            </w:pPr>
            <w:r>
              <w:rPr>
                <w:noProof/>
              </w:rPr>
              <w:t>Stājas spēkā ministriju dekrēts, ar ko izveido va</w:t>
            </w:r>
            <w:r>
              <w:rPr>
                <w:noProof/>
              </w:rPr>
              <w:t>lsts programmu garantētai darba ņēmēju nodarbināmībai (GOL), un starpministriju dekrēts, ar ko izveido valsts plānu jaunām prasmēm</w:t>
            </w:r>
          </w:p>
        </w:tc>
      </w:tr>
      <w:tr w:rsidR="00C972CB" w14:paraId="192BEC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758F74" w14:textId="77777777" w:rsidR="00C972CB" w:rsidRDefault="002457F6">
            <w:pPr>
              <w:pStyle w:val="P68B1DB1-Normal12"/>
              <w:jc w:val="center"/>
              <w:rPr>
                <w:noProof/>
              </w:rPr>
            </w:pPr>
            <w:r>
              <w:rPr>
                <w:noProof/>
              </w:rPr>
              <w:t>M5C2–1</w:t>
            </w:r>
          </w:p>
        </w:tc>
        <w:tc>
          <w:tcPr>
            <w:tcW w:w="3118" w:type="dxa"/>
            <w:tcBorders>
              <w:top w:val="nil"/>
              <w:left w:val="nil"/>
              <w:bottom w:val="single" w:sz="4" w:space="0" w:color="auto"/>
              <w:right w:val="single" w:sz="4" w:space="0" w:color="auto"/>
            </w:tcBorders>
            <w:shd w:val="clear" w:color="auto" w:fill="C6EFCE"/>
            <w:noWrap/>
            <w:vAlign w:val="center"/>
          </w:tcPr>
          <w:p w14:paraId="730CFBE0" w14:textId="77777777" w:rsidR="00C972CB" w:rsidRDefault="002457F6">
            <w:pPr>
              <w:pStyle w:val="P68B1DB1-Normal12"/>
              <w:rPr>
                <w:noProof/>
              </w:rPr>
            </w:pPr>
            <w:r>
              <w:rPr>
                <w:noProof/>
              </w:rPr>
              <w:t>Reforma — Pamatlikums par invaliditāti</w:t>
            </w:r>
          </w:p>
        </w:tc>
        <w:tc>
          <w:tcPr>
            <w:tcW w:w="1418" w:type="dxa"/>
            <w:tcBorders>
              <w:top w:val="nil"/>
              <w:left w:val="nil"/>
              <w:bottom w:val="single" w:sz="4" w:space="0" w:color="auto"/>
              <w:right w:val="single" w:sz="4" w:space="0" w:color="auto"/>
            </w:tcBorders>
            <w:shd w:val="clear" w:color="auto" w:fill="C6EFCE"/>
            <w:noWrap/>
            <w:vAlign w:val="center"/>
          </w:tcPr>
          <w:p w14:paraId="5427BD0F" w14:textId="77777777" w:rsidR="00C972CB" w:rsidRDefault="002457F6">
            <w:pPr>
              <w:pStyle w:val="P68B1DB1-Normal12"/>
              <w:rPr>
                <w:noProof/>
                <w:color w:val="006600"/>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138CBC99" w14:textId="77777777" w:rsidR="00C972CB" w:rsidRDefault="002457F6">
            <w:pPr>
              <w:pStyle w:val="P68B1DB1-Normal12"/>
              <w:rPr>
                <w:noProof/>
                <w:color w:val="006600"/>
              </w:rPr>
            </w:pPr>
            <w:r>
              <w:rPr>
                <w:noProof/>
              </w:rPr>
              <w:t xml:space="preserve">Stājas spēkā Pamatlikums, lai stiprinātu personu ar </w:t>
            </w:r>
            <w:r>
              <w:rPr>
                <w:noProof/>
              </w:rPr>
              <w:t>invaliditāti autonomiju.</w:t>
            </w:r>
          </w:p>
        </w:tc>
      </w:tr>
      <w:tr w:rsidR="00C972CB" w14:paraId="50B715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184B49" w14:textId="77777777" w:rsidR="00C972CB" w:rsidRDefault="002457F6">
            <w:pPr>
              <w:pStyle w:val="P68B1DB1-Normal12"/>
              <w:jc w:val="center"/>
              <w:rPr>
                <w:noProof/>
              </w:rPr>
            </w:pPr>
            <w:r>
              <w:rPr>
                <w:noProof/>
              </w:rPr>
              <w:t>M5C2–5</w:t>
            </w:r>
          </w:p>
        </w:tc>
        <w:tc>
          <w:tcPr>
            <w:tcW w:w="3118" w:type="dxa"/>
            <w:tcBorders>
              <w:top w:val="nil"/>
              <w:left w:val="nil"/>
              <w:bottom w:val="single" w:sz="4" w:space="0" w:color="auto"/>
              <w:right w:val="single" w:sz="4" w:space="0" w:color="auto"/>
            </w:tcBorders>
            <w:shd w:val="clear" w:color="auto" w:fill="C6EFCE"/>
            <w:noWrap/>
            <w:vAlign w:val="center"/>
          </w:tcPr>
          <w:p w14:paraId="500D07A2" w14:textId="77777777" w:rsidR="00C972CB" w:rsidRDefault="002457F6">
            <w:pPr>
              <w:pStyle w:val="P68B1DB1-Normal12"/>
              <w:rPr>
                <w:noProof/>
              </w:rPr>
            </w:pPr>
            <w:r>
              <w:rPr>
                <w:noProof/>
              </w:rPr>
              <w:t>Ieguldījums 1 — Atbalsts neaizsargātām personām un institucionalizācijas novēršana</w:t>
            </w:r>
          </w:p>
        </w:tc>
        <w:tc>
          <w:tcPr>
            <w:tcW w:w="1418" w:type="dxa"/>
            <w:tcBorders>
              <w:top w:val="nil"/>
              <w:left w:val="nil"/>
              <w:bottom w:val="single" w:sz="4" w:space="0" w:color="auto"/>
              <w:right w:val="single" w:sz="4" w:space="0" w:color="auto"/>
            </w:tcBorders>
            <w:shd w:val="clear" w:color="auto" w:fill="C6EFCE"/>
            <w:noWrap/>
            <w:vAlign w:val="center"/>
          </w:tcPr>
          <w:p w14:paraId="1EEAC312" w14:textId="77777777" w:rsidR="00C972CB" w:rsidRDefault="002457F6">
            <w:pPr>
              <w:pStyle w:val="P68B1DB1-Normal12"/>
              <w:rPr>
                <w:noProof/>
                <w:color w:val="006600"/>
              </w:rPr>
            </w:pPr>
            <w:r>
              <w:rPr>
                <w:noProof/>
              </w:rPr>
              <w:t>Starpposma mērķis</w:t>
            </w:r>
          </w:p>
        </w:tc>
        <w:tc>
          <w:tcPr>
            <w:tcW w:w="3714" w:type="dxa"/>
            <w:tcBorders>
              <w:top w:val="nil"/>
              <w:left w:val="nil"/>
              <w:bottom w:val="single" w:sz="4" w:space="0" w:color="auto"/>
              <w:right w:val="single" w:sz="4" w:space="0" w:color="auto"/>
            </w:tcBorders>
            <w:shd w:val="clear" w:color="auto" w:fill="C6EFCE"/>
            <w:noWrap/>
            <w:vAlign w:val="center"/>
          </w:tcPr>
          <w:p w14:paraId="2F4A4EA0" w14:textId="77777777" w:rsidR="00C972CB" w:rsidRDefault="002457F6">
            <w:pPr>
              <w:pStyle w:val="P68B1DB1-Normal12"/>
              <w:rPr>
                <w:noProof/>
                <w:color w:val="006600"/>
              </w:rPr>
            </w:pPr>
            <w:r>
              <w:rPr>
                <w:noProof/>
              </w:rPr>
              <w:t>Darbības plāna stāšanās spēkā</w:t>
            </w:r>
          </w:p>
        </w:tc>
      </w:tr>
      <w:tr w:rsidR="00C972CB" w14:paraId="7AC6A1E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C99D53" w14:textId="77777777" w:rsidR="00C972CB" w:rsidRDefault="00C972C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3A52C54" w14:textId="77777777" w:rsidR="00C972CB" w:rsidRDefault="00C972C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32A26EAE" w14:textId="77777777" w:rsidR="00C972CB" w:rsidRDefault="002457F6">
            <w:pPr>
              <w:pStyle w:val="P68B1DB1-Normal12"/>
              <w:rPr>
                <w:noProof/>
              </w:rPr>
            </w:pPr>
            <w:r>
              <w:rPr>
                <w:noProof/>
              </w:rPr>
              <w:t>Maksājuma summa</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1C7CCCB9" w14:textId="3FE8F320" w:rsidR="00C972CB" w:rsidRDefault="002457F6">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00AFF423" w14:textId="77777777" w:rsidR="00C972CB" w:rsidRDefault="00C972CB">
      <w:pPr>
        <w:spacing w:before="120" w:after="120"/>
        <w:ind w:left="850"/>
        <w:jc w:val="both"/>
        <w:rPr>
          <w:rFonts w:eastAsia="Calibri"/>
          <w:noProof/>
        </w:rPr>
      </w:pPr>
    </w:p>
    <w:p w14:paraId="7AD70CCD" w14:textId="6D9EDEA5" w:rsidR="00C972CB" w:rsidRDefault="002457F6">
      <w:pPr>
        <w:pStyle w:val="P68B1DB1-Normal44"/>
        <w:numPr>
          <w:ilvl w:val="1"/>
          <w:numId w:val="6"/>
        </w:numPr>
        <w:spacing w:before="120" w:after="120"/>
        <w:jc w:val="both"/>
        <w:rPr>
          <w:noProof/>
        </w:rPr>
      </w:pPr>
      <w:r>
        <w:rPr>
          <w:noProof/>
        </w:rPr>
        <w:t>Otrā daļa (neatmaksājamais atbalsts):</w:t>
      </w:r>
    </w:p>
    <w:tbl>
      <w:tblPr>
        <w:tblW w:w="9692" w:type="dxa"/>
        <w:tblInd w:w="113" w:type="dxa"/>
        <w:tblLook w:val="04A0" w:firstRow="1" w:lastRow="0" w:firstColumn="1" w:lastColumn="0" w:noHBand="0" w:noVBand="1"/>
      </w:tblPr>
      <w:tblGrid>
        <w:gridCol w:w="1413"/>
        <w:gridCol w:w="3118"/>
        <w:gridCol w:w="1983"/>
        <w:gridCol w:w="3743"/>
      </w:tblGrid>
      <w:tr w:rsidR="00C972CB" w14:paraId="3835E09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3E3F36" w14:textId="77777777" w:rsidR="00C972CB" w:rsidRDefault="002457F6">
            <w:pPr>
              <w:pStyle w:val="P68B1DB1-Normal45"/>
              <w:jc w:val="center"/>
              <w:rPr>
                <w:noProof/>
              </w:rPr>
            </w:pPr>
            <w:r>
              <w:rPr>
                <w:noProof/>
              </w:rPr>
              <w:t xml:space="preserve">Kārtas </w:t>
            </w:r>
            <w:r>
              <w:rPr>
                <w:noProof/>
              </w:rPr>
              <w:t>numurs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0BDCD9" w14:textId="77777777" w:rsidR="00C972CB" w:rsidRDefault="002457F6">
            <w:pPr>
              <w:pStyle w:val="P68B1DB1-Normal45"/>
              <w:jc w:val="center"/>
              <w:rPr>
                <w:noProof/>
              </w:rPr>
            </w:pPr>
            <w:r>
              <w:rPr>
                <w:noProof/>
              </w:rPr>
              <w:t>Pasākums (reforma vai investīcija)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244FB1" w14:textId="77777777" w:rsidR="00C972CB" w:rsidRDefault="002457F6">
            <w:pPr>
              <w:pStyle w:val="P68B1DB1-Normal45"/>
              <w:jc w:val="center"/>
              <w:rPr>
                <w:noProof/>
              </w:rPr>
            </w:pPr>
            <w:r>
              <w:rPr>
                <w:noProof/>
              </w:rPr>
              <w:t>Atskaites punkts/mērķrādītājs</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12117F" w14:textId="77777777" w:rsidR="00C972CB" w:rsidRDefault="002457F6">
            <w:pPr>
              <w:pStyle w:val="P68B1DB1-Normal45"/>
              <w:jc w:val="center"/>
              <w:rPr>
                <w:noProof/>
              </w:rPr>
            </w:pPr>
            <w:r>
              <w:rPr>
                <w:noProof/>
              </w:rPr>
              <w:t>Uzvārds</w:t>
            </w:r>
          </w:p>
        </w:tc>
      </w:tr>
      <w:tr w:rsidR="00C972CB" w14:paraId="330FA35D"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5F60E8C" w14:textId="77777777" w:rsidR="00C972CB" w:rsidRDefault="00C972C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B98D6D8" w14:textId="77777777" w:rsidR="00C972CB" w:rsidRDefault="00C972C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76E8F9" w14:textId="77777777" w:rsidR="00C972CB" w:rsidRDefault="00C972CB">
            <w:pPr>
              <w:rPr>
                <w:b/>
                <w:noProof/>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09D45D65" w14:textId="77777777" w:rsidR="00C972CB" w:rsidRDefault="00C972CB">
            <w:pPr>
              <w:rPr>
                <w:b/>
                <w:noProof/>
              </w:rPr>
            </w:pPr>
          </w:p>
        </w:tc>
      </w:tr>
      <w:tr w:rsidR="00C972CB" w14:paraId="7A94F07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AFF0C" w14:textId="77777777" w:rsidR="00C972CB" w:rsidRDefault="002457F6">
            <w:pPr>
              <w:pStyle w:val="P68B1DB1-Normal12"/>
              <w:jc w:val="center"/>
              <w:rPr>
                <w:noProof/>
              </w:rPr>
            </w:pPr>
            <w:r>
              <w:rPr>
                <w:noProof/>
              </w:rPr>
              <w:t>M2C4–5</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2D176E84" w14:textId="77777777" w:rsidR="00C972CB" w:rsidRDefault="002457F6">
            <w:pPr>
              <w:pStyle w:val="P68B1DB1-Normal12"/>
              <w:rPr>
                <w:noProof/>
              </w:rPr>
            </w:pPr>
            <w:r>
              <w:rPr>
                <w:noProof/>
              </w:rPr>
              <w:t>Ieguldījums 3.2.: Nacionālo parku digitalizācija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F77ADE" w14:textId="77777777" w:rsidR="00C972CB" w:rsidRDefault="002457F6">
            <w:pPr>
              <w:pStyle w:val="P68B1DB1-Normal12"/>
              <w:rPr>
                <w:noProof/>
              </w:rPr>
            </w:pPr>
            <w:r>
              <w:rPr>
                <w:noProof/>
              </w:rPr>
              <w:t>Starpposma mērķis</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0F318A57" w14:textId="77777777" w:rsidR="00C972CB" w:rsidRDefault="002457F6">
            <w:pPr>
              <w:pStyle w:val="P68B1DB1-Normal12"/>
              <w:rPr>
                <w:noProof/>
              </w:rPr>
            </w:pPr>
            <w:r>
              <w:rPr>
                <w:noProof/>
              </w:rPr>
              <w:t xml:space="preserve">Stājas spēkā administratīvā vienkāršošana un digitālo pakalpojumu izstrāde nacionālo parku un </w:t>
            </w:r>
            <w:r>
              <w:rPr>
                <w:noProof/>
              </w:rPr>
              <w:t>aizsargājamo jūras teritoriju apmeklētājiem</w:t>
            </w:r>
          </w:p>
        </w:tc>
      </w:tr>
      <w:tr w:rsidR="00C972CB" w14:paraId="458D2A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9DC4C" w14:textId="77777777" w:rsidR="00C972CB" w:rsidRDefault="002457F6">
            <w:pPr>
              <w:pStyle w:val="P68B1DB1-Normal12"/>
              <w:jc w:val="center"/>
              <w:rPr>
                <w:noProof/>
              </w:rPr>
            </w:pPr>
            <w:r>
              <w:rPr>
                <w:noProof/>
              </w:rPr>
              <w:t>M5C2–9</w:t>
            </w:r>
          </w:p>
        </w:tc>
        <w:tc>
          <w:tcPr>
            <w:tcW w:w="3118" w:type="dxa"/>
            <w:tcBorders>
              <w:top w:val="nil"/>
              <w:left w:val="nil"/>
              <w:bottom w:val="single" w:sz="4" w:space="0" w:color="auto"/>
              <w:right w:val="single" w:sz="4" w:space="0" w:color="auto"/>
            </w:tcBorders>
            <w:shd w:val="clear" w:color="auto" w:fill="C6EFCE"/>
            <w:noWrap/>
            <w:vAlign w:val="center"/>
          </w:tcPr>
          <w:p w14:paraId="46E52C25" w14:textId="77777777" w:rsidR="00C972CB" w:rsidRDefault="002457F6">
            <w:pPr>
              <w:pStyle w:val="P68B1DB1-Normal12"/>
              <w:rPr>
                <w:noProof/>
              </w:rPr>
            </w:pPr>
            <w:r>
              <w:rPr>
                <w:noProof/>
              </w:rPr>
              <w:t>Ieguldījums — Mājokļu pirmās un pēcsta stacijas</w:t>
            </w:r>
          </w:p>
        </w:tc>
        <w:tc>
          <w:tcPr>
            <w:tcW w:w="1418" w:type="dxa"/>
            <w:tcBorders>
              <w:top w:val="nil"/>
              <w:left w:val="nil"/>
              <w:bottom w:val="single" w:sz="4" w:space="0" w:color="auto"/>
              <w:right w:val="single" w:sz="4" w:space="0" w:color="auto"/>
            </w:tcBorders>
            <w:shd w:val="clear" w:color="auto" w:fill="C6EFCE"/>
            <w:noWrap/>
            <w:vAlign w:val="center"/>
          </w:tcPr>
          <w:p w14:paraId="60DB6DCB"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5D0FE33B" w14:textId="77777777" w:rsidR="00C972CB" w:rsidRDefault="002457F6">
            <w:pPr>
              <w:pStyle w:val="P68B1DB1-Normal12"/>
              <w:rPr>
                <w:noProof/>
              </w:rPr>
            </w:pPr>
            <w:r>
              <w:rPr>
                <w:noProof/>
              </w:rPr>
              <w:t xml:space="preserve">Darbības plāna stāšanās spēkā attiecībā uz projektiem “Mājokļi pirmajās un pēcsta stacijās”, ar ko nosaka prasības projektiem, kurus var </w:t>
            </w:r>
            <w:r>
              <w:rPr>
                <w:noProof/>
              </w:rPr>
              <w:t>iesniegt vietējās struktūras, un izsludināt uzaicinājumu iesniegt priekšlikumus</w:t>
            </w:r>
          </w:p>
        </w:tc>
      </w:tr>
      <w:tr w:rsidR="00C972CB" w14:paraId="222E2E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6B3DE" w14:textId="77777777" w:rsidR="00C972CB" w:rsidRDefault="002457F6">
            <w:pPr>
              <w:pStyle w:val="P68B1DB1-Normal12"/>
              <w:jc w:val="center"/>
              <w:rPr>
                <w:noProof/>
              </w:rPr>
            </w:pPr>
            <w:r>
              <w:rPr>
                <w:noProof/>
              </w:rPr>
              <w:t>M1C1–33</w:t>
            </w:r>
          </w:p>
        </w:tc>
        <w:tc>
          <w:tcPr>
            <w:tcW w:w="3118" w:type="dxa"/>
            <w:tcBorders>
              <w:top w:val="nil"/>
              <w:left w:val="nil"/>
              <w:bottom w:val="single" w:sz="4" w:space="0" w:color="auto"/>
              <w:right w:val="single" w:sz="4" w:space="0" w:color="auto"/>
            </w:tcBorders>
            <w:shd w:val="clear" w:color="auto" w:fill="C6EFCE"/>
            <w:noWrap/>
            <w:vAlign w:val="center"/>
          </w:tcPr>
          <w:p w14:paraId="577F311A" w14:textId="77777777" w:rsidR="00C972CB" w:rsidRDefault="002457F6">
            <w:pPr>
              <w:pStyle w:val="P68B1DB1-Normal12"/>
              <w:rPr>
                <w:noProof/>
              </w:rPr>
            </w:pPr>
            <w:r>
              <w:rPr>
                <w:noProof/>
              </w:rPr>
              <w:t>Ieguldījums 1.8: Administratīvo tiesu darbā pieņemšanas procedūras</w:t>
            </w:r>
          </w:p>
        </w:tc>
        <w:tc>
          <w:tcPr>
            <w:tcW w:w="1418" w:type="dxa"/>
            <w:tcBorders>
              <w:top w:val="nil"/>
              <w:left w:val="nil"/>
              <w:bottom w:val="single" w:sz="4" w:space="0" w:color="auto"/>
              <w:right w:val="single" w:sz="4" w:space="0" w:color="auto"/>
            </w:tcBorders>
            <w:shd w:val="clear" w:color="auto" w:fill="C6EFCE"/>
            <w:noWrap/>
            <w:vAlign w:val="center"/>
          </w:tcPr>
          <w:p w14:paraId="458B8A09" w14:textId="77777777" w:rsidR="00C972CB" w:rsidRDefault="002457F6">
            <w:pPr>
              <w:pStyle w:val="P68B1DB1-Normal12"/>
              <w:rPr>
                <w:noProof/>
              </w:rPr>
            </w:pPr>
            <w:r>
              <w:rPr>
                <w:noProof/>
              </w:rPr>
              <w:t>Mērķa</w:t>
            </w:r>
          </w:p>
        </w:tc>
        <w:tc>
          <w:tcPr>
            <w:tcW w:w="3743" w:type="dxa"/>
            <w:tcBorders>
              <w:top w:val="nil"/>
              <w:left w:val="nil"/>
              <w:bottom w:val="single" w:sz="4" w:space="0" w:color="auto"/>
              <w:right w:val="single" w:sz="4" w:space="0" w:color="auto"/>
            </w:tcBorders>
            <w:shd w:val="clear" w:color="auto" w:fill="C6EFCE"/>
            <w:noWrap/>
            <w:vAlign w:val="center"/>
          </w:tcPr>
          <w:p w14:paraId="153B6213" w14:textId="77777777" w:rsidR="00C972CB" w:rsidRDefault="002457F6">
            <w:pPr>
              <w:pStyle w:val="P68B1DB1-Normal12"/>
              <w:rPr>
                <w:noProof/>
              </w:rPr>
            </w:pPr>
            <w:r>
              <w:rPr>
                <w:noProof/>
              </w:rPr>
              <w:t>Administratīvo tiesu darbā pieņemšanas procedūru sākšana</w:t>
            </w:r>
          </w:p>
        </w:tc>
      </w:tr>
      <w:tr w:rsidR="00C972CB" w14:paraId="2856F2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99AF1" w14:textId="77777777" w:rsidR="00C972CB" w:rsidRDefault="002457F6">
            <w:pPr>
              <w:pStyle w:val="P68B1DB1-Normal12"/>
              <w:jc w:val="center"/>
              <w:rPr>
                <w:noProof/>
              </w:rPr>
            </w:pPr>
            <w:r>
              <w:rPr>
                <w:noProof/>
              </w:rPr>
              <w:t>M1C1–56</w:t>
            </w:r>
          </w:p>
        </w:tc>
        <w:tc>
          <w:tcPr>
            <w:tcW w:w="3118" w:type="dxa"/>
            <w:tcBorders>
              <w:top w:val="nil"/>
              <w:left w:val="nil"/>
              <w:bottom w:val="single" w:sz="4" w:space="0" w:color="auto"/>
              <w:right w:val="single" w:sz="4" w:space="0" w:color="auto"/>
            </w:tcBorders>
            <w:shd w:val="clear" w:color="auto" w:fill="C6EFCE"/>
            <w:noWrap/>
            <w:vAlign w:val="center"/>
          </w:tcPr>
          <w:p w14:paraId="4B79F83A" w14:textId="77777777" w:rsidR="00C972CB" w:rsidRDefault="002457F6">
            <w:pPr>
              <w:pStyle w:val="P68B1DB1-Normal12"/>
              <w:rPr>
                <w:noProof/>
              </w:rPr>
            </w:pPr>
            <w:r>
              <w:rPr>
                <w:noProof/>
              </w:rPr>
              <w:t xml:space="preserve">Reforma: Valsts pārvaldes </w:t>
            </w:r>
            <w:r>
              <w:rPr>
                <w:noProof/>
              </w:rPr>
              <w:t>reforma</w:t>
            </w:r>
          </w:p>
        </w:tc>
        <w:tc>
          <w:tcPr>
            <w:tcW w:w="1418" w:type="dxa"/>
            <w:tcBorders>
              <w:top w:val="nil"/>
              <w:left w:val="nil"/>
              <w:bottom w:val="single" w:sz="4" w:space="0" w:color="auto"/>
              <w:right w:val="single" w:sz="4" w:space="0" w:color="auto"/>
            </w:tcBorders>
            <w:shd w:val="clear" w:color="auto" w:fill="C6EFCE"/>
            <w:noWrap/>
            <w:vAlign w:val="center"/>
          </w:tcPr>
          <w:p w14:paraId="21349965"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79ED86BD" w14:textId="77777777" w:rsidR="00C972CB" w:rsidRDefault="002457F6">
            <w:pPr>
              <w:pStyle w:val="P68B1DB1-Normal12"/>
              <w:rPr>
                <w:noProof/>
              </w:rPr>
            </w:pPr>
            <w:r>
              <w:rPr>
                <w:noProof/>
              </w:rPr>
              <w:t>Valsts nodarbinātības reformu veicinošo tiesību aktu stāšanās spēkā</w:t>
            </w:r>
          </w:p>
        </w:tc>
      </w:tr>
      <w:tr w:rsidR="00C972CB" w14:paraId="678257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A9A88D" w14:textId="77777777" w:rsidR="00C972CB" w:rsidRDefault="002457F6">
            <w:pPr>
              <w:pStyle w:val="P68B1DB1-Normal12"/>
              <w:jc w:val="center"/>
              <w:rPr>
                <w:noProof/>
              </w:rPr>
            </w:pPr>
            <w:r>
              <w:rPr>
                <w:noProof/>
              </w:rPr>
              <w:t>M1C1–70</w:t>
            </w:r>
          </w:p>
        </w:tc>
        <w:tc>
          <w:tcPr>
            <w:tcW w:w="3118" w:type="dxa"/>
            <w:tcBorders>
              <w:top w:val="nil"/>
              <w:left w:val="nil"/>
              <w:bottom w:val="single" w:sz="4" w:space="0" w:color="auto"/>
              <w:right w:val="single" w:sz="4" w:space="0" w:color="auto"/>
            </w:tcBorders>
            <w:shd w:val="clear" w:color="auto" w:fill="C6EFCE"/>
            <w:noWrap/>
            <w:vAlign w:val="center"/>
          </w:tcPr>
          <w:p w14:paraId="49B3F5CD"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17E98561"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74AE8DC9" w14:textId="77777777" w:rsidR="00C972CB" w:rsidRDefault="002457F6">
            <w:pPr>
              <w:pStyle w:val="P68B1DB1-Normal12"/>
              <w:rPr>
                <w:noProof/>
              </w:rPr>
            </w:pPr>
            <w:r>
              <w:rPr>
                <w:noProof/>
              </w:rPr>
              <w:t>Publiskā iepirkuma kodeksa pārskatīšanas stāšanās spēkā (D.Lgs. Nr. 50/2016)</w:t>
            </w:r>
          </w:p>
        </w:tc>
      </w:tr>
      <w:tr w:rsidR="00C972CB" w14:paraId="59CC2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515687" w14:textId="77777777" w:rsidR="00C972CB" w:rsidRDefault="002457F6">
            <w:pPr>
              <w:pStyle w:val="P68B1DB1-Normal12"/>
              <w:jc w:val="center"/>
              <w:rPr>
                <w:noProof/>
              </w:rPr>
            </w:pPr>
            <w:r>
              <w:rPr>
                <w:noProof/>
              </w:rPr>
              <w:t>M1C1–103</w:t>
            </w:r>
          </w:p>
        </w:tc>
        <w:tc>
          <w:tcPr>
            <w:tcW w:w="3118" w:type="dxa"/>
            <w:tcBorders>
              <w:top w:val="nil"/>
              <w:left w:val="nil"/>
              <w:bottom w:val="single" w:sz="4" w:space="0" w:color="auto"/>
              <w:right w:val="single" w:sz="4" w:space="0" w:color="auto"/>
            </w:tcBorders>
            <w:shd w:val="clear" w:color="auto" w:fill="C6EFCE"/>
            <w:noWrap/>
            <w:vAlign w:val="center"/>
          </w:tcPr>
          <w:p w14:paraId="6171283F" w14:textId="77777777" w:rsidR="00C972CB" w:rsidRDefault="002457F6">
            <w:pPr>
              <w:pStyle w:val="P68B1DB1-Normal12"/>
              <w:rPr>
                <w:noProof/>
              </w:rPr>
            </w:pPr>
            <w:r>
              <w:rPr>
                <w:noProof/>
              </w:rPr>
              <w:t>Reforma: Nodokļu administrācijas reforma</w:t>
            </w:r>
          </w:p>
        </w:tc>
        <w:tc>
          <w:tcPr>
            <w:tcW w:w="1418" w:type="dxa"/>
            <w:tcBorders>
              <w:top w:val="nil"/>
              <w:left w:val="nil"/>
              <w:bottom w:val="single" w:sz="4" w:space="0" w:color="auto"/>
              <w:right w:val="single" w:sz="4" w:space="0" w:color="auto"/>
            </w:tcBorders>
            <w:shd w:val="clear" w:color="auto" w:fill="C6EFCE"/>
            <w:noWrap/>
            <w:vAlign w:val="center"/>
          </w:tcPr>
          <w:p w14:paraId="4D21E35C"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281C1E89" w14:textId="77777777" w:rsidR="00C972CB" w:rsidRDefault="002457F6">
            <w:pPr>
              <w:pStyle w:val="P68B1DB1-Normal12"/>
              <w:rPr>
                <w:noProof/>
              </w:rPr>
            </w:pPr>
            <w:r>
              <w:rPr>
                <w:noProof/>
              </w:rPr>
              <w:t>Primāro un sekundāro tiesību aktu un reglamentējošo noteikumu stāšanās spēkā un administratīvo procesu pabeigšana, lai veicinātu nodokļu saistību izpildi un uzlabotu revīzijas un kontroles</w:t>
            </w:r>
          </w:p>
        </w:tc>
      </w:tr>
      <w:tr w:rsidR="00C972CB" w14:paraId="5C55D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F33640" w14:textId="77777777" w:rsidR="00C972CB" w:rsidRDefault="002457F6">
            <w:pPr>
              <w:pStyle w:val="P68B1DB1-Normal12"/>
              <w:jc w:val="center"/>
              <w:rPr>
                <w:noProof/>
              </w:rPr>
            </w:pPr>
            <w:r>
              <w:rPr>
                <w:noProof/>
              </w:rPr>
              <w:t>M1C1–104</w:t>
            </w:r>
          </w:p>
        </w:tc>
        <w:tc>
          <w:tcPr>
            <w:tcW w:w="3118" w:type="dxa"/>
            <w:tcBorders>
              <w:top w:val="nil"/>
              <w:left w:val="nil"/>
              <w:bottom w:val="single" w:sz="4" w:space="0" w:color="auto"/>
              <w:right w:val="single" w:sz="4" w:space="0" w:color="auto"/>
            </w:tcBorders>
            <w:shd w:val="clear" w:color="auto" w:fill="C6EFCE"/>
            <w:noWrap/>
            <w:vAlign w:val="center"/>
          </w:tcPr>
          <w:p w14:paraId="1874F278" w14:textId="77777777" w:rsidR="00C972CB" w:rsidRDefault="002457F6">
            <w:pPr>
              <w:pStyle w:val="P68B1DB1-Normal12"/>
              <w:rPr>
                <w:noProof/>
              </w:rPr>
            </w:pPr>
            <w:r>
              <w:rPr>
                <w:noProof/>
              </w:rPr>
              <w:t>Reforma Nr. 1.13: Izdevumu pārskatīšanas sistēmas reforma</w:t>
            </w:r>
          </w:p>
        </w:tc>
        <w:tc>
          <w:tcPr>
            <w:tcW w:w="1418" w:type="dxa"/>
            <w:tcBorders>
              <w:top w:val="nil"/>
              <w:left w:val="nil"/>
              <w:bottom w:val="single" w:sz="4" w:space="0" w:color="auto"/>
              <w:right w:val="single" w:sz="4" w:space="0" w:color="auto"/>
            </w:tcBorders>
            <w:shd w:val="clear" w:color="auto" w:fill="C6EFCE"/>
            <w:noWrap/>
            <w:vAlign w:val="center"/>
          </w:tcPr>
          <w:p w14:paraId="5986A86E"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1DF85EB4" w14:textId="77777777" w:rsidR="00C972CB" w:rsidRDefault="002457F6">
            <w:pPr>
              <w:pStyle w:val="P68B1DB1-Normal12"/>
              <w:rPr>
                <w:noProof/>
              </w:rPr>
            </w:pPr>
            <w:r>
              <w:rPr>
                <w:noProof/>
              </w:rPr>
              <w:t>Ietaupījumu mērķrādītāju pieņemšana izdevumu pārskatīšanai 2023.–2025. gadam</w:t>
            </w:r>
          </w:p>
        </w:tc>
      </w:tr>
      <w:tr w:rsidR="00C972CB" w14:paraId="41C4C3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68284" w14:textId="77777777" w:rsidR="00C972CB" w:rsidRDefault="002457F6">
            <w:pPr>
              <w:pStyle w:val="P68B1DB1-Normal12"/>
              <w:jc w:val="center"/>
              <w:rPr>
                <w:noProof/>
              </w:rPr>
            </w:pPr>
            <w:r>
              <w:rPr>
                <w:noProof/>
              </w:rPr>
              <w:t>M1C3–11</w:t>
            </w:r>
          </w:p>
        </w:tc>
        <w:tc>
          <w:tcPr>
            <w:tcW w:w="3118" w:type="dxa"/>
            <w:tcBorders>
              <w:top w:val="nil"/>
              <w:left w:val="nil"/>
              <w:bottom w:val="single" w:sz="4" w:space="0" w:color="auto"/>
              <w:right w:val="single" w:sz="4" w:space="0" w:color="auto"/>
            </w:tcBorders>
            <w:shd w:val="clear" w:color="auto" w:fill="C6EFCE"/>
            <w:noWrap/>
            <w:vAlign w:val="center"/>
          </w:tcPr>
          <w:p w14:paraId="08D9FB0A" w14:textId="77777777" w:rsidR="00C972CB" w:rsidRDefault="002457F6">
            <w:pPr>
              <w:pStyle w:val="P68B1DB1-Normal12"/>
              <w:rPr>
                <w:noProof/>
              </w:rPr>
            </w:pPr>
            <w:r>
              <w:rPr>
                <w:noProof/>
              </w:rPr>
              <w:t>Ieguldījums 1.3. Uzlabot energoefektivitāti kinoteātros, teātros un muzejos</w:t>
            </w:r>
          </w:p>
        </w:tc>
        <w:tc>
          <w:tcPr>
            <w:tcW w:w="1418" w:type="dxa"/>
            <w:tcBorders>
              <w:top w:val="nil"/>
              <w:left w:val="nil"/>
              <w:bottom w:val="single" w:sz="4" w:space="0" w:color="auto"/>
              <w:right w:val="single" w:sz="4" w:space="0" w:color="auto"/>
            </w:tcBorders>
            <w:shd w:val="clear" w:color="auto" w:fill="C6EFCE"/>
            <w:noWrap/>
            <w:vAlign w:val="center"/>
          </w:tcPr>
          <w:p w14:paraId="2D80767E"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344E7AAB" w14:textId="77777777" w:rsidR="00C972CB" w:rsidRDefault="002457F6">
            <w:pPr>
              <w:pStyle w:val="P68B1DB1-Normal12"/>
              <w:rPr>
                <w:noProof/>
              </w:rPr>
            </w:pPr>
            <w:r>
              <w:rPr>
                <w:noProof/>
              </w:rPr>
              <w:t xml:space="preserve">Stājas spēkā Kultūras ministrijas dekrēts par resursu piešķiršanu: uzlabot energoefektivitāti kultūras vietās </w:t>
            </w:r>
          </w:p>
        </w:tc>
      </w:tr>
      <w:tr w:rsidR="00C972CB" w14:paraId="7E6698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3D4D" w14:textId="77777777" w:rsidR="00C972CB" w:rsidRDefault="002457F6">
            <w:pPr>
              <w:pStyle w:val="P68B1DB1-Normal12"/>
              <w:jc w:val="center"/>
              <w:rPr>
                <w:noProof/>
              </w:rPr>
            </w:pPr>
            <w:r>
              <w:rPr>
                <w:noProof/>
              </w:rPr>
              <w:t>M2C1–1</w:t>
            </w:r>
          </w:p>
        </w:tc>
        <w:tc>
          <w:tcPr>
            <w:tcW w:w="3118" w:type="dxa"/>
            <w:tcBorders>
              <w:top w:val="nil"/>
              <w:left w:val="nil"/>
              <w:bottom w:val="single" w:sz="4" w:space="0" w:color="auto"/>
              <w:right w:val="single" w:sz="4" w:space="0" w:color="auto"/>
            </w:tcBorders>
            <w:shd w:val="clear" w:color="auto" w:fill="C6EFCE"/>
            <w:noWrap/>
            <w:vAlign w:val="center"/>
          </w:tcPr>
          <w:p w14:paraId="6A027FEC" w14:textId="77777777" w:rsidR="00C972CB" w:rsidRDefault="002457F6">
            <w:pPr>
              <w:pStyle w:val="P68B1DB1-Normal12"/>
              <w:rPr>
                <w:noProof/>
              </w:rPr>
            </w:pPr>
            <w:r>
              <w:rPr>
                <w:noProof/>
              </w:rPr>
              <w:t>Reforma. Valsts stratēģija pārejai uz aprites ekonomiku</w:t>
            </w:r>
          </w:p>
        </w:tc>
        <w:tc>
          <w:tcPr>
            <w:tcW w:w="1418" w:type="dxa"/>
            <w:tcBorders>
              <w:top w:val="nil"/>
              <w:left w:val="nil"/>
              <w:bottom w:val="single" w:sz="4" w:space="0" w:color="auto"/>
              <w:right w:val="single" w:sz="4" w:space="0" w:color="auto"/>
            </w:tcBorders>
            <w:shd w:val="clear" w:color="auto" w:fill="C6EFCE"/>
            <w:noWrap/>
            <w:vAlign w:val="center"/>
          </w:tcPr>
          <w:p w14:paraId="7CF26F7A"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7BAB86FD" w14:textId="77777777" w:rsidR="00C972CB" w:rsidRDefault="002457F6">
            <w:pPr>
              <w:pStyle w:val="P68B1DB1-Normal12"/>
              <w:rPr>
                <w:noProof/>
              </w:rPr>
            </w:pPr>
            <w:r>
              <w:rPr>
                <w:noProof/>
              </w:rPr>
              <w:t>Stājas spēkā ministrijas dekrēts par valsts s</w:t>
            </w:r>
            <w:r>
              <w:rPr>
                <w:noProof/>
              </w:rPr>
              <w:t>tratēģijas pārejai uz aprites ekonomiku pieņemšanu</w:t>
            </w:r>
          </w:p>
        </w:tc>
      </w:tr>
      <w:tr w:rsidR="00C972CB" w14:paraId="58ADD8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0320FD" w14:textId="77777777" w:rsidR="00C972CB" w:rsidRDefault="002457F6">
            <w:pPr>
              <w:pStyle w:val="P68B1DB1-Normal12"/>
              <w:jc w:val="center"/>
              <w:rPr>
                <w:noProof/>
              </w:rPr>
            </w:pPr>
            <w:r>
              <w:rPr>
                <w:noProof/>
              </w:rPr>
              <w:t>M2C1–2</w:t>
            </w:r>
          </w:p>
        </w:tc>
        <w:tc>
          <w:tcPr>
            <w:tcW w:w="3118" w:type="dxa"/>
            <w:tcBorders>
              <w:top w:val="nil"/>
              <w:left w:val="nil"/>
              <w:bottom w:val="single" w:sz="4" w:space="0" w:color="auto"/>
              <w:right w:val="single" w:sz="4" w:space="0" w:color="auto"/>
            </w:tcBorders>
            <w:shd w:val="clear" w:color="auto" w:fill="C6EFCE"/>
            <w:noWrap/>
            <w:vAlign w:val="center"/>
          </w:tcPr>
          <w:p w14:paraId="3015677F" w14:textId="77777777" w:rsidR="00C972CB" w:rsidRDefault="002457F6">
            <w:pPr>
              <w:pStyle w:val="P68B1DB1-Normal12"/>
              <w:rPr>
                <w:noProof/>
              </w:rPr>
            </w:pPr>
            <w:r>
              <w:rPr>
                <w:noProof/>
              </w:rPr>
              <w:t>Reforma. Tehniskais atbalsts vietējām pašvaldībām</w:t>
            </w:r>
          </w:p>
        </w:tc>
        <w:tc>
          <w:tcPr>
            <w:tcW w:w="1418" w:type="dxa"/>
            <w:tcBorders>
              <w:top w:val="nil"/>
              <w:left w:val="nil"/>
              <w:bottom w:val="single" w:sz="4" w:space="0" w:color="auto"/>
              <w:right w:val="single" w:sz="4" w:space="0" w:color="auto"/>
            </w:tcBorders>
            <w:shd w:val="clear" w:color="auto" w:fill="C6EFCE"/>
            <w:noWrap/>
            <w:vAlign w:val="center"/>
          </w:tcPr>
          <w:p w14:paraId="403047F5"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17454D29" w14:textId="77777777" w:rsidR="00C972CB" w:rsidRDefault="002457F6">
            <w:pPr>
              <w:pStyle w:val="P68B1DB1-Normal12"/>
              <w:rPr>
                <w:noProof/>
              </w:rPr>
            </w:pPr>
            <w:r>
              <w:rPr>
                <w:noProof/>
              </w:rPr>
              <w:t>Vienošanās apstiprināšana par spēju veidošanas rīcības plāna izstrādi, lai atbalstītu vietējās publiskās iestādes</w:t>
            </w:r>
          </w:p>
        </w:tc>
      </w:tr>
      <w:tr w:rsidR="00C972CB" w14:paraId="678D62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570EE6" w14:textId="77777777" w:rsidR="00C972CB" w:rsidRDefault="002457F6">
            <w:pPr>
              <w:pStyle w:val="P68B1DB1-Normal12"/>
              <w:jc w:val="center"/>
              <w:rPr>
                <w:noProof/>
              </w:rPr>
            </w:pPr>
            <w:r>
              <w:rPr>
                <w:noProof/>
              </w:rPr>
              <w:t>M2C1–11</w:t>
            </w:r>
          </w:p>
        </w:tc>
        <w:tc>
          <w:tcPr>
            <w:tcW w:w="3118" w:type="dxa"/>
            <w:tcBorders>
              <w:top w:val="nil"/>
              <w:left w:val="nil"/>
              <w:bottom w:val="single" w:sz="4" w:space="0" w:color="auto"/>
              <w:right w:val="single" w:sz="4" w:space="0" w:color="auto"/>
            </w:tcBorders>
            <w:shd w:val="clear" w:color="auto" w:fill="C6EFCE"/>
            <w:noWrap/>
            <w:vAlign w:val="center"/>
          </w:tcPr>
          <w:p w14:paraId="46E35F14" w14:textId="77777777" w:rsidR="00C972CB" w:rsidRDefault="002457F6">
            <w:pPr>
              <w:pStyle w:val="P68B1DB1-Normal12"/>
              <w:rPr>
                <w:noProof/>
              </w:rPr>
            </w:pPr>
            <w:r>
              <w:rPr>
                <w:noProof/>
              </w:rPr>
              <w:t>Ieguldījums 3.3. Kultūra un informētība par vides jautājumiem un problēmām</w:t>
            </w:r>
          </w:p>
        </w:tc>
        <w:tc>
          <w:tcPr>
            <w:tcW w:w="1418" w:type="dxa"/>
            <w:tcBorders>
              <w:top w:val="nil"/>
              <w:left w:val="nil"/>
              <w:bottom w:val="single" w:sz="4" w:space="0" w:color="auto"/>
              <w:right w:val="single" w:sz="4" w:space="0" w:color="auto"/>
            </w:tcBorders>
            <w:shd w:val="clear" w:color="auto" w:fill="C6EFCE"/>
            <w:noWrap/>
            <w:vAlign w:val="center"/>
          </w:tcPr>
          <w:p w14:paraId="1BC34DB9"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2E896250" w14:textId="77777777" w:rsidR="00C972CB" w:rsidRDefault="002457F6">
            <w:pPr>
              <w:pStyle w:val="P68B1DB1-Normal12"/>
              <w:rPr>
                <w:noProof/>
              </w:rPr>
            </w:pPr>
            <w:r>
              <w:rPr>
                <w:noProof/>
              </w:rPr>
              <w:t>Tīmekļa platformas izveide un līgumi ar autoriem</w:t>
            </w:r>
          </w:p>
        </w:tc>
      </w:tr>
      <w:tr w:rsidR="00C972CB" w14:paraId="7F215F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7F933" w14:textId="77777777" w:rsidR="00C972CB" w:rsidRDefault="002457F6">
            <w:pPr>
              <w:pStyle w:val="P68B1DB1-Normal12"/>
              <w:jc w:val="center"/>
              <w:rPr>
                <w:noProof/>
              </w:rPr>
            </w:pPr>
            <w:r>
              <w:rPr>
                <w:noProof/>
              </w:rPr>
              <w:t>M2C2–18</w:t>
            </w:r>
          </w:p>
        </w:tc>
        <w:tc>
          <w:tcPr>
            <w:tcW w:w="3118" w:type="dxa"/>
            <w:tcBorders>
              <w:top w:val="nil"/>
              <w:left w:val="nil"/>
              <w:bottom w:val="single" w:sz="4" w:space="0" w:color="auto"/>
              <w:right w:val="single" w:sz="4" w:space="0" w:color="auto"/>
            </w:tcBorders>
            <w:shd w:val="clear" w:color="auto" w:fill="C6EFCE"/>
            <w:noWrap/>
            <w:vAlign w:val="center"/>
          </w:tcPr>
          <w:p w14:paraId="051FD6E6" w14:textId="77777777" w:rsidR="00C972CB" w:rsidRDefault="002457F6">
            <w:pPr>
              <w:pStyle w:val="P68B1DB1-Normal12"/>
              <w:rPr>
                <w:noProof/>
              </w:rPr>
            </w:pPr>
            <w:r>
              <w:rPr>
                <w:noProof/>
              </w:rPr>
              <w:t>Ieguldījums. Ūdeņraža pētniecība un izstrāde</w:t>
            </w:r>
          </w:p>
        </w:tc>
        <w:tc>
          <w:tcPr>
            <w:tcW w:w="1418" w:type="dxa"/>
            <w:tcBorders>
              <w:top w:val="nil"/>
              <w:left w:val="nil"/>
              <w:bottom w:val="single" w:sz="4" w:space="0" w:color="auto"/>
              <w:right w:val="single" w:sz="4" w:space="0" w:color="auto"/>
            </w:tcBorders>
            <w:shd w:val="clear" w:color="auto" w:fill="C6EFCE"/>
            <w:noWrap/>
            <w:vAlign w:val="center"/>
          </w:tcPr>
          <w:p w14:paraId="3183DFF7"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2B33D93A" w14:textId="77777777" w:rsidR="00C972CB" w:rsidRDefault="002457F6">
            <w:pPr>
              <w:pStyle w:val="P68B1DB1-Normal12"/>
              <w:rPr>
                <w:noProof/>
              </w:rPr>
            </w:pPr>
            <w:r>
              <w:rPr>
                <w:noProof/>
              </w:rPr>
              <w:t>Visu publisko pētniecības un izstrādes līg</w:t>
            </w:r>
            <w:r>
              <w:rPr>
                <w:noProof/>
              </w:rPr>
              <w:t>umu slēgšanas tiesību piešķiršana ūdeņraža pētniecības projektiem</w:t>
            </w:r>
          </w:p>
        </w:tc>
      </w:tr>
      <w:tr w:rsidR="00C972CB" w14:paraId="738F57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552039" w14:textId="77777777" w:rsidR="00C972CB" w:rsidRDefault="002457F6">
            <w:pPr>
              <w:pStyle w:val="P68B1DB1-Normal12"/>
              <w:jc w:val="center"/>
              <w:rPr>
                <w:noProof/>
              </w:rPr>
            </w:pPr>
            <w:r>
              <w:rPr>
                <w:noProof/>
              </w:rPr>
              <w:t>M2C2–21</w:t>
            </w:r>
          </w:p>
        </w:tc>
        <w:tc>
          <w:tcPr>
            <w:tcW w:w="3118" w:type="dxa"/>
            <w:tcBorders>
              <w:top w:val="nil"/>
              <w:left w:val="nil"/>
              <w:bottom w:val="single" w:sz="4" w:space="0" w:color="auto"/>
              <w:right w:val="single" w:sz="4" w:space="0" w:color="auto"/>
            </w:tcBorders>
            <w:shd w:val="clear" w:color="auto" w:fill="C6EFCE"/>
            <w:noWrap/>
            <w:vAlign w:val="center"/>
          </w:tcPr>
          <w:p w14:paraId="62C1FAA7" w14:textId="77777777" w:rsidR="00C972CB" w:rsidRDefault="002457F6">
            <w:pPr>
              <w:pStyle w:val="P68B1DB1-Normal12"/>
              <w:rPr>
                <w:noProof/>
              </w:rPr>
            </w:pPr>
            <w:r>
              <w:rPr>
                <w:noProof/>
              </w:rPr>
              <w:t>Reforma. Pasākumi ūdeņraža konkurētspējas veicināšanai</w:t>
            </w:r>
          </w:p>
        </w:tc>
        <w:tc>
          <w:tcPr>
            <w:tcW w:w="1418" w:type="dxa"/>
            <w:tcBorders>
              <w:top w:val="nil"/>
              <w:left w:val="nil"/>
              <w:bottom w:val="single" w:sz="4" w:space="0" w:color="auto"/>
              <w:right w:val="single" w:sz="4" w:space="0" w:color="auto"/>
            </w:tcBorders>
            <w:shd w:val="clear" w:color="auto" w:fill="C6EFCE"/>
            <w:noWrap/>
            <w:vAlign w:val="center"/>
          </w:tcPr>
          <w:p w14:paraId="46B9D19A"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61AAE13A" w14:textId="77777777" w:rsidR="00C972CB" w:rsidRDefault="002457F6">
            <w:pPr>
              <w:pStyle w:val="P68B1DB1-Normal12"/>
              <w:rPr>
                <w:noProof/>
              </w:rPr>
            </w:pPr>
            <w:r>
              <w:rPr>
                <w:noProof/>
              </w:rPr>
              <w:t>Fiskālo stimulu stāšanās spēkā</w:t>
            </w:r>
          </w:p>
        </w:tc>
      </w:tr>
      <w:tr w:rsidR="00C972CB" w14:paraId="39F793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F4C49" w14:textId="77777777" w:rsidR="00C972CB" w:rsidRDefault="002457F6">
            <w:pPr>
              <w:pStyle w:val="P68B1DB1-Normal12"/>
              <w:jc w:val="center"/>
              <w:rPr>
                <w:noProof/>
              </w:rPr>
            </w:pPr>
            <w:r>
              <w:rPr>
                <w:noProof/>
              </w:rPr>
              <w:t>M2C2–38</w:t>
            </w:r>
          </w:p>
        </w:tc>
        <w:tc>
          <w:tcPr>
            <w:tcW w:w="3118" w:type="dxa"/>
            <w:tcBorders>
              <w:top w:val="nil"/>
              <w:left w:val="nil"/>
              <w:bottom w:val="single" w:sz="4" w:space="0" w:color="auto"/>
              <w:right w:val="single" w:sz="4" w:space="0" w:color="auto"/>
            </w:tcBorders>
            <w:shd w:val="clear" w:color="auto" w:fill="C6EFCE"/>
            <w:noWrap/>
            <w:vAlign w:val="center"/>
          </w:tcPr>
          <w:p w14:paraId="14BE7B0B" w14:textId="77777777" w:rsidR="00C972CB" w:rsidRDefault="002457F6">
            <w:pPr>
              <w:pStyle w:val="P68B1DB1-Normal12"/>
              <w:rPr>
                <w:noProof/>
              </w:rPr>
            </w:pPr>
            <w:r>
              <w:rPr>
                <w:noProof/>
              </w:rPr>
              <w:t>Ieguldījums 5.1.: Atjaunojamie energoresursi un akumulatori</w:t>
            </w:r>
          </w:p>
        </w:tc>
        <w:tc>
          <w:tcPr>
            <w:tcW w:w="1418" w:type="dxa"/>
            <w:tcBorders>
              <w:top w:val="nil"/>
              <w:left w:val="nil"/>
              <w:bottom w:val="single" w:sz="4" w:space="0" w:color="auto"/>
              <w:right w:val="single" w:sz="4" w:space="0" w:color="auto"/>
            </w:tcBorders>
            <w:shd w:val="clear" w:color="auto" w:fill="C6EFCE"/>
            <w:noWrap/>
            <w:vAlign w:val="center"/>
          </w:tcPr>
          <w:p w14:paraId="6A830566"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3F7300EE" w14:textId="77777777" w:rsidR="00C972CB" w:rsidRDefault="002457F6">
            <w:pPr>
              <w:pStyle w:val="P68B1DB1-Normal12"/>
              <w:rPr>
                <w:noProof/>
              </w:rPr>
            </w:pPr>
            <w:r>
              <w:rPr>
                <w:noProof/>
              </w:rPr>
              <w:t>Ministrijas dekrēta stāšanās spēkā</w:t>
            </w:r>
          </w:p>
        </w:tc>
      </w:tr>
      <w:tr w:rsidR="00C972CB" w14:paraId="1E4A84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15A6" w14:textId="77777777" w:rsidR="00C972CB" w:rsidRDefault="002457F6">
            <w:pPr>
              <w:pStyle w:val="P68B1DB1-Normal12"/>
              <w:jc w:val="center"/>
              <w:rPr>
                <w:noProof/>
              </w:rPr>
            </w:pPr>
            <w:r>
              <w:rPr>
                <w:noProof/>
              </w:rPr>
              <w:t>M2C2–42</w:t>
            </w:r>
          </w:p>
        </w:tc>
        <w:tc>
          <w:tcPr>
            <w:tcW w:w="3118" w:type="dxa"/>
            <w:tcBorders>
              <w:top w:val="nil"/>
              <w:left w:val="nil"/>
              <w:bottom w:val="single" w:sz="4" w:space="0" w:color="auto"/>
              <w:right w:val="single" w:sz="4" w:space="0" w:color="auto"/>
            </w:tcBorders>
            <w:shd w:val="clear" w:color="auto" w:fill="C6EFCE"/>
            <w:noWrap/>
            <w:vAlign w:val="center"/>
          </w:tcPr>
          <w:p w14:paraId="61946A5A" w14:textId="77777777" w:rsidR="00C972CB" w:rsidRDefault="002457F6">
            <w:pPr>
              <w:pStyle w:val="P68B1DB1-Normal12"/>
              <w:rPr>
                <w:noProof/>
              </w:rPr>
            </w:pPr>
            <w:r>
              <w:rPr>
                <w:noProof/>
              </w:rPr>
              <w:t>Ieguldījums 5.4: Atbalsts jaunuzņēmumiem un riska kapitālam, kas aktīvi darbojas ekoloģiskās pārkārtošanās procesā</w:t>
            </w:r>
          </w:p>
        </w:tc>
        <w:tc>
          <w:tcPr>
            <w:tcW w:w="1418" w:type="dxa"/>
            <w:tcBorders>
              <w:top w:val="nil"/>
              <w:left w:val="nil"/>
              <w:bottom w:val="single" w:sz="4" w:space="0" w:color="auto"/>
              <w:right w:val="single" w:sz="4" w:space="0" w:color="auto"/>
            </w:tcBorders>
            <w:shd w:val="clear" w:color="auto" w:fill="C6EFCE"/>
            <w:noWrap/>
            <w:vAlign w:val="center"/>
          </w:tcPr>
          <w:p w14:paraId="15C0F1DD"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260B65BB" w14:textId="77777777" w:rsidR="00C972CB" w:rsidRDefault="002457F6">
            <w:pPr>
              <w:pStyle w:val="P68B1DB1-Normal12"/>
              <w:rPr>
                <w:noProof/>
              </w:rPr>
            </w:pPr>
            <w:r>
              <w:rPr>
                <w:noProof/>
              </w:rPr>
              <w:t>Finanšu nolīguma parakstīšana</w:t>
            </w:r>
          </w:p>
        </w:tc>
      </w:tr>
      <w:tr w:rsidR="00C972CB" w14:paraId="75C687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C962D0" w14:textId="77777777" w:rsidR="00C972CB" w:rsidRDefault="002457F6">
            <w:pPr>
              <w:pStyle w:val="P68B1DB1-Normal12"/>
              <w:jc w:val="center"/>
              <w:rPr>
                <w:noProof/>
              </w:rPr>
            </w:pPr>
            <w:r>
              <w:rPr>
                <w:noProof/>
              </w:rPr>
              <w:t>M2C3–4</w:t>
            </w:r>
          </w:p>
        </w:tc>
        <w:tc>
          <w:tcPr>
            <w:tcW w:w="3118" w:type="dxa"/>
            <w:tcBorders>
              <w:top w:val="nil"/>
              <w:left w:val="nil"/>
              <w:bottom w:val="single" w:sz="4" w:space="0" w:color="auto"/>
              <w:right w:val="single" w:sz="4" w:space="0" w:color="auto"/>
            </w:tcBorders>
            <w:shd w:val="clear" w:color="auto" w:fill="C6EFCE"/>
            <w:noWrap/>
            <w:vAlign w:val="center"/>
          </w:tcPr>
          <w:p w14:paraId="67E09044" w14:textId="77777777" w:rsidR="00C972CB" w:rsidRDefault="002457F6">
            <w:pPr>
              <w:pStyle w:val="P68B1DB1-Normal12"/>
              <w:rPr>
                <w:noProof/>
              </w:rPr>
            </w:pPr>
            <w:r>
              <w:rPr>
                <w:noProof/>
              </w:rPr>
              <w:t xml:space="preserve">Reforma. </w:t>
            </w:r>
            <w:r>
              <w:rPr>
                <w:noProof/>
              </w:rPr>
              <w:t>Energoefektivitātes intervences procedūru vienkāršošana un paātrināšana</w:t>
            </w:r>
          </w:p>
        </w:tc>
        <w:tc>
          <w:tcPr>
            <w:tcW w:w="1418" w:type="dxa"/>
            <w:tcBorders>
              <w:top w:val="nil"/>
              <w:left w:val="nil"/>
              <w:bottom w:val="single" w:sz="4" w:space="0" w:color="auto"/>
              <w:right w:val="single" w:sz="4" w:space="0" w:color="auto"/>
            </w:tcBorders>
            <w:shd w:val="clear" w:color="auto" w:fill="C6EFCE"/>
            <w:noWrap/>
            <w:vAlign w:val="center"/>
          </w:tcPr>
          <w:p w14:paraId="2D0B5E37"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282A31D5" w14:textId="77777777" w:rsidR="00C972CB" w:rsidRDefault="002457F6">
            <w:pPr>
              <w:pStyle w:val="P68B1DB1-Normal12"/>
              <w:rPr>
                <w:noProof/>
              </w:rPr>
            </w:pPr>
            <w:r>
              <w:rPr>
                <w:noProof/>
              </w:rPr>
              <w:t>Energoefektivitātes intervences procedūru vienkāršošana un paātrināšana</w:t>
            </w:r>
          </w:p>
        </w:tc>
      </w:tr>
      <w:tr w:rsidR="00C972CB" w14:paraId="769BE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EF240" w14:textId="77777777" w:rsidR="00C972CB" w:rsidRDefault="002457F6">
            <w:pPr>
              <w:pStyle w:val="P68B1DB1-Normal12"/>
              <w:jc w:val="center"/>
              <w:rPr>
                <w:noProof/>
              </w:rPr>
            </w:pPr>
            <w:r>
              <w:rPr>
                <w:noProof/>
              </w:rPr>
              <w:t>M2C4–1</w:t>
            </w:r>
          </w:p>
        </w:tc>
        <w:tc>
          <w:tcPr>
            <w:tcW w:w="3118" w:type="dxa"/>
            <w:tcBorders>
              <w:top w:val="nil"/>
              <w:left w:val="nil"/>
              <w:bottom w:val="single" w:sz="4" w:space="0" w:color="auto"/>
              <w:right w:val="single" w:sz="4" w:space="0" w:color="auto"/>
            </w:tcBorders>
            <w:shd w:val="clear" w:color="auto" w:fill="C6EFCE"/>
            <w:noWrap/>
            <w:vAlign w:val="center"/>
          </w:tcPr>
          <w:p w14:paraId="5BB06055" w14:textId="77777777" w:rsidR="00C972CB" w:rsidRDefault="002457F6">
            <w:pPr>
              <w:pStyle w:val="P68B1DB1-Normal12"/>
              <w:rPr>
                <w:noProof/>
              </w:rPr>
            </w:pPr>
            <w:r>
              <w:rPr>
                <w:noProof/>
              </w:rPr>
              <w:t>Reforma. Procedūru vienkāršošana un paātrināšana hidroģeoloģiskās nestabilitātes novēr</w:t>
            </w:r>
            <w:r>
              <w:rPr>
                <w:noProof/>
              </w:rPr>
              <w:t>šanai</w:t>
            </w:r>
          </w:p>
        </w:tc>
        <w:tc>
          <w:tcPr>
            <w:tcW w:w="1418" w:type="dxa"/>
            <w:tcBorders>
              <w:top w:val="nil"/>
              <w:left w:val="nil"/>
              <w:bottom w:val="single" w:sz="4" w:space="0" w:color="auto"/>
              <w:right w:val="single" w:sz="4" w:space="0" w:color="auto"/>
            </w:tcBorders>
            <w:shd w:val="clear" w:color="auto" w:fill="C6EFCE"/>
            <w:noWrap/>
            <w:vAlign w:val="center"/>
          </w:tcPr>
          <w:p w14:paraId="186C89FA"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16F60148" w14:textId="77777777" w:rsidR="00C972CB" w:rsidRDefault="002457F6">
            <w:pPr>
              <w:pStyle w:val="P68B1DB1-Normal12"/>
              <w:rPr>
                <w:noProof/>
              </w:rPr>
            </w:pPr>
            <w:r>
              <w:rPr>
                <w:noProof/>
              </w:rPr>
              <w:t>Stājas spēkā tiesiskā regulējuma vienkāršošana labākai hidroloģisko risku pārvaldībai</w:t>
            </w:r>
          </w:p>
        </w:tc>
      </w:tr>
      <w:tr w:rsidR="00C972CB" w14:paraId="05819B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4FD14E" w14:textId="77777777" w:rsidR="00C972CB" w:rsidRDefault="002457F6">
            <w:pPr>
              <w:pStyle w:val="P68B1DB1-Normal12"/>
              <w:jc w:val="center"/>
              <w:rPr>
                <w:noProof/>
              </w:rPr>
            </w:pPr>
            <w:r>
              <w:rPr>
                <w:noProof/>
              </w:rPr>
              <w:t>M2C4–4</w:t>
            </w:r>
          </w:p>
        </w:tc>
        <w:tc>
          <w:tcPr>
            <w:tcW w:w="3118" w:type="dxa"/>
            <w:tcBorders>
              <w:top w:val="nil"/>
              <w:left w:val="nil"/>
              <w:bottom w:val="single" w:sz="4" w:space="0" w:color="auto"/>
              <w:right w:val="single" w:sz="4" w:space="0" w:color="auto"/>
            </w:tcBorders>
            <w:shd w:val="clear" w:color="auto" w:fill="C6EFCE"/>
            <w:noWrap/>
            <w:vAlign w:val="center"/>
          </w:tcPr>
          <w:p w14:paraId="4F1D78D3" w14:textId="77777777" w:rsidR="00C972CB" w:rsidRDefault="002457F6">
            <w:pPr>
              <w:pStyle w:val="P68B1DB1-Normal12"/>
              <w:rPr>
                <w:noProof/>
              </w:rPr>
            </w:pPr>
            <w:r>
              <w:rPr>
                <w:noProof/>
              </w:rPr>
              <w:t>Reforma “Pasākumi integrētu ūdensapgādes pakalpojumu pilnīgas vadības nodrošināšanai”</w:t>
            </w:r>
          </w:p>
        </w:tc>
        <w:tc>
          <w:tcPr>
            <w:tcW w:w="1418" w:type="dxa"/>
            <w:tcBorders>
              <w:top w:val="nil"/>
              <w:left w:val="nil"/>
              <w:bottom w:val="single" w:sz="4" w:space="0" w:color="auto"/>
              <w:right w:val="single" w:sz="4" w:space="0" w:color="auto"/>
            </w:tcBorders>
            <w:shd w:val="clear" w:color="auto" w:fill="C6EFCE"/>
            <w:noWrap/>
            <w:vAlign w:val="center"/>
          </w:tcPr>
          <w:p w14:paraId="38B1082D"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7A9371CC" w14:textId="77777777" w:rsidR="00C972CB" w:rsidRDefault="002457F6">
            <w:pPr>
              <w:pStyle w:val="P68B1DB1-Normal12"/>
              <w:rPr>
                <w:noProof/>
              </w:rPr>
            </w:pPr>
            <w:r>
              <w:rPr>
                <w:noProof/>
              </w:rPr>
              <w:t xml:space="preserve">Jaunā tiesiskā regulējuma </w:t>
            </w:r>
            <w:r>
              <w:rPr>
                <w:noProof/>
              </w:rPr>
              <w:t>attiecībā uz apūdeņošanu stāšanās spēkā</w:t>
            </w:r>
          </w:p>
        </w:tc>
      </w:tr>
      <w:tr w:rsidR="00C972CB" w14:paraId="13031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4837B4" w14:textId="77777777" w:rsidR="00C972CB" w:rsidRDefault="002457F6">
            <w:pPr>
              <w:pStyle w:val="P68B1DB1-Normal12"/>
              <w:jc w:val="center"/>
              <w:rPr>
                <w:noProof/>
              </w:rPr>
            </w:pPr>
            <w:r>
              <w:rPr>
                <w:noProof/>
              </w:rPr>
              <w:t>M4C1–3</w:t>
            </w:r>
          </w:p>
        </w:tc>
        <w:tc>
          <w:tcPr>
            <w:tcW w:w="3118" w:type="dxa"/>
            <w:tcBorders>
              <w:top w:val="nil"/>
              <w:left w:val="nil"/>
              <w:bottom w:val="single" w:sz="4" w:space="0" w:color="auto"/>
              <w:right w:val="single" w:sz="4" w:space="0" w:color="auto"/>
            </w:tcBorders>
            <w:shd w:val="clear" w:color="auto" w:fill="C6EFCE"/>
            <w:noWrap/>
            <w:vAlign w:val="center"/>
          </w:tcPr>
          <w:p w14:paraId="658DD559" w14:textId="77777777" w:rsidR="00C972CB" w:rsidRDefault="002457F6">
            <w:pPr>
              <w:pStyle w:val="P68B1DB1-Normal12"/>
              <w:rPr>
                <w:noProof/>
              </w:rPr>
            </w:pPr>
            <w:r>
              <w:rPr>
                <w:noProof/>
              </w:rPr>
              <w:t>Reforma. Skolotāju pieņemšana darbā</w:t>
            </w:r>
          </w:p>
        </w:tc>
        <w:tc>
          <w:tcPr>
            <w:tcW w:w="1418" w:type="dxa"/>
            <w:tcBorders>
              <w:top w:val="nil"/>
              <w:left w:val="nil"/>
              <w:bottom w:val="single" w:sz="4" w:space="0" w:color="auto"/>
              <w:right w:val="single" w:sz="4" w:space="0" w:color="auto"/>
            </w:tcBorders>
            <w:shd w:val="clear" w:color="auto" w:fill="C6EFCE"/>
            <w:noWrap/>
            <w:vAlign w:val="center"/>
          </w:tcPr>
          <w:p w14:paraId="0D3E92D3"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349353D0" w14:textId="77777777" w:rsidR="00C972CB" w:rsidRDefault="002457F6">
            <w:pPr>
              <w:pStyle w:val="P68B1DB1-Normal12"/>
              <w:rPr>
                <w:noProof/>
              </w:rPr>
            </w:pPr>
            <w:r>
              <w:rPr>
                <w:noProof/>
              </w:rPr>
              <w:t>Stājas spēkā reforma attiecībā uz skolotāja profesiju.</w:t>
            </w:r>
          </w:p>
        </w:tc>
      </w:tr>
      <w:tr w:rsidR="00C972CB" w14:paraId="427DF0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A355EB" w14:textId="77777777" w:rsidR="00C972CB" w:rsidRDefault="002457F6">
            <w:pPr>
              <w:pStyle w:val="P68B1DB1-Normal12"/>
              <w:jc w:val="center"/>
              <w:rPr>
                <w:noProof/>
              </w:rPr>
            </w:pPr>
            <w:r>
              <w:rPr>
                <w:noProof/>
              </w:rPr>
              <w:t>M4C1–4</w:t>
            </w:r>
          </w:p>
        </w:tc>
        <w:tc>
          <w:tcPr>
            <w:tcW w:w="3118" w:type="dxa"/>
            <w:tcBorders>
              <w:top w:val="nil"/>
              <w:left w:val="nil"/>
              <w:bottom w:val="single" w:sz="4" w:space="0" w:color="auto"/>
              <w:right w:val="single" w:sz="4" w:space="0" w:color="auto"/>
            </w:tcBorders>
            <w:shd w:val="clear" w:color="auto" w:fill="C6EFCE"/>
            <w:noWrap/>
            <w:vAlign w:val="center"/>
          </w:tcPr>
          <w:p w14:paraId="0A2409BE" w14:textId="77777777" w:rsidR="00C972CB" w:rsidRDefault="002457F6">
            <w:pPr>
              <w:pStyle w:val="P68B1DB1-Normal12"/>
              <w:rPr>
                <w:noProof/>
              </w:rPr>
            </w:pPr>
            <w:r>
              <w:rPr>
                <w:noProof/>
              </w:rPr>
              <w:t xml:space="preserve">Ieguldījums 3.2.: Skola 4.0: inovatīvas skolas, elektroinstalācijas, jaunas klases un </w:t>
            </w:r>
            <w:r>
              <w:rPr>
                <w:noProof/>
              </w:rPr>
              <w:t>darbsemināri</w:t>
            </w:r>
          </w:p>
        </w:tc>
        <w:tc>
          <w:tcPr>
            <w:tcW w:w="1418" w:type="dxa"/>
            <w:tcBorders>
              <w:top w:val="nil"/>
              <w:left w:val="nil"/>
              <w:bottom w:val="single" w:sz="4" w:space="0" w:color="auto"/>
              <w:right w:val="single" w:sz="4" w:space="0" w:color="auto"/>
            </w:tcBorders>
            <w:shd w:val="clear" w:color="auto" w:fill="C6EFCE"/>
            <w:noWrap/>
            <w:vAlign w:val="center"/>
          </w:tcPr>
          <w:p w14:paraId="23966AC2"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5C8A58CF" w14:textId="77777777" w:rsidR="00C972CB" w:rsidRDefault="002457F6">
            <w:pPr>
              <w:pStyle w:val="P68B1DB1-Normal12"/>
              <w:rPr>
                <w:noProof/>
              </w:rPr>
            </w:pPr>
            <w:r>
              <w:rPr>
                <w:noProof/>
              </w:rPr>
              <w:t>Ir pieņemts Itālijas skolu sistēmas digitālās pārkārtošanās veicināšanas plāns “Skola 4.0”</w:t>
            </w:r>
          </w:p>
        </w:tc>
      </w:tr>
      <w:tr w:rsidR="00C972CB" w14:paraId="7D119B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540D9" w14:textId="77777777" w:rsidR="00C972CB" w:rsidRDefault="002457F6">
            <w:pPr>
              <w:pStyle w:val="P68B1DB1-Normal12"/>
              <w:jc w:val="center"/>
              <w:rPr>
                <w:noProof/>
              </w:rPr>
            </w:pPr>
            <w:r>
              <w:rPr>
                <w:noProof/>
              </w:rPr>
              <w:t>M4C2–4</w:t>
            </w:r>
          </w:p>
        </w:tc>
        <w:tc>
          <w:tcPr>
            <w:tcW w:w="3118" w:type="dxa"/>
            <w:tcBorders>
              <w:top w:val="nil"/>
              <w:left w:val="nil"/>
              <w:bottom w:val="single" w:sz="4" w:space="0" w:color="auto"/>
              <w:right w:val="single" w:sz="4" w:space="0" w:color="auto"/>
            </w:tcBorders>
            <w:shd w:val="clear" w:color="auto" w:fill="C6EFCE"/>
            <w:noWrap/>
            <w:vAlign w:val="center"/>
          </w:tcPr>
          <w:p w14:paraId="5145C0FD" w14:textId="77777777" w:rsidR="00C972CB" w:rsidRDefault="002457F6">
            <w:pPr>
              <w:pStyle w:val="P68B1DB1-Normal12"/>
              <w:rPr>
                <w:noProof/>
              </w:rPr>
            </w:pPr>
            <w:r>
              <w:rPr>
                <w:noProof/>
              </w:rPr>
              <w:t>Reforma. Pētniecības un attīstības atbalsta pasākumu īstenošana, lai veicinātu vienkāršošanu un mobilitāti</w:t>
            </w:r>
          </w:p>
        </w:tc>
        <w:tc>
          <w:tcPr>
            <w:tcW w:w="1418" w:type="dxa"/>
            <w:tcBorders>
              <w:top w:val="nil"/>
              <w:left w:val="nil"/>
              <w:bottom w:val="single" w:sz="4" w:space="0" w:color="auto"/>
              <w:right w:val="single" w:sz="4" w:space="0" w:color="auto"/>
            </w:tcBorders>
            <w:shd w:val="clear" w:color="auto" w:fill="C6EFCE"/>
            <w:noWrap/>
            <w:vAlign w:val="center"/>
          </w:tcPr>
          <w:p w14:paraId="7C0982FF" w14:textId="77777777" w:rsidR="00C972CB" w:rsidRDefault="002457F6">
            <w:pPr>
              <w:pStyle w:val="P68B1DB1-Normal12"/>
              <w:rPr>
                <w:noProof/>
              </w:rPr>
            </w:pPr>
            <w:r>
              <w:rPr>
                <w:noProof/>
              </w:rPr>
              <w:t>Starpposma mērķis</w:t>
            </w:r>
          </w:p>
        </w:tc>
        <w:tc>
          <w:tcPr>
            <w:tcW w:w="3743" w:type="dxa"/>
            <w:tcBorders>
              <w:top w:val="nil"/>
              <w:left w:val="nil"/>
              <w:bottom w:val="single" w:sz="4" w:space="0" w:color="auto"/>
              <w:right w:val="single" w:sz="4" w:space="0" w:color="auto"/>
            </w:tcBorders>
            <w:shd w:val="clear" w:color="auto" w:fill="C6EFCE"/>
            <w:noWrap/>
            <w:vAlign w:val="center"/>
          </w:tcPr>
          <w:p w14:paraId="13F36FB8" w14:textId="77777777" w:rsidR="00C972CB" w:rsidRDefault="002457F6">
            <w:pPr>
              <w:pStyle w:val="P68B1DB1-Normal12"/>
              <w:rPr>
                <w:noProof/>
              </w:rPr>
            </w:pPr>
            <w:r>
              <w:rPr>
                <w:noProof/>
              </w:rPr>
              <w:t>Stājas spēkā ministrijas dekrēti par pētniecības un izstrādes vienkāršošanu un mobilitāti saistībā ar parasto finansēšanas fondu.</w:t>
            </w:r>
          </w:p>
        </w:tc>
      </w:tr>
      <w:tr w:rsidR="00C972CB" w14:paraId="2E5C1B5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8FAC53" w14:textId="77777777" w:rsidR="00C972CB" w:rsidRDefault="00C972C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DD2B4E8" w14:textId="77777777" w:rsidR="00C972CB" w:rsidRDefault="00C972C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773106F" w14:textId="77777777" w:rsidR="00C972CB" w:rsidRDefault="002457F6">
            <w:pPr>
              <w:pStyle w:val="P68B1DB1-Normal12"/>
              <w:rPr>
                <w:noProof/>
              </w:rPr>
            </w:pPr>
            <w:r>
              <w:rPr>
                <w:noProof/>
              </w:rPr>
              <w:t>Maksājuma summa</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044A383C" w14:textId="060E6C35" w:rsidR="00C972CB" w:rsidRDefault="002457F6">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4608591D" w14:textId="1F3C23D8" w:rsidR="00C972CB" w:rsidRDefault="002457F6">
      <w:pPr>
        <w:pStyle w:val="P68B1DB1-Normal44"/>
        <w:numPr>
          <w:ilvl w:val="1"/>
          <w:numId w:val="6"/>
        </w:numPr>
        <w:spacing w:before="120" w:after="120"/>
        <w:jc w:val="both"/>
        <w:rPr>
          <w:noProof/>
        </w:rPr>
      </w:pPr>
      <w:r>
        <w:rPr>
          <w:noProof/>
        </w:rPr>
        <w:t>Trešā daļa (neatmaksājamais atbalsts):</w:t>
      </w:r>
    </w:p>
    <w:tbl>
      <w:tblPr>
        <w:tblW w:w="9814" w:type="dxa"/>
        <w:tblInd w:w="113" w:type="dxa"/>
        <w:tblLook w:val="04A0" w:firstRow="1" w:lastRow="0" w:firstColumn="1" w:lastColumn="0" w:noHBand="0" w:noVBand="1"/>
      </w:tblPr>
      <w:tblGrid>
        <w:gridCol w:w="1413"/>
        <w:gridCol w:w="3118"/>
        <w:gridCol w:w="1983"/>
        <w:gridCol w:w="3865"/>
      </w:tblGrid>
      <w:tr w:rsidR="00C972CB" w14:paraId="024385C5"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1C294" w14:textId="77777777" w:rsidR="00C972CB" w:rsidRDefault="002457F6">
            <w:pPr>
              <w:pStyle w:val="P68B1DB1-Normal45"/>
              <w:jc w:val="center"/>
              <w:rPr>
                <w:noProof/>
              </w:rPr>
            </w:pPr>
            <w:r>
              <w:rPr>
                <w:noProof/>
              </w:rPr>
              <w:t>Kārtas numurs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A2855B" w14:textId="77777777" w:rsidR="00C972CB" w:rsidRDefault="002457F6">
            <w:pPr>
              <w:pStyle w:val="P68B1DB1-Normal45"/>
              <w:jc w:val="center"/>
              <w:rPr>
                <w:noProof/>
              </w:rPr>
            </w:pPr>
            <w:r>
              <w:rPr>
                <w:noProof/>
              </w:rPr>
              <w:t xml:space="preserve">Pasākums (reforma vai </w:t>
            </w:r>
            <w:r>
              <w:rPr>
                <w:noProof/>
              </w:rPr>
              <w:t>investīcija)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2A284" w14:textId="77777777" w:rsidR="00C972CB" w:rsidRDefault="002457F6">
            <w:pPr>
              <w:pStyle w:val="P68B1DB1-Normal45"/>
              <w:jc w:val="center"/>
              <w:rPr>
                <w:noProof/>
              </w:rPr>
            </w:pPr>
            <w:r>
              <w:rPr>
                <w:noProof/>
              </w:rPr>
              <w:t>Atskaites punkts/mērķrādītājs</w:t>
            </w:r>
          </w:p>
        </w:tc>
        <w:tc>
          <w:tcPr>
            <w:tcW w:w="38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816D1B" w14:textId="77777777" w:rsidR="00C972CB" w:rsidRDefault="002457F6">
            <w:pPr>
              <w:pStyle w:val="P68B1DB1-Normal45"/>
              <w:jc w:val="center"/>
              <w:rPr>
                <w:noProof/>
              </w:rPr>
            </w:pPr>
            <w:r>
              <w:rPr>
                <w:noProof/>
              </w:rPr>
              <w:t>Uzvārds</w:t>
            </w:r>
          </w:p>
        </w:tc>
      </w:tr>
      <w:tr w:rsidR="00C972CB" w14:paraId="4C58571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36F8BB0" w14:textId="77777777" w:rsidR="00C972CB" w:rsidRDefault="00C972C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94ED6D4" w14:textId="77777777" w:rsidR="00C972CB" w:rsidRDefault="00C972C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0943F30" w14:textId="77777777" w:rsidR="00C972CB" w:rsidRDefault="00C972CB">
            <w:pPr>
              <w:rPr>
                <w:b/>
                <w:noProof/>
              </w:rPr>
            </w:pPr>
          </w:p>
        </w:tc>
        <w:tc>
          <w:tcPr>
            <w:tcW w:w="3865" w:type="dxa"/>
            <w:vMerge/>
            <w:tcBorders>
              <w:top w:val="single" w:sz="4" w:space="0" w:color="auto"/>
              <w:left w:val="single" w:sz="4" w:space="0" w:color="auto"/>
              <w:bottom w:val="single" w:sz="4" w:space="0" w:color="auto"/>
              <w:right w:val="single" w:sz="4" w:space="0" w:color="auto"/>
            </w:tcBorders>
            <w:vAlign w:val="center"/>
            <w:hideMark/>
          </w:tcPr>
          <w:p w14:paraId="5248C271" w14:textId="77777777" w:rsidR="00C972CB" w:rsidRDefault="00C972CB">
            <w:pPr>
              <w:rPr>
                <w:b/>
                <w:noProof/>
              </w:rPr>
            </w:pPr>
          </w:p>
        </w:tc>
      </w:tr>
      <w:tr w:rsidR="00C972CB" w14:paraId="09249A6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31F0B" w14:textId="77777777" w:rsidR="00C972CB" w:rsidRDefault="002457F6">
            <w:pPr>
              <w:pStyle w:val="P68B1DB1-Normal12"/>
              <w:jc w:val="center"/>
              <w:rPr>
                <w:noProof/>
              </w:rPr>
            </w:pPr>
            <w:r>
              <w:rPr>
                <w:noProof/>
              </w:rPr>
              <w:t>M2C4–2</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1C9AE096" w14:textId="77777777" w:rsidR="00C972CB" w:rsidRDefault="002457F6">
            <w:pPr>
              <w:pStyle w:val="P68B1DB1-Normal12"/>
              <w:rPr>
                <w:noProof/>
              </w:rPr>
            </w:pPr>
            <w:r>
              <w:rPr>
                <w:noProof/>
              </w:rPr>
              <w:t>Reforma “Pasākumi integrētu ūdensapgādes pakalpojumu pilnīgas vadības nodrošināšanai”</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CA68A11" w14:textId="77777777" w:rsidR="00C972CB" w:rsidRDefault="002457F6">
            <w:pPr>
              <w:pStyle w:val="P68B1DB1-Normal12"/>
              <w:rPr>
                <w:noProof/>
              </w:rPr>
            </w:pPr>
            <w:r>
              <w:rPr>
                <w:noProof/>
              </w:rPr>
              <w:t>Starpposma mērķis</w:t>
            </w:r>
          </w:p>
        </w:tc>
        <w:tc>
          <w:tcPr>
            <w:tcW w:w="3865" w:type="dxa"/>
            <w:tcBorders>
              <w:top w:val="single" w:sz="4" w:space="0" w:color="auto"/>
              <w:left w:val="nil"/>
              <w:bottom w:val="single" w:sz="4" w:space="0" w:color="auto"/>
              <w:right w:val="single" w:sz="4" w:space="0" w:color="auto"/>
            </w:tcBorders>
            <w:shd w:val="clear" w:color="auto" w:fill="C6EFCE"/>
            <w:noWrap/>
            <w:vAlign w:val="center"/>
          </w:tcPr>
          <w:p w14:paraId="1C0BBB7E" w14:textId="77777777" w:rsidR="00C972CB" w:rsidRDefault="002457F6">
            <w:pPr>
              <w:pStyle w:val="P68B1DB1-Normal12"/>
              <w:rPr>
                <w:noProof/>
              </w:rPr>
            </w:pPr>
            <w:r>
              <w:rPr>
                <w:noProof/>
              </w:rPr>
              <w:t xml:space="preserve">Reformas stāšanās spēkā, lai nodrošinātu integrētu ūdensapgādes pakalpojumu pilnīgas pārvaldības spējas </w:t>
            </w:r>
          </w:p>
        </w:tc>
      </w:tr>
      <w:tr w:rsidR="00C972CB" w14:paraId="7F06C0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536A4" w14:textId="77777777" w:rsidR="00C972CB" w:rsidRDefault="002457F6">
            <w:pPr>
              <w:pStyle w:val="P68B1DB1-Normal12"/>
              <w:jc w:val="center"/>
              <w:rPr>
                <w:noProof/>
              </w:rPr>
            </w:pPr>
            <w:r>
              <w:rPr>
                <w:noProof/>
              </w:rPr>
              <w:t>M1C1–3</w:t>
            </w:r>
          </w:p>
        </w:tc>
        <w:tc>
          <w:tcPr>
            <w:tcW w:w="3118" w:type="dxa"/>
            <w:tcBorders>
              <w:top w:val="nil"/>
              <w:left w:val="nil"/>
              <w:bottom w:val="single" w:sz="4" w:space="0" w:color="auto"/>
              <w:right w:val="single" w:sz="4" w:space="0" w:color="auto"/>
            </w:tcBorders>
            <w:shd w:val="clear" w:color="auto" w:fill="C6EFCE"/>
            <w:noWrap/>
            <w:vAlign w:val="center"/>
          </w:tcPr>
          <w:p w14:paraId="664E12C2" w14:textId="77777777" w:rsidR="00C972CB" w:rsidRDefault="002457F6">
            <w:pPr>
              <w:pStyle w:val="P68B1DB1-Normal12"/>
              <w:rPr>
                <w:noProof/>
              </w:rPr>
            </w:pPr>
            <w:r>
              <w:rPr>
                <w:noProof/>
              </w:rPr>
              <w:t>Ieguldījums 1.1: Digitālā infrastruktūra</w:t>
            </w:r>
          </w:p>
        </w:tc>
        <w:tc>
          <w:tcPr>
            <w:tcW w:w="1418" w:type="dxa"/>
            <w:tcBorders>
              <w:top w:val="nil"/>
              <w:left w:val="nil"/>
              <w:bottom w:val="single" w:sz="4" w:space="0" w:color="auto"/>
              <w:right w:val="single" w:sz="4" w:space="0" w:color="auto"/>
            </w:tcBorders>
            <w:shd w:val="clear" w:color="auto" w:fill="C6EFCE"/>
            <w:noWrap/>
            <w:vAlign w:val="center"/>
          </w:tcPr>
          <w:p w14:paraId="5C328CDE"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1A530C2C" w14:textId="77777777" w:rsidR="00C972CB" w:rsidRDefault="002457F6">
            <w:pPr>
              <w:pStyle w:val="P68B1DB1-Normal12"/>
              <w:rPr>
                <w:noProof/>
              </w:rPr>
            </w:pPr>
            <w:r>
              <w:rPr>
                <w:noProof/>
              </w:rPr>
              <w:t>Polo Strategico Nazionale (PSN) pabeigšana</w:t>
            </w:r>
          </w:p>
        </w:tc>
      </w:tr>
      <w:tr w:rsidR="00C972CB" w14:paraId="62D183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62037" w14:textId="77777777" w:rsidR="00C972CB" w:rsidRDefault="002457F6">
            <w:pPr>
              <w:pStyle w:val="P68B1DB1-Normal12"/>
              <w:jc w:val="center"/>
              <w:rPr>
                <w:noProof/>
              </w:rPr>
            </w:pPr>
            <w:r>
              <w:rPr>
                <w:noProof/>
              </w:rPr>
              <w:t>M1C1–4</w:t>
            </w:r>
          </w:p>
        </w:tc>
        <w:tc>
          <w:tcPr>
            <w:tcW w:w="3118" w:type="dxa"/>
            <w:tcBorders>
              <w:top w:val="nil"/>
              <w:left w:val="nil"/>
              <w:bottom w:val="single" w:sz="4" w:space="0" w:color="auto"/>
              <w:right w:val="single" w:sz="4" w:space="0" w:color="auto"/>
            </w:tcBorders>
            <w:shd w:val="clear" w:color="auto" w:fill="C6EFCE"/>
            <w:noWrap/>
            <w:vAlign w:val="center"/>
          </w:tcPr>
          <w:p w14:paraId="08DEB7F9" w14:textId="77777777" w:rsidR="00C972CB" w:rsidRDefault="002457F6">
            <w:pPr>
              <w:pStyle w:val="P68B1DB1-Normal12"/>
              <w:rPr>
                <w:noProof/>
              </w:rPr>
            </w:pPr>
            <w:r>
              <w:rPr>
                <w:noProof/>
              </w:rPr>
              <w:t xml:space="preserve">Ieguldījums 1.3.1.: Valsts </w:t>
            </w:r>
            <w:r>
              <w:rPr>
                <w:noProof/>
              </w:rPr>
              <w:t>digitālo datu platforma</w:t>
            </w:r>
          </w:p>
        </w:tc>
        <w:tc>
          <w:tcPr>
            <w:tcW w:w="1418" w:type="dxa"/>
            <w:tcBorders>
              <w:top w:val="nil"/>
              <w:left w:val="nil"/>
              <w:bottom w:val="single" w:sz="4" w:space="0" w:color="auto"/>
              <w:right w:val="single" w:sz="4" w:space="0" w:color="auto"/>
            </w:tcBorders>
            <w:shd w:val="clear" w:color="auto" w:fill="C6EFCE"/>
            <w:noWrap/>
            <w:vAlign w:val="center"/>
          </w:tcPr>
          <w:p w14:paraId="634484B3"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56A3BE89" w14:textId="77777777" w:rsidR="00C972CB" w:rsidRDefault="002457F6">
            <w:pPr>
              <w:pStyle w:val="P68B1DB1-Normal12"/>
              <w:rPr>
                <w:noProof/>
              </w:rPr>
            </w:pPr>
            <w:r>
              <w:rPr>
                <w:noProof/>
              </w:rPr>
              <w:t>Darbojas valsts digitālo datu platforma</w:t>
            </w:r>
          </w:p>
        </w:tc>
      </w:tr>
      <w:tr w:rsidR="00C972CB" w14:paraId="73F43A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F8DE2" w14:textId="77777777" w:rsidR="00C972CB" w:rsidRDefault="002457F6">
            <w:pPr>
              <w:pStyle w:val="P68B1DB1-Normal12"/>
              <w:jc w:val="center"/>
              <w:rPr>
                <w:noProof/>
              </w:rPr>
            </w:pPr>
            <w:r>
              <w:rPr>
                <w:noProof/>
              </w:rPr>
              <w:t>M1C1–5</w:t>
            </w:r>
          </w:p>
        </w:tc>
        <w:tc>
          <w:tcPr>
            <w:tcW w:w="3118" w:type="dxa"/>
            <w:tcBorders>
              <w:top w:val="nil"/>
              <w:left w:val="nil"/>
              <w:bottom w:val="single" w:sz="4" w:space="0" w:color="auto"/>
              <w:right w:val="single" w:sz="4" w:space="0" w:color="auto"/>
            </w:tcBorders>
            <w:shd w:val="clear" w:color="auto" w:fill="C6EFCE"/>
            <w:noWrap/>
            <w:vAlign w:val="center"/>
          </w:tcPr>
          <w:p w14:paraId="7612E03B" w14:textId="77777777" w:rsidR="00C972CB" w:rsidRDefault="002457F6">
            <w:pPr>
              <w:pStyle w:val="P68B1DB1-Normal12"/>
              <w:rPr>
                <w:noProof/>
              </w:rPr>
            </w:pPr>
            <w:r>
              <w:rPr>
                <w:noProof/>
              </w:rPr>
              <w:t>Ieguldījums 1,5: Kiberdrošība</w:t>
            </w:r>
          </w:p>
        </w:tc>
        <w:tc>
          <w:tcPr>
            <w:tcW w:w="1418" w:type="dxa"/>
            <w:tcBorders>
              <w:top w:val="nil"/>
              <w:left w:val="nil"/>
              <w:bottom w:val="single" w:sz="4" w:space="0" w:color="auto"/>
              <w:right w:val="single" w:sz="4" w:space="0" w:color="auto"/>
            </w:tcBorders>
            <w:shd w:val="clear" w:color="auto" w:fill="C6EFCE"/>
            <w:noWrap/>
            <w:vAlign w:val="center"/>
          </w:tcPr>
          <w:p w14:paraId="4D311C10"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700E698D" w14:textId="77777777" w:rsidR="00C972CB" w:rsidRDefault="002457F6">
            <w:pPr>
              <w:pStyle w:val="P68B1DB1-Normal12"/>
              <w:rPr>
                <w:noProof/>
              </w:rPr>
            </w:pPr>
            <w:r>
              <w:rPr>
                <w:noProof/>
              </w:rPr>
              <w:t>Jaunas Valsts kiberdrošības aģentūras izveide</w:t>
            </w:r>
          </w:p>
        </w:tc>
      </w:tr>
      <w:tr w:rsidR="00C972CB" w14:paraId="5F088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86C934" w14:textId="77777777" w:rsidR="00C972CB" w:rsidRDefault="002457F6">
            <w:pPr>
              <w:pStyle w:val="P68B1DB1-Normal12"/>
              <w:jc w:val="center"/>
              <w:rPr>
                <w:noProof/>
              </w:rPr>
            </w:pPr>
            <w:r>
              <w:rPr>
                <w:noProof/>
              </w:rPr>
              <w:t>M1C1–6</w:t>
            </w:r>
          </w:p>
        </w:tc>
        <w:tc>
          <w:tcPr>
            <w:tcW w:w="3118" w:type="dxa"/>
            <w:tcBorders>
              <w:top w:val="nil"/>
              <w:left w:val="nil"/>
              <w:bottom w:val="single" w:sz="4" w:space="0" w:color="auto"/>
              <w:right w:val="single" w:sz="4" w:space="0" w:color="auto"/>
            </w:tcBorders>
            <w:shd w:val="clear" w:color="auto" w:fill="C6EFCE"/>
            <w:noWrap/>
            <w:vAlign w:val="center"/>
          </w:tcPr>
          <w:p w14:paraId="7CE1C7FF" w14:textId="77777777" w:rsidR="00C972CB" w:rsidRDefault="002457F6">
            <w:pPr>
              <w:pStyle w:val="P68B1DB1-Normal12"/>
              <w:rPr>
                <w:noProof/>
              </w:rPr>
            </w:pPr>
            <w:r>
              <w:rPr>
                <w:noProof/>
              </w:rPr>
              <w:t>Ieguldījums 1,5: Kiberdrošība</w:t>
            </w:r>
          </w:p>
        </w:tc>
        <w:tc>
          <w:tcPr>
            <w:tcW w:w="1418" w:type="dxa"/>
            <w:tcBorders>
              <w:top w:val="nil"/>
              <w:left w:val="nil"/>
              <w:bottom w:val="single" w:sz="4" w:space="0" w:color="auto"/>
              <w:right w:val="single" w:sz="4" w:space="0" w:color="auto"/>
            </w:tcBorders>
            <w:shd w:val="clear" w:color="auto" w:fill="C6EFCE"/>
            <w:noWrap/>
            <w:vAlign w:val="center"/>
          </w:tcPr>
          <w:p w14:paraId="7CC2886E"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4DF8DB79" w14:textId="77777777" w:rsidR="00C972CB" w:rsidRDefault="002457F6">
            <w:pPr>
              <w:pStyle w:val="P68B1DB1-Normal12"/>
              <w:rPr>
                <w:noProof/>
              </w:rPr>
            </w:pPr>
            <w:r>
              <w:rPr>
                <w:noProof/>
              </w:rPr>
              <w:t xml:space="preserve">Valsts </w:t>
            </w:r>
            <w:r>
              <w:rPr>
                <w:noProof/>
              </w:rPr>
              <w:t>kiberdrošības pakalpojumu sākotnējā ieviešana</w:t>
            </w:r>
          </w:p>
        </w:tc>
      </w:tr>
      <w:tr w:rsidR="00C972CB" w14:paraId="0754A1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239867" w14:textId="77777777" w:rsidR="00C972CB" w:rsidRDefault="002457F6">
            <w:pPr>
              <w:pStyle w:val="P68B1DB1-Normal12"/>
              <w:jc w:val="center"/>
              <w:rPr>
                <w:noProof/>
              </w:rPr>
            </w:pPr>
            <w:r>
              <w:rPr>
                <w:noProof/>
              </w:rPr>
              <w:t>M1C1–7</w:t>
            </w:r>
          </w:p>
        </w:tc>
        <w:tc>
          <w:tcPr>
            <w:tcW w:w="3118" w:type="dxa"/>
            <w:tcBorders>
              <w:top w:val="nil"/>
              <w:left w:val="nil"/>
              <w:bottom w:val="single" w:sz="4" w:space="0" w:color="auto"/>
              <w:right w:val="single" w:sz="4" w:space="0" w:color="auto"/>
            </w:tcBorders>
            <w:shd w:val="clear" w:color="auto" w:fill="C6EFCE"/>
            <w:noWrap/>
            <w:vAlign w:val="center"/>
          </w:tcPr>
          <w:p w14:paraId="449A92CA" w14:textId="77777777" w:rsidR="00C972CB" w:rsidRDefault="002457F6">
            <w:pPr>
              <w:pStyle w:val="P68B1DB1-Normal12"/>
              <w:rPr>
                <w:noProof/>
              </w:rPr>
            </w:pPr>
            <w:r>
              <w:rPr>
                <w:noProof/>
              </w:rPr>
              <w:t>Ieguldījums 1,5: Kiberdrošība</w:t>
            </w:r>
          </w:p>
        </w:tc>
        <w:tc>
          <w:tcPr>
            <w:tcW w:w="1418" w:type="dxa"/>
            <w:tcBorders>
              <w:top w:val="nil"/>
              <w:left w:val="nil"/>
              <w:bottom w:val="single" w:sz="4" w:space="0" w:color="auto"/>
              <w:right w:val="single" w:sz="4" w:space="0" w:color="auto"/>
            </w:tcBorders>
            <w:shd w:val="clear" w:color="auto" w:fill="C6EFCE"/>
            <w:noWrap/>
            <w:vAlign w:val="center"/>
          </w:tcPr>
          <w:p w14:paraId="78FE3462"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4B2C8E1C" w14:textId="77777777" w:rsidR="00C972CB" w:rsidRDefault="002457F6">
            <w:pPr>
              <w:pStyle w:val="P68B1DB1-Normal12"/>
              <w:rPr>
                <w:noProof/>
              </w:rPr>
            </w:pPr>
            <w:r>
              <w:rPr>
                <w:noProof/>
              </w:rPr>
              <w:t>Kiberdrošības skrīninga un sertifikācijas laboratoriju tīkla izveide</w:t>
            </w:r>
          </w:p>
        </w:tc>
      </w:tr>
      <w:tr w:rsidR="00C972CB" w14:paraId="6B880E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C11FCC" w14:textId="77777777" w:rsidR="00C972CB" w:rsidRDefault="002457F6">
            <w:pPr>
              <w:pStyle w:val="P68B1DB1-Normal12"/>
              <w:jc w:val="center"/>
              <w:rPr>
                <w:noProof/>
              </w:rPr>
            </w:pPr>
            <w:r>
              <w:rPr>
                <w:noProof/>
              </w:rPr>
              <w:t>M1C1–8</w:t>
            </w:r>
          </w:p>
        </w:tc>
        <w:tc>
          <w:tcPr>
            <w:tcW w:w="3118" w:type="dxa"/>
            <w:tcBorders>
              <w:top w:val="nil"/>
              <w:left w:val="nil"/>
              <w:bottom w:val="single" w:sz="4" w:space="0" w:color="auto"/>
              <w:right w:val="single" w:sz="4" w:space="0" w:color="auto"/>
            </w:tcBorders>
            <w:shd w:val="clear" w:color="auto" w:fill="C6EFCE"/>
            <w:noWrap/>
            <w:vAlign w:val="center"/>
          </w:tcPr>
          <w:p w14:paraId="0FEDA91B" w14:textId="77777777" w:rsidR="00C972CB" w:rsidRDefault="002457F6">
            <w:pPr>
              <w:pStyle w:val="P68B1DB1-Normal12"/>
              <w:rPr>
                <w:noProof/>
              </w:rPr>
            </w:pPr>
            <w:r>
              <w:rPr>
                <w:noProof/>
              </w:rPr>
              <w:t>Ieguldījums 1,5: Kiberdrošība</w:t>
            </w:r>
          </w:p>
        </w:tc>
        <w:tc>
          <w:tcPr>
            <w:tcW w:w="1418" w:type="dxa"/>
            <w:tcBorders>
              <w:top w:val="nil"/>
              <w:left w:val="nil"/>
              <w:bottom w:val="single" w:sz="4" w:space="0" w:color="auto"/>
              <w:right w:val="single" w:sz="4" w:space="0" w:color="auto"/>
            </w:tcBorders>
            <w:shd w:val="clear" w:color="auto" w:fill="C6EFCE"/>
            <w:noWrap/>
            <w:vAlign w:val="center"/>
          </w:tcPr>
          <w:p w14:paraId="2B7D3C0A"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7E750D31" w14:textId="77777777" w:rsidR="00C972CB" w:rsidRDefault="002457F6">
            <w:pPr>
              <w:pStyle w:val="P68B1DB1-Normal12"/>
              <w:rPr>
                <w:noProof/>
              </w:rPr>
            </w:pPr>
            <w:r>
              <w:rPr>
                <w:noProof/>
              </w:rPr>
              <w:t>Centrālās revīzijas nodaļas a</w:t>
            </w:r>
            <w:r>
              <w:rPr>
                <w:noProof/>
              </w:rPr>
              <w:t>ktivizēšana PSNC un TID drošības pasākumiem</w:t>
            </w:r>
          </w:p>
        </w:tc>
      </w:tr>
      <w:tr w:rsidR="00C972CB" w14:paraId="61DDCD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24974" w14:textId="77777777" w:rsidR="00C972CB" w:rsidRDefault="002457F6">
            <w:pPr>
              <w:pStyle w:val="P68B1DB1-Normal12"/>
              <w:jc w:val="center"/>
              <w:rPr>
                <w:noProof/>
              </w:rPr>
            </w:pPr>
            <w:r>
              <w:rPr>
                <w:noProof/>
              </w:rPr>
              <w:t>M1C1–9</w:t>
            </w:r>
          </w:p>
        </w:tc>
        <w:tc>
          <w:tcPr>
            <w:tcW w:w="3118" w:type="dxa"/>
            <w:tcBorders>
              <w:top w:val="nil"/>
              <w:left w:val="nil"/>
              <w:bottom w:val="single" w:sz="4" w:space="0" w:color="auto"/>
              <w:right w:val="single" w:sz="4" w:space="0" w:color="auto"/>
            </w:tcBorders>
            <w:shd w:val="clear" w:color="auto" w:fill="C6EFCE"/>
            <w:noWrap/>
            <w:vAlign w:val="center"/>
          </w:tcPr>
          <w:p w14:paraId="35E8BD16" w14:textId="77777777" w:rsidR="00C972CB" w:rsidRDefault="002457F6">
            <w:pPr>
              <w:pStyle w:val="P68B1DB1-Normal12"/>
              <w:rPr>
                <w:noProof/>
              </w:rPr>
            </w:pPr>
            <w:r>
              <w:rPr>
                <w:noProof/>
              </w:rPr>
              <w:t>Ieguldījums 1,5: Kiberdrošība</w:t>
            </w:r>
          </w:p>
        </w:tc>
        <w:tc>
          <w:tcPr>
            <w:tcW w:w="1418" w:type="dxa"/>
            <w:tcBorders>
              <w:top w:val="nil"/>
              <w:left w:val="nil"/>
              <w:bottom w:val="single" w:sz="4" w:space="0" w:color="auto"/>
              <w:right w:val="single" w:sz="4" w:space="0" w:color="auto"/>
            </w:tcBorders>
            <w:shd w:val="clear" w:color="auto" w:fill="C6EFCE"/>
            <w:noWrap/>
            <w:vAlign w:val="center"/>
          </w:tcPr>
          <w:p w14:paraId="3CAAB595" w14:textId="77777777" w:rsidR="00C972CB" w:rsidRDefault="002457F6">
            <w:pPr>
              <w:pStyle w:val="P68B1DB1-Normal12"/>
              <w:rPr>
                <w:noProof/>
              </w:rPr>
            </w:pPr>
            <w:r>
              <w:rPr>
                <w:noProof/>
              </w:rPr>
              <w:t>Mērķa</w:t>
            </w:r>
          </w:p>
        </w:tc>
        <w:tc>
          <w:tcPr>
            <w:tcW w:w="3865" w:type="dxa"/>
            <w:tcBorders>
              <w:top w:val="nil"/>
              <w:left w:val="nil"/>
              <w:bottom w:val="single" w:sz="4" w:space="0" w:color="auto"/>
              <w:right w:val="single" w:sz="4" w:space="0" w:color="auto"/>
            </w:tcBorders>
            <w:shd w:val="clear" w:color="auto" w:fill="C6EFCE"/>
            <w:noWrap/>
            <w:vAlign w:val="center"/>
          </w:tcPr>
          <w:p w14:paraId="7C04DEA1" w14:textId="77777777" w:rsidR="00C972CB" w:rsidRDefault="002457F6">
            <w:pPr>
              <w:pStyle w:val="P68B1DB1-Normal12"/>
              <w:rPr>
                <w:noProof/>
              </w:rPr>
            </w:pPr>
            <w:r>
              <w:rPr>
                <w:noProof/>
              </w:rPr>
              <w:t>Atbalsts drošības struktūru uzlabošanai T1</w:t>
            </w:r>
          </w:p>
        </w:tc>
      </w:tr>
      <w:tr w:rsidR="00C972CB" w14:paraId="41A43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3196E" w14:textId="77777777" w:rsidR="00C972CB" w:rsidRDefault="002457F6">
            <w:pPr>
              <w:pStyle w:val="P68B1DB1-Normal12"/>
              <w:jc w:val="center"/>
              <w:rPr>
                <w:noProof/>
              </w:rPr>
            </w:pPr>
            <w:r>
              <w:rPr>
                <w:noProof/>
              </w:rPr>
              <w:t>M1C1–10</w:t>
            </w:r>
          </w:p>
        </w:tc>
        <w:tc>
          <w:tcPr>
            <w:tcW w:w="3118" w:type="dxa"/>
            <w:tcBorders>
              <w:top w:val="nil"/>
              <w:left w:val="nil"/>
              <w:bottom w:val="single" w:sz="4" w:space="0" w:color="auto"/>
              <w:right w:val="single" w:sz="4" w:space="0" w:color="auto"/>
            </w:tcBorders>
            <w:shd w:val="clear" w:color="auto" w:fill="C6EFCE"/>
            <w:noWrap/>
            <w:vAlign w:val="center"/>
          </w:tcPr>
          <w:p w14:paraId="64635A3D" w14:textId="77777777" w:rsidR="00C972CB" w:rsidRDefault="002457F6">
            <w:pPr>
              <w:pStyle w:val="P68B1DB1-Normal12"/>
              <w:rPr>
                <w:noProof/>
              </w:rPr>
            </w:pPr>
            <w:r>
              <w:rPr>
                <w:noProof/>
              </w:rPr>
              <w:t>Reforma: Pārveides atbalsts</w:t>
            </w:r>
          </w:p>
        </w:tc>
        <w:tc>
          <w:tcPr>
            <w:tcW w:w="1418" w:type="dxa"/>
            <w:tcBorders>
              <w:top w:val="nil"/>
              <w:left w:val="nil"/>
              <w:bottom w:val="single" w:sz="4" w:space="0" w:color="auto"/>
              <w:right w:val="single" w:sz="4" w:space="0" w:color="auto"/>
            </w:tcBorders>
            <w:shd w:val="clear" w:color="auto" w:fill="C6EFCE"/>
            <w:noWrap/>
            <w:vAlign w:val="center"/>
          </w:tcPr>
          <w:p w14:paraId="5289C8BA"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0AE656FF" w14:textId="77777777" w:rsidR="00C972CB" w:rsidRDefault="002457F6">
            <w:pPr>
              <w:pStyle w:val="P68B1DB1-Normal12"/>
              <w:rPr>
                <w:noProof/>
              </w:rPr>
            </w:pPr>
            <w:r>
              <w:rPr>
                <w:noProof/>
              </w:rPr>
              <w:t>Pārveides grupas un NewCo izveides stāšanās spēkā</w:t>
            </w:r>
          </w:p>
        </w:tc>
      </w:tr>
      <w:tr w:rsidR="00C972CB" w14:paraId="5EC086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D0E83" w14:textId="77777777" w:rsidR="00C972CB" w:rsidRDefault="002457F6">
            <w:pPr>
              <w:pStyle w:val="P68B1DB1-Normal12"/>
              <w:jc w:val="center"/>
              <w:rPr>
                <w:noProof/>
              </w:rPr>
            </w:pPr>
            <w:r>
              <w:rPr>
                <w:noProof/>
              </w:rPr>
              <w:t>M1C1–34</w:t>
            </w:r>
          </w:p>
        </w:tc>
        <w:tc>
          <w:tcPr>
            <w:tcW w:w="3118" w:type="dxa"/>
            <w:tcBorders>
              <w:top w:val="nil"/>
              <w:left w:val="nil"/>
              <w:bottom w:val="single" w:sz="4" w:space="0" w:color="auto"/>
              <w:right w:val="single" w:sz="4" w:space="0" w:color="auto"/>
            </w:tcBorders>
            <w:shd w:val="clear" w:color="auto" w:fill="C6EFCE"/>
            <w:noWrap/>
            <w:vAlign w:val="center"/>
          </w:tcPr>
          <w:p w14:paraId="73E29E77" w14:textId="77777777" w:rsidR="00C972CB" w:rsidRDefault="002457F6">
            <w:pPr>
              <w:pStyle w:val="P68B1DB1-Normal12"/>
              <w:rPr>
                <w:noProof/>
              </w:rPr>
            </w:pPr>
            <w:r>
              <w:rPr>
                <w:noProof/>
              </w:rPr>
              <w:t>Ieguldījums</w:t>
            </w:r>
            <w:r>
              <w:rPr>
                <w:noProof/>
              </w:rPr>
              <w:t xml:space="preserve"> 1.8: Darbā pieņemšanas procedūras civiltiesās un krimināltiesās</w:t>
            </w:r>
          </w:p>
        </w:tc>
        <w:tc>
          <w:tcPr>
            <w:tcW w:w="1418" w:type="dxa"/>
            <w:tcBorders>
              <w:top w:val="nil"/>
              <w:left w:val="nil"/>
              <w:bottom w:val="single" w:sz="4" w:space="0" w:color="auto"/>
              <w:right w:val="single" w:sz="4" w:space="0" w:color="auto"/>
            </w:tcBorders>
            <w:shd w:val="clear" w:color="auto" w:fill="C6EFCE"/>
            <w:noWrap/>
            <w:vAlign w:val="center"/>
          </w:tcPr>
          <w:p w14:paraId="57E62421" w14:textId="77777777" w:rsidR="00C972CB" w:rsidRDefault="002457F6">
            <w:pPr>
              <w:pStyle w:val="P68B1DB1-Normal12"/>
              <w:rPr>
                <w:noProof/>
              </w:rPr>
            </w:pPr>
            <w:r>
              <w:rPr>
                <w:noProof/>
              </w:rPr>
              <w:t>Mērķa</w:t>
            </w:r>
          </w:p>
        </w:tc>
        <w:tc>
          <w:tcPr>
            <w:tcW w:w="3865" w:type="dxa"/>
            <w:tcBorders>
              <w:top w:val="nil"/>
              <w:left w:val="nil"/>
              <w:bottom w:val="single" w:sz="4" w:space="0" w:color="auto"/>
              <w:right w:val="single" w:sz="4" w:space="0" w:color="auto"/>
            </w:tcBorders>
            <w:shd w:val="clear" w:color="auto" w:fill="C6EFCE"/>
            <w:noWrap/>
            <w:vAlign w:val="center"/>
          </w:tcPr>
          <w:p w14:paraId="3304EB38" w14:textId="77777777" w:rsidR="00C972CB" w:rsidRDefault="002457F6">
            <w:pPr>
              <w:pStyle w:val="P68B1DB1-Normal12"/>
              <w:rPr>
                <w:noProof/>
              </w:rPr>
            </w:pPr>
            <w:r>
              <w:rPr>
                <w:noProof/>
              </w:rPr>
              <w:t>Civillietu un krimināllietu tiesu darbā pieņemšanas procedūru sākšana</w:t>
            </w:r>
          </w:p>
        </w:tc>
      </w:tr>
      <w:tr w:rsidR="00C972CB" w14:paraId="6A9F3B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2ADB6" w14:textId="77777777" w:rsidR="00C972CB" w:rsidRDefault="002457F6">
            <w:pPr>
              <w:pStyle w:val="P68B1DB1-Normal12"/>
              <w:jc w:val="center"/>
              <w:rPr>
                <w:noProof/>
              </w:rPr>
            </w:pPr>
            <w:r>
              <w:rPr>
                <w:noProof/>
              </w:rPr>
              <w:t>M1C1–35</w:t>
            </w:r>
          </w:p>
        </w:tc>
        <w:tc>
          <w:tcPr>
            <w:tcW w:w="3118" w:type="dxa"/>
            <w:tcBorders>
              <w:top w:val="nil"/>
              <w:left w:val="nil"/>
              <w:bottom w:val="single" w:sz="4" w:space="0" w:color="auto"/>
              <w:right w:val="single" w:sz="4" w:space="0" w:color="auto"/>
            </w:tcBorders>
            <w:shd w:val="clear" w:color="auto" w:fill="C6EFCE"/>
            <w:noWrap/>
            <w:vAlign w:val="center"/>
          </w:tcPr>
          <w:p w14:paraId="052ED991" w14:textId="77777777" w:rsidR="00C972CB" w:rsidRDefault="002457F6">
            <w:pPr>
              <w:pStyle w:val="P68B1DB1-Normal12"/>
              <w:rPr>
                <w:noProof/>
              </w:rPr>
            </w:pPr>
            <w:r>
              <w:rPr>
                <w:noProof/>
              </w:rPr>
              <w:t>Reforma. Nodokļu tiesu reforma</w:t>
            </w:r>
          </w:p>
        </w:tc>
        <w:tc>
          <w:tcPr>
            <w:tcW w:w="1418" w:type="dxa"/>
            <w:tcBorders>
              <w:top w:val="nil"/>
              <w:left w:val="nil"/>
              <w:bottom w:val="single" w:sz="4" w:space="0" w:color="auto"/>
              <w:right w:val="single" w:sz="4" w:space="0" w:color="auto"/>
            </w:tcBorders>
            <w:shd w:val="clear" w:color="auto" w:fill="C6EFCE"/>
            <w:noWrap/>
            <w:vAlign w:val="center"/>
          </w:tcPr>
          <w:p w14:paraId="715D36DC"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200E960D" w14:textId="77777777" w:rsidR="00C972CB" w:rsidRDefault="002457F6">
            <w:pPr>
              <w:pStyle w:val="P68B1DB1-Normal12"/>
              <w:rPr>
                <w:noProof/>
              </w:rPr>
            </w:pPr>
            <w:r>
              <w:rPr>
                <w:noProof/>
              </w:rPr>
              <w:t xml:space="preserve">Pirmās un otrās instances nodokļu tiesu visaptveroša </w:t>
            </w:r>
            <w:r>
              <w:rPr>
                <w:noProof/>
              </w:rPr>
              <w:t>reforma</w:t>
            </w:r>
          </w:p>
        </w:tc>
      </w:tr>
      <w:tr w:rsidR="00C972CB" w14:paraId="29DAC0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BD61D9" w14:textId="77777777" w:rsidR="00C972CB" w:rsidRDefault="002457F6">
            <w:pPr>
              <w:pStyle w:val="P68B1DB1-Normal12"/>
              <w:jc w:val="center"/>
              <w:rPr>
                <w:noProof/>
              </w:rPr>
            </w:pPr>
            <w:r>
              <w:rPr>
                <w:noProof/>
              </w:rPr>
              <w:t>M1C1–36</w:t>
            </w:r>
          </w:p>
        </w:tc>
        <w:tc>
          <w:tcPr>
            <w:tcW w:w="3118" w:type="dxa"/>
            <w:tcBorders>
              <w:top w:val="nil"/>
              <w:left w:val="nil"/>
              <w:bottom w:val="single" w:sz="4" w:space="0" w:color="auto"/>
              <w:right w:val="single" w:sz="4" w:space="0" w:color="auto"/>
            </w:tcBorders>
            <w:shd w:val="clear" w:color="auto" w:fill="C6EFCE"/>
            <w:noWrap/>
            <w:vAlign w:val="center"/>
          </w:tcPr>
          <w:p w14:paraId="715FADCD" w14:textId="77777777" w:rsidR="00C972CB" w:rsidRDefault="002457F6">
            <w:pPr>
              <w:pStyle w:val="P68B1DB1-Normal12"/>
              <w:rPr>
                <w:noProof/>
              </w:rPr>
            </w:pPr>
            <w:r>
              <w:rPr>
                <w:noProof/>
              </w:rPr>
              <w:t>Reforma 1.4., 1.5. un 1.6. Civiltiesību un krimināltiesību reforma un maksātnespējas reforma</w:t>
            </w:r>
          </w:p>
        </w:tc>
        <w:tc>
          <w:tcPr>
            <w:tcW w:w="1418" w:type="dxa"/>
            <w:tcBorders>
              <w:top w:val="nil"/>
              <w:left w:val="nil"/>
              <w:bottom w:val="single" w:sz="4" w:space="0" w:color="auto"/>
              <w:right w:val="single" w:sz="4" w:space="0" w:color="auto"/>
            </w:tcBorders>
            <w:shd w:val="clear" w:color="auto" w:fill="C6EFCE"/>
            <w:noWrap/>
            <w:vAlign w:val="center"/>
          </w:tcPr>
          <w:p w14:paraId="7E9B87EE"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2FBABC68" w14:textId="77777777" w:rsidR="00C972CB" w:rsidRDefault="002457F6">
            <w:pPr>
              <w:pStyle w:val="P68B1DB1-Normal12"/>
              <w:rPr>
                <w:noProof/>
              </w:rPr>
            </w:pPr>
            <w:r>
              <w:rPr>
                <w:noProof/>
              </w:rPr>
              <w:t>Deleģēto aktu stāšanās spēkā attiecībā uz civiltiesību un krimināltiesību reformām un maksātnespējas reformu</w:t>
            </w:r>
          </w:p>
        </w:tc>
      </w:tr>
      <w:tr w:rsidR="00C972CB" w14:paraId="6FB276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25CB61" w14:textId="77777777" w:rsidR="00C972CB" w:rsidRDefault="002457F6">
            <w:pPr>
              <w:pStyle w:val="P68B1DB1-Normal12"/>
              <w:jc w:val="center"/>
              <w:rPr>
                <w:noProof/>
              </w:rPr>
            </w:pPr>
            <w:r>
              <w:rPr>
                <w:noProof/>
              </w:rPr>
              <w:t>M1C1–57</w:t>
            </w:r>
          </w:p>
        </w:tc>
        <w:tc>
          <w:tcPr>
            <w:tcW w:w="3118" w:type="dxa"/>
            <w:tcBorders>
              <w:top w:val="nil"/>
              <w:left w:val="nil"/>
              <w:bottom w:val="single" w:sz="4" w:space="0" w:color="auto"/>
              <w:right w:val="single" w:sz="4" w:space="0" w:color="auto"/>
            </w:tcBorders>
            <w:shd w:val="clear" w:color="auto" w:fill="C6EFCE"/>
            <w:noWrap/>
            <w:vAlign w:val="center"/>
          </w:tcPr>
          <w:p w14:paraId="6CF8340F" w14:textId="77777777" w:rsidR="00C972CB" w:rsidRDefault="002457F6">
            <w:pPr>
              <w:pStyle w:val="P68B1DB1-Normal12"/>
              <w:rPr>
                <w:noProof/>
              </w:rPr>
            </w:pPr>
            <w:r>
              <w:rPr>
                <w:noProof/>
              </w:rPr>
              <w:t xml:space="preserve">Reforma: </w:t>
            </w:r>
            <w:r>
              <w:rPr>
                <w:noProof/>
              </w:rPr>
              <w:t>Valsts pārvaldes reforma</w:t>
            </w:r>
          </w:p>
        </w:tc>
        <w:tc>
          <w:tcPr>
            <w:tcW w:w="1418" w:type="dxa"/>
            <w:tcBorders>
              <w:top w:val="nil"/>
              <w:left w:val="nil"/>
              <w:bottom w:val="single" w:sz="4" w:space="0" w:color="auto"/>
              <w:right w:val="single" w:sz="4" w:space="0" w:color="auto"/>
            </w:tcBorders>
            <w:shd w:val="clear" w:color="auto" w:fill="C6EFCE"/>
            <w:noWrap/>
            <w:vAlign w:val="center"/>
          </w:tcPr>
          <w:p w14:paraId="08F20BE7"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48BF587C" w14:textId="77777777" w:rsidR="00C972CB" w:rsidRDefault="002457F6">
            <w:pPr>
              <w:pStyle w:val="P68B1DB1-Normal12"/>
              <w:rPr>
                <w:noProof/>
              </w:rPr>
            </w:pPr>
            <w:r>
              <w:rPr>
                <w:noProof/>
              </w:rPr>
              <w:t>Administratīvo procedūru stāšanās spēkā vienkāršošanas reformai, kuras mērķis ir ANM īstenošana</w:t>
            </w:r>
          </w:p>
        </w:tc>
      </w:tr>
      <w:tr w:rsidR="00C972CB" w14:paraId="685A52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4E95E" w14:textId="77777777" w:rsidR="00C972CB" w:rsidRDefault="002457F6">
            <w:pPr>
              <w:pStyle w:val="P68B1DB1-Normal12"/>
              <w:jc w:val="center"/>
              <w:rPr>
                <w:noProof/>
              </w:rPr>
            </w:pPr>
            <w:r>
              <w:rPr>
                <w:noProof/>
              </w:rPr>
              <w:t>M1C1–102</w:t>
            </w:r>
          </w:p>
        </w:tc>
        <w:tc>
          <w:tcPr>
            <w:tcW w:w="3118" w:type="dxa"/>
            <w:tcBorders>
              <w:top w:val="nil"/>
              <w:left w:val="nil"/>
              <w:bottom w:val="single" w:sz="4" w:space="0" w:color="auto"/>
              <w:right w:val="single" w:sz="4" w:space="0" w:color="auto"/>
            </w:tcBorders>
            <w:shd w:val="clear" w:color="auto" w:fill="C6EFCE"/>
            <w:noWrap/>
            <w:vAlign w:val="center"/>
          </w:tcPr>
          <w:p w14:paraId="1C298B8D" w14:textId="77777777" w:rsidR="00C972CB" w:rsidRDefault="002457F6">
            <w:pPr>
              <w:pStyle w:val="P68B1DB1-Normal12"/>
              <w:rPr>
                <w:noProof/>
              </w:rPr>
            </w:pPr>
            <w:r>
              <w:rPr>
                <w:noProof/>
              </w:rPr>
              <w:t>Reforma Nr. 1.13: Izdevumu pārskatīšanas sistēmas reforma</w:t>
            </w:r>
          </w:p>
        </w:tc>
        <w:tc>
          <w:tcPr>
            <w:tcW w:w="1418" w:type="dxa"/>
            <w:tcBorders>
              <w:top w:val="nil"/>
              <w:left w:val="nil"/>
              <w:bottom w:val="single" w:sz="4" w:space="0" w:color="auto"/>
              <w:right w:val="single" w:sz="4" w:space="0" w:color="auto"/>
            </w:tcBorders>
            <w:shd w:val="clear" w:color="auto" w:fill="C6EFCE"/>
            <w:noWrap/>
            <w:vAlign w:val="center"/>
          </w:tcPr>
          <w:p w14:paraId="00DB4FE2" w14:textId="77777777" w:rsidR="00C972CB" w:rsidRDefault="002457F6">
            <w:pPr>
              <w:pStyle w:val="P68B1DB1-Normal12"/>
              <w:rPr>
                <w:noProof/>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7894324B" w14:textId="77777777" w:rsidR="00C972CB" w:rsidRDefault="002457F6">
            <w:pPr>
              <w:pStyle w:val="P68B1DB1-Normal12"/>
              <w:rPr>
                <w:noProof/>
              </w:rPr>
            </w:pPr>
            <w:r>
              <w:rPr>
                <w:noProof/>
              </w:rPr>
              <w:t>Ziņojuma pieņemšana par to, cik</w:t>
            </w:r>
            <w:r>
              <w:rPr>
                <w:noProof/>
              </w:rPr>
              <w:t xml:space="preserve"> efektīva ir prakse, ko izvēlētas valsts pārvaldes iestādes izmanto ietaupījumu plānu formulēšanā un īstenošanā</w:t>
            </w:r>
          </w:p>
        </w:tc>
      </w:tr>
      <w:tr w:rsidR="00C972CB" w14:paraId="047137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2EC74B" w14:textId="77777777" w:rsidR="00C972CB" w:rsidRDefault="002457F6">
            <w:pPr>
              <w:pStyle w:val="P68B1DB1-Normal12"/>
              <w:jc w:val="center"/>
              <w:rPr>
                <w:noProof/>
              </w:rPr>
            </w:pPr>
            <w:r>
              <w:rPr>
                <w:noProof/>
              </w:rPr>
              <w:t>M1C1–105</w:t>
            </w:r>
          </w:p>
        </w:tc>
        <w:tc>
          <w:tcPr>
            <w:tcW w:w="3118" w:type="dxa"/>
            <w:tcBorders>
              <w:top w:val="nil"/>
              <w:left w:val="nil"/>
              <w:bottom w:val="single" w:sz="4" w:space="0" w:color="auto"/>
              <w:right w:val="single" w:sz="4" w:space="0" w:color="auto"/>
            </w:tcBorders>
            <w:shd w:val="clear" w:color="auto" w:fill="C6EFCE"/>
            <w:noWrap/>
            <w:vAlign w:val="center"/>
          </w:tcPr>
          <w:p w14:paraId="59A06D19" w14:textId="77777777" w:rsidR="00C972CB" w:rsidRDefault="002457F6">
            <w:pPr>
              <w:pStyle w:val="P68B1DB1-Normal12"/>
              <w:rPr>
                <w:noProof/>
              </w:rPr>
            </w:pPr>
            <w:r>
              <w:rPr>
                <w:noProof/>
              </w:rPr>
              <w:t>Reforma: Nodokļu administrācijas reforma</w:t>
            </w:r>
          </w:p>
        </w:tc>
        <w:tc>
          <w:tcPr>
            <w:tcW w:w="1418" w:type="dxa"/>
            <w:tcBorders>
              <w:top w:val="nil"/>
              <w:left w:val="nil"/>
              <w:bottom w:val="single" w:sz="4" w:space="0" w:color="auto"/>
              <w:right w:val="single" w:sz="4" w:space="0" w:color="auto"/>
            </w:tcBorders>
            <w:shd w:val="clear" w:color="auto" w:fill="C6EFCE"/>
            <w:noWrap/>
            <w:vAlign w:val="center"/>
          </w:tcPr>
          <w:p w14:paraId="7A8644CD" w14:textId="77777777" w:rsidR="00C972CB" w:rsidRDefault="002457F6">
            <w:pPr>
              <w:pStyle w:val="P68B1DB1-Normal12"/>
              <w:rPr>
                <w:noProof/>
              </w:rPr>
            </w:pPr>
            <w:r>
              <w:rPr>
                <w:noProof/>
              </w:rPr>
              <w:t>Mērķa</w:t>
            </w:r>
          </w:p>
        </w:tc>
        <w:tc>
          <w:tcPr>
            <w:tcW w:w="3865" w:type="dxa"/>
            <w:tcBorders>
              <w:top w:val="nil"/>
              <w:left w:val="nil"/>
              <w:bottom w:val="single" w:sz="4" w:space="0" w:color="auto"/>
              <w:right w:val="single" w:sz="4" w:space="0" w:color="auto"/>
            </w:tcBorders>
            <w:shd w:val="clear" w:color="auto" w:fill="C6EFCE"/>
            <w:noWrap/>
            <w:vAlign w:val="center"/>
          </w:tcPr>
          <w:p w14:paraId="0C0A5BD2" w14:textId="77777777" w:rsidR="00C972CB" w:rsidRDefault="002457F6">
            <w:pPr>
              <w:pStyle w:val="P68B1DB1-Normal12"/>
              <w:rPr>
                <w:noProof/>
              </w:rPr>
            </w:pPr>
            <w:r>
              <w:rPr>
                <w:noProof/>
              </w:rPr>
              <w:t>Lielāks “atbilstības burtu” skaits</w:t>
            </w:r>
          </w:p>
        </w:tc>
      </w:tr>
      <w:tr w:rsidR="00C972CB" w14:paraId="0694D8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5480D" w14:textId="77777777" w:rsidR="00C972CB" w:rsidRDefault="002457F6">
            <w:pPr>
              <w:pStyle w:val="P68B1DB1-Normal12"/>
              <w:jc w:val="center"/>
              <w:rPr>
                <w:noProof/>
              </w:rPr>
            </w:pPr>
            <w:r>
              <w:rPr>
                <w:noProof/>
              </w:rPr>
              <w:t>M1C1–106</w:t>
            </w:r>
          </w:p>
        </w:tc>
        <w:tc>
          <w:tcPr>
            <w:tcW w:w="3118" w:type="dxa"/>
            <w:tcBorders>
              <w:top w:val="nil"/>
              <w:left w:val="nil"/>
              <w:bottom w:val="single" w:sz="4" w:space="0" w:color="auto"/>
              <w:right w:val="single" w:sz="4" w:space="0" w:color="auto"/>
            </w:tcBorders>
            <w:shd w:val="clear" w:color="auto" w:fill="C6EFCE"/>
            <w:noWrap/>
            <w:vAlign w:val="center"/>
          </w:tcPr>
          <w:p w14:paraId="5C59D923" w14:textId="77777777" w:rsidR="00C972CB" w:rsidRDefault="002457F6">
            <w:pPr>
              <w:pStyle w:val="P68B1DB1-Normal12"/>
              <w:rPr>
                <w:noProof/>
              </w:rPr>
            </w:pPr>
            <w:r>
              <w:rPr>
                <w:noProof/>
              </w:rPr>
              <w:t>Reforma: Nodokļu administrācijas reforma</w:t>
            </w:r>
          </w:p>
        </w:tc>
        <w:tc>
          <w:tcPr>
            <w:tcW w:w="1418" w:type="dxa"/>
            <w:tcBorders>
              <w:top w:val="nil"/>
              <w:left w:val="nil"/>
              <w:bottom w:val="single" w:sz="4" w:space="0" w:color="auto"/>
              <w:right w:val="single" w:sz="4" w:space="0" w:color="auto"/>
            </w:tcBorders>
            <w:shd w:val="clear" w:color="auto" w:fill="C6EFCE"/>
            <w:noWrap/>
            <w:vAlign w:val="center"/>
          </w:tcPr>
          <w:p w14:paraId="7DEBF950" w14:textId="77777777" w:rsidR="00C972CB" w:rsidRDefault="002457F6">
            <w:pPr>
              <w:pStyle w:val="P68B1DB1-Normal12"/>
              <w:rPr>
                <w:noProof/>
              </w:rPr>
            </w:pPr>
            <w:r>
              <w:rPr>
                <w:noProof/>
              </w:rPr>
              <w:t>Mērķa</w:t>
            </w:r>
          </w:p>
        </w:tc>
        <w:tc>
          <w:tcPr>
            <w:tcW w:w="3865" w:type="dxa"/>
            <w:tcBorders>
              <w:top w:val="nil"/>
              <w:left w:val="nil"/>
              <w:bottom w:val="single" w:sz="4" w:space="0" w:color="auto"/>
              <w:right w:val="single" w:sz="4" w:space="0" w:color="auto"/>
            </w:tcBorders>
            <w:shd w:val="clear" w:color="auto" w:fill="C6EFCE"/>
            <w:noWrap/>
            <w:vAlign w:val="center"/>
          </w:tcPr>
          <w:p w14:paraId="60C87DF4" w14:textId="77777777" w:rsidR="00C972CB" w:rsidRDefault="002457F6">
            <w:pPr>
              <w:pStyle w:val="P68B1DB1-Normal12"/>
              <w:rPr>
                <w:noProof/>
              </w:rPr>
            </w:pPr>
            <w:r>
              <w:rPr>
                <w:noProof/>
              </w:rPr>
              <w:t>Kļūdaini pozitīvu „atbilstības vēstuļu” skaita samazināšana</w:t>
            </w:r>
          </w:p>
        </w:tc>
      </w:tr>
      <w:tr w:rsidR="00C972CB" w14:paraId="529CC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39DF15" w14:textId="77777777" w:rsidR="00C972CB" w:rsidRDefault="002457F6">
            <w:pPr>
              <w:pStyle w:val="P68B1DB1-Normal12"/>
              <w:jc w:val="center"/>
              <w:rPr>
                <w:noProof/>
              </w:rPr>
            </w:pPr>
            <w:r>
              <w:rPr>
                <w:noProof/>
              </w:rPr>
              <w:t>M1C1–107</w:t>
            </w:r>
          </w:p>
        </w:tc>
        <w:tc>
          <w:tcPr>
            <w:tcW w:w="3118" w:type="dxa"/>
            <w:tcBorders>
              <w:top w:val="nil"/>
              <w:left w:val="nil"/>
              <w:bottom w:val="single" w:sz="4" w:space="0" w:color="auto"/>
              <w:right w:val="single" w:sz="4" w:space="0" w:color="auto"/>
            </w:tcBorders>
            <w:shd w:val="clear" w:color="auto" w:fill="C6EFCE"/>
            <w:noWrap/>
            <w:vAlign w:val="center"/>
          </w:tcPr>
          <w:p w14:paraId="222FE074" w14:textId="77777777" w:rsidR="00C972CB" w:rsidRDefault="002457F6">
            <w:pPr>
              <w:pStyle w:val="P68B1DB1-Normal12"/>
              <w:rPr>
                <w:noProof/>
              </w:rPr>
            </w:pPr>
            <w:r>
              <w:rPr>
                <w:noProof/>
              </w:rPr>
              <w:t>Reforma: Nodokļu administrācijas reforma</w:t>
            </w:r>
          </w:p>
        </w:tc>
        <w:tc>
          <w:tcPr>
            <w:tcW w:w="1418" w:type="dxa"/>
            <w:tcBorders>
              <w:top w:val="nil"/>
              <w:left w:val="nil"/>
              <w:bottom w:val="single" w:sz="4" w:space="0" w:color="auto"/>
              <w:right w:val="single" w:sz="4" w:space="0" w:color="auto"/>
            </w:tcBorders>
            <w:shd w:val="clear" w:color="auto" w:fill="C6EFCE"/>
            <w:noWrap/>
            <w:vAlign w:val="center"/>
          </w:tcPr>
          <w:p w14:paraId="21C281FB" w14:textId="77777777" w:rsidR="00C972CB" w:rsidRDefault="002457F6">
            <w:pPr>
              <w:pStyle w:val="P68B1DB1-Normal12"/>
              <w:rPr>
                <w:noProof/>
                <w:color w:val="006600"/>
              </w:rPr>
            </w:pPr>
            <w:r>
              <w:rPr>
                <w:noProof/>
              </w:rPr>
              <w:t>Mērķa</w:t>
            </w:r>
          </w:p>
        </w:tc>
        <w:tc>
          <w:tcPr>
            <w:tcW w:w="3865" w:type="dxa"/>
            <w:tcBorders>
              <w:top w:val="nil"/>
              <w:left w:val="nil"/>
              <w:bottom w:val="single" w:sz="4" w:space="0" w:color="auto"/>
              <w:right w:val="single" w:sz="4" w:space="0" w:color="auto"/>
            </w:tcBorders>
            <w:shd w:val="clear" w:color="auto" w:fill="C6EFCE"/>
            <w:noWrap/>
            <w:vAlign w:val="center"/>
          </w:tcPr>
          <w:p w14:paraId="3E014ABB" w14:textId="77777777" w:rsidR="00C972CB" w:rsidRDefault="002457F6">
            <w:pPr>
              <w:pStyle w:val="P68B1DB1-Normal12"/>
              <w:rPr>
                <w:noProof/>
                <w:color w:val="006600"/>
              </w:rPr>
            </w:pPr>
            <w:r>
              <w:rPr>
                <w:noProof/>
              </w:rPr>
              <w:t>Nodokļu ieņēmumu palielinājums, ko rada “atbilstības vēstules”</w:t>
            </w:r>
          </w:p>
        </w:tc>
      </w:tr>
      <w:tr w:rsidR="00C972CB" w14:paraId="1F4A0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46A924" w14:textId="77777777" w:rsidR="00C972CB" w:rsidRDefault="002457F6">
            <w:pPr>
              <w:pStyle w:val="P68B1DB1-Normal12"/>
              <w:jc w:val="center"/>
              <w:rPr>
                <w:noProof/>
              </w:rPr>
            </w:pPr>
            <w:r>
              <w:rPr>
                <w:noProof/>
              </w:rPr>
              <w:t>M1C2–6</w:t>
            </w:r>
          </w:p>
        </w:tc>
        <w:tc>
          <w:tcPr>
            <w:tcW w:w="3118" w:type="dxa"/>
            <w:tcBorders>
              <w:top w:val="nil"/>
              <w:left w:val="nil"/>
              <w:bottom w:val="single" w:sz="4" w:space="0" w:color="auto"/>
              <w:right w:val="single" w:sz="4" w:space="0" w:color="auto"/>
            </w:tcBorders>
            <w:shd w:val="clear" w:color="auto" w:fill="C6EFCE"/>
            <w:noWrap/>
            <w:vAlign w:val="center"/>
          </w:tcPr>
          <w:p w14:paraId="05D3B694" w14:textId="77777777" w:rsidR="00C972CB" w:rsidRDefault="002457F6">
            <w:pPr>
              <w:pStyle w:val="P68B1DB1-Normal12"/>
              <w:rPr>
                <w:noProof/>
              </w:rPr>
            </w:pPr>
            <w:r>
              <w:rPr>
                <w:noProof/>
              </w:rPr>
              <w:t>Reforma: Ikgadējie konkurences tiesību akti</w:t>
            </w:r>
          </w:p>
        </w:tc>
        <w:tc>
          <w:tcPr>
            <w:tcW w:w="1418" w:type="dxa"/>
            <w:tcBorders>
              <w:top w:val="nil"/>
              <w:left w:val="nil"/>
              <w:bottom w:val="single" w:sz="4" w:space="0" w:color="auto"/>
              <w:right w:val="single" w:sz="4" w:space="0" w:color="auto"/>
            </w:tcBorders>
            <w:shd w:val="clear" w:color="auto" w:fill="C6EFCE"/>
            <w:noWrap/>
            <w:vAlign w:val="center"/>
          </w:tcPr>
          <w:p w14:paraId="260FFFD8"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4ED6BE29" w14:textId="77777777" w:rsidR="00C972CB" w:rsidRDefault="002457F6">
            <w:pPr>
              <w:pStyle w:val="P68B1DB1-Normal12"/>
              <w:rPr>
                <w:noProof/>
                <w:color w:val="006600"/>
              </w:rPr>
            </w:pPr>
            <w:r>
              <w:rPr>
                <w:noProof/>
              </w:rPr>
              <w:t>2021. gada Konkurences likuma stāšanās spēkā</w:t>
            </w:r>
          </w:p>
        </w:tc>
      </w:tr>
      <w:tr w:rsidR="00C972CB" w14:paraId="3CC81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62296E" w14:textId="77777777" w:rsidR="00C972CB" w:rsidRDefault="002457F6">
            <w:pPr>
              <w:pStyle w:val="P68B1DB1-Normal12"/>
              <w:jc w:val="center"/>
              <w:rPr>
                <w:noProof/>
              </w:rPr>
            </w:pPr>
            <w:r>
              <w:rPr>
                <w:noProof/>
              </w:rPr>
              <w:t>M1C2–7</w:t>
            </w:r>
          </w:p>
        </w:tc>
        <w:tc>
          <w:tcPr>
            <w:tcW w:w="3118" w:type="dxa"/>
            <w:tcBorders>
              <w:top w:val="nil"/>
              <w:left w:val="nil"/>
              <w:bottom w:val="single" w:sz="4" w:space="0" w:color="auto"/>
              <w:right w:val="single" w:sz="4" w:space="0" w:color="auto"/>
            </w:tcBorders>
            <w:shd w:val="clear" w:color="auto" w:fill="C6EFCE"/>
            <w:noWrap/>
            <w:vAlign w:val="center"/>
          </w:tcPr>
          <w:p w14:paraId="2EDC5D45" w14:textId="77777777" w:rsidR="00C972CB" w:rsidRDefault="002457F6">
            <w:pPr>
              <w:pStyle w:val="P68B1DB1-Normal12"/>
              <w:rPr>
                <w:noProof/>
              </w:rPr>
            </w:pPr>
            <w:r>
              <w:rPr>
                <w:noProof/>
              </w:rPr>
              <w:t>Reforma: Ikgadējie konkurences tiesību akti</w:t>
            </w:r>
          </w:p>
        </w:tc>
        <w:tc>
          <w:tcPr>
            <w:tcW w:w="1418" w:type="dxa"/>
            <w:tcBorders>
              <w:top w:val="nil"/>
              <w:left w:val="nil"/>
              <w:bottom w:val="single" w:sz="4" w:space="0" w:color="auto"/>
              <w:right w:val="single" w:sz="4" w:space="0" w:color="auto"/>
            </w:tcBorders>
            <w:shd w:val="clear" w:color="auto" w:fill="C6EFCE"/>
            <w:noWrap/>
            <w:vAlign w:val="center"/>
          </w:tcPr>
          <w:p w14:paraId="56F2E0BA"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3EA43668" w14:textId="77777777" w:rsidR="00C972CB" w:rsidRDefault="002457F6">
            <w:pPr>
              <w:pStyle w:val="P68B1DB1-Normal12"/>
              <w:rPr>
                <w:noProof/>
                <w:color w:val="006600"/>
              </w:rPr>
            </w:pPr>
            <w:r>
              <w:rPr>
                <w:noProof/>
              </w:rPr>
              <w:t>Visu ar enerģētiku saistīto īstenošanas pasākumu un sekundāro tiesību aktu stāšanās spēkā (vajadzības gadījumā)</w:t>
            </w:r>
          </w:p>
        </w:tc>
      </w:tr>
      <w:tr w:rsidR="00C972CB" w14:paraId="0E6A4F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381900" w14:textId="77777777" w:rsidR="00C972CB" w:rsidRDefault="002457F6">
            <w:pPr>
              <w:pStyle w:val="P68B1DB1-Normal12"/>
              <w:jc w:val="center"/>
              <w:rPr>
                <w:noProof/>
              </w:rPr>
            </w:pPr>
            <w:r>
              <w:rPr>
                <w:noProof/>
              </w:rPr>
              <w:t>M1C2–8</w:t>
            </w:r>
          </w:p>
        </w:tc>
        <w:tc>
          <w:tcPr>
            <w:tcW w:w="3118" w:type="dxa"/>
            <w:tcBorders>
              <w:top w:val="nil"/>
              <w:left w:val="nil"/>
              <w:bottom w:val="single" w:sz="4" w:space="0" w:color="auto"/>
              <w:right w:val="single" w:sz="4" w:space="0" w:color="auto"/>
            </w:tcBorders>
            <w:shd w:val="clear" w:color="auto" w:fill="C6EFCE"/>
            <w:noWrap/>
            <w:vAlign w:val="center"/>
          </w:tcPr>
          <w:p w14:paraId="1D240120" w14:textId="77777777" w:rsidR="00C972CB" w:rsidRDefault="002457F6">
            <w:pPr>
              <w:pStyle w:val="P68B1DB1-Normal12"/>
              <w:rPr>
                <w:noProof/>
              </w:rPr>
            </w:pPr>
            <w:r>
              <w:rPr>
                <w:noProof/>
              </w:rPr>
              <w:t>Reforma: Ikgadējie ko</w:t>
            </w:r>
            <w:r>
              <w:rPr>
                <w:noProof/>
              </w:rPr>
              <w:t>nkurences tiesību akti</w:t>
            </w:r>
          </w:p>
        </w:tc>
        <w:tc>
          <w:tcPr>
            <w:tcW w:w="1418" w:type="dxa"/>
            <w:tcBorders>
              <w:top w:val="nil"/>
              <w:left w:val="nil"/>
              <w:bottom w:val="single" w:sz="4" w:space="0" w:color="auto"/>
              <w:right w:val="single" w:sz="4" w:space="0" w:color="auto"/>
            </w:tcBorders>
            <w:shd w:val="clear" w:color="auto" w:fill="C6EFCE"/>
            <w:noWrap/>
            <w:vAlign w:val="center"/>
          </w:tcPr>
          <w:p w14:paraId="094BE03A"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3EE5BC01" w14:textId="77777777" w:rsidR="00C972CB" w:rsidRDefault="002457F6">
            <w:pPr>
              <w:pStyle w:val="P68B1DB1-Normal12"/>
              <w:rPr>
                <w:noProof/>
                <w:color w:val="006600"/>
              </w:rPr>
            </w:pPr>
            <w:r>
              <w:rPr>
                <w:noProof/>
              </w:rPr>
              <w:t>Stājas spēkā visi īstenošanas pasākumi (vajadzības gadījumā arī sekundārie tiesību akti), lai efektīvi īstenotu un piemērotu pasākumus, kas izriet no 2021. gada Konkurences likuma</w:t>
            </w:r>
          </w:p>
        </w:tc>
      </w:tr>
      <w:tr w:rsidR="00C972CB" w14:paraId="5D73684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701343" w14:textId="77777777" w:rsidR="00C972CB" w:rsidRDefault="002457F6">
            <w:pPr>
              <w:pStyle w:val="P68B1DB1-Normal12"/>
              <w:jc w:val="center"/>
              <w:rPr>
                <w:noProof/>
              </w:rPr>
            </w:pPr>
            <w:r>
              <w:rPr>
                <w:noProof/>
              </w:rPr>
              <w:t>M1C3–6</w:t>
            </w:r>
          </w:p>
        </w:tc>
        <w:tc>
          <w:tcPr>
            <w:tcW w:w="3118" w:type="dxa"/>
            <w:tcBorders>
              <w:top w:val="nil"/>
              <w:left w:val="nil"/>
              <w:bottom w:val="single" w:sz="4" w:space="0" w:color="auto"/>
              <w:right w:val="single" w:sz="4" w:space="0" w:color="auto"/>
            </w:tcBorders>
            <w:shd w:val="clear" w:color="auto" w:fill="C6EFCE"/>
            <w:noWrap/>
            <w:vAlign w:val="center"/>
          </w:tcPr>
          <w:p w14:paraId="299FBB39" w14:textId="77777777" w:rsidR="00C972CB" w:rsidRDefault="002457F6">
            <w:pPr>
              <w:pStyle w:val="P68B1DB1-Normal12"/>
              <w:rPr>
                <w:noProof/>
              </w:rPr>
            </w:pPr>
            <w:r>
              <w:rPr>
                <w:noProof/>
              </w:rPr>
              <w:t xml:space="preserve">Reforma — 3.1. Minimālie </w:t>
            </w:r>
            <w:r>
              <w:rPr>
                <w:noProof/>
              </w:rPr>
              <w:t>vides kritēriji kultūras pasākumiem</w:t>
            </w:r>
          </w:p>
        </w:tc>
        <w:tc>
          <w:tcPr>
            <w:tcW w:w="1418" w:type="dxa"/>
            <w:tcBorders>
              <w:top w:val="nil"/>
              <w:left w:val="nil"/>
              <w:bottom w:val="single" w:sz="4" w:space="0" w:color="auto"/>
              <w:right w:val="single" w:sz="4" w:space="0" w:color="auto"/>
            </w:tcBorders>
            <w:shd w:val="clear" w:color="auto" w:fill="C6EFCE"/>
            <w:noWrap/>
            <w:vAlign w:val="center"/>
          </w:tcPr>
          <w:p w14:paraId="6FDE30ED"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3A07EF48" w14:textId="77777777" w:rsidR="00C972CB" w:rsidRDefault="002457F6">
            <w:pPr>
              <w:pStyle w:val="P68B1DB1-Normal12"/>
              <w:rPr>
                <w:noProof/>
                <w:color w:val="006600"/>
              </w:rPr>
            </w:pPr>
            <w:r>
              <w:rPr>
                <w:noProof/>
              </w:rPr>
              <w:t>Stājies spēkā dekrēts, ar ko nosaka sociālos un vides kritērijus publiskā iepirkuma konkursos par publiski finansētiem kultūras pasākumiem</w:t>
            </w:r>
          </w:p>
        </w:tc>
      </w:tr>
      <w:tr w:rsidR="00C972CB" w14:paraId="5EAB29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57FA8" w14:textId="77777777" w:rsidR="00C972CB" w:rsidRDefault="002457F6">
            <w:pPr>
              <w:pStyle w:val="P68B1DB1-Normal12"/>
              <w:jc w:val="center"/>
              <w:rPr>
                <w:noProof/>
              </w:rPr>
            </w:pPr>
            <w:r>
              <w:rPr>
                <w:noProof/>
              </w:rPr>
              <w:t>M2C1–3</w:t>
            </w:r>
          </w:p>
        </w:tc>
        <w:tc>
          <w:tcPr>
            <w:tcW w:w="3118" w:type="dxa"/>
            <w:tcBorders>
              <w:top w:val="nil"/>
              <w:left w:val="nil"/>
              <w:bottom w:val="single" w:sz="4" w:space="0" w:color="auto"/>
              <w:right w:val="single" w:sz="4" w:space="0" w:color="auto"/>
            </w:tcBorders>
            <w:shd w:val="clear" w:color="auto" w:fill="C6EFCE"/>
            <w:noWrap/>
            <w:vAlign w:val="center"/>
          </w:tcPr>
          <w:p w14:paraId="49AF2B85" w14:textId="77777777" w:rsidR="00C972CB" w:rsidRDefault="002457F6">
            <w:pPr>
              <w:pStyle w:val="P68B1DB1-Normal12"/>
              <w:rPr>
                <w:noProof/>
              </w:rPr>
            </w:pPr>
            <w:r>
              <w:rPr>
                <w:noProof/>
              </w:rPr>
              <w:t>Ieguldījums 2.1.: Loģistikas plāns lauksaimniecības pār</w:t>
            </w:r>
            <w:r>
              <w:rPr>
                <w:noProof/>
              </w:rPr>
              <w:t>tikas, zvejniecības un akvakultūras, mežsaimniecības, puķkopības un stādaudzētavu nozarēm</w:t>
            </w:r>
          </w:p>
        </w:tc>
        <w:tc>
          <w:tcPr>
            <w:tcW w:w="1418" w:type="dxa"/>
            <w:tcBorders>
              <w:top w:val="nil"/>
              <w:left w:val="nil"/>
              <w:bottom w:val="single" w:sz="4" w:space="0" w:color="auto"/>
              <w:right w:val="single" w:sz="4" w:space="0" w:color="auto"/>
            </w:tcBorders>
            <w:shd w:val="clear" w:color="auto" w:fill="C6EFCE"/>
            <w:noWrap/>
            <w:vAlign w:val="center"/>
          </w:tcPr>
          <w:p w14:paraId="60255ED6"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14B42990" w14:textId="77777777" w:rsidR="00C972CB" w:rsidRDefault="002457F6">
            <w:pPr>
              <w:pStyle w:val="P68B1DB1-Normal12"/>
              <w:rPr>
                <w:noProof/>
                <w:color w:val="006600"/>
              </w:rPr>
            </w:pPr>
            <w:r>
              <w:rPr>
                <w:noProof/>
              </w:rPr>
              <w:t>Galīgā vērtējuma publicēšana saskaņā ar loģistisko stimulu shēmu</w:t>
            </w:r>
          </w:p>
        </w:tc>
      </w:tr>
      <w:tr w:rsidR="00C972CB" w14:paraId="380B01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60B8DF" w14:textId="77777777" w:rsidR="00C972CB" w:rsidRDefault="002457F6">
            <w:pPr>
              <w:pStyle w:val="P68B1DB1-Normal12"/>
              <w:jc w:val="center"/>
              <w:rPr>
                <w:noProof/>
              </w:rPr>
            </w:pPr>
            <w:r>
              <w:rPr>
                <w:noProof/>
              </w:rPr>
              <w:t>M2C1–4</w:t>
            </w:r>
          </w:p>
        </w:tc>
        <w:tc>
          <w:tcPr>
            <w:tcW w:w="3118" w:type="dxa"/>
            <w:tcBorders>
              <w:top w:val="nil"/>
              <w:left w:val="nil"/>
              <w:bottom w:val="single" w:sz="4" w:space="0" w:color="auto"/>
              <w:right w:val="single" w:sz="4" w:space="0" w:color="auto"/>
            </w:tcBorders>
            <w:shd w:val="clear" w:color="auto" w:fill="C6EFCE"/>
            <w:noWrap/>
            <w:vAlign w:val="center"/>
          </w:tcPr>
          <w:p w14:paraId="04A13C66" w14:textId="77777777" w:rsidR="00C972CB" w:rsidRDefault="002457F6">
            <w:pPr>
              <w:pStyle w:val="P68B1DB1-Normal12"/>
              <w:rPr>
                <w:noProof/>
              </w:rPr>
            </w:pPr>
            <w:r>
              <w:rPr>
                <w:noProof/>
              </w:rPr>
              <w:t>Ieguldījums 2.2.: AGRI-solārais parks</w:t>
            </w:r>
          </w:p>
        </w:tc>
        <w:tc>
          <w:tcPr>
            <w:tcW w:w="1418" w:type="dxa"/>
            <w:tcBorders>
              <w:top w:val="nil"/>
              <w:left w:val="nil"/>
              <w:bottom w:val="single" w:sz="4" w:space="0" w:color="auto"/>
              <w:right w:val="single" w:sz="4" w:space="0" w:color="auto"/>
            </w:tcBorders>
            <w:shd w:val="clear" w:color="auto" w:fill="C6EFCE"/>
            <w:noWrap/>
            <w:vAlign w:val="center"/>
          </w:tcPr>
          <w:p w14:paraId="3896D26C" w14:textId="77777777" w:rsidR="00C972CB" w:rsidRDefault="002457F6">
            <w:pPr>
              <w:pStyle w:val="P68B1DB1-Normal12"/>
              <w:rPr>
                <w:noProof/>
                <w:color w:val="006600"/>
              </w:rPr>
            </w:pPr>
            <w:r>
              <w:rPr>
                <w:noProof/>
              </w:rPr>
              <w:t>Mērķa</w:t>
            </w:r>
          </w:p>
        </w:tc>
        <w:tc>
          <w:tcPr>
            <w:tcW w:w="3865" w:type="dxa"/>
            <w:tcBorders>
              <w:top w:val="nil"/>
              <w:left w:val="nil"/>
              <w:bottom w:val="single" w:sz="4" w:space="0" w:color="auto"/>
              <w:right w:val="single" w:sz="4" w:space="0" w:color="auto"/>
            </w:tcBorders>
            <w:shd w:val="clear" w:color="auto" w:fill="C6EFCE"/>
            <w:noWrap/>
            <w:vAlign w:val="center"/>
          </w:tcPr>
          <w:p w14:paraId="0D134A03" w14:textId="77777777" w:rsidR="00C972CB" w:rsidRDefault="002457F6">
            <w:pPr>
              <w:pStyle w:val="P68B1DB1-Normal12"/>
              <w:rPr>
                <w:noProof/>
                <w:color w:val="006600"/>
              </w:rPr>
            </w:pPr>
            <w:r>
              <w:rPr>
                <w:noProof/>
              </w:rPr>
              <w:t>Līdzekļu piešķiršana saņēmējiem</w:t>
            </w:r>
            <w:r>
              <w:rPr>
                <w:noProof/>
              </w:rPr>
              <w:t xml:space="preserve"> % no kopējiem ieguldījumiem piešķirtajiem finanšu resursiem</w:t>
            </w:r>
          </w:p>
        </w:tc>
      </w:tr>
      <w:tr w:rsidR="00C972CB" w14:paraId="464B82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3AC106" w14:textId="77777777" w:rsidR="00C972CB" w:rsidRDefault="002457F6">
            <w:pPr>
              <w:pStyle w:val="P68B1DB1-Normal12"/>
              <w:jc w:val="center"/>
              <w:rPr>
                <w:noProof/>
              </w:rPr>
            </w:pPr>
            <w:r>
              <w:rPr>
                <w:noProof/>
              </w:rPr>
              <w:t>M2C2–8</w:t>
            </w:r>
          </w:p>
        </w:tc>
        <w:tc>
          <w:tcPr>
            <w:tcW w:w="3118" w:type="dxa"/>
            <w:tcBorders>
              <w:top w:val="nil"/>
              <w:left w:val="nil"/>
              <w:bottom w:val="single" w:sz="4" w:space="0" w:color="auto"/>
              <w:right w:val="single" w:sz="4" w:space="0" w:color="auto"/>
            </w:tcBorders>
            <w:shd w:val="clear" w:color="auto" w:fill="C6EFCE"/>
            <w:noWrap/>
            <w:vAlign w:val="center"/>
          </w:tcPr>
          <w:p w14:paraId="7E0BCA6F" w14:textId="77777777" w:rsidR="00C972CB" w:rsidRDefault="002457F6">
            <w:pPr>
              <w:pStyle w:val="P68B1DB1-Normal12"/>
              <w:rPr>
                <w:noProof/>
              </w:rPr>
            </w:pPr>
            <w:r>
              <w:rPr>
                <w:noProof/>
              </w:rPr>
              <w:t>Ieguldījums 2.1. Viedo tīklu stiprināšana</w:t>
            </w:r>
          </w:p>
        </w:tc>
        <w:tc>
          <w:tcPr>
            <w:tcW w:w="1418" w:type="dxa"/>
            <w:tcBorders>
              <w:top w:val="nil"/>
              <w:left w:val="nil"/>
              <w:bottom w:val="single" w:sz="4" w:space="0" w:color="auto"/>
              <w:right w:val="single" w:sz="4" w:space="0" w:color="auto"/>
            </w:tcBorders>
            <w:shd w:val="clear" w:color="auto" w:fill="C6EFCE"/>
            <w:noWrap/>
            <w:vAlign w:val="center"/>
          </w:tcPr>
          <w:p w14:paraId="2561FA90"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3AD63211" w14:textId="77777777" w:rsidR="00C972CB" w:rsidRDefault="002457F6">
            <w:pPr>
              <w:pStyle w:val="P68B1DB1-Normal12"/>
              <w:rPr>
                <w:noProof/>
                <w:color w:val="006600"/>
              </w:rPr>
            </w:pPr>
            <w:r>
              <w:rPr>
                <w:noProof/>
              </w:rPr>
              <w:t>(Visu) publiskā iepirkuma līgumu slēgšanas tiesību piešķiršana tīkla jaudas palielināšanai</w:t>
            </w:r>
          </w:p>
        </w:tc>
      </w:tr>
      <w:tr w:rsidR="00C972CB" w14:paraId="03E4DF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CCF30D" w14:textId="77777777" w:rsidR="00C972CB" w:rsidRDefault="002457F6">
            <w:pPr>
              <w:pStyle w:val="P68B1DB1-Normal12"/>
              <w:jc w:val="center"/>
              <w:rPr>
                <w:noProof/>
              </w:rPr>
            </w:pPr>
            <w:r>
              <w:rPr>
                <w:noProof/>
              </w:rPr>
              <w:t>M2C2–12</w:t>
            </w:r>
          </w:p>
        </w:tc>
        <w:tc>
          <w:tcPr>
            <w:tcW w:w="3118" w:type="dxa"/>
            <w:tcBorders>
              <w:top w:val="nil"/>
              <w:left w:val="nil"/>
              <w:bottom w:val="single" w:sz="4" w:space="0" w:color="auto"/>
              <w:right w:val="single" w:sz="4" w:space="0" w:color="auto"/>
            </w:tcBorders>
            <w:shd w:val="clear" w:color="auto" w:fill="C6EFCE"/>
            <w:noWrap/>
            <w:vAlign w:val="center"/>
          </w:tcPr>
          <w:p w14:paraId="26950E3E" w14:textId="77777777" w:rsidR="00C972CB" w:rsidRDefault="002457F6">
            <w:pPr>
              <w:pStyle w:val="P68B1DB1-Normal12"/>
              <w:rPr>
                <w:noProof/>
              </w:rPr>
            </w:pPr>
            <w:r>
              <w:rPr>
                <w:noProof/>
              </w:rPr>
              <w:t>Ieguldījums. Intervences el</w:t>
            </w:r>
            <w:r>
              <w:rPr>
                <w:noProof/>
              </w:rPr>
              <w:t>ektrotīkla noturības palielināšanai</w:t>
            </w:r>
          </w:p>
        </w:tc>
        <w:tc>
          <w:tcPr>
            <w:tcW w:w="1418" w:type="dxa"/>
            <w:tcBorders>
              <w:top w:val="nil"/>
              <w:left w:val="nil"/>
              <w:bottom w:val="single" w:sz="4" w:space="0" w:color="auto"/>
              <w:right w:val="single" w:sz="4" w:space="0" w:color="auto"/>
            </w:tcBorders>
            <w:shd w:val="clear" w:color="auto" w:fill="C6EFCE"/>
            <w:noWrap/>
            <w:vAlign w:val="center"/>
          </w:tcPr>
          <w:p w14:paraId="3F50362B"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033ADAB4" w14:textId="77777777" w:rsidR="00C972CB" w:rsidRDefault="002457F6">
            <w:pPr>
              <w:pStyle w:val="P68B1DB1-Normal12"/>
              <w:rPr>
                <w:noProof/>
                <w:color w:val="006600"/>
              </w:rPr>
            </w:pPr>
            <w:r>
              <w:rPr>
                <w:noProof/>
              </w:rPr>
              <w:t>Elektroenerģijas sistēmas tīkla noturības palielināšanas projektu piešķiršana</w:t>
            </w:r>
          </w:p>
        </w:tc>
      </w:tr>
      <w:tr w:rsidR="00C972CB" w14:paraId="4CE6E6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4C7C0F" w14:textId="77777777" w:rsidR="00C972CB" w:rsidRDefault="002457F6">
            <w:pPr>
              <w:pStyle w:val="P68B1DB1-Normal12"/>
              <w:jc w:val="center"/>
              <w:rPr>
                <w:noProof/>
              </w:rPr>
            </w:pPr>
            <w:r>
              <w:rPr>
                <w:noProof/>
              </w:rPr>
              <w:t>M3C2–1</w:t>
            </w:r>
          </w:p>
        </w:tc>
        <w:tc>
          <w:tcPr>
            <w:tcW w:w="3118" w:type="dxa"/>
            <w:tcBorders>
              <w:top w:val="nil"/>
              <w:left w:val="nil"/>
              <w:bottom w:val="single" w:sz="4" w:space="0" w:color="auto"/>
              <w:right w:val="single" w:sz="4" w:space="0" w:color="auto"/>
            </w:tcBorders>
            <w:shd w:val="clear" w:color="auto" w:fill="C6EFCE"/>
            <w:noWrap/>
            <w:vAlign w:val="center"/>
          </w:tcPr>
          <w:p w14:paraId="574059F4" w14:textId="77777777" w:rsidR="00C972CB" w:rsidRDefault="002457F6">
            <w:pPr>
              <w:pStyle w:val="P68B1DB1-Normal12"/>
              <w:rPr>
                <w:noProof/>
              </w:rPr>
            </w:pPr>
            <w:r>
              <w:rPr>
                <w:noProof/>
              </w:rPr>
              <w:t xml:space="preserve">Reforma. Stratēģiskās plānošanas procesa procedūru vienkāršošana </w:t>
            </w:r>
          </w:p>
        </w:tc>
        <w:tc>
          <w:tcPr>
            <w:tcW w:w="1418" w:type="dxa"/>
            <w:tcBorders>
              <w:top w:val="nil"/>
              <w:left w:val="nil"/>
              <w:bottom w:val="single" w:sz="4" w:space="0" w:color="auto"/>
              <w:right w:val="single" w:sz="4" w:space="0" w:color="auto"/>
            </w:tcBorders>
            <w:shd w:val="clear" w:color="auto" w:fill="C6EFCE"/>
            <w:noWrap/>
            <w:vAlign w:val="center"/>
          </w:tcPr>
          <w:p w14:paraId="5AC7C2C6"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3C881DAA" w14:textId="77777777" w:rsidR="00C972CB" w:rsidRDefault="002457F6">
            <w:pPr>
              <w:pStyle w:val="P68B1DB1-Normal12"/>
              <w:rPr>
                <w:noProof/>
                <w:color w:val="006600"/>
              </w:rPr>
            </w:pPr>
            <w:r>
              <w:rPr>
                <w:noProof/>
              </w:rPr>
              <w:t xml:space="preserve">Ar stratēģiskās plānošanas </w:t>
            </w:r>
            <w:r>
              <w:rPr>
                <w:noProof/>
              </w:rPr>
              <w:t>procesa procedūru vienkāršošanu saistītu tiesību aktu grozījumu stāšanās spēkā</w:t>
            </w:r>
          </w:p>
        </w:tc>
      </w:tr>
      <w:tr w:rsidR="00C972CB" w14:paraId="47A14F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2AD9EC" w14:textId="77777777" w:rsidR="00C972CB" w:rsidRDefault="002457F6">
            <w:pPr>
              <w:pStyle w:val="P68B1DB1-Normal12"/>
              <w:jc w:val="center"/>
              <w:rPr>
                <w:noProof/>
              </w:rPr>
            </w:pPr>
            <w:r>
              <w:rPr>
                <w:noProof/>
              </w:rPr>
              <w:t>M3C2–2</w:t>
            </w:r>
          </w:p>
        </w:tc>
        <w:tc>
          <w:tcPr>
            <w:tcW w:w="3118" w:type="dxa"/>
            <w:tcBorders>
              <w:top w:val="nil"/>
              <w:left w:val="nil"/>
              <w:bottom w:val="single" w:sz="4" w:space="0" w:color="auto"/>
              <w:right w:val="single" w:sz="4" w:space="0" w:color="auto"/>
            </w:tcBorders>
            <w:shd w:val="clear" w:color="auto" w:fill="C6EFCE"/>
            <w:noWrap/>
            <w:vAlign w:val="center"/>
          </w:tcPr>
          <w:p w14:paraId="73F72359" w14:textId="77777777" w:rsidR="00C972CB" w:rsidRDefault="002457F6">
            <w:pPr>
              <w:pStyle w:val="P68B1DB1-Normal12"/>
              <w:rPr>
                <w:noProof/>
              </w:rPr>
            </w:pPr>
            <w:r>
              <w:rPr>
                <w:noProof/>
              </w:rPr>
              <w:t>Reforma — Konkurēt koncesiju piešķiršana Itālijas ostās</w:t>
            </w:r>
          </w:p>
        </w:tc>
        <w:tc>
          <w:tcPr>
            <w:tcW w:w="1418" w:type="dxa"/>
            <w:tcBorders>
              <w:top w:val="nil"/>
              <w:left w:val="nil"/>
              <w:bottom w:val="single" w:sz="4" w:space="0" w:color="auto"/>
              <w:right w:val="single" w:sz="4" w:space="0" w:color="auto"/>
            </w:tcBorders>
            <w:shd w:val="clear" w:color="auto" w:fill="C6EFCE"/>
            <w:noWrap/>
            <w:vAlign w:val="center"/>
          </w:tcPr>
          <w:p w14:paraId="6B140DC2"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7B60B233" w14:textId="77777777" w:rsidR="00C972CB" w:rsidRDefault="002457F6">
            <w:pPr>
              <w:pStyle w:val="P68B1DB1-Normal12"/>
              <w:rPr>
                <w:noProof/>
                <w:color w:val="006600"/>
              </w:rPr>
            </w:pPr>
            <w:r>
              <w:rPr>
                <w:noProof/>
              </w:rPr>
              <w:t>Noteikumu par ostu koncesijām stāšanās spēkā</w:t>
            </w:r>
          </w:p>
        </w:tc>
      </w:tr>
      <w:tr w:rsidR="00C972CB" w14:paraId="2EA511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842B9D" w14:textId="77777777" w:rsidR="00C972CB" w:rsidRDefault="002457F6">
            <w:pPr>
              <w:pStyle w:val="P68B1DB1-Normal12"/>
              <w:jc w:val="center"/>
              <w:rPr>
                <w:noProof/>
              </w:rPr>
            </w:pPr>
            <w:r>
              <w:rPr>
                <w:noProof/>
              </w:rPr>
              <w:t>M3C2–4</w:t>
            </w:r>
          </w:p>
        </w:tc>
        <w:tc>
          <w:tcPr>
            <w:tcW w:w="3118" w:type="dxa"/>
            <w:tcBorders>
              <w:top w:val="nil"/>
              <w:left w:val="nil"/>
              <w:bottom w:val="single" w:sz="4" w:space="0" w:color="auto"/>
              <w:right w:val="single" w:sz="4" w:space="0" w:color="auto"/>
            </w:tcBorders>
            <w:shd w:val="clear" w:color="auto" w:fill="C6EFCE"/>
            <w:noWrap/>
            <w:vAlign w:val="center"/>
          </w:tcPr>
          <w:p w14:paraId="7389EAD1" w14:textId="77777777" w:rsidR="00C972CB" w:rsidRDefault="002457F6">
            <w:pPr>
              <w:pStyle w:val="P68B1DB1-Normal12"/>
              <w:rPr>
                <w:noProof/>
              </w:rPr>
            </w:pPr>
            <w:r>
              <w:rPr>
                <w:noProof/>
              </w:rPr>
              <w:t>Reforma — Aukstās gludināšanas iekārtu atļ</w:t>
            </w:r>
            <w:r>
              <w:rPr>
                <w:noProof/>
              </w:rPr>
              <w:t>auju piešķiršanas procedūru vienkāršošana</w:t>
            </w:r>
          </w:p>
        </w:tc>
        <w:tc>
          <w:tcPr>
            <w:tcW w:w="1418" w:type="dxa"/>
            <w:tcBorders>
              <w:top w:val="nil"/>
              <w:left w:val="nil"/>
              <w:bottom w:val="single" w:sz="4" w:space="0" w:color="auto"/>
              <w:right w:val="single" w:sz="4" w:space="0" w:color="auto"/>
            </w:tcBorders>
            <w:shd w:val="clear" w:color="auto" w:fill="C6EFCE"/>
            <w:noWrap/>
            <w:vAlign w:val="center"/>
          </w:tcPr>
          <w:p w14:paraId="0D024A64"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2BEC988D" w14:textId="77777777" w:rsidR="00C972CB" w:rsidRDefault="002457F6">
            <w:pPr>
              <w:pStyle w:val="P68B1DB1-Normal12"/>
              <w:rPr>
                <w:noProof/>
                <w:color w:val="006600"/>
              </w:rPr>
            </w:pPr>
            <w:r>
              <w:rPr>
                <w:noProof/>
              </w:rPr>
              <w:t>Aukstās gludināšanas iekārtu atļauju piešķiršanas procedūru vienkāršošanas stāšanās spēkā</w:t>
            </w:r>
          </w:p>
        </w:tc>
      </w:tr>
      <w:tr w:rsidR="00C972CB" w14:paraId="59B6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B57C7" w14:textId="77777777" w:rsidR="00C972CB" w:rsidRDefault="002457F6">
            <w:pPr>
              <w:pStyle w:val="P68B1DB1-Normal12"/>
              <w:jc w:val="center"/>
              <w:rPr>
                <w:noProof/>
              </w:rPr>
            </w:pPr>
            <w:r>
              <w:rPr>
                <w:noProof/>
              </w:rPr>
              <w:t>M4C1–5</w:t>
            </w:r>
          </w:p>
        </w:tc>
        <w:tc>
          <w:tcPr>
            <w:tcW w:w="3118" w:type="dxa"/>
            <w:tcBorders>
              <w:top w:val="nil"/>
              <w:left w:val="nil"/>
              <w:bottom w:val="single" w:sz="4" w:space="0" w:color="auto"/>
              <w:right w:val="single" w:sz="4" w:space="0" w:color="auto"/>
            </w:tcBorders>
            <w:shd w:val="clear" w:color="auto" w:fill="C6EFCE"/>
            <w:noWrap/>
            <w:vAlign w:val="center"/>
          </w:tcPr>
          <w:p w14:paraId="015336E0" w14:textId="77777777" w:rsidR="00C972CB" w:rsidRDefault="002457F6">
            <w:pPr>
              <w:pStyle w:val="P68B1DB1-Normal12"/>
              <w:rPr>
                <w:noProof/>
              </w:rPr>
            </w:pPr>
            <w:r>
              <w:rPr>
                <w:noProof/>
              </w:rPr>
              <w:t>Reforma: Skolu sistēmas reorganizācija; Reforma: Terciārās profesionālās izglītības sistēmas (ITS)</w:t>
            </w:r>
            <w:r>
              <w:rPr>
                <w:noProof/>
              </w:rPr>
              <w:t xml:space="preserve"> reforma; Reforma. Tehnisko un profesionālo institūtu reforma; Reforma: “Orientācijas” sistēmas reforma</w:t>
            </w:r>
          </w:p>
        </w:tc>
        <w:tc>
          <w:tcPr>
            <w:tcW w:w="1418" w:type="dxa"/>
            <w:tcBorders>
              <w:top w:val="nil"/>
              <w:left w:val="nil"/>
              <w:bottom w:val="single" w:sz="4" w:space="0" w:color="auto"/>
              <w:right w:val="single" w:sz="4" w:space="0" w:color="auto"/>
            </w:tcBorders>
            <w:shd w:val="clear" w:color="auto" w:fill="C6EFCE"/>
            <w:noWrap/>
            <w:vAlign w:val="center"/>
          </w:tcPr>
          <w:p w14:paraId="706CF116" w14:textId="77777777" w:rsidR="00C972CB" w:rsidRDefault="002457F6">
            <w:pPr>
              <w:pStyle w:val="P68B1DB1-Normal12"/>
              <w:rPr>
                <w:noProof/>
                <w:color w:val="006600"/>
              </w:rPr>
            </w:pPr>
            <w:r>
              <w:rPr>
                <w:noProof/>
              </w:rPr>
              <w:t>Starpposma mērķi</w:t>
            </w:r>
          </w:p>
        </w:tc>
        <w:tc>
          <w:tcPr>
            <w:tcW w:w="3865" w:type="dxa"/>
            <w:tcBorders>
              <w:top w:val="nil"/>
              <w:left w:val="nil"/>
              <w:bottom w:val="single" w:sz="4" w:space="0" w:color="auto"/>
              <w:right w:val="single" w:sz="4" w:space="0" w:color="auto"/>
            </w:tcBorders>
            <w:shd w:val="clear" w:color="auto" w:fill="C6EFCE"/>
            <w:noWrap/>
            <w:vAlign w:val="center"/>
          </w:tcPr>
          <w:p w14:paraId="1E69BE4C" w14:textId="77777777" w:rsidR="00C972CB" w:rsidRDefault="002457F6">
            <w:pPr>
              <w:pStyle w:val="P68B1DB1-Normal12"/>
              <w:rPr>
                <w:noProof/>
                <w:color w:val="006600"/>
              </w:rPr>
            </w:pPr>
            <w:r>
              <w:rPr>
                <w:noProof/>
              </w:rPr>
              <w:t>Pamatizglītības un vidējās izglītības sistēmas reformu stāšanās spēkā, lai uzlabotu izglītības rezultātus</w:t>
            </w:r>
          </w:p>
        </w:tc>
      </w:tr>
      <w:tr w:rsidR="00C972CB" w14:paraId="4706A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942C78" w14:textId="77777777" w:rsidR="00C972CB" w:rsidRDefault="002457F6">
            <w:pPr>
              <w:pStyle w:val="P68B1DB1-Normal12"/>
              <w:jc w:val="center"/>
              <w:rPr>
                <w:noProof/>
              </w:rPr>
            </w:pPr>
            <w:r>
              <w:rPr>
                <w:noProof/>
              </w:rPr>
              <w:t>M4C1–6</w:t>
            </w:r>
          </w:p>
        </w:tc>
        <w:tc>
          <w:tcPr>
            <w:tcW w:w="3118" w:type="dxa"/>
            <w:tcBorders>
              <w:top w:val="nil"/>
              <w:left w:val="nil"/>
              <w:bottom w:val="single" w:sz="4" w:space="0" w:color="auto"/>
              <w:right w:val="single" w:sz="4" w:space="0" w:color="auto"/>
            </w:tcBorders>
            <w:shd w:val="clear" w:color="auto" w:fill="C6EFCE"/>
            <w:noWrap/>
            <w:vAlign w:val="center"/>
          </w:tcPr>
          <w:p w14:paraId="327AC3F2" w14:textId="77777777" w:rsidR="00C972CB" w:rsidRDefault="002457F6">
            <w:pPr>
              <w:pStyle w:val="P68B1DB1-Normal12"/>
              <w:rPr>
                <w:noProof/>
              </w:rPr>
            </w:pPr>
            <w:r>
              <w:rPr>
                <w:noProof/>
              </w:rPr>
              <w:t>Reforma. Augstākā izg</w:t>
            </w:r>
            <w:r>
              <w:rPr>
                <w:noProof/>
              </w:rPr>
              <w:t>lītība un tālākizglītība skolu vadītājiem, skolotājiem, administratīvajiem un tehniskajiem darbiniekiem</w:t>
            </w:r>
          </w:p>
        </w:tc>
        <w:tc>
          <w:tcPr>
            <w:tcW w:w="1418" w:type="dxa"/>
            <w:tcBorders>
              <w:top w:val="nil"/>
              <w:left w:val="nil"/>
              <w:bottom w:val="single" w:sz="4" w:space="0" w:color="auto"/>
              <w:right w:val="single" w:sz="4" w:space="0" w:color="auto"/>
            </w:tcBorders>
            <w:shd w:val="clear" w:color="auto" w:fill="C6EFCE"/>
            <w:noWrap/>
            <w:vAlign w:val="center"/>
          </w:tcPr>
          <w:p w14:paraId="2ABBF847"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08307BB6" w14:textId="77777777" w:rsidR="00C972CB" w:rsidRDefault="002457F6">
            <w:pPr>
              <w:pStyle w:val="P68B1DB1-Normal12"/>
              <w:rPr>
                <w:noProof/>
                <w:color w:val="006600"/>
              </w:rPr>
            </w:pPr>
            <w:r>
              <w:rPr>
                <w:noProof/>
              </w:rPr>
              <w:t>Tādu tiesību aktu stāšanās spēkā, kuru mērķis ir izveidot kvalitatīvu mācību sistēmu skolām.</w:t>
            </w:r>
          </w:p>
        </w:tc>
      </w:tr>
      <w:tr w:rsidR="00C972CB" w14:paraId="6D466F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84E6" w14:textId="77777777" w:rsidR="00C972CB" w:rsidRDefault="002457F6">
            <w:pPr>
              <w:pStyle w:val="P68B1DB1-Normal12"/>
              <w:jc w:val="center"/>
              <w:rPr>
                <w:noProof/>
              </w:rPr>
            </w:pPr>
            <w:r>
              <w:rPr>
                <w:noProof/>
              </w:rPr>
              <w:t>M4C2–1</w:t>
            </w:r>
          </w:p>
        </w:tc>
        <w:tc>
          <w:tcPr>
            <w:tcW w:w="3118" w:type="dxa"/>
            <w:tcBorders>
              <w:top w:val="nil"/>
              <w:left w:val="nil"/>
              <w:bottom w:val="single" w:sz="4" w:space="0" w:color="auto"/>
              <w:right w:val="single" w:sz="4" w:space="0" w:color="auto"/>
            </w:tcBorders>
            <w:shd w:val="clear" w:color="auto" w:fill="C6EFCE"/>
            <w:noWrap/>
            <w:vAlign w:val="center"/>
          </w:tcPr>
          <w:p w14:paraId="6B68519B" w14:textId="77777777" w:rsidR="00C972CB" w:rsidRDefault="002457F6">
            <w:pPr>
              <w:pStyle w:val="P68B1DB1-Normal12"/>
              <w:rPr>
                <w:noProof/>
              </w:rPr>
            </w:pPr>
            <w:r>
              <w:rPr>
                <w:noProof/>
              </w:rPr>
              <w:t>Ieguldījums 1.2: Jauno pētnieku i</w:t>
            </w:r>
            <w:r>
              <w:rPr>
                <w:noProof/>
              </w:rPr>
              <w:t>esniegto projektu finansēšana</w:t>
            </w:r>
          </w:p>
        </w:tc>
        <w:tc>
          <w:tcPr>
            <w:tcW w:w="1418" w:type="dxa"/>
            <w:tcBorders>
              <w:top w:val="nil"/>
              <w:left w:val="nil"/>
              <w:bottom w:val="single" w:sz="4" w:space="0" w:color="auto"/>
              <w:right w:val="single" w:sz="4" w:space="0" w:color="auto"/>
            </w:tcBorders>
            <w:shd w:val="clear" w:color="auto" w:fill="C6EFCE"/>
            <w:noWrap/>
            <w:vAlign w:val="center"/>
          </w:tcPr>
          <w:p w14:paraId="1C0F9049" w14:textId="77777777" w:rsidR="00C972CB" w:rsidRDefault="002457F6">
            <w:pPr>
              <w:pStyle w:val="P68B1DB1-Normal12"/>
              <w:rPr>
                <w:noProof/>
                <w:color w:val="006600"/>
              </w:rPr>
            </w:pPr>
            <w:r>
              <w:rPr>
                <w:noProof/>
              </w:rPr>
              <w:t>Mērķa</w:t>
            </w:r>
          </w:p>
        </w:tc>
        <w:tc>
          <w:tcPr>
            <w:tcW w:w="3865" w:type="dxa"/>
            <w:tcBorders>
              <w:top w:val="nil"/>
              <w:left w:val="nil"/>
              <w:bottom w:val="single" w:sz="4" w:space="0" w:color="auto"/>
              <w:right w:val="single" w:sz="4" w:space="0" w:color="auto"/>
            </w:tcBorders>
            <w:shd w:val="clear" w:color="auto" w:fill="C6EFCE"/>
            <w:noWrap/>
            <w:vAlign w:val="center"/>
          </w:tcPr>
          <w:p w14:paraId="1C1F066E" w14:textId="77777777" w:rsidR="00C972CB" w:rsidRDefault="002457F6">
            <w:pPr>
              <w:pStyle w:val="P68B1DB1-Normal12"/>
              <w:rPr>
                <w:noProof/>
                <w:color w:val="006600"/>
              </w:rPr>
            </w:pPr>
            <w:r>
              <w:rPr>
                <w:noProof/>
              </w:rPr>
              <w:t>To studentu skaits, kuriem piešķirta pētniecības stipendija</w:t>
            </w:r>
          </w:p>
        </w:tc>
      </w:tr>
      <w:tr w:rsidR="00C972CB" w14:paraId="51D002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02431" w14:textId="77777777" w:rsidR="00C972CB" w:rsidRDefault="002457F6">
            <w:pPr>
              <w:pStyle w:val="P68B1DB1-Normal12"/>
              <w:jc w:val="center"/>
              <w:rPr>
                <w:noProof/>
              </w:rPr>
            </w:pPr>
            <w:r>
              <w:rPr>
                <w:noProof/>
              </w:rPr>
              <w:t xml:space="preserve">M5C1–2 </w:t>
            </w:r>
          </w:p>
        </w:tc>
        <w:tc>
          <w:tcPr>
            <w:tcW w:w="3118" w:type="dxa"/>
            <w:tcBorders>
              <w:top w:val="nil"/>
              <w:left w:val="nil"/>
              <w:bottom w:val="single" w:sz="4" w:space="0" w:color="auto"/>
              <w:right w:val="single" w:sz="4" w:space="0" w:color="auto"/>
            </w:tcBorders>
            <w:shd w:val="clear" w:color="auto" w:fill="C6EFCE"/>
            <w:noWrap/>
            <w:vAlign w:val="center"/>
          </w:tcPr>
          <w:p w14:paraId="4BE94989" w14:textId="77777777" w:rsidR="00C972CB" w:rsidRDefault="002457F6">
            <w:pPr>
              <w:pStyle w:val="P68B1DB1-Normal12"/>
              <w:rPr>
                <w:noProof/>
              </w:rPr>
            </w:pPr>
            <w:r>
              <w:rPr>
                <w:noProof/>
              </w:rPr>
              <w:t>Reforma — ADTP un profesionālā apmācība</w:t>
            </w:r>
          </w:p>
        </w:tc>
        <w:tc>
          <w:tcPr>
            <w:tcW w:w="1418" w:type="dxa"/>
            <w:tcBorders>
              <w:top w:val="nil"/>
              <w:left w:val="nil"/>
              <w:bottom w:val="single" w:sz="4" w:space="0" w:color="auto"/>
              <w:right w:val="single" w:sz="4" w:space="0" w:color="auto"/>
            </w:tcBorders>
            <w:shd w:val="clear" w:color="auto" w:fill="C6EFCE"/>
            <w:noWrap/>
            <w:vAlign w:val="center"/>
          </w:tcPr>
          <w:p w14:paraId="4FB6EF86"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380FD0F4" w14:textId="77777777" w:rsidR="00C972CB" w:rsidRDefault="002457F6">
            <w:pPr>
              <w:pStyle w:val="P68B1DB1-Normal12"/>
              <w:rPr>
                <w:noProof/>
                <w:color w:val="006600"/>
              </w:rPr>
            </w:pPr>
            <w:r>
              <w:rPr>
                <w:noProof/>
              </w:rPr>
              <w:t xml:space="preserve">Visu valsts nodarbinātības dienestu (VND) plānu stāšanās spēkā reģionālā līmenī  </w:t>
            </w:r>
          </w:p>
        </w:tc>
      </w:tr>
      <w:tr w:rsidR="00C972CB" w14:paraId="03649E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F6E4C7" w14:textId="77777777" w:rsidR="00C972CB" w:rsidRDefault="002457F6">
            <w:pPr>
              <w:pStyle w:val="P68B1DB1-Normal12"/>
              <w:jc w:val="center"/>
              <w:rPr>
                <w:noProof/>
              </w:rPr>
            </w:pPr>
            <w:r>
              <w:rPr>
                <w:noProof/>
              </w:rPr>
              <w:t xml:space="preserve">M5C1–6 </w:t>
            </w:r>
          </w:p>
        </w:tc>
        <w:tc>
          <w:tcPr>
            <w:tcW w:w="3118" w:type="dxa"/>
            <w:tcBorders>
              <w:top w:val="nil"/>
              <w:left w:val="nil"/>
              <w:bottom w:val="single" w:sz="4" w:space="0" w:color="auto"/>
              <w:right w:val="single" w:sz="4" w:space="0" w:color="auto"/>
            </w:tcBorders>
            <w:shd w:val="clear" w:color="auto" w:fill="C6EFCE"/>
            <w:noWrap/>
            <w:vAlign w:val="center"/>
          </w:tcPr>
          <w:p w14:paraId="21B374F8" w14:textId="77777777" w:rsidR="00C972CB" w:rsidRDefault="002457F6">
            <w:pPr>
              <w:pStyle w:val="P68B1DB1-Normal12"/>
              <w:rPr>
                <w:noProof/>
              </w:rPr>
            </w:pPr>
            <w:r>
              <w:rPr>
                <w:noProof/>
              </w:rPr>
              <w:t xml:space="preserve">Ieguldījums 1 — Valsts nodarbinātības dienestu (VND) stiprināšana </w:t>
            </w:r>
          </w:p>
        </w:tc>
        <w:tc>
          <w:tcPr>
            <w:tcW w:w="1418" w:type="dxa"/>
            <w:tcBorders>
              <w:top w:val="nil"/>
              <w:left w:val="nil"/>
              <w:bottom w:val="single" w:sz="4" w:space="0" w:color="auto"/>
              <w:right w:val="single" w:sz="4" w:space="0" w:color="auto"/>
            </w:tcBorders>
            <w:shd w:val="clear" w:color="auto" w:fill="C6EFCE"/>
            <w:noWrap/>
            <w:vAlign w:val="center"/>
          </w:tcPr>
          <w:p w14:paraId="7C9B1D4A" w14:textId="77777777" w:rsidR="00C972CB" w:rsidRDefault="002457F6">
            <w:pPr>
              <w:pStyle w:val="P68B1DB1-Normal12"/>
              <w:rPr>
                <w:noProof/>
                <w:color w:val="006600"/>
              </w:rPr>
            </w:pPr>
            <w:r>
              <w:rPr>
                <w:noProof/>
              </w:rPr>
              <w:t>Mērķa</w:t>
            </w:r>
          </w:p>
        </w:tc>
        <w:tc>
          <w:tcPr>
            <w:tcW w:w="3865" w:type="dxa"/>
            <w:tcBorders>
              <w:top w:val="nil"/>
              <w:left w:val="nil"/>
              <w:bottom w:val="single" w:sz="4" w:space="0" w:color="auto"/>
              <w:right w:val="single" w:sz="4" w:space="0" w:color="auto"/>
            </w:tcBorders>
            <w:shd w:val="clear" w:color="auto" w:fill="C6EFCE"/>
            <w:noWrap/>
            <w:vAlign w:val="center"/>
          </w:tcPr>
          <w:p w14:paraId="65BF9FDC" w14:textId="77777777" w:rsidR="00C972CB" w:rsidRDefault="002457F6">
            <w:pPr>
              <w:pStyle w:val="P68B1DB1-Normal12"/>
              <w:rPr>
                <w:noProof/>
                <w:color w:val="006600"/>
              </w:rPr>
            </w:pPr>
            <w:r>
              <w:rPr>
                <w:noProof/>
              </w:rPr>
              <w:t>Valstu nodarbinātības dienesti (VND) trīs gadu laikposmā no 2021. līdz 2023. gadam īsteno stiprināšanas plānā paredzētās darbības.</w:t>
            </w:r>
          </w:p>
        </w:tc>
      </w:tr>
      <w:tr w:rsidR="00C972CB" w14:paraId="0FCB49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03E7A" w14:textId="77777777" w:rsidR="00C972CB" w:rsidRDefault="002457F6">
            <w:pPr>
              <w:pStyle w:val="P68B1DB1-Normal12"/>
              <w:jc w:val="center"/>
              <w:rPr>
                <w:noProof/>
              </w:rPr>
            </w:pPr>
            <w:r>
              <w:rPr>
                <w:noProof/>
              </w:rPr>
              <w:t xml:space="preserve">M5C1–8 </w:t>
            </w:r>
          </w:p>
        </w:tc>
        <w:tc>
          <w:tcPr>
            <w:tcW w:w="3118" w:type="dxa"/>
            <w:tcBorders>
              <w:top w:val="nil"/>
              <w:left w:val="nil"/>
              <w:bottom w:val="single" w:sz="4" w:space="0" w:color="auto"/>
              <w:right w:val="single" w:sz="4" w:space="0" w:color="auto"/>
            </w:tcBorders>
            <w:shd w:val="clear" w:color="auto" w:fill="C6EFCE"/>
            <w:noWrap/>
            <w:vAlign w:val="center"/>
          </w:tcPr>
          <w:p w14:paraId="78399B6B" w14:textId="77777777" w:rsidR="00C972CB" w:rsidRDefault="002457F6">
            <w:pPr>
              <w:pStyle w:val="P68B1DB1-Normal12"/>
              <w:rPr>
                <w:noProof/>
              </w:rPr>
            </w:pPr>
            <w:r>
              <w:rPr>
                <w:noProof/>
              </w:rPr>
              <w:t>Reforma — nedeklarēts darbs</w:t>
            </w:r>
          </w:p>
        </w:tc>
        <w:tc>
          <w:tcPr>
            <w:tcW w:w="1418" w:type="dxa"/>
            <w:tcBorders>
              <w:top w:val="nil"/>
              <w:left w:val="nil"/>
              <w:bottom w:val="single" w:sz="4" w:space="0" w:color="auto"/>
              <w:right w:val="single" w:sz="4" w:space="0" w:color="auto"/>
            </w:tcBorders>
            <w:shd w:val="clear" w:color="auto" w:fill="C6EFCE"/>
            <w:noWrap/>
            <w:vAlign w:val="center"/>
          </w:tcPr>
          <w:p w14:paraId="550C548D" w14:textId="77777777" w:rsidR="00C972CB" w:rsidRDefault="002457F6">
            <w:pPr>
              <w:pStyle w:val="P68B1DB1-Normal12"/>
              <w:rPr>
                <w:noProof/>
                <w:color w:val="006600"/>
              </w:rPr>
            </w:pPr>
            <w:r>
              <w:rPr>
                <w:noProof/>
              </w:rPr>
              <w:t xml:space="preserve">Starpposma </w:t>
            </w:r>
            <w:r>
              <w:rPr>
                <w:noProof/>
              </w:rPr>
              <w:t>mērķis</w:t>
            </w:r>
          </w:p>
        </w:tc>
        <w:tc>
          <w:tcPr>
            <w:tcW w:w="3865" w:type="dxa"/>
            <w:tcBorders>
              <w:top w:val="nil"/>
              <w:left w:val="nil"/>
              <w:bottom w:val="single" w:sz="4" w:space="0" w:color="auto"/>
              <w:right w:val="single" w:sz="4" w:space="0" w:color="auto"/>
            </w:tcBorders>
            <w:shd w:val="clear" w:color="auto" w:fill="C6EFCE"/>
            <w:noWrap/>
            <w:vAlign w:val="center"/>
          </w:tcPr>
          <w:p w14:paraId="551488A7" w14:textId="77777777" w:rsidR="00C972CB" w:rsidRDefault="002457F6">
            <w:pPr>
              <w:pStyle w:val="P68B1DB1-Normal12"/>
              <w:rPr>
                <w:noProof/>
                <w:color w:val="006600"/>
              </w:rPr>
            </w:pPr>
            <w:r>
              <w:rPr>
                <w:noProof/>
              </w:rPr>
              <w:t>Stājas spēkā valsts plāns un īstenošanas ceļvedis nedeklarēta darba apkarošanai visās ekonomikas nozarēs.</w:t>
            </w:r>
          </w:p>
        </w:tc>
      </w:tr>
      <w:tr w:rsidR="00C972CB" w14:paraId="6FC084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01272" w14:textId="77777777" w:rsidR="00C972CB" w:rsidRDefault="002457F6">
            <w:pPr>
              <w:pStyle w:val="P68B1DB1-Normal12"/>
              <w:jc w:val="center"/>
              <w:rPr>
                <w:noProof/>
              </w:rPr>
            </w:pPr>
            <w:r>
              <w:rPr>
                <w:noProof/>
              </w:rPr>
              <w:t>M5C1–12</w:t>
            </w:r>
          </w:p>
        </w:tc>
        <w:tc>
          <w:tcPr>
            <w:tcW w:w="3118" w:type="dxa"/>
            <w:tcBorders>
              <w:top w:val="nil"/>
              <w:left w:val="nil"/>
              <w:bottom w:val="single" w:sz="4" w:space="0" w:color="auto"/>
              <w:right w:val="single" w:sz="4" w:space="0" w:color="auto"/>
            </w:tcBorders>
            <w:shd w:val="clear" w:color="auto" w:fill="C6EFCE"/>
            <w:noWrap/>
            <w:vAlign w:val="center"/>
          </w:tcPr>
          <w:p w14:paraId="233050DE" w14:textId="77777777" w:rsidR="00C972CB" w:rsidRDefault="002457F6">
            <w:pPr>
              <w:pStyle w:val="P68B1DB1-Normal12"/>
              <w:rPr>
                <w:noProof/>
              </w:rPr>
            </w:pPr>
            <w:r>
              <w:rPr>
                <w:noProof/>
              </w:rPr>
              <w:t>Ieguldījums — Dzimumu līdztiesības sertifikācijas sistēma</w:t>
            </w:r>
          </w:p>
        </w:tc>
        <w:tc>
          <w:tcPr>
            <w:tcW w:w="1418" w:type="dxa"/>
            <w:tcBorders>
              <w:top w:val="nil"/>
              <w:left w:val="nil"/>
              <w:bottom w:val="single" w:sz="4" w:space="0" w:color="auto"/>
              <w:right w:val="single" w:sz="4" w:space="0" w:color="auto"/>
            </w:tcBorders>
            <w:shd w:val="clear" w:color="auto" w:fill="C6EFCE"/>
            <w:noWrap/>
            <w:vAlign w:val="center"/>
          </w:tcPr>
          <w:p w14:paraId="0F9B29FF"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4EA6CAD7" w14:textId="77777777" w:rsidR="00C972CB" w:rsidRDefault="002457F6">
            <w:pPr>
              <w:pStyle w:val="P68B1DB1-Normal12"/>
              <w:rPr>
                <w:noProof/>
                <w:color w:val="006600"/>
              </w:rPr>
            </w:pPr>
            <w:r>
              <w:rPr>
                <w:noProof/>
              </w:rPr>
              <w:t>Stājas spēkā dzimumu līdztiesības sertifikācijas sistēma u</w:t>
            </w:r>
            <w:r>
              <w:rPr>
                <w:noProof/>
              </w:rPr>
              <w:t xml:space="preserve">n ar to saistītie uzņēmumu stimulēšanas mehānismi </w:t>
            </w:r>
          </w:p>
        </w:tc>
      </w:tr>
      <w:tr w:rsidR="00C972CB" w14:paraId="30D709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AAFFE0" w14:textId="77777777" w:rsidR="00C972CB" w:rsidRDefault="002457F6">
            <w:pPr>
              <w:pStyle w:val="P68B1DB1-Normal12"/>
              <w:jc w:val="center"/>
              <w:rPr>
                <w:noProof/>
              </w:rPr>
            </w:pPr>
            <w:r>
              <w:rPr>
                <w:noProof/>
              </w:rPr>
              <w:t>M5C2–7</w:t>
            </w:r>
          </w:p>
        </w:tc>
        <w:tc>
          <w:tcPr>
            <w:tcW w:w="3118" w:type="dxa"/>
            <w:tcBorders>
              <w:top w:val="nil"/>
              <w:left w:val="nil"/>
              <w:bottom w:val="single" w:sz="4" w:space="0" w:color="auto"/>
              <w:right w:val="single" w:sz="4" w:space="0" w:color="auto"/>
            </w:tcBorders>
            <w:shd w:val="clear" w:color="auto" w:fill="C6EFCE"/>
            <w:noWrap/>
            <w:vAlign w:val="center"/>
          </w:tcPr>
          <w:p w14:paraId="0627139D" w14:textId="77777777" w:rsidR="00C972CB" w:rsidRDefault="002457F6">
            <w:pPr>
              <w:pStyle w:val="P68B1DB1-Normal12"/>
              <w:rPr>
                <w:noProof/>
              </w:rPr>
            </w:pPr>
            <w:r>
              <w:rPr>
                <w:noProof/>
              </w:rPr>
              <w:t>Ieguldījums. Personu ar invaliditāti autonomijas modeļi</w:t>
            </w:r>
          </w:p>
        </w:tc>
        <w:tc>
          <w:tcPr>
            <w:tcW w:w="1418" w:type="dxa"/>
            <w:tcBorders>
              <w:top w:val="nil"/>
              <w:left w:val="nil"/>
              <w:bottom w:val="single" w:sz="4" w:space="0" w:color="auto"/>
              <w:right w:val="single" w:sz="4" w:space="0" w:color="auto"/>
            </w:tcBorders>
            <w:shd w:val="clear" w:color="auto" w:fill="C6EFCE"/>
            <w:noWrap/>
            <w:vAlign w:val="center"/>
          </w:tcPr>
          <w:p w14:paraId="24281C58" w14:textId="77777777" w:rsidR="00C972CB" w:rsidRDefault="002457F6">
            <w:pPr>
              <w:pStyle w:val="P68B1DB1-Normal12"/>
              <w:rPr>
                <w:noProof/>
                <w:color w:val="006600"/>
              </w:rPr>
            </w:pPr>
            <w:r>
              <w:rPr>
                <w:noProof/>
              </w:rPr>
              <w:t>Mērķa</w:t>
            </w:r>
          </w:p>
        </w:tc>
        <w:tc>
          <w:tcPr>
            <w:tcW w:w="3865" w:type="dxa"/>
            <w:tcBorders>
              <w:top w:val="nil"/>
              <w:left w:val="nil"/>
              <w:bottom w:val="single" w:sz="4" w:space="0" w:color="auto"/>
              <w:right w:val="single" w:sz="4" w:space="0" w:color="auto"/>
            </w:tcBorders>
            <w:shd w:val="clear" w:color="auto" w:fill="C6EFCE"/>
            <w:noWrap/>
            <w:vAlign w:val="center"/>
          </w:tcPr>
          <w:p w14:paraId="31D41930" w14:textId="77777777" w:rsidR="00C972CB" w:rsidRDefault="002457F6">
            <w:pPr>
              <w:pStyle w:val="P68B1DB1-Normal12"/>
              <w:rPr>
                <w:noProof/>
                <w:color w:val="006600"/>
              </w:rPr>
            </w:pPr>
            <w:r>
              <w:rPr>
                <w:noProof/>
              </w:rPr>
              <w:t xml:space="preserve">Sociālie rajoni ir īstenojuši vismaz vienu projektu saistībā ar dzīvojamo telpu renovāciju un/vai IKT ierīču nodrošināšanu personām ar </w:t>
            </w:r>
            <w:r>
              <w:rPr>
                <w:noProof/>
              </w:rPr>
              <w:t>invaliditāti, ko papildina digitālo prasmju apmācība.</w:t>
            </w:r>
          </w:p>
        </w:tc>
      </w:tr>
      <w:tr w:rsidR="00C972CB" w14:paraId="34D8B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8B9D2B" w14:textId="77777777" w:rsidR="00C972CB" w:rsidRDefault="002457F6">
            <w:pPr>
              <w:pStyle w:val="P68B1DB1-Normal12"/>
              <w:jc w:val="center"/>
              <w:rPr>
                <w:noProof/>
              </w:rPr>
            </w:pPr>
            <w:r>
              <w:rPr>
                <w:noProof/>
              </w:rPr>
              <w:t>M5C3–1</w:t>
            </w:r>
          </w:p>
        </w:tc>
        <w:tc>
          <w:tcPr>
            <w:tcW w:w="3118" w:type="dxa"/>
            <w:tcBorders>
              <w:top w:val="nil"/>
              <w:left w:val="nil"/>
              <w:bottom w:val="single" w:sz="4" w:space="0" w:color="auto"/>
              <w:right w:val="single" w:sz="4" w:space="0" w:color="auto"/>
            </w:tcBorders>
            <w:shd w:val="clear" w:color="auto" w:fill="C6EFCE"/>
            <w:noWrap/>
            <w:vAlign w:val="center"/>
          </w:tcPr>
          <w:p w14:paraId="3B195330" w14:textId="77777777" w:rsidR="00C972CB" w:rsidRDefault="002457F6">
            <w:pPr>
              <w:pStyle w:val="P68B1DB1-Normal12"/>
              <w:rPr>
                <w:noProof/>
              </w:rPr>
            </w:pPr>
            <w:r>
              <w:rPr>
                <w:noProof/>
              </w:rPr>
              <w:t>Ieguldījums 1.1.1.: Iekšējās teritorijas — kopienas sociālo pakalpojumu un infrastruktūru uzlabošana</w:t>
            </w:r>
          </w:p>
        </w:tc>
        <w:tc>
          <w:tcPr>
            <w:tcW w:w="1418" w:type="dxa"/>
            <w:tcBorders>
              <w:top w:val="nil"/>
              <w:left w:val="nil"/>
              <w:bottom w:val="single" w:sz="4" w:space="0" w:color="auto"/>
              <w:right w:val="single" w:sz="4" w:space="0" w:color="auto"/>
            </w:tcBorders>
            <w:shd w:val="clear" w:color="auto" w:fill="C6EFCE"/>
            <w:noWrap/>
            <w:vAlign w:val="center"/>
          </w:tcPr>
          <w:p w14:paraId="559926BD"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6F6FF361" w14:textId="77777777" w:rsidR="00C972CB" w:rsidRDefault="002457F6">
            <w:pPr>
              <w:pStyle w:val="P68B1DB1-Normal12"/>
              <w:rPr>
                <w:noProof/>
                <w:color w:val="006600"/>
              </w:rPr>
            </w:pPr>
            <w:r>
              <w:rPr>
                <w:noProof/>
              </w:rPr>
              <w:t>Līguma slēgšanas tiesību piešķiršana par intervencēm, kuru mērķis ir uzlabo</w:t>
            </w:r>
            <w:r>
              <w:rPr>
                <w:noProof/>
              </w:rPr>
              <w:t>t sociālos pakalpojumus un infrastruktūru iekšējos apgabalos, un par atbalstu aptiekām pašvaldībās, kurās ir mazāk nekā 3000 iedzīvotāju</w:t>
            </w:r>
          </w:p>
        </w:tc>
      </w:tr>
      <w:tr w:rsidR="00C972CB" w14:paraId="6444DB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0F6FD5" w14:textId="77777777" w:rsidR="00C972CB" w:rsidRDefault="002457F6">
            <w:pPr>
              <w:pStyle w:val="P68B1DB1-Normal12"/>
              <w:jc w:val="center"/>
              <w:rPr>
                <w:noProof/>
              </w:rPr>
            </w:pPr>
            <w:r>
              <w:rPr>
                <w:noProof/>
              </w:rPr>
              <w:t>M6C2–1</w:t>
            </w:r>
          </w:p>
        </w:tc>
        <w:tc>
          <w:tcPr>
            <w:tcW w:w="3118" w:type="dxa"/>
            <w:tcBorders>
              <w:top w:val="nil"/>
              <w:left w:val="nil"/>
              <w:bottom w:val="single" w:sz="4" w:space="0" w:color="auto"/>
              <w:right w:val="single" w:sz="4" w:space="0" w:color="auto"/>
            </w:tcBorders>
            <w:shd w:val="clear" w:color="auto" w:fill="C6EFCE"/>
            <w:noWrap/>
            <w:vAlign w:val="center"/>
          </w:tcPr>
          <w:p w14:paraId="3D423CB5" w14:textId="77777777" w:rsidR="00C972CB" w:rsidRDefault="002457F6">
            <w:pPr>
              <w:pStyle w:val="P68B1DB1-Normal12"/>
              <w:rPr>
                <w:noProof/>
              </w:rPr>
            </w:pPr>
            <w:r>
              <w:rPr>
                <w:noProof/>
              </w:rPr>
              <w:t>Reforma: Pārskatīt un atjaunināt Slimnīcu un aprūpes zinātnisko institūtu (IRCCS) pašreizējo tiesisko regulējum</w:t>
            </w:r>
            <w:r>
              <w:rPr>
                <w:noProof/>
              </w:rPr>
              <w:t>u un Veselības ministrijas pētniecības politiku, lai stiprinātu saikni starp pētniecību, inovāciju un veselības aprūpi</w:t>
            </w:r>
          </w:p>
        </w:tc>
        <w:tc>
          <w:tcPr>
            <w:tcW w:w="1418" w:type="dxa"/>
            <w:tcBorders>
              <w:top w:val="nil"/>
              <w:left w:val="nil"/>
              <w:bottom w:val="single" w:sz="4" w:space="0" w:color="auto"/>
              <w:right w:val="single" w:sz="4" w:space="0" w:color="auto"/>
            </w:tcBorders>
            <w:shd w:val="clear" w:color="auto" w:fill="C6EFCE"/>
            <w:noWrap/>
            <w:vAlign w:val="center"/>
          </w:tcPr>
          <w:p w14:paraId="311FCF2F" w14:textId="77777777" w:rsidR="00C972CB" w:rsidRDefault="002457F6">
            <w:pPr>
              <w:pStyle w:val="P68B1DB1-Normal12"/>
              <w:rPr>
                <w:noProof/>
                <w:color w:val="006600"/>
              </w:rPr>
            </w:pPr>
            <w:r>
              <w:rPr>
                <w:noProof/>
              </w:rPr>
              <w:t>Starpposma mērķis</w:t>
            </w:r>
          </w:p>
        </w:tc>
        <w:tc>
          <w:tcPr>
            <w:tcW w:w="3865" w:type="dxa"/>
            <w:tcBorders>
              <w:top w:val="nil"/>
              <w:left w:val="nil"/>
              <w:bottom w:val="single" w:sz="4" w:space="0" w:color="auto"/>
              <w:right w:val="single" w:sz="4" w:space="0" w:color="auto"/>
            </w:tcBorders>
            <w:shd w:val="clear" w:color="auto" w:fill="C6EFCE"/>
            <w:noWrap/>
            <w:vAlign w:val="center"/>
          </w:tcPr>
          <w:p w14:paraId="2C5C1957" w14:textId="77777777" w:rsidR="00C972CB" w:rsidRDefault="002457F6">
            <w:pPr>
              <w:pStyle w:val="P68B1DB1-Normal12"/>
              <w:rPr>
                <w:noProof/>
                <w:color w:val="006600"/>
              </w:rPr>
            </w:pPr>
            <w:r>
              <w:rPr>
                <w:noProof/>
              </w:rPr>
              <w:t>Stājas spēkā Leģislatīvais dekrēts, ar ko paredz reorganizāciju hospitalizācijas un aprūpes zinātniskos institūtus (IRC</w:t>
            </w:r>
            <w:r>
              <w:rPr>
                <w:noProof/>
              </w:rPr>
              <w:t>SS)</w:t>
            </w:r>
          </w:p>
        </w:tc>
      </w:tr>
      <w:tr w:rsidR="00C972CB" w14:paraId="5B5BC10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9AF186" w14:textId="77777777" w:rsidR="00C972CB" w:rsidRDefault="00C972C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13307707" w14:textId="77777777" w:rsidR="00C972CB" w:rsidRDefault="00C972C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552F6BF" w14:textId="77777777" w:rsidR="00C972CB" w:rsidRDefault="002457F6">
            <w:pPr>
              <w:pStyle w:val="P68B1DB1-Normal12"/>
              <w:rPr>
                <w:noProof/>
              </w:rPr>
            </w:pPr>
            <w:r>
              <w:rPr>
                <w:noProof/>
              </w:rPr>
              <w:t>Maksājuma summa</w:t>
            </w:r>
          </w:p>
        </w:tc>
        <w:tc>
          <w:tcPr>
            <w:tcW w:w="3865" w:type="dxa"/>
            <w:tcBorders>
              <w:top w:val="single" w:sz="4" w:space="0" w:color="auto"/>
              <w:left w:val="nil"/>
              <w:bottom w:val="single" w:sz="4" w:space="0" w:color="auto"/>
              <w:right w:val="single" w:sz="4" w:space="0" w:color="auto"/>
            </w:tcBorders>
            <w:shd w:val="clear" w:color="auto" w:fill="C6EFCE"/>
            <w:noWrap/>
            <w:vAlign w:val="bottom"/>
          </w:tcPr>
          <w:p w14:paraId="1AD0E7DD" w14:textId="008A678E" w:rsidR="00C972CB" w:rsidRDefault="002457F6">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EUR</w:t>
            </w:r>
          </w:p>
        </w:tc>
      </w:tr>
    </w:tbl>
    <w:p w14:paraId="494F8700" w14:textId="5EB227EF" w:rsidR="00C972CB" w:rsidRDefault="002457F6">
      <w:pPr>
        <w:pStyle w:val="P68B1DB1-Normal44"/>
        <w:numPr>
          <w:ilvl w:val="1"/>
          <w:numId w:val="6"/>
        </w:numPr>
        <w:spacing w:before="120" w:after="120"/>
        <w:jc w:val="both"/>
        <w:rPr>
          <w:noProof/>
        </w:rPr>
      </w:pPr>
      <w:r>
        <w:rPr>
          <w:noProof/>
        </w:rPr>
        <w:t>Ceturtā daļa (neatmaksājamais atbalsts):</w:t>
      </w:r>
    </w:p>
    <w:tbl>
      <w:tblPr>
        <w:tblW w:w="9704" w:type="dxa"/>
        <w:tblInd w:w="113" w:type="dxa"/>
        <w:tblLook w:val="04A0" w:firstRow="1" w:lastRow="0" w:firstColumn="1" w:lastColumn="0" w:noHBand="0" w:noVBand="1"/>
      </w:tblPr>
      <w:tblGrid>
        <w:gridCol w:w="1413"/>
        <w:gridCol w:w="3118"/>
        <w:gridCol w:w="1983"/>
        <w:gridCol w:w="3755"/>
      </w:tblGrid>
      <w:tr w:rsidR="00C972CB" w14:paraId="5E30C45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EE780" w14:textId="77777777" w:rsidR="00C972CB" w:rsidRDefault="002457F6">
            <w:pPr>
              <w:pStyle w:val="P68B1DB1-Normal45"/>
              <w:jc w:val="center"/>
              <w:rPr>
                <w:noProof/>
              </w:rPr>
            </w:pPr>
            <w:r>
              <w:rPr>
                <w:noProof/>
              </w:rPr>
              <w:t>Kārtas numurs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43F955" w14:textId="77777777" w:rsidR="00C972CB" w:rsidRDefault="002457F6">
            <w:pPr>
              <w:pStyle w:val="P68B1DB1-Normal45"/>
              <w:jc w:val="center"/>
              <w:rPr>
                <w:noProof/>
              </w:rPr>
            </w:pPr>
            <w:r>
              <w:rPr>
                <w:noProof/>
              </w:rPr>
              <w:t>Pasākums (reforma vai investīcija)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C117EE" w14:textId="77777777" w:rsidR="00C972CB" w:rsidRDefault="002457F6">
            <w:pPr>
              <w:pStyle w:val="P68B1DB1-Normal45"/>
              <w:jc w:val="center"/>
              <w:rPr>
                <w:noProof/>
              </w:rPr>
            </w:pPr>
            <w:r>
              <w:rPr>
                <w:noProof/>
              </w:rPr>
              <w:t>Atskaites punkts/mērķrādītājs</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BFEE97" w14:textId="77777777" w:rsidR="00C972CB" w:rsidRDefault="002457F6">
            <w:pPr>
              <w:pStyle w:val="P68B1DB1-Normal45"/>
              <w:jc w:val="center"/>
              <w:rPr>
                <w:noProof/>
              </w:rPr>
            </w:pPr>
            <w:r>
              <w:rPr>
                <w:noProof/>
              </w:rPr>
              <w:t>Uzvārds</w:t>
            </w:r>
          </w:p>
        </w:tc>
      </w:tr>
      <w:tr w:rsidR="00C972CB" w14:paraId="588D981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FE8FAE7" w14:textId="77777777" w:rsidR="00C972CB" w:rsidRDefault="00C972C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7EE1ED2" w14:textId="77777777" w:rsidR="00C972CB" w:rsidRDefault="00C972C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215342" w14:textId="77777777" w:rsidR="00C972CB" w:rsidRDefault="00C972CB">
            <w:pPr>
              <w:rPr>
                <w:b/>
                <w:noProof/>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A83ACEB" w14:textId="77777777" w:rsidR="00C972CB" w:rsidRDefault="00C972CB">
            <w:pPr>
              <w:rPr>
                <w:b/>
                <w:noProof/>
              </w:rPr>
            </w:pPr>
          </w:p>
        </w:tc>
      </w:tr>
      <w:tr w:rsidR="00C972CB" w14:paraId="7EBB3D6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FEF89" w14:textId="77777777" w:rsidR="00C972CB" w:rsidRDefault="002457F6">
            <w:pPr>
              <w:pStyle w:val="P68B1DB1-Normal12"/>
              <w:jc w:val="center"/>
              <w:rPr>
                <w:noProof/>
              </w:rPr>
            </w:pPr>
            <w:r>
              <w:rPr>
                <w:noProof/>
              </w:rPr>
              <w:t>M1C1–11</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3D65446B" w14:textId="77777777" w:rsidR="00C972CB" w:rsidRDefault="002457F6">
            <w:pPr>
              <w:pStyle w:val="P68B1DB1-Normal12"/>
              <w:rPr>
                <w:noProof/>
              </w:rPr>
            </w:pPr>
            <w:r>
              <w:rPr>
                <w:noProof/>
              </w:rPr>
              <w:t>Ieguldījums 1.6.6.: Finanšu policijas digitalizācija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0FE9B0E" w14:textId="77777777" w:rsidR="00C972CB" w:rsidRDefault="002457F6">
            <w:pPr>
              <w:pStyle w:val="P68B1DB1-Normal12"/>
              <w:rPr>
                <w:noProof/>
              </w:rPr>
            </w:pPr>
            <w:r>
              <w:rPr>
                <w:noProof/>
              </w:rPr>
              <w:t>Mērķa</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728F4E49" w14:textId="77777777" w:rsidR="00C972CB" w:rsidRDefault="002457F6">
            <w:pPr>
              <w:pStyle w:val="P68B1DB1-Normal12"/>
              <w:rPr>
                <w:noProof/>
              </w:rPr>
            </w:pPr>
            <w:r>
              <w:rPr>
                <w:noProof/>
              </w:rPr>
              <w:t xml:space="preserve">Finanšu </w:t>
            </w:r>
            <w:r>
              <w:rPr>
                <w:noProof/>
              </w:rPr>
              <w:t>policija — profesionālo datu zinātnes pakalpojumu iegāde T1</w:t>
            </w:r>
          </w:p>
        </w:tc>
      </w:tr>
      <w:tr w:rsidR="00C972CB" w14:paraId="2A1573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088FD" w14:textId="77777777" w:rsidR="00C972CB" w:rsidRDefault="002457F6">
            <w:pPr>
              <w:pStyle w:val="P68B1DB1-Normal12"/>
              <w:jc w:val="center"/>
              <w:rPr>
                <w:noProof/>
              </w:rPr>
            </w:pPr>
            <w:r>
              <w:rPr>
                <w:noProof/>
              </w:rPr>
              <w:t>M1C1–72</w:t>
            </w:r>
          </w:p>
        </w:tc>
        <w:tc>
          <w:tcPr>
            <w:tcW w:w="3118" w:type="dxa"/>
            <w:tcBorders>
              <w:top w:val="nil"/>
              <w:left w:val="nil"/>
              <w:bottom w:val="single" w:sz="4" w:space="0" w:color="auto"/>
              <w:right w:val="single" w:sz="4" w:space="0" w:color="auto"/>
            </w:tcBorders>
            <w:shd w:val="clear" w:color="auto" w:fill="C6EFCE"/>
            <w:noWrap/>
            <w:vAlign w:val="center"/>
          </w:tcPr>
          <w:p w14:paraId="11043EA2" w14:textId="77777777" w:rsidR="00C972CB" w:rsidRDefault="002457F6">
            <w:pPr>
              <w:pStyle w:val="P68B1DB1-Normal12"/>
              <w:rPr>
                <w:noProof/>
              </w:rPr>
            </w:pPr>
            <w:r>
              <w:rPr>
                <w:noProof/>
              </w:rPr>
              <w:t>Reforma: Valsts pārvaldes iestāžu un veselības aizsardzības iestāžu kavēto maksājumu samazināšana</w:t>
            </w:r>
          </w:p>
        </w:tc>
        <w:tc>
          <w:tcPr>
            <w:tcW w:w="1418" w:type="dxa"/>
            <w:tcBorders>
              <w:top w:val="nil"/>
              <w:left w:val="nil"/>
              <w:bottom w:val="single" w:sz="4" w:space="0" w:color="auto"/>
              <w:right w:val="single" w:sz="4" w:space="0" w:color="auto"/>
            </w:tcBorders>
            <w:shd w:val="clear" w:color="auto" w:fill="C6EFCE"/>
            <w:noWrap/>
            <w:vAlign w:val="center"/>
          </w:tcPr>
          <w:p w14:paraId="6AE395E8" w14:textId="77777777" w:rsidR="00C972CB" w:rsidRDefault="002457F6">
            <w:pPr>
              <w:pStyle w:val="P68B1DB1-Normal12"/>
              <w:rPr>
                <w:noProof/>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37FAC2F1" w14:textId="77777777" w:rsidR="00C972CB" w:rsidRDefault="002457F6">
            <w:pPr>
              <w:pStyle w:val="P68B1DB1-Normal12"/>
              <w:rPr>
                <w:noProof/>
              </w:rPr>
            </w:pPr>
            <w:r>
              <w:rPr>
                <w:noProof/>
              </w:rPr>
              <w:t xml:space="preserve">Tiek apstiprināti pasākumi, lai samazinātu valsts pārvaldes iestāžu </w:t>
            </w:r>
            <w:r>
              <w:rPr>
                <w:noProof/>
              </w:rPr>
              <w:t>kavētos maksājumus uzņēmumiem</w:t>
            </w:r>
          </w:p>
        </w:tc>
      </w:tr>
      <w:tr w:rsidR="00C972CB" w14:paraId="73A2B0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FC5762" w14:textId="77777777" w:rsidR="00C972CB" w:rsidRDefault="002457F6">
            <w:pPr>
              <w:pStyle w:val="P68B1DB1-Normal12"/>
              <w:jc w:val="center"/>
              <w:rPr>
                <w:noProof/>
              </w:rPr>
            </w:pPr>
            <w:r>
              <w:rPr>
                <w:noProof/>
              </w:rPr>
              <w:t>M1C1–73</w:t>
            </w:r>
          </w:p>
        </w:tc>
        <w:tc>
          <w:tcPr>
            <w:tcW w:w="3118" w:type="dxa"/>
            <w:tcBorders>
              <w:top w:val="nil"/>
              <w:left w:val="nil"/>
              <w:bottom w:val="single" w:sz="4" w:space="0" w:color="auto"/>
              <w:right w:val="single" w:sz="4" w:space="0" w:color="auto"/>
            </w:tcBorders>
            <w:shd w:val="clear" w:color="auto" w:fill="C6EFCE"/>
            <w:noWrap/>
            <w:vAlign w:val="center"/>
          </w:tcPr>
          <w:p w14:paraId="52B0FD54"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6AF3583A" w14:textId="77777777" w:rsidR="00C972CB" w:rsidRDefault="002457F6">
            <w:pPr>
              <w:pStyle w:val="P68B1DB1-Normal12"/>
              <w:rPr>
                <w:noProof/>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148CABAC" w14:textId="77777777" w:rsidR="00C972CB" w:rsidRDefault="002457F6">
            <w:pPr>
              <w:pStyle w:val="P68B1DB1-Normal12"/>
              <w:rPr>
                <w:noProof/>
              </w:rPr>
            </w:pPr>
            <w:r>
              <w:rPr>
                <w:noProof/>
              </w:rPr>
              <w:t>Publiskā iepirkuma kodeksa reformas stāšanās spēkā</w:t>
            </w:r>
          </w:p>
        </w:tc>
      </w:tr>
      <w:tr w:rsidR="00C972CB" w14:paraId="620D58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483F35" w14:textId="77777777" w:rsidR="00C972CB" w:rsidRDefault="002457F6">
            <w:pPr>
              <w:pStyle w:val="P68B1DB1-Normal12"/>
              <w:jc w:val="center"/>
              <w:rPr>
                <w:noProof/>
              </w:rPr>
            </w:pPr>
            <w:r>
              <w:rPr>
                <w:noProof/>
              </w:rPr>
              <w:t>M2C2–14</w:t>
            </w:r>
          </w:p>
        </w:tc>
        <w:tc>
          <w:tcPr>
            <w:tcW w:w="3118" w:type="dxa"/>
            <w:tcBorders>
              <w:top w:val="nil"/>
              <w:left w:val="nil"/>
              <w:bottom w:val="single" w:sz="4" w:space="0" w:color="auto"/>
              <w:right w:val="single" w:sz="4" w:space="0" w:color="auto"/>
            </w:tcBorders>
            <w:shd w:val="clear" w:color="auto" w:fill="C6EFCE"/>
            <w:noWrap/>
            <w:vAlign w:val="center"/>
          </w:tcPr>
          <w:p w14:paraId="45ADAA7F" w14:textId="77777777" w:rsidR="00C972CB" w:rsidRDefault="002457F6">
            <w:pPr>
              <w:pStyle w:val="P68B1DB1-Normal12"/>
              <w:rPr>
                <w:noProof/>
              </w:rPr>
            </w:pPr>
            <w:r>
              <w:rPr>
                <w:noProof/>
              </w:rPr>
              <w:t>Ieguldījums. Ūdeņraža testēšana autotransportam</w:t>
            </w:r>
          </w:p>
        </w:tc>
        <w:tc>
          <w:tcPr>
            <w:tcW w:w="1418" w:type="dxa"/>
            <w:tcBorders>
              <w:top w:val="nil"/>
              <w:left w:val="nil"/>
              <w:bottom w:val="single" w:sz="4" w:space="0" w:color="auto"/>
              <w:right w:val="single" w:sz="4" w:space="0" w:color="auto"/>
            </w:tcBorders>
            <w:shd w:val="clear" w:color="auto" w:fill="C6EFCE"/>
            <w:noWrap/>
            <w:vAlign w:val="center"/>
          </w:tcPr>
          <w:p w14:paraId="3272A699" w14:textId="77777777" w:rsidR="00C972CB" w:rsidRDefault="002457F6">
            <w:pPr>
              <w:pStyle w:val="P68B1DB1-Normal12"/>
              <w:rPr>
                <w:noProof/>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736E1AF7" w14:textId="77777777" w:rsidR="00C972CB" w:rsidRDefault="002457F6">
            <w:pPr>
              <w:pStyle w:val="P68B1DB1-Normal12"/>
              <w:rPr>
                <w:noProof/>
              </w:rPr>
            </w:pPr>
            <w:r>
              <w:rPr>
                <w:noProof/>
              </w:rPr>
              <w:t xml:space="preserve">(Visu) publiskā </w:t>
            </w:r>
            <w:r>
              <w:rPr>
                <w:noProof/>
              </w:rPr>
              <w:t>iepirkuma līgumu slēgšanas tiesību piešķiršana par uzlādes staciju, kuru pamatā ir ūdeņradis, attīstību</w:t>
            </w:r>
          </w:p>
        </w:tc>
      </w:tr>
      <w:tr w:rsidR="00C972CB" w14:paraId="28166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02B695" w14:textId="77777777" w:rsidR="00C972CB" w:rsidRDefault="002457F6">
            <w:pPr>
              <w:pStyle w:val="P68B1DB1-Normal12"/>
              <w:jc w:val="center"/>
              <w:rPr>
                <w:noProof/>
              </w:rPr>
            </w:pPr>
            <w:r>
              <w:rPr>
                <w:noProof/>
              </w:rPr>
              <w:t>M2C2–16</w:t>
            </w:r>
          </w:p>
        </w:tc>
        <w:tc>
          <w:tcPr>
            <w:tcW w:w="3118" w:type="dxa"/>
            <w:tcBorders>
              <w:top w:val="nil"/>
              <w:left w:val="nil"/>
              <w:bottom w:val="single" w:sz="4" w:space="0" w:color="auto"/>
              <w:right w:val="single" w:sz="4" w:space="0" w:color="auto"/>
            </w:tcBorders>
            <w:shd w:val="clear" w:color="auto" w:fill="C6EFCE"/>
            <w:noWrap/>
            <w:vAlign w:val="center"/>
          </w:tcPr>
          <w:p w14:paraId="442335B7" w14:textId="77777777" w:rsidR="00C972CB" w:rsidRDefault="002457F6">
            <w:pPr>
              <w:pStyle w:val="P68B1DB1-Normal12"/>
              <w:rPr>
                <w:noProof/>
              </w:rPr>
            </w:pPr>
            <w:r>
              <w:rPr>
                <w:noProof/>
              </w:rPr>
              <w:t>Ieguldījums. Ūdeņraža testēšana dzelzceļa mobilitātei</w:t>
            </w:r>
          </w:p>
        </w:tc>
        <w:tc>
          <w:tcPr>
            <w:tcW w:w="1418" w:type="dxa"/>
            <w:tcBorders>
              <w:top w:val="nil"/>
              <w:left w:val="nil"/>
              <w:bottom w:val="single" w:sz="4" w:space="0" w:color="auto"/>
              <w:right w:val="single" w:sz="4" w:space="0" w:color="auto"/>
            </w:tcBorders>
            <w:shd w:val="clear" w:color="auto" w:fill="C6EFCE"/>
            <w:noWrap/>
            <w:vAlign w:val="center"/>
          </w:tcPr>
          <w:p w14:paraId="15D0812E" w14:textId="77777777" w:rsidR="00C972CB" w:rsidRDefault="002457F6">
            <w:pPr>
              <w:pStyle w:val="P68B1DB1-Normal12"/>
              <w:rPr>
                <w:noProof/>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7AF87110" w14:textId="77777777" w:rsidR="00C972CB" w:rsidRDefault="002457F6">
            <w:pPr>
              <w:pStyle w:val="P68B1DB1-Normal12"/>
              <w:rPr>
                <w:noProof/>
              </w:rPr>
            </w:pPr>
            <w:r>
              <w:rPr>
                <w:noProof/>
              </w:rPr>
              <w:t>Resursu piešķiršana ūdeņraža testēšanai dzelzceļa mobilitātei</w:t>
            </w:r>
          </w:p>
        </w:tc>
      </w:tr>
      <w:tr w:rsidR="00C972CB" w14:paraId="20F8BC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C3FA5" w14:textId="77777777" w:rsidR="00C972CB" w:rsidRDefault="002457F6">
            <w:pPr>
              <w:pStyle w:val="P68B1DB1-Normal12"/>
              <w:jc w:val="center"/>
              <w:rPr>
                <w:noProof/>
              </w:rPr>
            </w:pPr>
            <w:r>
              <w:rPr>
                <w:noProof/>
              </w:rPr>
              <w:t>M2C2–20</w:t>
            </w:r>
          </w:p>
        </w:tc>
        <w:tc>
          <w:tcPr>
            <w:tcW w:w="3118" w:type="dxa"/>
            <w:tcBorders>
              <w:top w:val="nil"/>
              <w:left w:val="nil"/>
              <w:bottom w:val="single" w:sz="4" w:space="0" w:color="auto"/>
              <w:right w:val="single" w:sz="4" w:space="0" w:color="auto"/>
            </w:tcBorders>
            <w:shd w:val="clear" w:color="auto" w:fill="C6EFCE"/>
            <w:noWrap/>
            <w:vAlign w:val="center"/>
          </w:tcPr>
          <w:p w14:paraId="79C2AA41" w14:textId="77777777" w:rsidR="00C972CB" w:rsidRDefault="002457F6">
            <w:pPr>
              <w:pStyle w:val="P68B1DB1-Normal12"/>
              <w:rPr>
                <w:noProof/>
              </w:rPr>
            </w:pPr>
            <w:r>
              <w:rPr>
                <w:noProof/>
              </w:rPr>
              <w:t>Reforma Nr. 3 Administratīvā vienkāršošana un regulatīvo šķēršļu mazināšana ūdeņraža ieviešanai</w:t>
            </w:r>
          </w:p>
        </w:tc>
        <w:tc>
          <w:tcPr>
            <w:tcW w:w="1418" w:type="dxa"/>
            <w:tcBorders>
              <w:top w:val="nil"/>
              <w:left w:val="nil"/>
              <w:bottom w:val="single" w:sz="4" w:space="0" w:color="auto"/>
              <w:right w:val="single" w:sz="4" w:space="0" w:color="auto"/>
            </w:tcBorders>
            <w:shd w:val="clear" w:color="auto" w:fill="C6EFCE"/>
            <w:noWrap/>
            <w:vAlign w:val="center"/>
          </w:tcPr>
          <w:p w14:paraId="3C0A6FA2" w14:textId="77777777" w:rsidR="00C972CB" w:rsidRDefault="002457F6">
            <w:pPr>
              <w:pStyle w:val="P68B1DB1-Normal12"/>
              <w:rPr>
                <w:noProof/>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7769629B" w14:textId="77777777" w:rsidR="00C972CB" w:rsidRDefault="002457F6">
            <w:pPr>
              <w:pStyle w:val="P68B1DB1-Normal12"/>
              <w:rPr>
                <w:noProof/>
              </w:rPr>
            </w:pPr>
            <w:r>
              <w:rPr>
                <w:noProof/>
              </w:rPr>
              <w:t>Vajadzīgo leģislatīvo darbību stāšanās spēkā</w:t>
            </w:r>
          </w:p>
        </w:tc>
      </w:tr>
      <w:tr w:rsidR="00C972CB" w14:paraId="1A927C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2C0EE" w14:textId="77777777" w:rsidR="00C972CB" w:rsidRDefault="002457F6">
            <w:pPr>
              <w:pStyle w:val="P68B1DB1-Normal12"/>
              <w:jc w:val="center"/>
              <w:rPr>
                <w:noProof/>
              </w:rPr>
            </w:pPr>
            <w:r>
              <w:rPr>
                <w:noProof/>
              </w:rPr>
              <w:t>M5C2–3</w:t>
            </w:r>
          </w:p>
        </w:tc>
        <w:tc>
          <w:tcPr>
            <w:tcW w:w="3118" w:type="dxa"/>
            <w:tcBorders>
              <w:top w:val="nil"/>
              <w:left w:val="nil"/>
              <w:bottom w:val="single" w:sz="4" w:space="0" w:color="auto"/>
              <w:right w:val="single" w:sz="4" w:space="0" w:color="auto"/>
            </w:tcBorders>
            <w:shd w:val="clear" w:color="auto" w:fill="C6EFCE"/>
            <w:noWrap/>
            <w:vAlign w:val="center"/>
          </w:tcPr>
          <w:p w14:paraId="44901791" w14:textId="77777777" w:rsidR="00C972CB" w:rsidRDefault="002457F6">
            <w:pPr>
              <w:pStyle w:val="P68B1DB1-Normal12"/>
              <w:rPr>
                <w:noProof/>
              </w:rPr>
            </w:pPr>
            <w:r>
              <w:rPr>
                <w:noProof/>
              </w:rPr>
              <w:t>Reforma — reforma attiecībā uz vecāka gadagājuma cilvēkiem, kas nav pašpietiekami</w:t>
            </w:r>
          </w:p>
        </w:tc>
        <w:tc>
          <w:tcPr>
            <w:tcW w:w="1418" w:type="dxa"/>
            <w:tcBorders>
              <w:top w:val="nil"/>
              <w:left w:val="nil"/>
              <w:bottom w:val="single" w:sz="4" w:space="0" w:color="auto"/>
              <w:right w:val="single" w:sz="4" w:space="0" w:color="auto"/>
            </w:tcBorders>
            <w:shd w:val="clear" w:color="auto" w:fill="C6EFCE"/>
            <w:noWrap/>
            <w:vAlign w:val="center"/>
          </w:tcPr>
          <w:p w14:paraId="66E4FCDA" w14:textId="77777777" w:rsidR="00C972CB" w:rsidRDefault="002457F6">
            <w:pPr>
              <w:pStyle w:val="P68B1DB1-Normal12"/>
              <w:rPr>
                <w:noProof/>
              </w:rPr>
            </w:pPr>
            <w:r>
              <w:rPr>
                <w:noProof/>
              </w:rPr>
              <w:t>Starppo</w:t>
            </w:r>
            <w:r>
              <w:rPr>
                <w:noProof/>
              </w:rPr>
              <w:t>sma mērķis</w:t>
            </w:r>
          </w:p>
        </w:tc>
        <w:tc>
          <w:tcPr>
            <w:tcW w:w="3755" w:type="dxa"/>
            <w:tcBorders>
              <w:top w:val="nil"/>
              <w:left w:val="nil"/>
              <w:bottom w:val="single" w:sz="4" w:space="0" w:color="auto"/>
              <w:right w:val="single" w:sz="4" w:space="0" w:color="auto"/>
            </w:tcBorders>
            <w:shd w:val="clear" w:color="auto" w:fill="C6EFCE"/>
            <w:noWrap/>
            <w:vAlign w:val="center"/>
          </w:tcPr>
          <w:p w14:paraId="79C52111" w14:textId="77777777" w:rsidR="00C972CB" w:rsidRDefault="002457F6">
            <w:pPr>
              <w:pStyle w:val="P68B1DB1-Normal12"/>
              <w:rPr>
                <w:noProof/>
              </w:rPr>
            </w:pPr>
            <w:r>
              <w:rPr>
                <w:noProof/>
              </w:rPr>
              <w:t>Stājas spēkā pamatlikums, kas stiprina pasākumus vecāka gadagājuma cilvēku, kuriem nav pašpietiekamības, labā</w:t>
            </w:r>
          </w:p>
        </w:tc>
      </w:tr>
      <w:tr w:rsidR="00C972CB" w14:paraId="18A66F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B6168C" w14:textId="77777777" w:rsidR="00C972CB" w:rsidRDefault="002457F6">
            <w:pPr>
              <w:pStyle w:val="P68B1DB1-Normal12"/>
              <w:jc w:val="center"/>
              <w:rPr>
                <w:noProof/>
              </w:rPr>
            </w:pPr>
            <w:r>
              <w:rPr>
                <w:noProof/>
              </w:rPr>
              <w:t>M1C1–37</w:t>
            </w:r>
          </w:p>
        </w:tc>
        <w:tc>
          <w:tcPr>
            <w:tcW w:w="3118" w:type="dxa"/>
            <w:tcBorders>
              <w:top w:val="nil"/>
              <w:left w:val="nil"/>
              <w:bottom w:val="single" w:sz="4" w:space="0" w:color="auto"/>
              <w:right w:val="single" w:sz="4" w:space="0" w:color="auto"/>
            </w:tcBorders>
            <w:shd w:val="clear" w:color="auto" w:fill="C6EFCE"/>
            <w:noWrap/>
            <w:vAlign w:val="center"/>
          </w:tcPr>
          <w:p w14:paraId="648BA42B" w14:textId="77777777" w:rsidR="00C972CB" w:rsidRDefault="002457F6">
            <w:pPr>
              <w:pStyle w:val="P68B1DB1-Normal12"/>
              <w:rPr>
                <w:noProof/>
              </w:rPr>
            </w:pPr>
            <w:r>
              <w:rPr>
                <w:noProof/>
              </w:rPr>
              <w:t>Un 1.5. reforma: Civiltiesību un krimināltiesību reforma</w:t>
            </w:r>
          </w:p>
        </w:tc>
        <w:tc>
          <w:tcPr>
            <w:tcW w:w="1418" w:type="dxa"/>
            <w:tcBorders>
              <w:top w:val="nil"/>
              <w:left w:val="nil"/>
              <w:bottom w:val="single" w:sz="4" w:space="0" w:color="auto"/>
              <w:right w:val="single" w:sz="4" w:space="0" w:color="auto"/>
            </w:tcBorders>
            <w:shd w:val="clear" w:color="auto" w:fill="C6EFCE"/>
            <w:noWrap/>
            <w:vAlign w:val="center"/>
          </w:tcPr>
          <w:p w14:paraId="5C25DF03" w14:textId="77777777" w:rsidR="00C972CB" w:rsidRDefault="002457F6">
            <w:pPr>
              <w:pStyle w:val="P68B1DB1-Normal12"/>
              <w:rPr>
                <w:noProof/>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33E94FC8" w14:textId="77777777" w:rsidR="00C972CB" w:rsidRDefault="002457F6">
            <w:pPr>
              <w:pStyle w:val="P68B1DB1-Normal12"/>
              <w:rPr>
                <w:noProof/>
              </w:rPr>
            </w:pPr>
            <w:r>
              <w:rPr>
                <w:noProof/>
              </w:rPr>
              <w:t xml:space="preserve">Civiltiesību un krimināltiesību reformas stāšanās </w:t>
            </w:r>
            <w:r>
              <w:rPr>
                <w:noProof/>
              </w:rPr>
              <w:t>spēkā</w:t>
            </w:r>
          </w:p>
        </w:tc>
      </w:tr>
      <w:tr w:rsidR="00C972CB" w14:paraId="0709B6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C30F6" w14:textId="77777777" w:rsidR="00C972CB" w:rsidRDefault="002457F6">
            <w:pPr>
              <w:pStyle w:val="P68B1DB1-Normal12"/>
              <w:jc w:val="center"/>
              <w:rPr>
                <w:noProof/>
              </w:rPr>
            </w:pPr>
            <w:r>
              <w:rPr>
                <w:noProof/>
              </w:rPr>
              <w:t>M1C1–58</w:t>
            </w:r>
          </w:p>
        </w:tc>
        <w:tc>
          <w:tcPr>
            <w:tcW w:w="3118" w:type="dxa"/>
            <w:tcBorders>
              <w:top w:val="nil"/>
              <w:left w:val="nil"/>
              <w:bottom w:val="single" w:sz="4" w:space="0" w:color="auto"/>
              <w:right w:val="single" w:sz="4" w:space="0" w:color="auto"/>
            </w:tcBorders>
            <w:shd w:val="clear" w:color="auto" w:fill="C6EFCE"/>
            <w:noWrap/>
            <w:vAlign w:val="center"/>
          </w:tcPr>
          <w:p w14:paraId="22BF1AD8" w14:textId="77777777" w:rsidR="00C972CB" w:rsidRDefault="002457F6">
            <w:pPr>
              <w:pStyle w:val="P68B1DB1-Normal12"/>
              <w:rPr>
                <w:noProof/>
              </w:rPr>
            </w:pPr>
            <w:r>
              <w:rPr>
                <w:noProof/>
              </w:rPr>
              <w:t>Reforma: Valsts pārvaldes reforma</w:t>
            </w:r>
          </w:p>
        </w:tc>
        <w:tc>
          <w:tcPr>
            <w:tcW w:w="1418" w:type="dxa"/>
            <w:tcBorders>
              <w:top w:val="nil"/>
              <w:left w:val="nil"/>
              <w:bottom w:val="single" w:sz="4" w:space="0" w:color="auto"/>
              <w:right w:val="single" w:sz="4" w:space="0" w:color="auto"/>
            </w:tcBorders>
            <w:shd w:val="clear" w:color="auto" w:fill="C6EFCE"/>
            <w:noWrap/>
            <w:vAlign w:val="center"/>
          </w:tcPr>
          <w:p w14:paraId="1875A344" w14:textId="77777777" w:rsidR="00C972CB" w:rsidRDefault="002457F6">
            <w:pPr>
              <w:pStyle w:val="P68B1DB1-Normal12"/>
              <w:rPr>
                <w:noProof/>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74053686" w14:textId="77777777" w:rsidR="00C972CB" w:rsidRDefault="002457F6">
            <w:pPr>
              <w:pStyle w:val="P68B1DB1-Normal12"/>
              <w:rPr>
                <w:noProof/>
              </w:rPr>
            </w:pPr>
            <w:r>
              <w:rPr>
                <w:noProof/>
              </w:rPr>
              <w:t>Valsts nodarbinātības reformas tiesību aktu stāšanās spēkā</w:t>
            </w:r>
          </w:p>
        </w:tc>
      </w:tr>
      <w:tr w:rsidR="00C972CB" w14:paraId="7084DF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ED429" w14:textId="77777777" w:rsidR="00C972CB" w:rsidRDefault="002457F6">
            <w:pPr>
              <w:pStyle w:val="P68B1DB1-Normal12"/>
              <w:jc w:val="center"/>
              <w:rPr>
                <w:noProof/>
              </w:rPr>
            </w:pPr>
            <w:r>
              <w:rPr>
                <w:noProof/>
              </w:rPr>
              <w:t>M1C1–74</w:t>
            </w:r>
          </w:p>
        </w:tc>
        <w:tc>
          <w:tcPr>
            <w:tcW w:w="3118" w:type="dxa"/>
            <w:tcBorders>
              <w:top w:val="nil"/>
              <w:left w:val="nil"/>
              <w:bottom w:val="single" w:sz="4" w:space="0" w:color="auto"/>
              <w:right w:val="single" w:sz="4" w:space="0" w:color="auto"/>
            </w:tcBorders>
            <w:shd w:val="clear" w:color="auto" w:fill="C6EFCE"/>
            <w:noWrap/>
            <w:vAlign w:val="center"/>
          </w:tcPr>
          <w:p w14:paraId="5A3DED61"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14C87CD4" w14:textId="77777777" w:rsidR="00C972CB" w:rsidRDefault="002457F6">
            <w:pPr>
              <w:pStyle w:val="P68B1DB1-Normal12"/>
              <w:rPr>
                <w:noProof/>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6A699BA4" w14:textId="77777777" w:rsidR="00C972CB" w:rsidRDefault="002457F6">
            <w:pPr>
              <w:pStyle w:val="P68B1DB1-Normal12"/>
              <w:rPr>
                <w:noProof/>
              </w:rPr>
            </w:pPr>
            <w:r>
              <w:rPr>
                <w:noProof/>
              </w:rPr>
              <w:t xml:space="preserve">Stājas spēkā visi nepieciešamie īstenošanas </w:t>
            </w:r>
            <w:r>
              <w:rPr>
                <w:noProof/>
              </w:rPr>
              <w:t>pasākumi un sekundārie tiesību akti publiskā iepirkuma kodeksa vienkāršošanas reformai</w:t>
            </w:r>
          </w:p>
        </w:tc>
      </w:tr>
      <w:tr w:rsidR="00C972CB" w14:paraId="1FE7A8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6A05" w14:textId="77777777" w:rsidR="00C972CB" w:rsidRDefault="002457F6">
            <w:pPr>
              <w:pStyle w:val="P68B1DB1-Normal12"/>
              <w:jc w:val="center"/>
              <w:rPr>
                <w:noProof/>
              </w:rPr>
            </w:pPr>
            <w:r>
              <w:rPr>
                <w:noProof/>
              </w:rPr>
              <w:t>M1C1–109</w:t>
            </w:r>
          </w:p>
        </w:tc>
        <w:tc>
          <w:tcPr>
            <w:tcW w:w="3118" w:type="dxa"/>
            <w:tcBorders>
              <w:top w:val="nil"/>
              <w:left w:val="nil"/>
              <w:bottom w:val="single" w:sz="4" w:space="0" w:color="auto"/>
              <w:right w:val="single" w:sz="4" w:space="0" w:color="auto"/>
            </w:tcBorders>
            <w:shd w:val="clear" w:color="auto" w:fill="C6EFCE"/>
            <w:noWrap/>
            <w:vAlign w:val="center"/>
          </w:tcPr>
          <w:p w14:paraId="70B610DD" w14:textId="77777777" w:rsidR="00C972CB" w:rsidRDefault="002457F6">
            <w:pPr>
              <w:pStyle w:val="P68B1DB1-Normal12"/>
              <w:rPr>
                <w:noProof/>
              </w:rPr>
            </w:pPr>
            <w:r>
              <w:rPr>
                <w:noProof/>
              </w:rPr>
              <w:t>Reforma: Nodokļu administrācijas reforma</w:t>
            </w:r>
          </w:p>
        </w:tc>
        <w:tc>
          <w:tcPr>
            <w:tcW w:w="1418" w:type="dxa"/>
            <w:tcBorders>
              <w:top w:val="nil"/>
              <w:left w:val="nil"/>
              <w:bottom w:val="single" w:sz="4" w:space="0" w:color="auto"/>
              <w:right w:val="single" w:sz="4" w:space="0" w:color="auto"/>
            </w:tcBorders>
            <w:shd w:val="clear" w:color="auto" w:fill="C6EFCE"/>
            <w:noWrap/>
            <w:vAlign w:val="center"/>
          </w:tcPr>
          <w:p w14:paraId="13B1E054" w14:textId="77777777" w:rsidR="00C972CB" w:rsidRDefault="002457F6">
            <w:pPr>
              <w:pStyle w:val="P68B1DB1-Normal12"/>
              <w:rPr>
                <w:noProof/>
              </w:rPr>
            </w:pPr>
            <w:r>
              <w:rPr>
                <w:noProof/>
              </w:rPr>
              <w:t>Mērķa</w:t>
            </w:r>
          </w:p>
        </w:tc>
        <w:tc>
          <w:tcPr>
            <w:tcW w:w="3755" w:type="dxa"/>
            <w:tcBorders>
              <w:top w:val="nil"/>
              <w:left w:val="nil"/>
              <w:bottom w:val="single" w:sz="4" w:space="0" w:color="auto"/>
              <w:right w:val="single" w:sz="4" w:space="0" w:color="auto"/>
            </w:tcBorders>
            <w:shd w:val="clear" w:color="auto" w:fill="C6EFCE"/>
            <w:noWrap/>
            <w:vAlign w:val="center"/>
          </w:tcPr>
          <w:p w14:paraId="29F7BBAD" w14:textId="77777777" w:rsidR="00C972CB" w:rsidRDefault="002457F6">
            <w:pPr>
              <w:pStyle w:val="P68B1DB1-Normal12"/>
              <w:rPr>
                <w:noProof/>
              </w:rPr>
            </w:pPr>
            <w:r>
              <w:rPr>
                <w:noProof/>
              </w:rPr>
              <w:t>Pirmo iepriekš aizpildīto PVN nodokļu deklarāciju nosūtīšana</w:t>
            </w:r>
          </w:p>
        </w:tc>
      </w:tr>
      <w:tr w:rsidR="00C972CB" w14:paraId="2F3826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52981" w14:textId="77777777" w:rsidR="00C972CB" w:rsidRDefault="002457F6">
            <w:pPr>
              <w:pStyle w:val="P68B1DB1-Normal12"/>
              <w:jc w:val="center"/>
              <w:rPr>
                <w:noProof/>
              </w:rPr>
            </w:pPr>
            <w:r>
              <w:rPr>
                <w:noProof/>
              </w:rPr>
              <w:t>M2C2–27</w:t>
            </w:r>
          </w:p>
        </w:tc>
        <w:tc>
          <w:tcPr>
            <w:tcW w:w="3118" w:type="dxa"/>
            <w:tcBorders>
              <w:top w:val="nil"/>
              <w:left w:val="nil"/>
              <w:bottom w:val="single" w:sz="4" w:space="0" w:color="auto"/>
              <w:right w:val="single" w:sz="4" w:space="0" w:color="auto"/>
            </w:tcBorders>
            <w:shd w:val="clear" w:color="auto" w:fill="C6EFCE"/>
            <w:noWrap/>
            <w:vAlign w:val="center"/>
          </w:tcPr>
          <w:p w14:paraId="3385ED6A" w14:textId="77777777" w:rsidR="00C972CB" w:rsidRDefault="002457F6">
            <w:pPr>
              <w:pStyle w:val="P68B1DB1-Normal12"/>
              <w:rPr>
                <w:noProof/>
              </w:rPr>
            </w:pPr>
            <w:r>
              <w:rPr>
                <w:noProof/>
              </w:rPr>
              <w:t>Ieguldījums 4.3. Uzlādes infrastruktūru uz</w:t>
            </w:r>
            <w:r>
              <w:rPr>
                <w:noProof/>
              </w:rPr>
              <w:t>stādīšana</w:t>
            </w:r>
          </w:p>
        </w:tc>
        <w:tc>
          <w:tcPr>
            <w:tcW w:w="1418" w:type="dxa"/>
            <w:tcBorders>
              <w:top w:val="nil"/>
              <w:left w:val="nil"/>
              <w:bottom w:val="single" w:sz="4" w:space="0" w:color="auto"/>
              <w:right w:val="single" w:sz="4" w:space="0" w:color="auto"/>
            </w:tcBorders>
            <w:shd w:val="clear" w:color="auto" w:fill="C6EFCE"/>
            <w:noWrap/>
            <w:vAlign w:val="center"/>
          </w:tcPr>
          <w:p w14:paraId="33F1D426" w14:textId="77777777" w:rsidR="00C972CB" w:rsidRDefault="002457F6">
            <w:pPr>
              <w:pStyle w:val="P68B1DB1-Normal12"/>
              <w:rPr>
                <w:noProof/>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5F648B12" w14:textId="77777777" w:rsidR="00C972CB" w:rsidRDefault="002457F6">
            <w:pPr>
              <w:pStyle w:val="P68B1DB1-Normal12"/>
              <w:rPr>
                <w:noProof/>
              </w:rPr>
            </w:pPr>
            <w:r>
              <w:rPr>
                <w:noProof/>
              </w:rPr>
              <w:t>Visu publiskā iepirkuma līgumu slēgšanas tiesību piešķiršana uzlādes infrastruktūras uzstādīšanai M1</w:t>
            </w:r>
          </w:p>
        </w:tc>
      </w:tr>
      <w:tr w:rsidR="00C972CB" w14:paraId="7A2255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9EB19" w14:textId="77777777" w:rsidR="00C972CB" w:rsidRDefault="002457F6">
            <w:pPr>
              <w:pStyle w:val="P68B1DB1-Normal12"/>
              <w:jc w:val="center"/>
              <w:rPr>
                <w:noProof/>
              </w:rPr>
            </w:pPr>
            <w:r>
              <w:rPr>
                <w:noProof/>
              </w:rPr>
              <w:t>M2C2–33</w:t>
            </w:r>
          </w:p>
        </w:tc>
        <w:tc>
          <w:tcPr>
            <w:tcW w:w="3118" w:type="dxa"/>
            <w:tcBorders>
              <w:top w:val="nil"/>
              <w:left w:val="nil"/>
              <w:bottom w:val="single" w:sz="4" w:space="0" w:color="auto"/>
              <w:right w:val="single" w:sz="4" w:space="0" w:color="auto"/>
            </w:tcBorders>
            <w:shd w:val="clear" w:color="auto" w:fill="C6EFCE"/>
            <w:noWrap/>
            <w:vAlign w:val="center"/>
          </w:tcPr>
          <w:p w14:paraId="1B2CD575" w14:textId="77777777" w:rsidR="00C972CB" w:rsidRDefault="002457F6">
            <w:pPr>
              <w:rPr>
                <w:noProof/>
                <w:color w:val="006100"/>
                <w:sz w:val="20"/>
              </w:rPr>
            </w:pPr>
            <w:r>
              <w:rPr>
                <w:noProof/>
                <w:color w:val="006100"/>
                <w:sz w:val="20"/>
              </w:rPr>
              <w:t xml:space="preserve">Ieguldījums 4.4.2.: </w:t>
            </w:r>
            <w:r>
              <w:rPr>
                <w:rStyle w:val="font81"/>
                <w:rFonts w:eastAsiaTheme="majorEastAsia"/>
                <w:noProof/>
              </w:rPr>
              <w:t>Reģionālā sabiedriskā transporta dzelzceļa parka</w:t>
            </w:r>
            <w:r>
              <w:rPr>
                <w:rStyle w:val="font71"/>
                <w:rFonts w:eastAsiaTheme="majorEastAsia"/>
                <w:noProof/>
              </w:rPr>
              <w:t xml:space="preserve"> </w:t>
            </w:r>
            <w:r>
              <w:rPr>
                <w:rStyle w:val="font81"/>
                <w:rFonts w:eastAsiaTheme="majorEastAsia"/>
                <w:noProof/>
              </w:rPr>
              <w:t xml:space="preserve">stiprināšana ar bezemisiju vilcieniem un </w:t>
            </w:r>
            <w:r>
              <w:rPr>
                <w:rStyle w:val="font81"/>
                <w:rFonts w:eastAsiaTheme="majorEastAsia"/>
                <w:noProof/>
              </w:rPr>
              <w:t>universālo pakalpojumu</w:t>
            </w:r>
          </w:p>
        </w:tc>
        <w:tc>
          <w:tcPr>
            <w:tcW w:w="1418" w:type="dxa"/>
            <w:tcBorders>
              <w:top w:val="nil"/>
              <w:left w:val="nil"/>
              <w:bottom w:val="single" w:sz="4" w:space="0" w:color="auto"/>
              <w:right w:val="single" w:sz="4" w:space="0" w:color="auto"/>
            </w:tcBorders>
            <w:shd w:val="clear" w:color="auto" w:fill="C6EFCE"/>
            <w:noWrap/>
            <w:vAlign w:val="center"/>
          </w:tcPr>
          <w:p w14:paraId="2205A5E6" w14:textId="77777777" w:rsidR="00C972CB" w:rsidRDefault="002457F6">
            <w:pPr>
              <w:pStyle w:val="P68B1DB1-Normal12"/>
              <w:rPr>
                <w:noProof/>
                <w:color w:val="006600"/>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4DBA2B77" w14:textId="77777777" w:rsidR="00C972CB" w:rsidRDefault="002457F6">
            <w:pPr>
              <w:pStyle w:val="P68B1DB1-Normal12"/>
              <w:rPr>
                <w:noProof/>
                <w:color w:val="006600"/>
              </w:rPr>
            </w:pPr>
            <w:r>
              <w:rPr>
                <w:noProof/>
              </w:rPr>
              <w:t>Visu publiskā iepirkuma līgumu slēgšanas tiesību piešķiršana reģionālā sabiedriskā transporta dzelzceļa parka stiprināšanai ar bezemisiju vilcieniem un universālo pakalpojumu</w:t>
            </w:r>
          </w:p>
        </w:tc>
      </w:tr>
      <w:tr w:rsidR="00C972CB" w14:paraId="77ED35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47ACA3" w14:textId="77777777" w:rsidR="00C972CB" w:rsidRDefault="002457F6">
            <w:pPr>
              <w:pStyle w:val="P68B1DB1-Normal12"/>
              <w:jc w:val="center"/>
              <w:rPr>
                <w:noProof/>
              </w:rPr>
            </w:pPr>
            <w:r>
              <w:rPr>
                <w:noProof/>
              </w:rPr>
              <w:t>M2C3–2</w:t>
            </w:r>
          </w:p>
        </w:tc>
        <w:tc>
          <w:tcPr>
            <w:tcW w:w="3118" w:type="dxa"/>
            <w:tcBorders>
              <w:top w:val="nil"/>
              <w:left w:val="nil"/>
              <w:bottom w:val="single" w:sz="4" w:space="0" w:color="auto"/>
              <w:right w:val="single" w:sz="4" w:space="0" w:color="auto"/>
            </w:tcBorders>
            <w:shd w:val="clear" w:color="auto" w:fill="C6EFCE"/>
            <w:noWrap/>
            <w:vAlign w:val="center"/>
          </w:tcPr>
          <w:p w14:paraId="62B69199" w14:textId="77777777" w:rsidR="00C972CB" w:rsidRDefault="002457F6">
            <w:pPr>
              <w:pStyle w:val="P68B1DB1-Normal12"/>
              <w:rPr>
                <w:noProof/>
              </w:rPr>
            </w:pPr>
            <w:r>
              <w:rPr>
                <w:noProof/>
              </w:rPr>
              <w:t xml:space="preserve">Ieguldījums 2.1.– Energoefektivitātes ekobona stiprināšana </w:t>
            </w:r>
          </w:p>
        </w:tc>
        <w:tc>
          <w:tcPr>
            <w:tcW w:w="1418" w:type="dxa"/>
            <w:tcBorders>
              <w:top w:val="nil"/>
              <w:left w:val="nil"/>
              <w:bottom w:val="single" w:sz="4" w:space="0" w:color="auto"/>
              <w:right w:val="single" w:sz="4" w:space="0" w:color="auto"/>
            </w:tcBorders>
            <w:shd w:val="clear" w:color="auto" w:fill="C6EFCE"/>
            <w:noWrap/>
            <w:vAlign w:val="center"/>
          </w:tcPr>
          <w:p w14:paraId="10FC971E" w14:textId="77777777" w:rsidR="00C972CB" w:rsidRDefault="002457F6">
            <w:pPr>
              <w:pStyle w:val="P68B1DB1-Normal12"/>
              <w:rPr>
                <w:noProof/>
                <w:color w:val="006600"/>
              </w:rPr>
            </w:pPr>
            <w:r>
              <w:rPr>
                <w:noProof/>
              </w:rPr>
              <w:t>Mērķa</w:t>
            </w:r>
          </w:p>
        </w:tc>
        <w:tc>
          <w:tcPr>
            <w:tcW w:w="3755" w:type="dxa"/>
            <w:tcBorders>
              <w:top w:val="nil"/>
              <w:left w:val="nil"/>
              <w:bottom w:val="single" w:sz="4" w:space="0" w:color="auto"/>
              <w:right w:val="single" w:sz="4" w:space="0" w:color="auto"/>
            </w:tcBorders>
            <w:shd w:val="clear" w:color="auto" w:fill="C6EFCE"/>
            <w:noWrap/>
            <w:vAlign w:val="center"/>
          </w:tcPr>
          <w:p w14:paraId="453E0907" w14:textId="77777777" w:rsidR="00C972CB" w:rsidRDefault="002457F6">
            <w:pPr>
              <w:pStyle w:val="P68B1DB1-Normal12"/>
              <w:rPr>
                <w:noProof/>
                <w:color w:val="006600"/>
              </w:rPr>
            </w:pPr>
            <w:r>
              <w:rPr>
                <w:noProof/>
              </w:rPr>
              <w:t>Ēku renovācija Superbonus T1</w:t>
            </w:r>
          </w:p>
        </w:tc>
      </w:tr>
      <w:tr w:rsidR="00C972CB" w14:paraId="6D3EDD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18EF97" w14:textId="77777777" w:rsidR="00C972CB" w:rsidRDefault="002457F6">
            <w:pPr>
              <w:pStyle w:val="P68B1DB1-Normal12"/>
              <w:jc w:val="center"/>
              <w:rPr>
                <w:noProof/>
              </w:rPr>
            </w:pPr>
            <w:r>
              <w:rPr>
                <w:noProof/>
              </w:rPr>
              <w:t>M4C1–9</w:t>
            </w:r>
          </w:p>
        </w:tc>
        <w:tc>
          <w:tcPr>
            <w:tcW w:w="3118" w:type="dxa"/>
            <w:tcBorders>
              <w:top w:val="nil"/>
              <w:left w:val="nil"/>
              <w:bottom w:val="single" w:sz="4" w:space="0" w:color="auto"/>
              <w:right w:val="single" w:sz="4" w:space="0" w:color="auto"/>
            </w:tcBorders>
            <w:shd w:val="clear" w:color="auto" w:fill="C6EFCE"/>
            <w:noWrap/>
            <w:vAlign w:val="center"/>
          </w:tcPr>
          <w:p w14:paraId="71AC52C9" w14:textId="77777777" w:rsidR="00C972CB" w:rsidRDefault="002457F6">
            <w:pPr>
              <w:pStyle w:val="P68B1DB1-Normal12"/>
              <w:rPr>
                <w:noProof/>
              </w:rPr>
            </w:pPr>
            <w:r>
              <w:rPr>
                <w:noProof/>
              </w:rPr>
              <w:t>Ieguldījums 1.1: Bērnudārzu un pirmsskolas izglītības un aprūpes pakalpojumu plāns</w:t>
            </w:r>
          </w:p>
        </w:tc>
        <w:tc>
          <w:tcPr>
            <w:tcW w:w="1418" w:type="dxa"/>
            <w:tcBorders>
              <w:top w:val="nil"/>
              <w:left w:val="nil"/>
              <w:bottom w:val="single" w:sz="4" w:space="0" w:color="auto"/>
              <w:right w:val="single" w:sz="4" w:space="0" w:color="auto"/>
            </w:tcBorders>
            <w:shd w:val="clear" w:color="auto" w:fill="C6EFCE"/>
            <w:noWrap/>
            <w:vAlign w:val="center"/>
          </w:tcPr>
          <w:p w14:paraId="7AF0EE8A" w14:textId="77777777" w:rsidR="00C972CB" w:rsidRDefault="002457F6">
            <w:pPr>
              <w:pStyle w:val="P68B1DB1-Normal12"/>
              <w:rPr>
                <w:noProof/>
                <w:color w:val="006600"/>
              </w:rPr>
            </w:pPr>
            <w:r>
              <w:rPr>
                <w:noProof/>
              </w:rPr>
              <w:t>Starpposma mērķis</w:t>
            </w:r>
          </w:p>
        </w:tc>
        <w:tc>
          <w:tcPr>
            <w:tcW w:w="3755" w:type="dxa"/>
            <w:tcBorders>
              <w:top w:val="nil"/>
              <w:left w:val="nil"/>
              <w:bottom w:val="single" w:sz="4" w:space="0" w:color="auto"/>
              <w:right w:val="single" w:sz="4" w:space="0" w:color="auto"/>
            </w:tcBorders>
            <w:shd w:val="clear" w:color="auto" w:fill="C6EFCE"/>
            <w:noWrap/>
            <w:vAlign w:val="center"/>
          </w:tcPr>
          <w:p w14:paraId="07FC185A" w14:textId="77777777" w:rsidR="00C972CB" w:rsidRDefault="002457F6">
            <w:pPr>
              <w:pStyle w:val="P68B1DB1-Normal12"/>
              <w:rPr>
                <w:noProof/>
                <w:color w:val="006600"/>
              </w:rPr>
            </w:pPr>
            <w:r>
              <w:rPr>
                <w:noProof/>
              </w:rPr>
              <w:t>Līgumu slēgšanas tiesību piešķiršana par bērnudārzu,</w:t>
            </w:r>
            <w:r>
              <w:rPr>
                <w:noProof/>
              </w:rPr>
              <w:t xml:space="preserve"> pirmsskolas izglītības un agrīnās pirmsskolas izglītības un aprūpes pakalpojumu būvniecību, atjaunošanu un drošības nodrošināšanu</w:t>
            </w:r>
          </w:p>
        </w:tc>
      </w:tr>
      <w:tr w:rsidR="00C972CB" w14:paraId="1BAD3F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CB43C4" w14:textId="77777777" w:rsidR="00C972CB" w:rsidRDefault="002457F6">
            <w:pPr>
              <w:pStyle w:val="P68B1DB1-Normal12"/>
              <w:jc w:val="center"/>
              <w:rPr>
                <w:noProof/>
              </w:rPr>
            </w:pPr>
            <w:r>
              <w:rPr>
                <w:noProof/>
              </w:rPr>
              <w:t>M5C3–8</w:t>
            </w:r>
          </w:p>
        </w:tc>
        <w:tc>
          <w:tcPr>
            <w:tcW w:w="3118" w:type="dxa"/>
            <w:tcBorders>
              <w:top w:val="nil"/>
              <w:left w:val="nil"/>
              <w:bottom w:val="single" w:sz="4" w:space="0" w:color="auto"/>
              <w:right w:val="single" w:sz="4" w:space="0" w:color="auto"/>
            </w:tcBorders>
            <w:shd w:val="clear" w:color="auto" w:fill="C6EFCE"/>
            <w:noWrap/>
            <w:vAlign w:val="center"/>
          </w:tcPr>
          <w:p w14:paraId="53F36AE0" w14:textId="77777777" w:rsidR="00C972CB" w:rsidRDefault="002457F6">
            <w:pPr>
              <w:pStyle w:val="P68B1DB1-Normal12"/>
              <w:rPr>
                <w:noProof/>
              </w:rPr>
            </w:pPr>
            <w:r>
              <w:rPr>
                <w:noProof/>
              </w:rPr>
              <w:t>Ieguldījums 1.3. Strukturēti sociālizglītības pasākumi cīņai pret izglītības nabadzību dienvidos, atbalstot trešo sek</w:t>
            </w:r>
            <w:r>
              <w:rPr>
                <w:noProof/>
              </w:rPr>
              <w:t>toru</w:t>
            </w:r>
          </w:p>
        </w:tc>
        <w:tc>
          <w:tcPr>
            <w:tcW w:w="1418" w:type="dxa"/>
            <w:tcBorders>
              <w:top w:val="nil"/>
              <w:left w:val="nil"/>
              <w:bottom w:val="single" w:sz="4" w:space="0" w:color="auto"/>
              <w:right w:val="single" w:sz="4" w:space="0" w:color="auto"/>
            </w:tcBorders>
            <w:shd w:val="clear" w:color="auto" w:fill="C6EFCE"/>
            <w:noWrap/>
            <w:vAlign w:val="center"/>
          </w:tcPr>
          <w:p w14:paraId="3C5807D0" w14:textId="77777777" w:rsidR="00C972CB" w:rsidRDefault="002457F6">
            <w:pPr>
              <w:pStyle w:val="P68B1DB1-Normal12"/>
              <w:rPr>
                <w:noProof/>
                <w:color w:val="006600"/>
              </w:rPr>
            </w:pPr>
            <w:r>
              <w:rPr>
                <w:noProof/>
              </w:rPr>
              <w:t>Mērķa</w:t>
            </w:r>
          </w:p>
        </w:tc>
        <w:tc>
          <w:tcPr>
            <w:tcW w:w="3755" w:type="dxa"/>
            <w:tcBorders>
              <w:top w:val="nil"/>
              <w:left w:val="nil"/>
              <w:bottom w:val="single" w:sz="4" w:space="0" w:color="auto"/>
              <w:right w:val="single" w:sz="4" w:space="0" w:color="auto"/>
            </w:tcBorders>
            <w:shd w:val="clear" w:color="auto" w:fill="C6EFCE"/>
            <w:noWrap/>
            <w:vAlign w:val="center"/>
          </w:tcPr>
          <w:p w14:paraId="18309ABF" w14:textId="77777777" w:rsidR="00C972CB" w:rsidRDefault="002457F6">
            <w:pPr>
              <w:pStyle w:val="P68B1DB1-Normal12"/>
              <w:rPr>
                <w:noProof/>
                <w:color w:val="006600"/>
              </w:rPr>
            </w:pPr>
            <w:r>
              <w:rPr>
                <w:noProof/>
              </w:rPr>
              <w:t>Izglītības atbalsts nepilngadīgajiem (pirmā sērija)</w:t>
            </w:r>
          </w:p>
        </w:tc>
      </w:tr>
      <w:tr w:rsidR="00C972CB" w14:paraId="7097679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600DA8" w14:textId="77777777" w:rsidR="00C972CB" w:rsidRDefault="00C972C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FF8C198" w14:textId="77777777" w:rsidR="00C972CB" w:rsidRDefault="00C972C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6527BCB5" w14:textId="77777777" w:rsidR="00C972CB" w:rsidRDefault="002457F6">
            <w:pPr>
              <w:pStyle w:val="P68B1DB1-Normal12"/>
              <w:rPr>
                <w:noProof/>
              </w:rPr>
            </w:pPr>
            <w:r>
              <w:rPr>
                <w:noProof/>
              </w:rPr>
              <w:t>Maksājuma summa</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407F5973" w14:textId="557A745D" w:rsidR="00C972CB" w:rsidRDefault="002457F6">
            <w:pPr>
              <w:pStyle w:val="P68B1DB1-Normal46"/>
              <w:rPr>
                <w:noProof/>
              </w:rPr>
            </w:pPr>
            <w:r>
              <w:rPr>
                <w:noProof/>
              </w:rPr>
              <w:t>2</w:t>
            </w:r>
            <w:r>
              <w:rPr>
                <w:noProof/>
              </w:rPr>
              <w:t> </w:t>
            </w:r>
            <w:r>
              <w:rPr>
                <w:noProof/>
              </w:rPr>
              <w:t>315</w:t>
            </w:r>
            <w:r>
              <w:rPr>
                <w:noProof/>
              </w:rPr>
              <w:t> </w:t>
            </w:r>
            <w:r>
              <w:rPr>
                <w:noProof/>
              </w:rPr>
              <w:t>646</w:t>
            </w:r>
            <w:r>
              <w:rPr>
                <w:noProof/>
              </w:rPr>
              <w:t> </w:t>
            </w:r>
            <w:r>
              <w:rPr>
                <w:noProof/>
              </w:rPr>
              <w:t>882</w:t>
            </w:r>
            <w:r>
              <w:rPr>
                <w:noProof/>
              </w:rPr>
              <w:t> </w:t>
            </w:r>
            <w:r>
              <w:rPr>
                <w:noProof/>
              </w:rPr>
              <w:t>EUR</w:t>
            </w:r>
          </w:p>
        </w:tc>
      </w:tr>
    </w:tbl>
    <w:p w14:paraId="0AFAE032" w14:textId="7FAD9399" w:rsidR="00C972CB" w:rsidRDefault="002457F6">
      <w:pPr>
        <w:pStyle w:val="P68B1DB1-Normal44"/>
        <w:numPr>
          <w:ilvl w:val="1"/>
          <w:numId w:val="6"/>
        </w:numPr>
        <w:spacing w:before="120" w:after="120"/>
        <w:jc w:val="both"/>
        <w:rPr>
          <w:noProof/>
        </w:rPr>
      </w:pPr>
      <w:r>
        <w:rPr>
          <w:noProof/>
        </w:rPr>
        <w:t>Piektā daļa (neatmaksājamais atbalsts):</w:t>
      </w:r>
    </w:p>
    <w:tbl>
      <w:tblPr>
        <w:tblW w:w="9776" w:type="dxa"/>
        <w:tblInd w:w="113" w:type="dxa"/>
        <w:tblLook w:val="04A0" w:firstRow="1" w:lastRow="0" w:firstColumn="1" w:lastColumn="0" w:noHBand="0" w:noVBand="1"/>
      </w:tblPr>
      <w:tblGrid>
        <w:gridCol w:w="1413"/>
        <w:gridCol w:w="3118"/>
        <w:gridCol w:w="1983"/>
        <w:gridCol w:w="3827"/>
      </w:tblGrid>
      <w:tr w:rsidR="00C972CB" w14:paraId="102DCA7E"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288956" w14:textId="77777777" w:rsidR="00C972CB" w:rsidRDefault="002457F6">
            <w:pPr>
              <w:pStyle w:val="P68B1DB1-Normal45"/>
              <w:jc w:val="center"/>
              <w:rPr>
                <w:noProof/>
              </w:rPr>
            </w:pPr>
            <w:r>
              <w:rPr>
                <w:noProof/>
              </w:rPr>
              <w:t>Kārtas numurs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294ED5" w14:textId="77777777" w:rsidR="00C972CB" w:rsidRDefault="002457F6">
            <w:pPr>
              <w:pStyle w:val="P68B1DB1-Normal45"/>
              <w:jc w:val="center"/>
              <w:rPr>
                <w:noProof/>
              </w:rPr>
            </w:pPr>
            <w:r>
              <w:rPr>
                <w:noProof/>
              </w:rPr>
              <w:t>Pasākums (reforma vai investīcija)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C209C4" w14:textId="77777777" w:rsidR="00C972CB" w:rsidRDefault="002457F6">
            <w:pPr>
              <w:pStyle w:val="P68B1DB1-Normal45"/>
              <w:jc w:val="center"/>
              <w:rPr>
                <w:noProof/>
              </w:rPr>
            </w:pPr>
            <w:r>
              <w:rPr>
                <w:noProof/>
              </w:rPr>
              <w:t>Atskaites punkts/mērķrādītājs</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FD518A" w14:textId="77777777" w:rsidR="00C972CB" w:rsidRDefault="002457F6">
            <w:pPr>
              <w:pStyle w:val="P68B1DB1-Normal45"/>
              <w:jc w:val="center"/>
              <w:rPr>
                <w:noProof/>
              </w:rPr>
            </w:pPr>
            <w:r>
              <w:rPr>
                <w:noProof/>
              </w:rPr>
              <w:t>Uzvārds</w:t>
            </w:r>
          </w:p>
        </w:tc>
      </w:tr>
      <w:tr w:rsidR="00C972CB" w14:paraId="22E2EC04"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7BE0673" w14:textId="77777777" w:rsidR="00C972CB" w:rsidRDefault="00C972C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00A4DB1" w14:textId="77777777" w:rsidR="00C972CB" w:rsidRDefault="00C972C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5374A4" w14:textId="77777777" w:rsidR="00C972CB" w:rsidRDefault="00C972CB">
            <w:pPr>
              <w:rPr>
                <w:b/>
                <w:noProof/>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AAE7C49" w14:textId="77777777" w:rsidR="00C972CB" w:rsidRDefault="00C972CB">
            <w:pPr>
              <w:rPr>
                <w:b/>
                <w:noProof/>
              </w:rPr>
            </w:pPr>
          </w:p>
        </w:tc>
      </w:tr>
      <w:tr w:rsidR="00C972CB" w14:paraId="654E541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513B7" w14:textId="77777777" w:rsidR="00C972CB" w:rsidRDefault="002457F6">
            <w:pPr>
              <w:pStyle w:val="P68B1DB1-Normal12"/>
              <w:jc w:val="center"/>
              <w:rPr>
                <w:noProof/>
              </w:rPr>
            </w:pPr>
            <w:r>
              <w:rPr>
                <w:noProof/>
              </w:rPr>
              <w:t>M1C2–4</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A525182" w14:textId="77777777" w:rsidR="00C972CB" w:rsidRDefault="002457F6">
            <w:pPr>
              <w:pStyle w:val="P68B1DB1-Normal12"/>
              <w:rPr>
                <w:noProof/>
              </w:rPr>
            </w:pPr>
            <w:r>
              <w:rPr>
                <w:noProof/>
              </w:rPr>
              <w:t xml:space="preserve">Reforma: </w:t>
            </w:r>
            <w:r>
              <w:rPr>
                <w:noProof/>
              </w:rPr>
              <w:t>Rūpnieciskā īpašuma sistēmas reforma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30DD625" w14:textId="77777777" w:rsidR="00C972CB" w:rsidRDefault="002457F6">
            <w:pPr>
              <w:pStyle w:val="P68B1DB1-Normal12"/>
              <w:rPr>
                <w:noProof/>
              </w:rPr>
            </w:pPr>
            <w:r>
              <w:rPr>
                <w:noProof/>
              </w:rPr>
              <w:t>Starpposma mērķis</w:t>
            </w:r>
          </w:p>
        </w:tc>
        <w:tc>
          <w:tcPr>
            <w:tcW w:w="3827" w:type="dxa"/>
            <w:tcBorders>
              <w:top w:val="single" w:sz="4" w:space="0" w:color="auto"/>
              <w:left w:val="nil"/>
              <w:bottom w:val="single" w:sz="4" w:space="0" w:color="auto"/>
              <w:right w:val="single" w:sz="4" w:space="0" w:color="auto"/>
            </w:tcBorders>
            <w:shd w:val="clear" w:color="auto" w:fill="C6EFCE"/>
            <w:noWrap/>
            <w:vAlign w:val="center"/>
          </w:tcPr>
          <w:p w14:paraId="74DD352F" w14:textId="77777777" w:rsidR="00C972CB" w:rsidRDefault="002457F6">
            <w:pPr>
              <w:pStyle w:val="P68B1DB1-Normal12"/>
              <w:rPr>
                <w:noProof/>
              </w:rPr>
            </w:pPr>
            <w:r>
              <w:rPr>
                <w:noProof/>
              </w:rPr>
              <w:t>Stājas spēkā likumdošanas dekrēts, kura mērķis ir reformēt Itālijas rūpnieciskā īpašuma kodeksu, un attiecīgie īstenošanas akti</w:t>
            </w:r>
          </w:p>
        </w:tc>
      </w:tr>
      <w:tr w:rsidR="00C972CB" w14:paraId="764ABC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FC0418" w14:textId="77777777" w:rsidR="00C972CB" w:rsidRDefault="002457F6">
            <w:pPr>
              <w:pStyle w:val="P68B1DB1-Normal12"/>
              <w:jc w:val="center"/>
              <w:rPr>
                <w:noProof/>
              </w:rPr>
            </w:pPr>
            <w:r>
              <w:rPr>
                <w:noProof/>
              </w:rPr>
              <w:t>M1C3–4</w:t>
            </w:r>
          </w:p>
        </w:tc>
        <w:tc>
          <w:tcPr>
            <w:tcW w:w="3118" w:type="dxa"/>
            <w:tcBorders>
              <w:top w:val="nil"/>
              <w:left w:val="nil"/>
              <w:bottom w:val="single" w:sz="4" w:space="0" w:color="auto"/>
              <w:right w:val="single" w:sz="4" w:space="0" w:color="auto"/>
            </w:tcBorders>
            <w:shd w:val="clear" w:color="auto" w:fill="C6EFCE"/>
            <w:noWrap/>
            <w:vAlign w:val="center"/>
          </w:tcPr>
          <w:p w14:paraId="4735C01F" w14:textId="77777777" w:rsidR="00C972CB" w:rsidRDefault="002457F6">
            <w:pPr>
              <w:pStyle w:val="P68B1DB1-Normal12"/>
              <w:rPr>
                <w:noProof/>
              </w:rPr>
            </w:pPr>
            <w:r>
              <w:rPr>
                <w:noProof/>
              </w:rPr>
              <w:t>Ieguldījumi — 1.3. Uzlabot energoefektivitāti kinoteātros, teātro</w:t>
            </w:r>
            <w:r>
              <w:rPr>
                <w:noProof/>
              </w:rPr>
              <w:t>s un muzejos</w:t>
            </w:r>
          </w:p>
        </w:tc>
        <w:tc>
          <w:tcPr>
            <w:tcW w:w="1418" w:type="dxa"/>
            <w:tcBorders>
              <w:top w:val="nil"/>
              <w:left w:val="nil"/>
              <w:bottom w:val="single" w:sz="4" w:space="0" w:color="auto"/>
              <w:right w:val="single" w:sz="4" w:space="0" w:color="auto"/>
            </w:tcBorders>
            <w:shd w:val="clear" w:color="auto" w:fill="C6EFCE"/>
            <w:noWrap/>
            <w:vAlign w:val="center"/>
          </w:tcPr>
          <w:p w14:paraId="74182FF6"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5EF4F43D" w14:textId="77777777" w:rsidR="00C972CB" w:rsidRDefault="002457F6">
            <w:pPr>
              <w:pStyle w:val="P68B1DB1-Normal12"/>
              <w:rPr>
                <w:noProof/>
              </w:rPr>
            </w:pPr>
            <w:r>
              <w:rPr>
                <w:noProof/>
              </w:rPr>
              <w:t>Pabeigtas intervences saistībā ar valsts muzejiem un kultūras objektiem, teātra hallēm un kinoteātriem (pirmā partija)</w:t>
            </w:r>
          </w:p>
        </w:tc>
      </w:tr>
      <w:tr w:rsidR="00C972CB" w14:paraId="5EA08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297E27" w14:textId="77777777" w:rsidR="00C972CB" w:rsidRDefault="002457F6">
            <w:pPr>
              <w:pStyle w:val="P68B1DB1-Normal12"/>
              <w:jc w:val="center"/>
              <w:rPr>
                <w:noProof/>
              </w:rPr>
            </w:pPr>
            <w:r>
              <w:rPr>
                <w:noProof/>
              </w:rPr>
              <w:t>M1C1–12</w:t>
            </w:r>
          </w:p>
        </w:tc>
        <w:tc>
          <w:tcPr>
            <w:tcW w:w="3118" w:type="dxa"/>
            <w:tcBorders>
              <w:top w:val="nil"/>
              <w:left w:val="nil"/>
              <w:bottom w:val="single" w:sz="4" w:space="0" w:color="auto"/>
              <w:right w:val="single" w:sz="4" w:space="0" w:color="auto"/>
            </w:tcBorders>
            <w:shd w:val="clear" w:color="auto" w:fill="C6EFCE"/>
            <w:noWrap/>
            <w:vAlign w:val="center"/>
          </w:tcPr>
          <w:p w14:paraId="4ED95889" w14:textId="77777777" w:rsidR="00C972CB" w:rsidRDefault="002457F6">
            <w:pPr>
              <w:pStyle w:val="P68B1DB1-Normal12"/>
              <w:rPr>
                <w:noProof/>
              </w:rPr>
            </w:pPr>
            <w:r>
              <w:rPr>
                <w:noProof/>
              </w:rPr>
              <w:t>Investīcijas 1.3.2.: Vienotā digitālā vārteja</w:t>
            </w:r>
          </w:p>
        </w:tc>
        <w:tc>
          <w:tcPr>
            <w:tcW w:w="1418" w:type="dxa"/>
            <w:tcBorders>
              <w:top w:val="nil"/>
              <w:left w:val="nil"/>
              <w:bottom w:val="single" w:sz="4" w:space="0" w:color="auto"/>
              <w:right w:val="single" w:sz="4" w:space="0" w:color="auto"/>
            </w:tcBorders>
            <w:shd w:val="clear" w:color="auto" w:fill="C6EFCE"/>
            <w:noWrap/>
            <w:vAlign w:val="center"/>
          </w:tcPr>
          <w:p w14:paraId="03266CB8"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7425865D" w14:textId="77777777" w:rsidR="00C972CB" w:rsidRDefault="002457F6">
            <w:pPr>
              <w:pStyle w:val="P68B1DB1-Normal12"/>
              <w:rPr>
                <w:noProof/>
              </w:rPr>
            </w:pPr>
            <w:r>
              <w:rPr>
                <w:noProof/>
              </w:rPr>
              <w:t>Vienotā digitālā vārteja</w:t>
            </w:r>
          </w:p>
        </w:tc>
      </w:tr>
      <w:tr w:rsidR="00C972CB" w14:paraId="79DD08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6D66E" w14:textId="77777777" w:rsidR="00C972CB" w:rsidRDefault="002457F6">
            <w:pPr>
              <w:pStyle w:val="P68B1DB1-Normal12"/>
              <w:jc w:val="center"/>
              <w:rPr>
                <w:noProof/>
              </w:rPr>
            </w:pPr>
            <w:r>
              <w:rPr>
                <w:noProof/>
              </w:rPr>
              <w:t>M1C1–13</w:t>
            </w:r>
          </w:p>
        </w:tc>
        <w:tc>
          <w:tcPr>
            <w:tcW w:w="3118" w:type="dxa"/>
            <w:tcBorders>
              <w:top w:val="nil"/>
              <w:left w:val="nil"/>
              <w:bottom w:val="single" w:sz="4" w:space="0" w:color="auto"/>
              <w:right w:val="single" w:sz="4" w:space="0" w:color="auto"/>
            </w:tcBorders>
            <w:shd w:val="clear" w:color="auto" w:fill="C6EFCE"/>
            <w:noWrap/>
            <w:vAlign w:val="center"/>
          </w:tcPr>
          <w:p w14:paraId="5FDD1A51" w14:textId="77777777" w:rsidR="00C972CB" w:rsidRDefault="002457F6">
            <w:pPr>
              <w:pStyle w:val="P68B1DB1-Normal12"/>
              <w:rPr>
                <w:noProof/>
              </w:rPr>
            </w:pPr>
            <w:r>
              <w:rPr>
                <w:noProof/>
              </w:rPr>
              <w:t xml:space="preserve">Ieguldījums 1.4.6.: </w:t>
            </w:r>
            <w:r>
              <w:rPr>
                <w:noProof/>
              </w:rPr>
              <w:t>Mobilitāte kā pakalpojums Itālijai</w:t>
            </w:r>
          </w:p>
        </w:tc>
        <w:tc>
          <w:tcPr>
            <w:tcW w:w="1418" w:type="dxa"/>
            <w:tcBorders>
              <w:top w:val="nil"/>
              <w:left w:val="nil"/>
              <w:bottom w:val="single" w:sz="4" w:space="0" w:color="auto"/>
              <w:right w:val="single" w:sz="4" w:space="0" w:color="auto"/>
            </w:tcBorders>
            <w:shd w:val="clear" w:color="auto" w:fill="C6EFCE"/>
            <w:noWrap/>
            <w:vAlign w:val="center"/>
          </w:tcPr>
          <w:p w14:paraId="404785E5" w14:textId="77777777" w:rsidR="00C972CB" w:rsidRDefault="002457F6">
            <w:pPr>
              <w:pStyle w:val="P68B1DB1-Normal12"/>
              <w:rPr>
                <w:noProof/>
              </w:rPr>
            </w:pPr>
            <w:r>
              <w:rPr>
                <w:noProof/>
              </w:rPr>
              <w:t>Starpposma mērķis</w:t>
            </w:r>
          </w:p>
        </w:tc>
        <w:tc>
          <w:tcPr>
            <w:tcW w:w="3827" w:type="dxa"/>
            <w:tcBorders>
              <w:top w:val="nil"/>
              <w:left w:val="nil"/>
              <w:bottom w:val="single" w:sz="4" w:space="0" w:color="auto"/>
              <w:right w:val="single" w:sz="4" w:space="0" w:color="auto"/>
            </w:tcBorders>
            <w:shd w:val="clear" w:color="auto" w:fill="C6EFCE"/>
            <w:noWrap/>
            <w:vAlign w:val="center"/>
          </w:tcPr>
          <w:p w14:paraId="12E86E52" w14:textId="77777777" w:rsidR="00C972CB" w:rsidRDefault="002457F6">
            <w:pPr>
              <w:pStyle w:val="P68B1DB1-Normal12"/>
              <w:rPr>
                <w:noProof/>
              </w:rPr>
            </w:pPr>
            <w:r>
              <w:rPr>
                <w:noProof/>
              </w:rPr>
              <w:t>Mobilitāte kā pakalpojumu risinājumi M1</w:t>
            </w:r>
          </w:p>
        </w:tc>
      </w:tr>
      <w:tr w:rsidR="00C972CB" w14:paraId="4438E9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2252A" w14:textId="77777777" w:rsidR="00C972CB" w:rsidRDefault="002457F6">
            <w:pPr>
              <w:pStyle w:val="P68B1DB1-Normal12"/>
              <w:jc w:val="center"/>
              <w:rPr>
                <w:noProof/>
              </w:rPr>
            </w:pPr>
            <w:r>
              <w:rPr>
                <w:noProof/>
              </w:rPr>
              <w:t>M1C1–38</w:t>
            </w:r>
          </w:p>
        </w:tc>
        <w:tc>
          <w:tcPr>
            <w:tcW w:w="3118" w:type="dxa"/>
            <w:tcBorders>
              <w:top w:val="nil"/>
              <w:left w:val="nil"/>
              <w:bottom w:val="single" w:sz="4" w:space="0" w:color="auto"/>
              <w:right w:val="single" w:sz="4" w:space="0" w:color="auto"/>
            </w:tcBorders>
            <w:shd w:val="clear" w:color="auto" w:fill="C6EFCE"/>
            <w:noWrap/>
            <w:vAlign w:val="center"/>
          </w:tcPr>
          <w:p w14:paraId="14A892CE" w14:textId="77777777" w:rsidR="00C972CB" w:rsidRDefault="002457F6">
            <w:pPr>
              <w:pStyle w:val="P68B1DB1-Normal12"/>
              <w:rPr>
                <w:noProof/>
              </w:rPr>
            </w:pPr>
            <w:r>
              <w:rPr>
                <w:noProof/>
              </w:rPr>
              <w:t>Reforma. Tieslietu sistēmu digitalizācija</w:t>
            </w:r>
          </w:p>
        </w:tc>
        <w:tc>
          <w:tcPr>
            <w:tcW w:w="1418" w:type="dxa"/>
            <w:tcBorders>
              <w:top w:val="nil"/>
              <w:left w:val="nil"/>
              <w:bottom w:val="single" w:sz="4" w:space="0" w:color="auto"/>
              <w:right w:val="single" w:sz="4" w:space="0" w:color="auto"/>
            </w:tcBorders>
            <w:shd w:val="clear" w:color="auto" w:fill="C6EFCE"/>
            <w:noWrap/>
            <w:vAlign w:val="center"/>
          </w:tcPr>
          <w:p w14:paraId="22149472" w14:textId="77777777" w:rsidR="00C972CB" w:rsidRDefault="002457F6">
            <w:pPr>
              <w:pStyle w:val="P68B1DB1-Normal12"/>
              <w:rPr>
                <w:noProof/>
              </w:rPr>
            </w:pPr>
            <w:r>
              <w:rPr>
                <w:noProof/>
              </w:rPr>
              <w:t>Starpposma mērķis</w:t>
            </w:r>
          </w:p>
        </w:tc>
        <w:tc>
          <w:tcPr>
            <w:tcW w:w="3827" w:type="dxa"/>
            <w:tcBorders>
              <w:top w:val="nil"/>
              <w:left w:val="nil"/>
              <w:bottom w:val="single" w:sz="4" w:space="0" w:color="auto"/>
              <w:right w:val="single" w:sz="4" w:space="0" w:color="auto"/>
            </w:tcBorders>
            <w:shd w:val="clear" w:color="auto" w:fill="C6EFCE"/>
            <w:noWrap/>
            <w:vAlign w:val="center"/>
          </w:tcPr>
          <w:p w14:paraId="0A8FA851" w14:textId="77777777" w:rsidR="00C972CB" w:rsidRDefault="002457F6">
            <w:pPr>
              <w:pStyle w:val="P68B1DB1-Normal12"/>
              <w:rPr>
                <w:noProof/>
              </w:rPr>
            </w:pPr>
            <w:r>
              <w:rPr>
                <w:noProof/>
              </w:rPr>
              <w:t>Tiesu sistēmas digitalizācija</w:t>
            </w:r>
          </w:p>
        </w:tc>
      </w:tr>
      <w:tr w:rsidR="00C972CB" w14:paraId="306FC3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55E3DF" w14:textId="77777777" w:rsidR="00C972CB" w:rsidRDefault="002457F6">
            <w:pPr>
              <w:pStyle w:val="P68B1DB1-Normal12"/>
              <w:jc w:val="center"/>
              <w:rPr>
                <w:noProof/>
              </w:rPr>
            </w:pPr>
            <w:r>
              <w:rPr>
                <w:noProof/>
              </w:rPr>
              <w:t>M1C1–59</w:t>
            </w:r>
          </w:p>
        </w:tc>
        <w:tc>
          <w:tcPr>
            <w:tcW w:w="3118" w:type="dxa"/>
            <w:tcBorders>
              <w:top w:val="nil"/>
              <w:left w:val="nil"/>
              <w:bottom w:val="single" w:sz="4" w:space="0" w:color="auto"/>
              <w:right w:val="single" w:sz="4" w:space="0" w:color="auto"/>
            </w:tcBorders>
            <w:shd w:val="clear" w:color="auto" w:fill="C6EFCE"/>
            <w:noWrap/>
            <w:vAlign w:val="center"/>
          </w:tcPr>
          <w:p w14:paraId="3813C644" w14:textId="77777777" w:rsidR="00C972CB" w:rsidRDefault="002457F6">
            <w:pPr>
              <w:pStyle w:val="P68B1DB1-Normal12"/>
              <w:rPr>
                <w:noProof/>
              </w:rPr>
            </w:pPr>
            <w:r>
              <w:rPr>
                <w:noProof/>
              </w:rPr>
              <w:t>Reforma: Valsts pārvaldes reforma</w:t>
            </w:r>
          </w:p>
        </w:tc>
        <w:tc>
          <w:tcPr>
            <w:tcW w:w="1418" w:type="dxa"/>
            <w:tcBorders>
              <w:top w:val="nil"/>
              <w:left w:val="nil"/>
              <w:bottom w:val="single" w:sz="4" w:space="0" w:color="auto"/>
              <w:right w:val="single" w:sz="4" w:space="0" w:color="auto"/>
            </w:tcBorders>
            <w:shd w:val="clear" w:color="auto" w:fill="C6EFCE"/>
            <w:noWrap/>
            <w:vAlign w:val="center"/>
          </w:tcPr>
          <w:p w14:paraId="69A9F9E3" w14:textId="77777777" w:rsidR="00C972CB" w:rsidRDefault="002457F6">
            <w:pPr>
              <w:pStyle w:val="P68B1DB1-Normal12"/>
              <w:rPr>
                <w:noProof/>
              </w:rPr>
            </w:pPr>
            <w:r>
              <w:rPr>
                <w:noProof/>
              </w:rPr>
              <w:t>Starpposma mērķis</w:t>
            </w:r>
          </w:p>
        </w:tc>
        <w:tc>
          <w:tcPr>
            <w:tcW w:w="3827" w:type="dxa"/>
            <w:tcBorders>
              <w:top w:val="nil"/>
              <w:left w:val="nil"/>
              <w:bottom w:val="single" w:sz="4" w:space="0" w:color="auto"/>
              <w:right w:val="single" w:sz="4" w:space="0" w:color="auto"/>
            </w:tcBorders>
            <w:shd w:val="clear" w:color="auto" w:fill="C6EFCE"/>
            <w:noWrap/>
            <w:vAlign w:val="center"/>
          </w:tcPr>
          <w:p w14:paraId="38E47BD7" w14:textId="77777777" w:rsidR="00C972CB" w:rsidRDefault="002457F6">
            <w:pPr>
              <w:pStyle w:val="P68B1DB1-Normal12"/>
              <w:rPr>
                <w:noProof/>
              </w:rPr>
            </w:pPr>
            <w:r>
              <w:rPr>
                <w:noProof/>
              </w:rPr>
              <w:t>Stratēģiskās cilvēkresursu pārvaldības stāšanās spēkā valsts pārvaldē</w:t>
            </w:r>
          </w:p>
        </w:tc>
      </w:tr>
      <w:tr w:rsidR="00C972CB" w14:paraId="482E9E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A51F7" w14:textId="77777777" w:rsidR="00C972CB" w:rsidRDefault="002457F6">
            <w:pPr>
              <w:pStyle w:val="P68B1DB1-Normal12"/>
              <w:jc w:val="center"/>
              <w:rPr>
                <w:noProof/>
              </w:rPr>
            </w:pPr>
            <w:r>
              <w:rPr>
                <w:noProof/>
              </w:rPr>
              <w:t>M1C1–73quater</w:t>
            </w:r>
          </w:p>
        </w:tc>
        <w:tc>
          <w:tcPr>
            <w:tcW w:w="3118" w:type="dxa"/>
            <w:tcBorders>
              <w:top w:val="nil"/>
              <w:left w:val="nil"/>
              <w:bottom w:val="single" w:sz="4" w:space="0" w:color="auto"/>
              <w:right w:val="single" w:sz="4" w:space="0" w:color="auto"/>
            </w:tcBorders>
            <w:shd w:val="clear" w:color="auto" w:fill="C6EFCE"/>
            <w:noWrap/>
            <w:vAlign w:val="center"/>
          </w:tcPr>
          <w:p w14:paraId="1D4749D3"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52E7D601" w14:textId="77777777" w:rsidR="00C972CB" w:rsidRDefault="002457F6">
            <w:pPr>
              <w:pStyle w:val="P68B1DB1-Normal12"/>
              <w:rPr>
                <w:noProof/>
              </w:rPr>
            </w:pPr>
            <w:r>
              <w:rPr>
                <w:noProof/>
              </w:rPr>
              <w:t>Starpposma mērķis</w:t>
            </w:r>
          </w:p>
        </w:tc>
        <w:tc>
          <w:tcPr>
            <w:tcW w:w="3827" w:type="dxa"/>
            <w:tcBorders>
              <w:top w:val="nil"/>
              <w:left w:val="nil"/>
              <w:bottom w:val="single" w:sz="4" w:space="0" w:color="auto"/>
              <w:right w:val="single" w:sz="4" w:space="0" w:color="auto"/>
            </w:tcBorders>
            <w:shd w:val="clear" w:color="auto" w:fill="C6EFCE"/>
            <w:noWrap/>
            <w:vAlign w:val="center"/>
          </w:tcPr>
          <w:p w14:paraId="2309C09A" w14:textId="77777777" w:rsidR="00C972CB" w:rsidRDefault="002457F6">
            <w:pPr>
              <w:pStyle w:val="P68B1DB1-Normal12"/>
              <w:rPr>
                <w:noProof/>
              </w:rPr>
            </w:pPr>
            <w:r>
              <w:rPr>
                <w:noProof/>
              </w:rPr>
              <w:t>Stājas spēkā pamatnostādnes par iepirkumu zem ES robežvērtības</w:t>
            </w:r>
          </w:p>
        </w:tc>
      </w:tr>
      <w:tr w:rsidR="00C972CB" w14:paraId="25ECE0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808434" w14:textId="77777777" w:rsidR="00C972CB" w:rsidRDefault="002457F6">
            <w:pPr>
              <w:pStyle w:val="P68B1DB1-Normal12"/>
              <w:jc w:val="center"/>
              <w:rPr>
                <w:noProof/>
              </w:rPr>
            </w:pPr>
            <w:r>
              <w:rPr>
                <w:noProof/>
              </w:rPr>
              <w:t>M1C1–75</w:t>
            </w:r>
          </w:p>
        </w:tc>
        <w:tc>
          <w:tcPr>
            <w:tcW w:w="3118" w:type="dxa"/>
            <w:tcBorders>
              <w:top w:val="nil"/>
              <w:left w:val="nil"/>
              <w:bottom w:val="single" w:sz="4" w:space="0" w:color="auto"/>
              <w:right w:val="single" w:sz="4" w:space="0" w:color="auto"/>
            </w:tcBorders>
            <w:shd w:val="clear" w:color="auto" w:fill="C6EFCE"/>
            <w:noWrap/>
            <w:vAlign w:val="center"/>
          </w:tcPr>
          <w:p w14:paraId="405C991B" w14:textId="77777777" w:rsidR="00C972CB" w:rsidRDefault="002457F6">
            <w:pPr>
              <w:pStyle w:val="P68B1DB1-Normal12"/>
              <w:rPr>
                <w:noProof/>
              </w:rPr>
            </w:pPr>
            <w:r>
              <w:rPr>
                <w:noProof/>
              </w:rPr>
              <w:t xml:space="preserve">Reforma: Publiskā </w:t>
            </w:r>
            <w:r>
              <w:rPr>
                <w:noProof/>
              </w:rPr>
              <w:t>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3B6A6EF6"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7D2F9826" w14:textId="77777777" w:rsidR="00C972CB" w:rsidRDefault="002457F6">
            <w:pPr>
              <w:pStyle w:val="P68B1DB1-Normal12"/>
              <w:rPr>
                <w:noProof/>
              </w:rPr>
            </w:pPr>
            <w:r>
              <w:rPr>
                <w:noProof/>
              </w:rPr>
              <w:t>Valsts e-iepirkuma sistēmas pilnīga darbība</w:t>
            </w:r>
          </w:p>
        </w:tc>
      </w:tr>
      <w:tr w:rsidR="00C972CB" w14:paraId="4798EE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4714A" w14:textId="77777777" w:rsidR="00C972CB" w:rsidRDefault="002457F6">
            <w:pPr>
              <w:pStyle w:val="P68B1DB1-Normal12"/>
              <w:jc w:val="center"/>
              <w:rPr>
                <w:noProof/>
              </w:rPr>
            </w:pPr>
            <w:r>
              <w:rPr>
                <w:noProof/>
              </w:rPr>
              <w:t>M1C1–84</w:t>
            </w:r>
          </w:p>
        </w:tc>
        <w:tc>
          <w:tcPr>
            <w:tcW w:w="3118" w:type="dxa"/>
            <w:tcBorders>
              <w:top w:val="nil"/>
              <w:left w:val="nil"/>
              <w:bottom w:val="single" w:sz="4" w:space="0" w:color="auto"/>
              <w:right w:val="single" w:sz="4" w:space="0" w:color="auto"/>
            </w:tcBorders>
            <w:shd w:val="clear" w:color="auto" w:fill="C6EFCE"/>
            <w:noWrap/>
            <w:vAlign w:val="center"/>
          </w:tcPr>
          <w:p w14:paraId="275ADC88"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63CB0D2B"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7FC51A8F" w14:textId="77777777" w:rsidR="00C972CB" w:rsidRDefault="002457F6">
            <w:pPr>
              <w:pStyle w:val="P68B1DB1-Normal12"/>
              <w:rPr>
                <w:noProof/>
              </w:rPr>
            </w:pPr>
            <w:r>
              <w:rPr>
                <w:noProof/>
              </w:rPr>
              <w:t>Vidējais laiks no publicēšanas līdz līguma slēgšanas tiesību piešķiršanai</w:t>
            </w:r>
          </w:p>
        </w:tc>
      </w:tr>
      <w:tr w:rsidR="00C972CB" w14:paraId="6E889C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FE3158" w14:textId="77777777" w:rsidR="00C972CB" w:rsidRDefault="002457F6">
            <w:pPr>
              <w:pStyle w:val="P68B1DB1-Normal12"/>
              <w:jc w:val="center"/>
              <w:rPr>
                <w:noProof/>
              </w:rPr>
            </w:pPr>
            <w:r>
              <w:rPr>
                <w:noProof/>
              </w:rPr>
              <w:t>M1C1–85</w:t>
            </w:r>
          </w:p>
        </w:tc>
        <w:tc>
          <w:tcPr>
            <w:tcW w:w="3118" w:type="dxa"/>
            <w:tcBorders>
              <w:top w:val="nil"/>
              <w:left w:val="nil"/>
              <w:bottom w:val="single" w:sz="4" w:space="0" w:color="auto"/>
              <w:right w:val="single" w:sz="4" w:space="0" w:color="auto"/>
            </w:tcBorders>
            <w:shd w:val="clear" w:color="auto" w:fill="C6EFCE"/>
            <w:noWrap/>
            <w:vAlign w:val="center"/>
          </w:tcPr>
          <w:p w14:paraId="42B7CD97" w14:textId="77777777" w:rsidR="00C972CB" w:rsidRDefault="002457F6">
            <w:pPr>
              <w:pStyle w:val="P68B1DB1-Normal12"/>
              <w:rPr>
                <w:noProof/>
              </w:rPr>
            </w:pPr>
            <w:r>
              <w:rPr>
                <w:noProof/>
              </w:rPr>
              <w:t>Reforma: Publi</w:t>
            </w:r>
            <w:r>
              <w:rPr>
                <w:noProof/>
              </w:rPr>
              <w:t>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205704C8"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455F27D9" w14:textId="77777777" w:rsidR="00C972CB" w:rsidRDefault="002457F6">
            <w:pPr>
              <w:pStyle w:val="P68B1DB1-Normal12"/>
              <w:rPr>
                <w:noProof/>
              </w:rPr>
            </w:pPr>
            <w:r>
              <w:rPr>
                <w:noProof/>
              </w:rPr>
              <w:t>Vidējais laiks starp līguma slēgšanas tiesību piešķiršanu un infrastruktūras realizāciju</w:t>
            </w:r>
          </w:p>
        </w:tc>
      </w:tr>
      <w:tr w:rsidR="00C972CB" w14:paraId="0B3C1B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F07C50" w14:textId="77777777" w:rsidR="00C972CB" w:rsidRDefault="002457F6">
            <w:pPr>
              <w:pStyle w:val="P68B1DB1-Normal12"/>
              <w:jc w:val="center"/>
              <w:rPr>
                <w:noProof/>
              </w:rPr>
            </w:pPr>
            <w:r>
              <w:rPr>
                <w:noProof/>
              </w:rPr>
              <w:t>M1C1–86</w:t>
            </w:r>
          </w:p>
        </w:tc>
        <w:tc>
          <w:tcPr>
            <w:tcW w:w="3118" w:type="dxa"/>
            <w:tcBorders>
              <w:top w:val="nil"/>
              <w:left w:val="nil"/>
              <w:bottom w:val="single" w:sz="4" w:space="0" w:color="auto"/>
              <w:right w:val="single" w:sz="4" w:space="0" w:color="auto"/>
            </w:tcBorders>
            <w:shd w:val="clear" w:color="auto" w:fill="C6EFCE"/>
            <w:noWrap/>
            <w:vAlign w:val="center"/>
          </w:tcPr>
          <w:p w14:paraId="69DDB126"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78E1DF76"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0C4697D9" w14:textId="77777777" w:rsidR="00C972CB" w:rsidRDefault="002457F6">
            <w:pPr>
              <w:pStyle w:val="P68B1DB1-Normal12"/>
              <w:rPr>
                <w:noProof/>
              </w:rPr>
            </w:pPr>
            <w:r>
              <w:rPr>
                <w:noProof/>
              </w:rPr>
              <w:t xml:space="preserve">Ierēdņi, kas apmācīti, izmantojot Publisko </w:t>
            </w:r>
            <w:r>
              <w:rPr>
                <w:noProof/>
              </w:rPr>
              <w:t>pircēju profesionalizācijas stratēģiju</w:t>
            </w:r>
          </w:p>
        </w:tc>
      </w:tr>
      <w:tr w:rsidR="00C972CB" w14:paraId="2CCA98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9C126" w14:textId="77777777" w:rsidR="00C972CB" w:rsidRDefault="002457F6">
            <w:pPr>
              <w:pStyle w:val="P68B1DB1-Normal12"/>
              <w:jc w:val="center"/>
              <w:rPr>
                <w:noProof/>
              </w:rPr>
            </w:pPr>
            <w:r>
              <w:rPr>
                <w:noProof/>
              </w:rPr>
              <w:t>M1C1–87</w:t>
            </w:r>
          </w:p>
        </w:tc>
        <w:tc>
          <w:tcPr>
            <w:tcW w:w="3118" w:type="dxa"/>
            <w:tcBorders>
              <w:top w:val="nil"/>
              <w:left w:val="nil"/>
              <w:bottom w:val="single" w:sz="4" w:space="0" w:color="auto"/>
              <w:right w:val="single" w:sz="4" w:space="0" w:color="auto"/>
            </w:tcBorders>
            <w:shd w:val="clear" w:color="auto" w:fill="C6EFCE"/>
            <w:noWrap/>
            <w:vAlign w:val="center"/>
          </w:tcPr>
          <w:p w14:paraId="577388DF"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0656CA74"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4AA165C8" w14:textId="77777777" w:rsidR="00C972CB" w:rsidRDefault="002457F6">
            <w:pPr>
              <w:pStyle w:val="P68B1DB1-Normal12"/>
              <w:rPr>
                <w:noProof/>
              </w:rPr>
            </w:pPr>
            <w:r>
              <w:rPr>
                <w:noProof/>
              </w:rPr>
              <w:t>Līgumslēdzējas iestādes, kas izmanto dinamiskās iepirkumu sistēmas</w:t>
            </w:r>
          </w:p>
        </w:tc>
      </w:tr>
      <w:tr w:rsidR="00C972CB" w14:paraId="232045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56ABF3" w14:textId="77777777" w:rsidR="00C972CB" w:rsidRDefault="002457F6">
            <w:pPr>
              <w:pStyle w:val="P68B1DB1-Normal12"/>
              <w:jc w:val="center"/>
              <w:rPr>
                <w:noProof/>
              </w:rPr>
            </w:pPr>
            <w:r>
              <w:rPr>
                <w:noProof/>
              </w:rPr>
              <w:t>M1C1–110</w:t>
            </w:r>
          </w:p>
        </w:tc>
        <w:tc>
          <w:tcPr>
            <w:tcW w:w="3118" w:type="dxa"/>
            <w:tcBorders>
              <w:top w:val="nil"/>
              <w:left w:val="nil"/>
              <w:bottom w:val="single" w:sz="4" w:space="0" w:color="auto"/>
              <w:right w:val="single" w:sz="4" w:space="0" w:color="auto"/>
            </w:tcBorders>
            <w:shd w:val="clear" w:color="auto" w:fill="C6EFCE"/>
            <w:noWrap/>
            <w:vAlign w:val="center"/>
          </w:tcPr>
          <w:p w14:paraId="5F0F716D" w14:textId="77777777" w:rsidR="00C972CB" w:rsidRDefault="002457F6">
            <w:pPr>
              <w:pStyle w:val="P68B1DB1-Normal12"/>
              <w:rPr>
                <w:noProof/>
              </w:rPr>
            </w:pPr>
            <w:r>
              <w:rPr>
                <w:noProof/>
              </w:rPr>
              <w:t>Reforma Nr. 1.13: Izdevumu pārskatīšanas sistēmas reforma</w:t>
            </w:r>
          </w:p>
        </w:tc>
        <w:tc>
          <w:tcPr>
            <w:tcW w:w="1418" w:type="dxa"/>
            <w:tcBorders>
              <w:top w:val="nil"/>
              <w:left w:val="nil"/>
              <w:bottom w:val="single" w:sz="4" w:space="0" w:color="auto"/>
              <w:right w:val="single" w:sz="4" w:space="0" w:color="auto"/>
            </w:tcBorders>
            <w:shd w:val="clear" w:color="auto" w:fill="C6EFCE"/>
            <w:noWrap/>
            <w:vAlign w:val="center"/>
          </w:tcPr>
          <w:p w14:paraId="6E7F4F04" w14:textId="77777777" w:rsidR="00C972CB" w:rsidRDefault="002457F6">
            <w:pPr>
              <w:pStyle w:val="P68B1DB1-Normal12"/>
              <w:rPr>
                <w:noProof/>
              </w:rPr>
            </w:pPr>
            <w:r>
              <w:rPr>
                <w:noProof/>
              </w:rPr>
              <w:t xml:space="preserve">Starpposma </w:t>
            </w:r>
            <w:r>
              <w:rPr>
                <w:noProof/>
              </w:rPr>
              <w:t>mērķis</w:t>
            </w:r>
          </w:p>
        </w:tc>
        <w:tc>
          <w:tcPr>
            <w:tcW w:w="3827" w:type="dxa"/>
            <w:tcBorders>
              <w:top w:val="nil"/>
              <w:left w:val="nil"/>
              <w:bottom w:val="single" w:sz="4" w:space="0" w:color="auto"/>
              <w:right w:val="single" w:sz="4" w:space="0" w:color="auto"/>
            </w:tcBorders>
            <w:shd w:val="clear" w:color="auto" w:fill="C6EFCE"/>
            <w:noWrap/>
            <w:vAlign w:val="center"/>
          </w:tcPr>
          <w:p w14:paraId="2507464A" w14:textId="77777777" w:rsidR="00C972CB" w:rsidRDefault="002457F6">
            <w:pPr>
              <w:pStyle w:val="P68B1DB1-Normal12"/>
              <w:rPr>
                <w:noProof/>
              </w:rPr>
            </w:pPr>
            <w:r>
              <w:rPr>
                <w:noProof/>
              </w:rPr>
              <w:t>Valsts vispārējā budžeta pārklasificēšana, atsaucoties uz izdevumiem vides jomā un izdevumiem, kas veicina dzimumu līdztiesību</w:t>
            </w:r>
          </w:p>
        </w:tc>
      </w:tr>
      <w:tr w:rsidR="00C972CB" w14:paraId="1E02BD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245BD1" w14:textId="77777777" w:rsidR="00C972CB" w:rsidRDefault="002457F6">
            <w:pPr>
              <w:pStyle w:val="P68B1DB1-Normal12"/>
              <w:jc w:val="center"/>
              <w:rPr>
                <w:noProof/>
              </w:rPr>
            </w:pPr>
            <w:r>
              <w:rPr>
                <w:noProof/>
              </w:rPr>
              <w:t>M1C2–9</w:t>
            </w:r>
          </w:p>
        </w:tc>
        <w:tc>
          <w:tcPr>
            <w:tcW w:w="3118" w:type="dxa"/>
            <w:tcBorders>
              <w:top w:val="nil"/>
              <w:left w:val="nil"/>
              <w:bottom w:val="single" w:sz="4" w:space="0" w:color="auto"/>
              <w:right w:val="single" w:sz="4" w:space="0" w:color="auto"/>
            </w:tcBorders>
            <w:shd w:val="clear" w:color="auto" w:fill="C6EFCE"/>
            <w:noWrap/>
            <w:vAlign w:val="center"/>
          </w:tcPr>
          <w:p w14:paraId="15E32D6E" w14:textId="77777777" w:rsidR="00C972CB" w:rsidRDefault="002457F6">
            <w:pPr>
              <w:pStyle w:val="P68B1DB1-Normal12"/>
              <w:rPr>
                <w:noProof/>
              </w:rPr>
            </w:pPr>
            <w:r>
              <w:rPr>
                <w:noProof/>
              </w:rPr>
              <w:t>Reforma: Ikgadējie konkurences tiesību akti</w:t>
            </w:r>
          </w:p>
        </w:tc>
        <w:tc>
          <w:tcPr>
            <w:tcW w:w="1418" w:type="dxa"/>
            <w:tcBorders>
              <w:top w:val="nil"/>
              <w:left w:val="nil"/>
              <w:bottom w:val="single" w:sz="4" w:space="0" w:color="auto"/>
              <w:right w:val="single" w:sz="4" w:space="0" w:color="auto"/>
            </w:tcBorders>
            <w:shd w:val="clear" w:color="auto" w:fill="C6EFCE"/>
            <w:noWrap/>
            <w:vAlign w:val="center"/>
          </w:tcPr>
          <w:p w14:paraId="475299E5" w14:textId="77777777" w:rsidR="00C972CB" w:rsidRDefault="002457F6">
            <w:pPr>
              <w:pStyle w:val="P68B1DB1-Normal12"/>
              <w:rPr>
                <w:noProof/>
              </w:rPr>
            </w:pPr>
            <w:r>
              <w:rPr>
                <w:noProof/>
              </w:rPr>
              <w:t>Starpposma mērķis</w:t>
            </w:r>
          </w:p>
        </w:tc>
        <w:tc>
          <w:tcPr>
            <w:tcW w:w="3827" w:type="dxa"/>
            <w:tcBorders>
              <w:top w:val="nil"/>
              <w:left w:val="nil"/>
              <w:bottom w:val="single" w:sz="4" w:space="0" w:color="auto"/>
              <w:right w:val="single" w:sz="4" w:space="0" w:color="auto"/>
            </w:tcBorders>
            <w:shd w:val="clear" w:color="auto" w:fill="C6EFCE"/>
            <w:noWrap/>
            <w:vAlign w:val="center"/>
          </w:tcPr>
          <w:p w14:paraId="46E6C43A" w14:textId="77777777" w:rsidR="00C972CB" w:rsidRDefault="002457F6">
            <w:pPr>
              <w:pStyle w:val="P68B1DB1-Normal12"/>
              <w:rPr>
                <w:noProof/>
              </w:rPr>
            </w:pPr>
            <w:r>
              <w:rPr>
                <w:noProof/>
              </w:rPr>
              <w:t>2022. gada Konkurences likuma stāšanās spēkā</w:t>
            </w:r>
          </w:p>
        </w:tc>
      </w:tr>
      <w:tr w:rsidR="00C972CB" w14:paraId="251451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266508" w14:textId="77777777" w:rsidR="00C972CB" w:rsidRDefault="002457F6">
            <w:pPr>
              <w:pStyle w:val="P68B1DB1-Normal12"/>
              <w:jc w:val="center"/>
              <w:rPr>
                <w:noProof/>
              </w:rPr>
            </w:pPr>
            <w:r>
              <w:rPr>
                <w:noProof/>
              </w:rPr>
              <w:t>M1C2–1</w:t>
            </w:r>
            <w:r>
              <w:rPr>
                <w:noProof/>
              </w:rPr>
              <w:t>0</w:t>
            </w:r>
          </w:p>
        </w:tc>
        <w:tc>
          <w:tcPr>
            <w:tcW w:w="3118" w:type="dxa"/>
            <w:tcBorders>
              <w:top w:val="nil"/>
              <w:left w:val="nil"/>
              <w:bottom w:val="single" w:sz="4" w:space="0" w:color="auto"/>
              <w:right w:val="single" w:sz="4" w:space="0" w:color="auto"/>
            </w:tcBorders>
            <w:shd w:val="clear" w:color="auto" w:fill="C6EFCE"/>
            <w:noWrap/>
            <w:vAlign w:val="center"/>
          </w:tcPr>
          <w:p w14:paraId="5DFEC71C" w14:textId="77777777" w:rsidR="00C972CB" w:rsidRDefault="002457F6">
            <w:pPr>
              <w:pStyle w:val="P68B1DB1-Normal12"/>
              <w:rPr>
                <w:noProof/>
              </w:rPr>
            </w:pPr>
            <w:r>
              <w:rPr>
                <w:noProof/>
              </w:rPr>
              <w:t>Reforma: Ikgadējie konkurences tiesību akti</w:t>
            </w:r>
          </w:p>
        </w:tc>
        <w:tc>
          <w:tcPr>
            <w:tcW w:w="1418" w:type="dxa"/>
            <w:tcBorders>
              <w:top w:val="nil"/>
              <w:left w:val="nil"/>
              <w:bottom w:val="single" w:sz="4" w:space="0" w:color="auto"/>
              <w:right w:val="single" w:sz="4" w:space="0" w:color="auto"/>
            </w:tcBorders>
            <w:shd w:val="clear" w:color="auto" w:fill="C6EFCE"/>
            <w:noWrap/>
            <w:vAlign w:val="center"/>
          </w:tcPr>
          <w:p w14:paraId="122969E5" w14:textId="77777777" w:rsidR="00C972CB" w:rsidRDefault="002457F6">
            <w:pPr>
              <w:pStyle w:val="P68B1DB1-Normal12"/>
              <w:rPr>
                <w:noProof/>
              </w:rPr>
            </w:pPr>
            <w:r>
              <w:rPr>
                <w:noProof/>
              </w:rPr>
              <w:t>Starpposma mērķis</w:t>
            </w:r>
          </w:p>
        </w:tc>
        <w:tc>
          <w:tcPr>
            <w:tcW w:w="3827" w:type="dxa"/>
            <w:tcBorders>
              <w:top w:val="nil"/>
              <w:left w:val="nil"/>
              <w:bottom w:val="single" w:sz="4" w:space="0" w:color="auto"/>
              <w:right w:val="single" w:sz="4" w:space="0" w:color="auto"/>
            </w:tcBorders>
            <w:shd w:val="clear" w:color="auto" w:fill="C6EFCE"/>
            <w:noWrap/>
            <w:vAlign w:val="center"/>
          </w:tcPr>
          <w:p w14:paraId="59D03F2C" w14:textId="77777777" w:rsidR="00C972CB" w:rsidRDefault="002457F6">
            <w:pPr>
              <w:pStyle w:val="P68B1DB1-Normal12"/>
              <w:rPr>
                <w:noProof/>
              </w:rPr>
            </w:pPr>
            <w:r>
              <w:rPr>
                <w:noProof/>
              </w:rPr>
              <w:t>Stājas spēkā visi īstenošanas pasākumi (vajadzības gadījumā arī sekundārie tiesību akti), lai efektīvi īstenotu un piemērotu pasākumus, kas izriet no 2022. gada Konkurences likuma</w:t>
            </w:r>
          </w:p>
        </w:tc>
      </w:tr>
      <w:tr w:rsidR="00C972CB" w14:paraId="791C7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E39C2" w14:textId="77777777" w:rsidR="00C972CB" w:rsidRDefault="002457F6">
            <w:pPr>
              <w:pStyle w:val="P68B1DB1-Normal12"/>
              <w:jc w:val="center"/>
              <w:rPr>
                <w:noProof/>
              </w:rPr>
            </w:pPr>
            <w:r>
              <w:rPr>
                <w:noProof/>
              </w:rPr>
              <w:t>M1C3–7</w:t>
            </w:r>
          </w:p>
        </w:tc>
        <w:tc>
          <w:tcPr>
            <w:tcW w:w="3118" w:type="dxa"/>
            <w:tcBorders>
              <w:top w:val="nil"/>
              <w:left w:val="nil"/>
              <w:bottom w:val="single" w:sz="4" w:space="0" w:color="auto"/>
              <w:right w:val="single" w:sz="4" w:space="0" w:color="auto"/>
            </w:tcBorders>
            <w:shd w:val="clear" w:color="auto" w:fill="C6EFCE"/>
            <w:noWrap/>
            <w:vAlign w:val="center"/>
          </w:tcPr>
          <w:p w14:paraId="464A8E22" w14:textId="77777777" w:rsidR="00C972CB" w:rsidRDefault="002457F6">
            <w:pPr>
              <w:pStyle w:val="P68B1DB1-Normal12"/>
              <w:rPr>
                <w:noProof/>
              </w:rPr>
            </w:pPr>
            <w:r>
              <w:rPr>
                <w:noProof/>
              </w:rPr>
              <w:t>Investīcijas — 3.3. Kultūras operatoru spēju veidošana digitālās un zaļās pārkārtošanās pārvaldībai.</w:t>
            </w:r>
          </w:p>
        </w:tc>
        <w:tc>
          <w:tcPr>
            <w:tcW w:w="1418" w:type="dxa"/>
            <w:tcBorders>
              <w:top w:val="nil"/>
              <w:left w:val="nil"/>
              <w:bottom w:val="single" w:sz="4" w:space="0" w:color="auto"/>
              <w:right w:val="single" w:sz="4" w:space="0" w:color="auto"/>
            </w:tcBorders>
            <w:shd w:val="clear" w:color="auto" w:fill="C6EFCE"/>
            <w:noWrap/>
            <w:vAlign w:val="center"/>
          </w:tcPr>
          <w:p w14:paraId="353B9335" w14:textId="77777777" w:rsidR="00C972CB" w:rsidRDefault="002457F6">
            <w:pPr>
              <w:pStyle w:val="P68B1DB1-Normal12"/>
              <w:rPr>
                <w:noProof/>
              </w:rPr>
            </w:pPr>
            <w:r>
              <w:rPr>
                <w:noProof/>
              </w:rPr>
              <w:t>Starpposma mērķis</w:t>
            </w:r>
          </w:p>
        </w:tc>
        <w:tc>
          <w:tcPr>
            <w:tcW w:w="3827" w:type="dxa"/>
            <w:tcBorders>
              <w:top w:val="nil"/>
              <w:left w:val="nil"/>
              <w:bottom w:val="single" w:sz="4" w:space="0" w:color="auto"/>
              <w:right w:val="single" w:sz="4" w:space="0" w:color="auto"/>
            </w:tcBorders>
            <w:shd w:val="clear" w:color="auto" w:fill="C6EFCE"/>
            <w:noWrap/>
            <w:vAlign w:val="center"/>
          </w:tcPr>
          <w:p w14:paraId="498B1E76" w14:textId="77777777" w:rsidR="00C972CB" w:rsidRDefault="002457F6">
            <w:pPr>
              <w:pStyle w:val="P68B1DB1-Normal12"/>
              <w:rPr>
                <w:noProof/>
              </w:rPr>
            </w:pPr>
            <w:r>
              <w:rPr>
                <w:noProof/>
              </w:rPr>
              <w:t xml:space="preserve">Visu publiskā iepirkuma līgumu slēgšanas tiesību piešķiršana ar īstenotāju organizāciju/saņēmējiem par visām intervencēm, kuru mērķis ir </w:t>
            </w:r>
            <w:r>
              <w:rPr>
                <w:noProof/>
              </w:rPr>
              <w:t>pārvaldīt kultūras dalībnieku digitālo un zaļo pārkārtošanos</w:t>
            </w:r>
          </w:p>
        </w:tc>
      </w:tr>
      <w:tr w:rsidR="00C972CB" w14:paraId="25A614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23A5D" w14:textId="77777777" w:rsidR="00C972CB" w:rsidRDefault="002457F6">
            <w:pPr>
              <w:pStyle w:val="P68B1DB1-Normal12"/>
              <w:jc w:val="center"/>
              <w:rPr>
                <w:noProof/>
              </w:rPr>
            </w:pPr>
            <w:r>
              <w:rPr>
                <w:noProof/>
              </w:rPr>
              <w:t>M2C1–5</w:t>
            </w:r>
          </w:p>
        </w:tc>
        <w:tc>
          <w:tcPr>
            <w:tcW w:w="3118" w:type="dxa"/>
            <w:tcBorders>
              <w:top w:val="nil"/>
              <w:left w:val="nil"/>
              <w:bottom w:val="single" w:sz="4" w:space="0" w:color="auto"/>
              <w:right w:val="single" w:sz="4" w:space="0" w:color="auto"/>
            </w:tcBorders>
            <w:shd w:val="clear" w:color="auto" w:fill="C6EFCE"/>
            <w:noWrap/>
            <w:vAlign w:val="center"/>
          </w:tcPr>
          <w:p w14:paraId="0EB5E106" w14:textId="77777777" w:rsidR="00C972CB" w:rsidRDefault="002457F6">
            <w:pPr>
              <w:pStyle w:val="P68B1DB1-Normal12"/>
              <w:rPr>
                <w:noProof/>
              </w:rPr>
            </w:pPr>
            <w:r>
              <w:rPr>
                <w:noProof/>
              </w:rPr>
              <w:t>Ieguldījums 2.2.: AGRI-solārais parks</w:t>
            </w:r>
          </w:p>
        </w:tc>
        <w:tc>
          <w:tcPr>
            <w:tcW w:w="1418" w:type="dxa"/>
            <w:tcBorders>
              <w:top w:val="nil"/>
              <w:left w:val="nil"/>
              <w:bottom w:val="single" w:sz="4" w:space="0" w:color="auto"/>
              <w:right w:val="single" w:sz="4" w:space="0" w:color="auto"/>
            </w:tcBorders>
            <w:shd w:val="clear" w:color="auto" w:fill="C6EFCE"/>
            <w:noWrap/>
            <w:vAlign w:val="center"/>
          </w:tcPr>
          <w:p w14:paraId="7286517C"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25F0E5A1" w14:textId="77777777" w:rsidR="00C972CB" w:rsidRDefault="002457F6">
            <w:pPr>
              <w:pStyle w:val="P68B1DB1-Normal12"/>
              <w:rPr>
                <w:noProof/>
              </w:rPr>
            </w:pPr>
            <w:r>
              <w:rPr>
                <w:noProof/>
              </w:rPr>
              <w:t>Līdzekļu piešķiršana saņēmējiem % no kopējiem ieguldījumiem piešķirtajiem finanšu resursiem</w:t>
            </w:r>
          </w:p>
        </w:tc>
      </w:tr>
      <w:tr w:rsidR="00C972CB" w14:paraId="6B2632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96EC2" w14:textId="77777777" w:rsidR="00C972CB" w:rsidRDefault="002457F6">
            <w:pPr>
              <w:pStyle w:val="P68B1DB1-Normal12"/>
              <w:jc w:val="center"/>
              <w:rPr>
                <w:noProof/>
              </w:rPr>
            </w:pPr>
            <w:r>
              <w:rPr>
                <w:noProof/>
              </w:rPr>
              <w:t>M2C2–22</w:t>
            </w:r>
          </w:p>
        </w:tc>
        <w:tc>
          <w:tcPr>
            <w:tcW w:w="3118" w:type="dxa"/>
            <w:tcBorders>
              <w:top w:val="nil"/>
              <w:left w:val="nil"/>
              <w:bottom w:val="single" w:sz="4" w:space="0" w:color="auto"/>
              <w:right w:val="single" w:sz="4" w:space="0" w:color="auto"/>
            </w:tcBorders>
            <w:shd w:val="clear" w:color="auto" w:fill="C6EFCE"/>
            <w:noWrap/>
            <w:vAlign w:val="center"/>
          </w:tcPr>
          <w:p w14:paraId="3ACB0349" w14:textId="77777777" w:rsidR="00C972CB" w:rsidRDefault="002457F6">
            <w:pPr>
              <w:pStyle w:val="P68B1DB1-Normal12"/>
              <w:rPr>
                <w:noProof/>
              </w:rPr>
            </w:pPr>
            <w:r>
              <w:rPr>
                <w:noProof/>
              </w:rPr>
              <w:t>Ieguldījums 4.1. Ieguldījumi vidi saudzējo</w:t>
            </w:r>
            <w:r>
              <w:rPr>
                <w:noProof/>
              </w:rPr>
              <w:t>šā mobilitātē (Nacionālais cikla ceļa plāns)</w:t>
            </w:r>
          </w:p>
        </w:tc>
        <w:tc>
          <w:tcPr>
            <w:tcW w:w="1418" w:type="dxa"/>
            <w:tcBorders>
              <w:top w:val="nil"/>
              <w:left w:val="nil"/>
              <w:bottom w:val="single" w:sz="4" w:space="0" w:color="auto"/>
              <w:right w:val="single" w:sz="4" w:space="0" w:color="auto"/>
            </w:tcBorders>
            <w:shd w:val="clear" w:color="auto" w:fill="C6EFCE"/>
            <w:noWrap/>
            <w:vAlign w:val="center"/>
          </w:tcPr>
          <w:p w14:paraId="1949D646"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40ADEB3C" w14:textId="77777777" w:rsidR="00C972CB" w:rsidRDefault="002457F6">
            <w:pPr>
              <w:pStyle w:val="P68B1DB1-Normal12"/>
              <w:rPr>
                <w:noProof/>
              </w:rPr>
            </w:pPr>
            <w:r>
              <w:rPr>
                <w:noProof/>
              </w:rPr>
              <w:t>Veloceliņi T1</w:t>
            </w:r>
          </w:p>
        </w:tc>
      </w:tr>
      <w:tr w:rsidR="00C972CB" w14:paraId="3E7B155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642464" w14:textId="77777777" w:rsidR="00C972CB" w:rsidRDefault="002457F6">
            <w:pPr>
              <w:pStyle w:val="P68B1DB1-Normal12"/>
              <w:jc w:val="center"/>
              <w:rPr>
                <w:noProof/>
              </w:rPr>
            </w:pPr>
            <w:r>
              <w:rPr>
                <w:noProof/>
              </w:rPr>
              <w:t>M2C2–24</w:t>
            </w:r>
          </w:p>
        </w:tc>
        <w:tc>
          <w:tcPr>
            <w:tcW w:w="3118" w:type="dxa"/>
            <w:tcBorders>
              <w:top w:val="nil"/>
              <w:left w:val="nil"/>
              <w:bottom w:val="single" w:sz="4" w:space="0" w:color="auto"/>
              <w:right w:val="single" w:sz="4" w:space="0" w:color="auto"/>
            </w:tcBorders>
            <w:shd w:val="clear" w:color="auto" w:fill="C6EFCE"/>
            <w:noWrap/>
            <w:vAlign w:val="center"/>
          </w:tcPr>
          <w:p w14:paraId="23D4CC33" w14:textId="77777777" w:rsidR="00C972CB" w:rsidRDefault="002457F6">
            <w:pPr>
              <w:pStyle w:val="P68B1DB1-Normal12"/>
              <w:rPr>
                <w:noProof/>
              </w:rPr>
            </w:pPr>
            <w:r>
              <w:rPr>
                <w:noProof/>
              </w:rPr>
              <w:t>Ieguldījums. Ātrās masas transporta sistēmu (metro, ielu automobiļa, BRT) attīstība</w:t>
            </w:r>
          </w:p>
        </w:tc>
        <w:tc>
          <w:tcPr>
            <w:tcW w:w="1418" w:type="dxa"/>
            <w:tcBorders>
              <w:top w:val="nil"/>
              <w:left w:val="nil"/>
              <w:bottom w:val="single" w:sz="4" w:space="0" w:color="auto"/>
              <w:right w:val="single" w:sz="4" w:space="0" w:color="auto"/>
            </w:tcBorders>
            <w:shd w:val="clear" w:color="auto" w:fill="C6EFCE"/>
            <w:noWrap/>
            <w:vAlign w:val="center"/>
          </w:tcPr>
          <w:p w14:paraId="35AA7906" w14:textId="77777777" w:rsidR="00C972CB" w:rsidRDefault="002457F6">
            <w:pPr>
              <w:pStyle w:val="P68B1DB1-Normal12"/>
              <w:rPr>
                <w:noProof/>
              </w:rPr>
            </w:pPr>
            <w:r>
              <w:rPr>
                <w:noProof/>
              </w:rPr>
              <w:t>Starpposma mērķis</w:t>
            </w:r>
          </w:p>
        </w:tc>
        <w:tc>
          <w:tcPr>
            <w:tcW w:w="3827" w:type="dxa"/>
            <w:tcBorders>
              <w:top w:val="nil"/>
              <w:left w:val="nil"/>
              <w:bottom w:val="single" w:sz="4" w:space="0" w:color="auto"/>
              <w:right w:val="single" w:sz="4" w:space="0" w:color="auto"/>
            </w:tcBorders>
            <w:shd w:val="clear" w:color="auto" w:fill="C6EFCE"/>
            <w:noWrap/>
            <w:vAlign w:val="center"/>
          </w:tcPr>
          <w:p w14:paraId="67F1B35E" w14:textId="77777777" w:rsidR="00C972CB" w:rsidRDefault="002457F6">
            <w:pPr>
              <w:rPr>
                <w:noProof/>
                <w:color w:val="006100"/>
                <w:sz w:val="20"/>
              </w:rPr>
            </w:pPr>
            <w:r>
              <w:rPr>
                <w:rStyle w:val="font81"/>
                <w:rFonts w:eastAsiaTheme="majorEastAsia"/>
                <w:noProof/>
              </w:rPr>
              <w:t xml:space="preserve">Visu publiskā iepirkuma līgumu slēgšanas tiesību piešķiršana metro, tramvaju, </w:t>
            </w:r>
            <w:r>
              <w:rPr>
                <w:rStyle w:val="font81"/>
                <w:rFonts w:eastAsiaTheme="majorEastAsia"/>
                <w:noProof/>
              </w:rPr>
              <w:t>trolejbusu un trošu ceļu lielpilsētu teritoriju būvniecībai</w:t>
            </w:r>
          </w:p>
        </w:tc>
      </w:tr>
      <w:tr w:rsidR="00C972CB" w14:paraId="29524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E4535" w14:textId="77777777" w:rsidR="00C972CB" w:rsidRDefault="002457F6">
            <w:pPr>
              <w:pStyle w:val="P68B1DB1-Normal12"/>
              <w:jc w:val="center"/>
              <w:rPr>
                <w:noProof/>
              </w:rPr>
            </w:pPr>
            <w:r>
              <w:rPr>
                <w:noProof/>
              </w:rPr>
              <w:t>M4C1–10</w:t>
            </w:r>
          </w:p>
        </w:tc>
        <w:tc>
          <w:tcPr>
            <w:tcW w:w="3118" w:type="dxa"/>
            <w:tcBorders>
              <w:top w:val="nil"/>
              <w:left w:val="nil"/>
              <w:bottom w:val="single" w:sz="4" w:space="0" w:color="auto"/>
              <w:right w:val="single" w:sz="4" w:space="0" w:color="auto"/>
            </w:tcBorders>
            <w:shd w:val="clear" w:color="auto" w:fill="C6EFCE"/>
            <w:noWrap/>
            <w:vAlign w:val="center"/>
          </w:tcPr>
          <w:p w14:paraId="59E1C83C" w14:textId="77777777" w:rsidR="00C972CB" w:rsidRDefault="002457F6">
            <w:pPr>
              <w:pStyle w:val="P68B1DB1-Normal12"/>
              <w:rPr>
                <w:noProof/>
              </w:rPr>
            </w:pPr>
            <w:r>
              <w:rPr>
                <w:noProof/>
              </w:rPr>
              <w:t xml:space="preserve">Reforma. Skolotāju pieņemšana darbā; Reforma: Skolu sistēmas reorganizācija; Reforma: Terciārās profesionālās izglītības sistēmas (ITS) reforma; Reforma: “Orientācijas” sistēmas reforma; </w:t>
            </w:r>
            <w:r>
              <w:rPr>
                <w:noProof/>
              </w:rPr>
              <w:t>Reforma: Universitātes grāda grupu reforma; Reforma. Augstskolu grādu reformas veicināšana</w:t>
            </w:r>
          </w:p>
        </w:tc>
        <w:tc>
          <w:tcPr>
            <w:tcW w:w="1418" w:type="dxa"/>
            <w:tcBorders>
              <w:top w:val="nil"/>
              <w:left w:val="nil"/>
              <w:bottom w:val="single" w:sz="4" w:space="0" w:color="auto"/>
              <w:right w:val="single" w:sz="4" w:space="0" w:color="auto"/>
            </w:tcBorders>
            <w:shd w:val="clear" w:color="auto" w:fill="C6EFCE"/>
            <w:noWrap/>
            <w:vAlign w:val="center"/>
          </w:tcPr>
          <w:p w14:paraId="45CB98A9" w14:textId="77777777" w:rsidR="00C972CB" w:rsidRDefault="002457F6">
            <w:pPr>
              <w:pStyle w:val="P68B1DB1-Normal12"/>
              <w:rPr>
                <w:noProof/>
              </w:rPr>
            </w:pPr>
            <w:r>
              <w:rPr>
                <w:noProof/>
              </w:rPr>
              <w:t>Starpposma mērķis</w:t>
            </w:r>
          </w:p>
        </w:tc>
        <w:tc>
          <w:tcPr>
            <w:tcW w:w="3827" w:type="dxa"/>
            <w:tcBorders>
              <w:top w:val="nil"/>
              <w:left w:val="nil"/>
              <w:bottom w:val="single" w:sz="4" w:space="0" w:color="auto"/>
              <w:right w:val="single" w:sz="4" w:space="0" w:color="auto"/>
            </w:tcBorders>
            <w:shd w:val="clear" w:color="auto" w:fill="C6EFCE"/>
            <w:noWrap/>
            <w:vAlign w:val="center"/>
          </w:tcPr>
          <w:p w14:paraId="2EAC76B1" w14:textId="77777777" w:rsidR="00C972CB" w:rsidRDefault="002457F6">
            <w:pPr>
              <w:pStyle w:val="P68B1DB1-Normal12"/>
              <w:rPr>
                <w:noProof/>
              </w:rPr>
            </w:pPr>
            <w:r>
              <w:rPr>
                <w:noProof/>
              </w:rPr>
              <w:t>Noteikumu stāšanās spēkā, lai vajadzības gadījumā efektīvi īstenotu un piemērotu visus pasākumus, kas attiecas uz pamatizglītības, vidējās un augst</w:t>
            </w:r>
            <w:r>
              <w:rPr>
                <w:noProof/>
              </w:rPr>
              <w:t>ākās izglītības reformām</w:t>
            </w:r>
          </w:p>
        </w:tc>
      </w:tr>
      <w:tr w:rsidR="00C972CB" w14:paraId="3AF88F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B582" w14:textId="77777777" w:rsidR="00C972CB" w:rsidRDefault="002457F6">
            <w:pPr>
              <w:pStyle w:val="P68B1DB1-Normal12"/>
              <w:jc w:val="center"/>
              <w:rPr>
                <w:noProof/>
              </w:rPr>
            </w:pPr>
            <w:r>
              <w:rPr>
                <w:noProof/>
              </w:rPr>
              <w:t>M4C1–11</w:t>
            </w:r>
          </w:p>
        </w:tc>
        <w:tc>
          <w:tcPr>
            <w:tcW w:w="3118" w:type="dxa"/>
            <w:tcBorders>
              <w:top w:val="nil"/>
              <w:left w:val="nil"/>
              <w:bottom w:val="single" w:sz="4" w:space="0" w:color="auto"/>
              <w:right w:val="single" w:sz="4" w:space="0" w:color="auto"/>
            </w:tcBorders>
            <w:shd w:val="clear" w:color="auto" w:fill="C6EFCE"/>
            <w:noWrap/>
            <w:vAlign w:val="center"/>
          </w:tcPr>
          <w:p w14:paraId="2F8B1505" w14:textId="77777777" w:rsidR="00C972CB" w:rsidRDefault="002457F6">
            <w:pPr>
              <w:pStyle w:val="P68B1DB1-Normal12"/>
              <w:rPr>
                <w:noProof/>
              </w:rPr>
            </w:pPr>
            <w:r>
              <w:rPr>
                <w:noProof/>
              </w:rPr>
              <w:t>Ieguldījums 1.7. Stipendijas par piekļuvi universitātēm</w:t>
            </w:r>
          </w:p>
        </w:tc>
        <w:tc>
          <w:tcPr>
            <w:tcW w:w="1418" w:type="dxa"/>
            <w:tcBorders>
              <w:top w:val="nil"/>
              <w:left w:val="nil"/>
              <w:bottom w:val="single" w:sz="4" w:space="0" w:color="auto"/>
              <w:right w:val="single" w:sz="4" w:space="0" w:color="auto"/>
            </w:tcBorders>
            <w:shd w:val="clear" w:color="auto" w:fill="C6EFCE"/>
            <w:noWrap/>
            <w:vAlign w:val="center"/>
          </w:tcPr>
          <w:p w14:paraId="05B21DA9"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1D28A2C1" w14:textId="77777777" w:rsidR="00C972CB" w:rsidRDefault="002457F6">
            <w:pPr>
              <w:pStyle w:val="P68B1DB1-Normal12"/>
              <w:rPr>
                <w:noProof/>
              </w:rPr>
            </w:pPr>
            <w:r>
              <w:rPr>
                <w:noProof/>
              </w:rPr>
              <w:t>Piešķirta universitātes stipendija</w:t>
            </w:r>
          </w:p>
        </w:tc>
      </w:tr>
      <w:tr w:rsidR="00C972CB" w14:paraId="14F66B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6269" w14:textId="77777777" w:rsidR="00C972CB" w:rsidRDefault="002457F6">
            <w:pPr>
              <w:pStyle w:val="P68B1DB1-Normal12"/>
              <w:jc w:val="center"/>
              <w:rPr>
                <w:noProof/>
              </w:rPr>
            </w:pPr>
            <w:r>
              <w:rPr>
                <w:noProof/>
              </w:rPr>
              <w:t>M5C3–3</w:t>
            </w:r>
          </w:p>
        </w:tc>
        <w:tc>
          <w:tcPr>
            <w:tcW w:w="3118" w:type="dxa"/>
            <w:tcBorders>
              <w:top w:val="nil"/>
              <w:left w:val="nil"/>
              <w:bottom w:val="single" w:sz="4" w:space="0" w:color="auto"/>
              <w:right w:val="single" w:sz="4" w:space="0" w:color="auto"/>
            </w:tcBorders>
            <w:shd w:val="clear" w:color="auto" w:fill="C6EFCE"/>
            <w:noWrap/>
            <w:vAlign w:val="center"/>
          </w:tcPr>
          <w:p w14:paraId="604A360D" w14:textId="77777777" w:rsidR="00C972CB" w:rsidRDefault="002457F6">
            <w:pPr>
              <w:pStyle w:val="P68B1DB1-Normal12"/>
              <w:rPr>
                <w:noProof/>
              </w:rPr>
            </w:pPr>
            <w:r>
              <w:rPr>
                <w:noProof/>
              </w:rPr>
              <w:t>Ieguldījums Nr. 2: Teritoriālā tuvumā esošās veselības aprūpes iestādes</w:t>
            </w:r>
          </w:p>
        </w:tc>
        <w:tc>
          <w:tcPr>
            <w:tcW w:w="1418" w:type="dxa"/>
            <w:tcBorders>
              <w:top w:val="nil"/>
              <w:left w:val="nil"/>
              <w:bottom w:val="single" w:sz="4" w:space="0" w:color="auto"/>
              <w:right w:val="single" w:sz="4" w:space="0" w:color="auto"/>
            </w:tcBorders>
            <w:shd w:val="clear" w:color="auto" w:fill="C6EFCE"/>
            <w:noWrap/>
            <w:vAlign w:val="center"/>
          </w:tcPr>
          <w:p w14:paraId="1A087DBF" w14:textId="77777777" w:rsidR="00C972CB" w:rsidRDefault="002457F6">
            <w:pPr>
              <w:pStyle w:val="P68B1DB1-Normal12"/>
              <w:rPr>
                <w:noProof/>
              </w:rPr>
            </w:pPr>
            <w:r>
              <w:rPr>
                <w:noProof/>
              </w:rPr>
              <w:t>Mērķa</w:t>
            </w:r>
          </w:p>
        </w:tc>
        <w:tc>
          <w:tcPr>
            <w:tcW w:w="3827" w:type="dxa"/>
            <w:tcBorders>
              <w:top w:val="nil"/>
              <w:left w:val="nil"/>
              <w:bottom w:val="single" w:sz="4" w:space="0" w:color="auto"/>
              <w:right w:val="single" w:sz="4" w:space="0" w:color="auto"/>
            </w:tcBorders>
            <w:shd w:val="clear" w:color="auto" w:fill="C6EFCE"/>
            <w:noWrap/>
            <w:vAlign w:val="center"/>
          </w:tcPr>
          <w:p w14:paraId="52CCC6E0" w14:textId="77777777" w:rsidR="00C972CB" w:rsidRDefault="002457F6">
            <w:pPr>
              <w:pStyle w:val="P68B1DB1-Normal12"/>
              <w:rPr>
                <w:noProof/>
              </w:rPr>
            </w:pPr>
            <w:r>
              <w:rPr>
                <w:noProof/>
              </w:rPr>
              <w:t xml:space="preserve">Atbalsts lauku aptiekām pašvaldībās, </w:t>
            </w:r>
            <w:r>
              <w:rPr>
                <w:noProof/>
              </w:rPr>
              <w:t>ciematos vai apdzīvotās vietās, kurās ir mazāk nekā 5000 iedzīvotāju (pirmā partija)</w:t>
            </w:r>
          </w:p>
        </w:tc>
      </w:tr>
      <w:tr w:rsidR="00C972CB" w14:paraId="7D36074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980452" w14:textId="77777777" w:rsidR="00C972CB" w:rsidRDefault="00C972C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EEA9CB8" w14:textId="77777777" w:rsidR="00C972CB" w:rsidRDefault="00C972C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098B445F" w14:textId="77777777" w:rsidR="00C972CB" w:rsidRDefault="002457F6">
            <w:pPr>
              <w:pStyle w:val="P68B1DB1-Normal12"/>
              <w:rPr>
                <w:noProof/>
              </w:rPr>
            </w:pPr>
            <w:r>
              <w:rPr>
                <w:noProof/>
              </w:rPr>
              <w:t>Maksājuma summa</w:t>
            </w:r>
          </w:p>
        </w:tc>
        <w:tc>
          <w:tcPr>
            <w:tcW w:w="3827" w:type="dxa"/>
            <w:tcBorders>
              <w:top w:val="single" w:sz="4" w:space="0" w:color="auto"/>
              <w:left w:val="nil"/>
              <w:bottom w:val="single" w:sz="4" w:space="0" w:color="auto"/>
              <w:right w:val="single" w:sz="4" w:space="0" w:color="auto"/>
            </w:tcBorders>
            <w:shd w:val="clear" w:color="auto" w:fill="C6EFCE"/>
            <w:noWrap/>
            <w:vAlign w:val="bottom"/>
          </w:tcPr>
          <w:p w14:paraId="3ECA9800" w14:textId="23798D5E" w:rsidR="00C972CB" w:rsidRDefault="002457F6">
            <w:pPr>
              <w:pStyle w:val="P68B1DB1-Normal46"/>
              <w:rPr>
                <w:noProof/>
              </w:rPr>
            </w:pPr>
            <w:r>
              <w:rPr>
                <w:noProof/>
              </w:rPr>
              <w:t>3</w:t>
            </w:r>
            <w:r>
              <w:rPr>
                <w:noProof/>
              </w:rPr>
              <w:t> </w:t>
            </w:r>
            <w:r>
              <w:rPr>
                <w:noProof/>
              </w:rPr>
              <w:t>548</w:t>
            </w:r>
            <w:r>
              <w:rPr>
                <w:noProof/>
              </w:rPr>
              <w:t> </w:t>
            </w:r>
            <w:r>
              <w:rPr>
                <w:noProof/>
              </w:rPr>
              <w:t>098</w:t>
            </w:r>
            <w:r>
              <w:rPr>
                <w:noProof/>
              </w:rPr>
              <w:t> </w:t>
            </w:r>
            <w:r>
              <w:rPr>
                <w:noProof/>
              </w:rPr>
              <w:t>403</w:t>
            </w:r>
            <w:r>
              <w:rPr>
                <w:noProof/>
              </w:rPr>
              <w:t> </w:t>
            </w:r>
            <w:r>
              <w:rPr>
                <w:noProof/>
              </w:rPr>
              <w:t>EUR</w:t>
            </w:r>
          </w:p>
        </w:tc>
      </w:tr>
    </w:tbl>
    <w:p w14:paraId="5577A5CB" w14:textId="7CADF277" w:rsidR="00C972CB" w:rsidRDefault="002457F6">
      <w:pPr>
        <w:pStyle w:val="P68B1DB1-Normal44"/>
        <w:numPr>
          <w:ilvl w:val="1"/>
          <w:numId w:val="6"/>
        </w:numPr>
        <w:spacing w:before="120" w:after="120"/>
        <w:jc w:val="both"/>
        <w:rPr>
          <w:noProof/>
        </w:rPr>
      </w:pPr>
      <w:r>
        <w:rPr>
          <w:noProof/>
        </w:rPr>
        <w:t>Sestā daļa (neatmaksājamais atbalsts):</w:t>
      </w:r>
    </w:p>
    <w:tbl>
      <w:tblPr>
        <w:tblW w:w="9998" w:type="dxa"/>
        <w:tblInd w:w="113" w:type="dxa"/>
        <w:tblLook w:val="04A0" w:firstRow="1" w:lastRow="0" w:firstColumn="1" w:lastColumn="0" w:noHBand="0" w:noVBand="1"/>
      </w:tblPr>
      <w:tblGrid>
        <w:gridCol w:w="1413"/>
        <w:gridCol w:w="3118"/>
        <w:gridCol w:w="1983"/>
        <w:gridCol w:w="4049"/>
      </w:tblGrid>
      <w:tr w:rsidR="00C972CB" w14:paraId="0CAAA92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FC4CF0" w14:textId="77777777" w:rsidR="00C972CB" w:rsidRDefault="002457F6">
            <w:pPr>
              <w:pStyle w:val="P68B1DB1-Normal45"/>
              <w:jc w:val="center"/>
              <w:rPr>
                <w:noProof/>
              </w:rPr>
            </w:pPr>
            <w:r>
              <w:rPr>
                <w:noProof/>
              </w:rPr>
              <w:t>Kārtas numurs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20805B" w14:textId="77777777" w:rsidR="00C972CB" w:rsidRDefault="002457F6">
            <w:pPr>
              <w:pStyle w:val="P68B1DB1-Normal45"/>
              <w:jc w:val="center"/>
              <w:rPr>
                <w:noProof/>
              </w:rPr>
            </w:pPr>
            <w:r>
              <w:rPr>
                <w:noProof/>
              </w:rPr>
              <w:t>Pasākums (reforma vai investīcija)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E915D9" w14:textId="77777777" w:rsidR="00C972CB" w:rsidRDefault="002457F6">
            <w:pPr>
              <w:pStyle w:val="P68B1DB1-Normal45"/>
              <w:jc w:val="center"/>
              <w:rPr>
                <w:noProof/>
              </w:rPr>
            </w:pPr>
            <w:r>
              <w:rPr>
                <w:noProof/>
              </w:rPr>
              <w:t>Atskaites punkts/mērķrādītājs</w:t>
            </w:r>
          </w:p>
        </w:tc>
        <w:tc>
          <w:tcPr>
            <w:tcW w:w="40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F80A28" w14:textId="77777777" w:rsidR="00C972CB" w:rsidRDefault="002457F6">
            <w:pPr>
              <w:pStyle w:val="P68B1DB1-Normal45"/>
              <w:jc w:val="center"/>
              <w:rPr>
                <w:noProof/>
              </w:rPr>
            </w:pPr>
            <w:r>
              <w:rPr>
                <w:noProof/>
              </w:rPr>
              <w:t>Uzvārds</w:t>
            </w:r>
          </w:p>
        </w:tc>
      </w:tr>
      <w:tr w:rsidR="00C972CB" w14:paraId="1482EFF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A270F90" w14:textId="77777777" w:rsidR="00C972CB" w:rsidRDefault="00C972C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78CC01C" w14:textId="77777777" w:rsidR="00C972CB" w:rsidRDefault="00C972C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DB2BFE0" w14:textId="77777777" w:rsidR="00C972CB" w:rsidRDefault="00C972CB">
            <w:pPr>
              <w:rPr>
                <w:b/>
                <w:noProof/>
              </w:rPr>
            </w:pPr>
          </w:p>
        </w:tc>
        <w:tc>
          <w:tcPr>
            <w:tcW w:w="4049" w:type="dxa"/>
            <w:vMerge/>
            <w:tcBorders>
              <w:top w:val="single" w:sz="4" w:space="0" w:color="auto"/>
              <w:left w:val="single" w:sz="4" w:space="0" w:color="auto"/>
              <w:bottom w:val="single" w:sz="4" w:space="0" w:color="auto"/>
              <w:right w:val="single" w:sz="4" w:space="0" w:color="auto"/>
            </w:tcBorders>
            <w:vAlign w:val="center"/>
            <w:hideMark/>
          </w:tcPr>
          <w:p w14:paraId="1D77B5B7" w14:textId="77777777" w:rsidR="00C972CB" w:rsidRDefault="00C972CB">
            <w:pPr>
              <w:rPr>
                <w:b/>
                <w:noProof/>
              </w:rPr>
            </w:pPr>
          </w:p>
        </w:tc>
      </w:tr>
      <w:tr w:rsidR="00C972CB" w14:paraId="116AD30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BCECF" w14:textId="77777777" w:rsidR="00C972CB" w:rsidRDefault="002457F6">
            <w:pPr>
              <w:pStyle w:val="P68B1DB1-Normal12"/>
              <w:jc w:val="center"/>
              <w:rPr>
                <w:noProof/>
              </w:rPr>
            </w:pPr>
            <w:r>
              <w:rPr>
                <w:noProof/>
              </w:rPr>
              <w:t>M1C1–14bis</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779C85E" w14:textId="77777777" w:rsidR="00C972CB" w:rsidRDefault="002457F6">
            <w:pPr>
              <w:pStyle w:val="P68B1DB1-Normal12"/>
              <w:rPr>
                <w:noProof/>
              </w:rPr>
            </w:pPr>
            <w:r>
              <w:rPr>
                <w:noProof/>
              </w:rPr>
              <w:t>Reforma 1.9.1.: Reforma kohēzijas politikas īstenošanas paātrināšanai</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08B103" w14:textId="77777777" w:rsidR="00C972CB" w:rsidRDefault="002457F6">
            <w:pPr>
              <w:pStyle w:val="P68B1DB1-Normal12"/>
              <w:rPr>
                <w:noProof/>
              </w:rPr>
            </w:pPr>
            <w:r>
              <w:rPr>
                <w:noProof/>
              </w:rPr>
              <w:t xml:space="preserve">Starpposma mērķis </w:t>
            </w:r>
          </w:p>
        </w:tc>
        <w:tc>
          <w:tcPr>
            <w:tcW w:w="4049" w:type="dxa"/>
            <w:tcBorders>
              <w:top w:val="single" w:sz="4" w:space="0" w:color="auto"/>
              <w:left w:val="nil"/>
              <w:bottom w:val="single" w:sz="4" w:space="0" w:color="auto"/>
              <w:right w:val="single" w:sz="4" w:space="0" w:color="auto"/>
            </w:tcBorders>
            <w:shd w:val="clear" w:color="auto" w:fill="C6EFCE"/>
            <w:noWrap/>
            <w:vAlign w:val="center"/>
          </w:tcPr>
          <w:p w14:paraId="467BAB63" w14:textId="77777777" w:rsidR="00C972CB" w:rsidRDefault="002457F6">
            <w:pPr>
              <w:pStyle w:val="P68B1DB1-Normal12"/>
              <w:rPr>
                <w:noProof/>
              </w:rPr>
            </w:pPr>
            <w:r>
              <w:rPr>
                <w:noProof/>
              </w:rPr>
              <w:t>Valsts tiesību aktu stāšanās spēkā kohēzijas politikas īstenošanas paātrināšanai</w:t>
            </w:r>
          </w:p>
        </w:tc>
      </w:tr>
      <w:tr w:rsidR="00C972CB" w14:paraId="217F54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2D7F44" w14:textId="77777777" w:rsidR="00C972CB" w:rsidRDefault="002457F6">
            <w:pPr>
              <w:pStyle w:val="P68B1DB1-Normal12"/>
              <w:jc w:val="center"/>
              <w:rPr>
                <w:noProof/>
              </w:rPr>
            </w:pPr>
            <w:r>
              <w:rPr>
                <w:noProof/>
              </w:rPr>
              <w:t>M1C1–15</w:t>
            </w:r>
          </w:p>
        </w:tc>
        <w:tc>
          <w:tcPr>
            <w:tcW w:w="3118" w:type="dxa"/>
            <w:tcBorders>
              <w:top w:val="nil"/>
              <w:left w:val="nil"/>
              <w:bottom w:val="single" w:sz="4" w:space="0" w:color="auto"/>
              <w:right w:val="single" w:sz="4" w:space="0" w:color="auto"/>
            </w:tcBorders>
            <w:shd w:val="clear" w:color="auto" w:fill="C6EFCE"/>
            <w:noWrap/>
            <w:vAlign w:val="center"/>
          </w:tcPr>
          <w:p w14:paraId="4E782C7E" w14:textId="77777777" w:rsidR="00C972CB" w:rsidRDefault="002457F6">
            <w:pPr>
              <w:pStyle w:val="P68B1DB1-Normal12"/>
              <w:rPr>
                <w:noProof/>
              </w:rPr>
            </w:pPr>
            <w:r>
              <w:rPr>
                <w:noProof/>
              </w:rPr>
              <w:t>Ieguldījums 1.6.6.: Finanšu policijas digitalizācija</w:t>
            </w:r>
          </w:p>
        </w:tc>
        <w:tc>
          <w:tcPr>
            <w:tcW w:w="1418" w:type="dxa"/>
            <w:tcBorders>
              <w:top w:val="nil"/>
              <w:left w:val="nil"/>
              <w:bottom w:val="single" w:sz="4" w:space="0" w:color="auto"/>
              <w:right w:val="single" w:sz="4" w:space="0" w:color="auto"/>
            </w:tcBorders>
            <w:shd w:val="clear" w:color="auto" w:fill="C6EFCE"/>
            <w:noWrap/>
            <w:vAlign w:val="center"/>
          </w:tcPr>
          <w:p w14:paraId="734FC0FA"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55AB238A" w14:textId="77777777" w:rsidR="00C972CB" w:rsidRDefault="002457F6">
            <w:pPr>
              <w:pStyle w:val="P68B1DB1-Normal12"/>
              <w:rPr>
                <w:noProof/>
              </w:rPr>
            </w:pPr>
            <w:r>
              <w:rPr>
                <w:noProof/>
              </w:rPr>
              <w:t>Finanšu</w:t>
            </w:r>
            <w:r>
              <w:rPr>
                <w:noProof/>
              </w:rPr>
              <w:t xml:space="preserve"> policija — profesionālo datu zinātnes pakalpojumu iegāde T2</w:t>
            </w:r>
          </w:p>
        </w:tc>
      </w:tr>
      <w:tr w:rsidR="00C972CB" w14:paraId="4BB162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DB82E2" w14:textId="77777777" w:rsidR="00C972CB" w:rsidRDefault="002457F6">
            <w:pPr>
              <w:pStyle w:val="P68B1DB1-Normal12"/>
              <w:jc w:val="center"/>
              <w:rPr>
                <w:noProof/>
              </w:rPr>
            </w:pPr>
            <w:r>
              <w:rPr>
                <w:noProof/>
              </w:rPr>
              <w:t>M1C1–37.bis</w:t>
            </w:r>
          </w:p>
        </w:tc>
        <w:tc>
          <w:tcPr>
            <w:tcW w:w="3118" w:type="dxa"/>
            <w:tcBorders>
              <w:top w:val="nil"/>
              <w:left w:val="nil"/>
              <w:bottom w:val="single" w:sz="4" w:space="0" w:color="auto"/>
              <w:right w:val="single" w:sz="4" w:space="0" w:color="auto"/>
            </w:tcBorders>
            <w:shd w:val="clear" w:color="auto" w:fill="C6EFCE"/>
            <w:noWrap/>
            <w:vAlign w:val="center"/>
          </w:tcPr>
          <w:p w14:paraId="7C38F3E3" w14:textId="77777777" w:rsidR="00C972CB" w:rsidRDefault="002457F6">
            <w:pPr>
              <w:pStyle w:val="P68B1DB1-Normal12"/>
              <w:rPr>
                <w:noProof/>
              </w:rPr>
            </w:pPr>
            <w:r>
              <w:rPr>
                <w:noProof/>
              </w:rPr>
              <w:t>Reforma: Civiltiesību reforma</w:t>
            </w:r>
          </w:p>
        </w:tc>
        <w:tc>
          <w:tcPr>
            <w:tcW w:w="1418" w:type="dxa"/>
            <w:tcBorders>
              <w:top w:val="nil"/>
              <w:left w:val="nil"/>
              <w:bottom w:val="single" w:sz="4" w:space="0" w:color="auto"/>
              <w:right w:val="single" w:sz="4" w:space="0" w:color="auto"/>
            </w:tcBorders>
            <w:shd w:val="clear" w:color="auto" w:fill="C6EFCE"/>
            <w:noWrap/>
            <w:vAlign w:val="center"/>
          </w:tcPr>
          <w:p w14:paraId="2FF138DD"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541F3141" w14:textId="77777777" w:rsidR="00C972CB" w:rsidRDefault="002457F6">
            <w:pPr>
              <w:pStyle w:val="P68B1DB1-Normal12"/>
              <w:rPr>
                <w:noProof/>
              </w:rPr>
            </w:pPr>
            <w:r>
              <w:rPr>
                <w:noProof/>
              </w:rPr>
              <w:t>Tādu pasākumu stāšanās spēkā, kuru mērķis ir samazināt neizskatīto lietu skaitu</w:t>
            </w:r>
          </w:p>
        </w:tc>
      </w:tr>
      <w:tr w:rsidR="00C972CB" w14:paraId="5F369B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FAB0B" w14:textId="77777777" w:rsidR="00C972CB" w:rsidRDefault="002457F6">
            <w:pPr>
              <w:pStyle w:val="P68B1DB1-Normal12"/>
              <w:jc w:val="center"/>
              <w:rPr>
                <w:noProof/>
              </w:rPr>
            </w:pPr>
            <w:r>
              <w:rPr>
                <w:noProof/>
              </w:rPr>
              <w:t>M1C1–72bis</w:t>
            </w:r>
          </w:p>
        </w:tc>
        <w:tc>
          <w:tcPr>
            <w:tcW w:w="3118" w:type="dxa"/>
            <w:tcBorders>
              <w:top w:val="nil"/>
              <w:left w:val="nil"/>
              <w:bottom w:val="single" w:sz="4" w:space="0" w:color="auto"/>
              <w:right w:val="single" w:sz="4" w:space="0" w:color="auto"/>
            </w:tcBorders>
            <w:shd w:val="clear" w:color="auto" w:fill="C6EFCE"/>
            <w:noWrap/>
            <w:vAlign w:val="center"/>
          </w:tcPr>
          <w:p w14:paraId="2CF1B8B0" w14:textId="77777777" w:rsidR="00C972CB" w:rsidRDefault="002457F6">
            <w:pPr>
              <w:pStyle w:val="P68B1DB1-Normal12"/>
              <w:rPr>
                <w:noProof/>
              </w:rPr>
            </w:pPr>
            <w:r>
              <w:rPr>
                <w:noProof/>
              </w:rPr>
              <w:t xml:space="preserve">Reforma: Valsts pārvaldes iestāžu un </w:t>
            </w:r>
            <w:r>
              <w:rPr>
                <w:noProof/>
              </w:rPr>
              <w:t>veselības aizsardzības iestāžu kavēto maksājumu samazināšana</w:t>
            </w:r>
          </w:p>
        </w:tc>
        <w:tc>
          <w:tcPr>
            <w:tcW w:w="1418" w:type="dxa"/>
            <w:tcBorders>
              <w:top w:val="nil"/>
              <w:left w:val="nil"/>
              <w:bottom w:val="single" w:sz="4" w:space="0" w:color="auto"/>
              <w:right w:val="single" w:sz="4" w:space="0" w:color="auto"/>
            </w:tcBorders>
            <w:shd w:val="clear" w:color="auto" w:fill="C6EFCE"/>
            <w:noWrap/>
            <w:vAlign w:val="center"/>
          </w:tcPr>
          <w:p w14:paraId="5046FCCC"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4E5CF52D" w14:textId="77777777" w:rsidR="00C972CB" w:rsidRDefault="002457F6">
            <w:pPr>
              <w:pStyle w:val="P68B1DB1-Normal12"/>
              <w:rPr>
                <w:noProof/>
              </w:rPr>
            </w:pPr>
            <w:r>
              <w:rPr>
                <w:noProof/>
              </w:rPr>
              <w:t>Likumdošanas un konkrētas darbības, lai samazinātu maksājumu kavējumus centrālā/vietējā līmenī</w:t>
            </w:r>
          </w:p>
        </w:tc>
      </w:tr>
      <w:tr w:rsidR="00C972CB" w14:paraId="079BE9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153B6" w14:textId="77777777" w:rsidR="00C972CB" w:rsidRDefault="002457F6">
            <w:pPr>
              <w:pStyle w:val="P68B1DB1-Normal12"/>
              <w:jc w:val="center"/>
              <w:rPr>
                <w:noProof/>
              </w:rPr>
            </w:pPr>
            <w:r>
              <w:rPr>
                <w:noProof/>
              </w:rPr>
              <w:t>M1C1–72 maisījumi</w:t>
            </w:r>
          </w:p>
        </w:tc>
        <w:tc>
          <w:tcPr>
            <w:tcW w:w="3118" w:type="dxa"/>
            <w:tcBorders>
              <w:top w:val="nil"/>
              <w:left w:val="nil"/>
              <w:bottom w:val="single" w:sz="4" w:space="0" w:color="auto"/>
              <w:right w:val="single" w:sz="4" w:space="0" w:color="auto"/>
            </w:tcBorders>
            <w:shd w:val="clear" w:color="auto" w:fill="C6EFCE"/>
            <w:noWrap/>
            <w:vAlign w:val="center"/>
          </w:tcPr>
          <w:p w14:paraId="46F553D8" w14:textId="77777777" w:rsidR="00C972CB" w:rsidRDefault="002457F6">
            <w:pPr>
              <w:pStyle w:val="P68B1DB1-Normal12"/>
              <w:rPr>
                <w:noProof/>
              </w:rPr>
            </w:pPr>
            <w:r>
              <w:rPr>
                <w:noProof/>
              </w:rPr>
              <w:t>Reforma: Valsts pārvaldes iestāžu un veselības aizsardzības ies</w:t>
            </w:r>
            <w:r>
              <w:rPr>
                <w:noProof/>
              </w:rPr>
              <w:t>tāžu kavēto maksājumu samazināšana</w:t>
            </w:r>
          </w:p>
        </w:tc>
        <w:tc>
          <w:tcPr>
            <w:tcW w:w="1418" w:type="dxa"/>
            <w:tcBorders>
              <w:top w:val="nil"/>
              <w:left w:val="nil"/>
              <w:bottom w:val="single" w:sz="4" w:space="0" w:color="auto"/>
              <w:right w:val="single" w:sz="4" w:space="0" w:color="auto"/>
            </w:tcBorders>
            <w:shd w:val="clear" w:color="auto" w:fill="C6EFCE"/>
            <w:noWrap/>
            <w:vAlign w:val="center"/>
          </w:tcPr>
          <w:p w14:paraId="4C9E606E"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72E6496E" w14:textId="77777777" w:rsidR="00C972CB" w:rsidRDefault="002457F6">
            <w:pPr>
              <w:pStyle w:val="P68B1DB1-Normal12"/>
              <w:rPr>
                <w:noProof/>
              </w:rPr>
            </w:pPr>
            <w:r>
              <w:rPr>
                <w:noProof/>
              </w:rPr>
              <w:t>Horizontāli pasākumi maksājumu kavējumu samazināšanai no maksājumu aģentūras uzņēmumiem</w:t>
            </w:r>
          </w:p>
        </w:tc>
      </w:tr>
      <w:tr w:rsidR="00C972CB" w14:paraId="3A34FA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508330" w14:textId="77777777" w:rsidR="00C972CB" w:rsidRDefault="002457F6">
            <w:pPr>
              <w:pStyle w:val="P68B1DB1-Normal12"/>
              <w:jc w:val="center"/>
              <w:rPr>
                <w:noProof/>
              </w:rPr>
            </w:pPr>
            <w:r>
              <w:rPr>
                <w:noProof/>
              </w:rPr>
              <w:t>M2C2–6</w:t>
            </w:r>
          </w:p>
        </w:tc>
        <w:tc>
          <w:tcPr>
            <w:tcW w:w="3118" w:type="dxa"/>
            <w:tcBorders>
              <w:top w:val="nil"/>
              <w:left w:val="nil"/>
              <w:bottom w:val="single" w:sz="4" w:space="0" w:color="auto"/>
              <w:right w:val="single" w:sz="4" w:space="0" w:color="auto"/>
            </w:tcBorders>
            <w:shd w:val="clear" w:color="auto" w:fill="C6EFCE"/>
            <w:noWrap/>
            <w:vAlign w:val="center"/>
          </w:tcPr>
          <w:p w14:paraId="42C585BB" w14:textId="77777777" w:rsidR="00C972CB" w:rsidRDefault="002457F6">
            <w:pPr>
              <w:pStyle w:val="P68B1DB1-Normal12"/>
              <w:rPr>
                <w:noProof/>
              </w:rPr>
            </w:pPr>
            <w:r>
              <w:rPr>
                <w:noProof/>
              </w:rPr>
              <w:t xml:space="preserve">Reforma Nr. 1 Atjaunojamo energoresursu iekārtu atļauju piešķiršanas procedūru vienkāršošana sauszemes un </w:t>
            </w:r>
            <w:r>
              <w:rPr>
                <w:noProof/>
              </w:rPr>
              <w:t>atkrastes iekārtām un jauns tiesiskais regulējums, lai atbalstītu ražošanu no atjaunojamiem energoresursiem, un pašreizējo atbalsta shēmu termiņa un atbilstības pagarināšana</w:t>
            </w:r>
          </w:p>
        </w:tc>
        <w:tc>
          <w:tcPr>
            <w:tcW w:w="1418" w:type="dxa"/>
            <w:tcBorders>
              <w:top w:val="nil"/>
              <w:left w:val="nil"/>
              <w:bottom w:val="single" w:sz="4" w:space="0" w:color="auto"/>
              <w:right w:val="single" w:sz="4" w:space="0" w:color="auto"/>
            </w:tcBorders>
            <w:shd w:val="clear" w:color="auto" w:fill="C6EFCE"/>
            <w:noWrap/>
            <w:vAlign w:val="center"/>
          </w:tcPr>
          <w:p w14:paraId="2EA820BE"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02FCE049" w14:textId="77777777" w:rsidR="00C972CB" w:rsidRDefault="002457F6">
            <w:pPr>
              <w:pStyle w:val="P68B1DB1-Normal12"/>
              <w:rPr>
                <w:noProof/>
              </w:rPr>
            </w:pPr>
            <w:r>
              <w:rPr>
                <w:noProof/>
              </w:rPr>
              <w:t xml:space="preserve">Stājas spēkā tiesiskais regulējums, lai vienkāršotu atļauju </w:t>
            </w:r>
            <w:r>
              <w:rPr>
                <w:noProof/>
              </w:rPr>
              <w:t>piešķiršanas procedūras atkrastes un atkrastes atjaunīgās enerģijas būvkonstrukcijām</w:t>
            </w:r>
          </w:p>
        </w:tc>
      </w:tr>
      <w:tr w:rsidR="00C972CB" w14:paraId="7D1557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8D084" w14:textId="77777777" w:rsidR="00C972CB" w:rsidRDefault="002457F6">
            <w:pPr>
              <w:pStyle w:val="P68B1DB1-Normal12"/>
              <w:jc w:val="center"/>
              <w:rPr>
                <w:noProof/>
              </w:rPr>
            </w:pPr>
            <w:r>
              <w:rPr>
                <w:noProof/>
              </w:rPr>
              <w:t>M4C1–8</w:t>
            </w:r>
          </w:p>
        </w:tc>
        <w:tc>
          <w:tcPr>
            <w:tcW w:w="3118" w:type="dxa"/>
            <w:tcBorders>
              <w:top w:val="nil"/>
              <w:left w:val="nil"/>
              <w:bottom w:val="single" w:sz="4" w:space="0" w:color="auto"/>
              <w:right w:val="single" w:sz="4" w:space="0" w:color="auto"/>
            </w:tcBorders>
            <w:shd w:val="clear" w:color="auto" w:fill="C6EFCE"/>
            <w:noWrap/>
            <w:vAlign w:val="center"/>
          </w:tcPr>
          <w:p w14:paraId="591406A2" w14:textId="77777777" w:rsidR="00C972CB" w:rsidRDefault="002457F6">
            <w:pPr>
              <w:pStyle w:val="P68B1DB1-Normal12"/>
              <w:rPr>
                <w:noProof/>
              </w:rPr>
            </w:pPr>
            <w:r>
              <w:rPr>
                <w:noProof/>
              </w:rPr>
              <w:t>Ieguldījums 1.3. Skolu sporta infrastruktūras stiprināšanas plāns</w:t>
            </w:r>
          </w:p>
        </w:tc>
        <w:tc>
          <w:tcPr>
            <w:tcW w:w="1418" w:type="dxa"/>
            <w:tcBorders>
              <w:top w:val="nil"/>
              <w:left w:val="nil"/>
              <w:bottom w:val="single" w:sz="4" w:space="0" w:color="auto"/>
              <w:right w:val="single" w:sz="4" w:space="0" w:color="auto"/>
            </w:tcBorders>
            <w:shd w:val="clear" w:color="auto" w:fill="C6EFCE"/>
            <w:noWrap/>
            <w:vAlign w:val="center"/>
          </w:tcPr>
          <w:p w14:paraId="704F54E8"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2E79433D" w14:textId="77777777" w:rsidR="00C972CB" w:rsidRDefault="002457F6">
            <w:pPr>
              <w:pStyle w:val="P68B1DB1-Normal12"/>
              <w:rPr>
                <w:noProof/>
              </w:rPr>
            </w:pPr>
            <w:r>
              <w:rPr>
                <w:noProof/>
              </w:rPr>
              <w:t>Izglītības ministrijas dekrētā paredzēto sporta objektu un sporta objektu būvni</w:t>
            </w:r>
            <w:r>
              <w:rPr>
                <w:noProof/>
              </w:rPr>
              <w:t>ecības un atjaunošanas pasākumu līgumu slēgšanas tiesību piešķiršana</w:t>
            </w:r>
          </w:p>
        </w:tc>
      </w:tr>
      <w:tr w:rsidR="00C972CB" w14:paraId="59B594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D7EDC2" w14:textId="77777777" w:rsidR="00C972CB" w:rsidRDefault="002457F6">
            <w:pPr>
              <w:pStyle w:val="P68B1DB1-Normal12"/>
              <w:jc w:val="center"/>
              <w:rPr>
                <w:noProof/>
              </w:rPr>
            </w:pPr>
            <w:r>
              <w:rPr>
                <w:noProof/>
              </w:rPr>
              <w:t xml:space="preserve">M5C1–9 </w:t>
            </w:r>
          </w:p>
        </w:tc>
        <w:tc>
          <w:tcPr>
            <w:tcW w:w="3118" w:type="dxa"/>
            <w:tcBorders>
              <w:top w:val="nil"/>
              <w:left w:val="nil"/>
              <w:bottom w:val="single" w:sz="4" w:space="0" w:color="auto"/>
              <w:right w:val="single" w:sz="4" w:space="0" w:color="auto"/>
            </w:tcBorders>
            <w:shd w:val="clear" w:color="auto" w:fill="C6EFCE"/>
            <w:noWrap/>
            <w:vAlign w:val="center"/>
          </w:tcPr>
          <w:p w14:paraId="14C901B9" w14:textId="77777777" w:rsidR="00C972CB" w:rsidRDefault="002457F6">
            <w:pPr>
              <w:pStyle w:val="P68B1DB1-Normal12"/>
              <w:rPr>
                <w:noProof/>
              </w:rPr>
            </w:pPr>
            <w:r>
              <w:rPr>
                <w:noProof/>
              </w:rPr>
              <w:t>Reforma — nedeklarēts darbs</w:t>
            </w:r>
          </w:p>
        </w:tc>
        <w:tc>
          <w:tcPr>
            <w:tcW w:w="1418" w:type="dxa"/>
            <w:tcBorders>
              <w:top w:val="nil"/>
              <w:left w:val="nil"/>
              <w:bottom w:val="single" w:sz="4" w:space="0" w:color="auto"/>
              <w:right w:val="single" w:sz="4" w:space="0" w:color="auto"/>
            </w:tcBorders>
            <w:shd w:val="clear" w:color="auto" w:fill="C6EFCE"/>
            <w:noWrap/>
            <w:vAlign w:val="center"/>
          </w:tcPr>
          <w:p w14:paraId="7E53CC4D"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6FD1ABB8" w14:textId="77777777" w:rsidR="00C972CB" w:rsidRDefault="002457F6">
            <w:pPr>
              <w:pStyle w:val="P68B1DB1-Normal12"/>
              <w:rPr>
                <w:noProof/>
              </w:rPr>
            </w:pPr>
            <w:r>
              <w:rPr>
                <w:noProof/>
              </w:rPr>
              <w:t>Valsts plānā iekļauto pasākumu pilnīga īstenošana saskaņā ar Ceļvedi</w:t>
            </w:r>
          </w:p>
        </w:tc>
      </w:tr>
      <w:tr w:rsidR="00C972CB" w14:paraId="02B878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0FBB10" w14:textId="77777777" w:rsidR="00C972CB" w:rsidRDefault="002457F6">
            <w:pPr>
              <w:pStyle w:val="P68B1DB1-Normal12"/>
              <w:jc w:val="center"/>
              <w:rPr>
                <w:noProof/>
              </w:rPr>
            </w:pPr>
            <w:r>
              <w:rPr>
                <w:noProof/>
              </w:rPr>
              <w:t>M5C2–4</w:t>
            </w:r>
          </w:p>
        </w:tc>
        <w:tc>
          <w:tcPr>
            <w:tcW w:w="3118" w:type="dxa"/>
            <w:tcBorders>
              <w:top w:val="nil"/>
              <w:left w:val="nil"/>
              <w:bottom w:val="single" w:sz="4" w:space="0" w:color="auto"/>
              <w:right w:val="single" w:sz="4" w:space="0" w:color="auto"/>
            </w:tcBorders>
            <w:shd w:val="clear" w:color="auto" w:fill="C6EFCE"/>
            <w:noWrap/>
            <w:vAlign w:val="center"/>
          </w:tcPr>
          <w:p w14:paraId="44881B3F" w14:textId="77777777" w:rsidR="00C972CB" w:rsidRDefault="002457F6">
            <w:pPr>
              <w:pStyle w:val="P68B1DB1-Normal12"/>
              <w:rPr>
                <w:noProof/>
              </w:rPr>
            </w:pPr>
            <w:r>
              <w:rPr>
                <w:noProof/>
              </w:rPr>
              <w:t xml:space="preserve">Reforma attiecībā uz vecāka gadagājuma cilvēkiem, kas </w:t>
            </w:r>
            <w:r>
              <w:rPr>
                <w:noProof/>
              </w:rPr>
              <w:t>nav pašpietiekami</w:t>
            </w:r>
          </w:p>
        </w:tc>
        <w:tc>
          <w:tcPr>
            <w:tcW w:w="1418" w:type="dxa"/>
            <w:tcBorders>
              <w:top w:val="nil"/>
              <w:left w:val="nil"/>
              <w:bottom w:val="single" w:sz="4" w:space="0" w:color="auto"/>
              <w:right w:val="single" w:sz="4" w:space="0" w:color="auto"/>
            </w:tcBorders>
            <w:shd w:val="clear" w:color="auto" w:fill="C6EFCE"/>
            <w:noWrap/>
            <w:vAlign w:val="center"/>
          </w:tcPr>
          <w:p w14:paraId="348A0FD6"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2F8E5751" w14:textId="77777777" w:rsidR="00C972CB" w:rsidRDefault="002457F6">
            <w:pPr>
              <w:pStyle w:val="P68B1DB1-Normal12"/>
              <w:rPr>
                <w:noProof/>
              </w:rPr>
            </w:pPr>
            <w:r>
              <w:rPr>
                <w:noProof/>
              </w:rPr>
              <w:t>Stājas spēkā likumdošanas dekrēti, ar kuriem tiek izstrādāti Pamatlikumā paredzētie noteikumi, lai stiprinātu pasākumus vecāka gadagājuma cilvēku, kuriem nav pašpietiekamības, labā</w:t>
            </w:r>
          </w:p>
        </w:tc>
      </w:tr>
      <w:tr w:rsidR="00C972CB" w14:paraId="789082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DB177" w14:textId="77777777" w:rsidR="00C972CB" w:rsidRDefault="002457F6">
            <w:pPr>
              <w:pStyle w:val="P68B1DB1-Normal12"/>
              <w:jc w:val="center"/>
              <w:rPr>
                <w:noProof/>
              </w:rPr>
            </w:pPr>
            <w:r>
              <w:rPr>
                <w:noProof/>
              </w:rPr>
              <w:t>M7–9</w:t>
            </w:r>
          </w:p>
        </w:tc>
        <w:tc>
          <w:tcPr>
            <w:tcW w:w="3118" w:type="dxa"/>
            <w:tcBorders>
              <w:top w:val="nil"/>
              <w:left w:val="nil"/>
              <w:bottom w:val="single" w:sz="4" w:space="0" w:color="auto"/>
              <w:right w:val="single" w:sz="4" w:space="0" w:color="auto"/>
            </w:tcBorders>
            <w:shd w:val="clear" w:color="auto" w:fill="C6EFCE"/>
            <w:noWrap/>
            <w:vAlign w:val="center"/>
          </w:tcPr>
          <w:p w14:paraId="2EBE18D8" w14:textId="77777777" w:rsidR="00C972CB" w:rsidRDefault="002457F6">
            <w:pPr>
              <w:pStyle w:val="P68B1DB1-Normal12"/>
              <w:rPr>
                <w:noProof/>
              </w:rPr>
            </w:pPr>
            <w:r>
              <w:rPr>
                <w:noProof/>
              </w:rPr>
              <w:t>Reforma: “Jaunu prasmju plāns — p</w:t>
            </w:r>
            <w:r>
              <w:rPr>
                <w:noProof/>
              </w:rPr>
              <w:t>ārkārtošanās”</w:t>
            </w:r>
          </w:p>
        </w:tc>
        <w:tc>
          <w:tcPr>
            <w:tcW w:w="1418" w:type="dxa"/>
            <w:tcBorders>
              <w:top w:val="nil"/>
              <w:left w:val="nil"/>
              <w:bottom w:val="single" w:sz="4" w:space="0" w:color="auto"/>
              <w:right w:val="single" w:sz="4" w:space="0" w:color="auto"/>
            </w:tcBorders>
            <w:shd w:val="clear" w:color="auto" w:fill="C6EFCE"/>
            <w:noWrap/>
            <w:vAlign w:val="center"/>
          </w:tcPr>
          <w:p w14:paraId="4DCBF58D"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24980F52" w14:textId="77777777" w:rsidR="00C972CB" w:rsidRDefault="002457F6">
            <w:pPr>
              <w:pStyle w:val="P68B1DB1-Normal12"/>
              <w:rPr>
                <w:noProof/>
              </w:rPr>
            </w:pPr>
            <w:r>
              <w:rPr>
                <w:noProof/>
              </w:rPr>
              <w:t>Jaunā Prasmju plāna — pārkārtošanās un īstenošanas ceļveža pieņemšana un publicēšana</w:t>
            </w:r>
          </w:p>
        </w:tc>
      </w:tr>
      <w:tr w:rsidR="00C972CB" w14:paraId="06352D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E19356" w14:textId="77777777" w:rsidR="00C972CB" w:rsidRDefault="002457F6">
            <w:pPr>
              <w:pStyle w:val="P68B1DB1-Normal12"/>
              <w:jc w:val="center"/>
              <w:rPr>
                <w:noProof/>
              </w:rPr>
            </w:pPr>
            <w:r>
              <w:rPr>
                <w:noProof/>
              </w:rPr>
              <w:t>M7–32</w:t>
            </w:r>
          </w:p>
        </w:tc>
        <w:tc>
          <w:tcPr>
            <w:tcW w:w="3118" w:type="dxa"/>
            <w:tcBorders>
              <w:top w:val="nil"/>
              <w:left w:val="nil"/>
              <w:bottom w:val="single" w:sz="4" w:space="0" w:color="auto"/>
              <w:right w:val="single" w:sz="4" w:space="0" w:color="auto"/>
            </w:tcBorders>
            <w:shd w:val="clear" w:color="auto" w:fill="C6EFCE"/>
            <w:noWrap/>
            <w:vAlign w:val="center"/>
          </w:tcPr>
          <w:p w14:paraId="1ADE2C2D" w14:textId="77777777" w:rsidR="00C972CB" w:rsidRDefault="002457F6">
            <w:pPr>
              <w:pStyle w:val="P68B1DB1-Normal12"/>
              <w:rPr>
                <w:noProof/>
              </w:rPr>
            </w:pPr>
            <w:r>
              <w:rPr>
                <w:noProof/>
              </w:rPr>
              <w:t xml:space="preserve">Ieguldījums. Dotāciju shēma starptautiskas, rūpnieciskas un pētniecības un izstrādes vadošās lomas attīstīšanai elektrisko autobusu </w:t>
            </w:r>
            <w:r>
              <w:rPr>
                <w:noProof/>
              </w:rPr>
              <w:t>jomā</w:t>
            </w:r>
          </w:p>
        </w:tc>
        <w:tc>
          <w:tcPr>
            <w:tcW w:w="1418" w:type="dxa"/>
            <w:tcBorders>
              <w:top w:val="nil"/>
              <w:left w:val="nil"/>
              <w:bottom w:val="single" w:sz="4" w:space="0" w:color="auto"/>
              <w:right w:val="single" w:sz="4" w:space="0" w:color="auto"/>
            </w:tcBorders>
            <w:shd w:val="clear" w:color="auto" w:fill="C6EFCE"/>
            <w:noWrap/>
            <w:vAlign w:val="center"/>
          </w:tcPr>
          <w:p w14:paraId="58517D55"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49420E8E" w14:textId="77777777" w:rsidR="00C972CB" w:rsidRDefault="002457F6">
            <w:pPr>
              <w:pStyle w:val="P68B1DB1-Normal12"/>
              <w:rPr>
                <w:noProof/>
              </w:rPr>
            </w:pPr>
            <w:r>
              <w:rPr>
                <w:noProof/>
              </w:rPr>
              <w:t>Īstenošanas nolīgums</w:t>
            </w:r>
          </w:p>
        </w:tc>
      </w:tr>
      <w:tr w:rsidR="00C972CB" w14:paraId="1FAF1F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2F12B2" w14:textId="77777777" w:rsidR="00C972CB" w:rsidRDefault="002457F6">
            <w:pPr>
              <w:pStyle w:val="P68B1DB1-Normal12"/>
              <w:jc w:val="center"/>
              <w:rPr>
                <w:noProof/>
              </w:rPr>
            </w:pPr>
            <w:r>
              <w:rPr>
                <w:noProof/>
              </w:rPr>
              <w:t>M1C1–39</w:t>
            </w:r>
          </w:p>
        </w:tc>
        <w:tc>
          <w:tcPr>
            <w:tcW w:w="3118" w:type="dxa"/>
            <w:tcBorders>
              <w:top w:val="nil"/>
              <w:left w:val="nil"/>
              <w:bottom w:val="single" w:sz="4" w:space="0" w:color="auto"/>
              <w:right w:val="single" w:sz="4" w:space="0" w:color="auto"/>
            </w:tcBorders>
            <w:shd w:val="clear" w:color="auto" w:fill="C6EFCE"/>
            <w:noWrap/>
            <w:vAlign w:val="center"/>
          </w:tcPr>
          <w:p w14:paraId="45ED0257" w14:textId="77777777" w:rsidR="00C972CB" w:rsidRDefault="002457F6">
            <w:pPr>
              <w:pStyle w:val="P68B1DB1-Normal12"/>
              <w:rPr>
                <w:noProof/>
              </w:rPr>
            </w:pPr>
            <w:r>
              <w:rPr>
                <w:noProof/>
              </w:rPr>
              <w:t>Ieguldījums 1.8: Civillietu un krimināltiesu darbā pieņemšanas procedūras</w:t>
            </w:r>
          </w:p>
        </w:tc>
        <w:tc>
          <w:tcPr>
            <w:tcW w:w="1418" w:type="dxa"/>
            <w:tcBorders>
              <w:top w:val="nil"/>
              <w:left w:val="nil"/>
              <w:bottom w:val="single" w:sz="4" w:space="0" w:color="auto"/>
              <w:right w:val="single" w:sz="4" w:space="0" w:color="auto"/>
            </w:tcBorders>
            <w:shd w:val="clear" w:color="auto" w:fill="C6EFCE"/>
            <w:noWrap/>
            <w:vAlign w:val="center"/>
          </w:tcPr>
          <w:p w14:paraId="307FAEFB"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2D6891D3" w14:textId="77777777" w:rsidR="00C972CB" w:rsidRDefault="002457F6">
            <w:pPr>
              <w:pStyle w:val="P68B1DB1-Normal12"/>
              <w:rPr>
                <w:noProof/>
              </w:rPr>
            </w:pPr>
            <w:r>
              <w:rPr>
                <w:noProof/>
              </w:rPr>
              <w:t>Civillietu un krimināltiesu un par ANP īstenošanu atbildīgo Tieslietu ministrijas teritoriālo un centrālo dienestu darbā pi</w:t>
            </w:r>
            <w:r>
              <w:rPr>
                <w:noProof/>
              </w:rPr>
              <w:t>eņemšanas procedūru pabeigšana</w:t>
            </w:r>
          </w:p>
        </w:tc>
      </w:tr>
      <w:tr w:rsidR="00C972CB" w14:paraId="4D5255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3AE47" w14:textId="77777777" w:rsidR="00C972CB" w:rsidRDefault="002457F6">
            <w:pPr>
              <w:pStyle w:val="P68B1DB1-Normal12"/>
              <w:jc w:val="center"/>
              <w:rPr>
                <w:noProof/>
              </w:rPr>
            </w:pPr>
            <w:r>
              <w:rPr>
                <w:noProof/>
              </w:rPr>
              <w:t>M1C1–40</w:t>
            </w:r>
          </w:p>
        </w:tc>
        <w:tc>
          <w:tcPr>
            <w:tcW w:w="3118" w:type="dxa"/>
            <w:tcBorders>
              <w:top w:val="nil"/>
              <w:left w:val="nil"/>
              <w:bottom w:val="single" w:sz="4" w:space="0" w:color="auto"/>
              <w:right w:val="single" w:sz="4" w:space="0" w:color="auto"/>
            </w:tcBorders>
            <w:shd w:val="clear" w:color="auto" w:fill="C6EFCE"/>
            <w:noWrap/>
            <w:vAlign w:val="center"/>
          </w:tcPr>
          <w:p w14:paraId="3721931D" w14:textId="77777777" w:rsidR="00C972CB" w:rsidRDefault="002457F6">
            <w:pPr>
              <w:pStyle w:val="P68B1DB1-Normal12"/>
              <w:rPr>
                <w:noProof/>
              </w:rPr>
            </w:pPr>
            <w:r>
              <w:rPr>
                <w:noProof/>
              </w:rPr>
              <w:t>Ieguldījums 1.8: Administratīvo tiesu darbā pieņemšanas procedūras</w:t>
            </w:r>
          </w:p>
        </w:tc>
        <w:tc>
          <w:tcPr>
            <w:tcW w:w="1418" w:type="dxa"/>
            <w:tcBorders>
              <w:top w:val="nil"/>
              <w:left w:val="nil"/>
              <w:bottom w:val="single" w:sz="4" w:space="0" w:color="auto"/>
              <w:right w:val="single" w:sz="4" w:space="0" w:color="auto"/>
            </w:tcBorders>
            <w:shd w:val="clear" w:color="auto" w:fill="C6EFCE"/>
            <w:noWrap/>
            <w:vAlign w:val="center"/>
          </w:tcPr>
          <w:p w14:paraId="1E1597A7"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3D67AC86" w14:textId="77777777" w:rsidR="00C972CB" w:rsidRDefault="002457F6">
            <w:pPr>
              <w:pStyle w:val="P68B1DB1-Normal12"/>
              <w:rPr>
                <w:noProof/>
              </w:rPr>
            </w:pPr>
            <w:r>
              <w:rPr>
                <w:noProof/>
              </w:rPr>
              <w:t>Administratīvo tiesu darbā pieņemšanas procedūru pabeigšana</w:t>
            </w:r>
          </w:p>
        </w:tc>
      </w:tr>
      <w:tr w:rsidR="00C972CB" w14:paraId="4DA1D90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105CF" w14:textId="77777777" w:rsidR="00C972CB" w:rsidRDefault="002457F6">
            <w:pPr>
              <w:pStyle w:val="P68B1DB1-Normal12"/>
              <w:jc w:val="center"/>
              <w:rPr>
                <w:noProof/>
              </w:rPr>
            </w:pPr>
            <w:r>
              <w:rPr>
                <w:noProof/>
              </w:rPr>
              <w:t>M1C1–41</w:t>
            </w:r>
          </w:p>
        </w:tc>
        <w:tc>
          <w:tcPr>
            <w:tcW w:w="3118" w:type="dxa"/>
            <w:tcBorders>
              <w:top w:val="nil"/>
              <w:left w:val="nil"/>
              <w:bottom w:val="single" w:sz="4" w:space="0" w:color="auto"/>
              <w:right w:val="single" w:sz="4" w:space="0" w:color="auto"/>
            </w:tcBorders>
            <w:shd w:val="clear" w:color="auto" w:fill="C6EFCE"/>
            <w:noWrap/>
            <w:vAlign w:val="center"/>
          </w:tcPr>
          <w:p w14:paraId="2438CC97" w14:textId="77777777" w:rsidR="00C972CB" w:rsidRDefault="002457F6">
            <w:pPr>
              <w:pStyle w:val="P68B1DB1-Normal12"/>
              <w:rPr>
                <w:noProof/>
              </w:rPr>
            </w:pPr>
            <w:r>
              <w:rPr>
                <w:noProof/>
              </w:rPr>
              <w:t>Ieguldījums 1.8: Administratīvo tiesu darbā pieņemšanas procedūras</w:t>
            </w:r>
          </w:p>
        </w:tc>
        <w:tc>
          <w:tcPr>
            <w:tcW w:w="1418" w:type="dxa"/>
            <w:tcBorders>
              <w:top w:val="nil"/>
              <w:left w:val="nil"/>
              <w:bottom w:val="single" w:sz="4" w:space="0" w:color="auto"/>
              <w:right w:val="single" w:sz="4" w:space="0" w:color="auto"/>
            </w:tcBorders>
            <w:shd w:val="clear" w:color="auto" w:fill="C6EFCE"/>
            <w:noWrap/>
            <w:vAlign w:val="center"/>
          </w:tcPr>
          <w:p w14:paraId="320D7008"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488FBF11" w14:textId="77777777" w:rsidR="00C972CB" w:rsidRDefault="002457F6">
            <w:pPr>
              <w:pStyle w:val="P68B1DB1-Normal12"/>
              <w:rPr>
                <w:noProof/>
              </w:rPr>
            </w:pPr>
            <w:r>
              <w:rPr>
                <w:noProof/>
              </w:rPr>
              <w:t>Administratīvo reģionālo tiesu neizskatīto lietu skaita samazināšana</w:t>
            </w:r>
          </w:p>
        </w:tc>
      </w:tr>
      <w:tr w:rsidR="00C972CB" w14:paraId="35FBAB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109473" w14:textId="77777777" w:rsidR="00C972CB" w:rsidRDefault="002457F6">
            <w:pPr>
              <w:pStyle w:val="P68B1DB1-Normal12"/>
              <w:jc w:val="center"/>
              <w:rPr>
                <w:noProof/>
              </w:rPr>
            </w:pPr>
            <w:r>
              <w:rPr>
                <w:noProof/>
              </w:rPr>
              <w:t>M1C1–42</w:t>
            </w:r>
          </w:p>
        </w:tc>
        <w:tc>
          <w:tcPr>
            <w:tcW w:w="3118" w:type="dxa"/>
            <w:tcBorders>
              <w:top w:val="nil"/>
              <w:left w:val="nil"/>
              <w:bottom w:val="single" w:sz="4" w:space="0" w:color="auto"/>
              <w:right w:val="single" w:sz="4" w:space="0" w:color="auto"/>
            </w:tcBorders>
            <w:shd w:val="clear" w:color="auto" w:fill="C6EFCE"/>
            <w:noWrap/>
            <w:vAlign w:val="center"/>
          </w:tcPr>
          <w:p w14:paraId="781BD99D" w14:textId="77777777" w:rsidR="00C972CB" w:rsidRDefault="002457F6">
            <w:pPr>
              <w:pStyle w:val="P68B1DB1-Normal12"/>
              <w:rPr>
                <w:noProof/>
              </w:rPr>
            </w:pPr>
            <w:r>
              <w:rPr>
                <w:noProof/>
              </w:rPr>
              <w:t>Ieguldījums 1.8: Administratīvo tiesu darbā pieņemšanas procedūras</w:t>
            </w:r>
          </w:p>
        </w:tc>
        <w:tc>
          <w:tcPr>
            <w:tcW w:w="1418" w:type="dxa"/>
            <w:tcBorders>
              <w:top w:val="nil"/>
              <w:left w:val="nil"/>
              <w:bottom w:val="single" w:sz="4" w:space="0" w:color="auto"/>
              <w:right w:val="single" w:sz="4" w:space="0" w:color="auto"/>
            </w:tcBorders>
            <w:shd w:val="clear" w:color="auto" w:fill="C6EFCE"/>
            <w:noWrap/>
            <w:vAlign w:val="center"/>
          </w:tcPr>
          <w:p w14:paraId="5F785412"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263E1015" w14:textId="77777777" w:rsidR="00C972CB" w:rsidRDefault="002457F6">
            <w:pPr>
              <w:pStyle w:val="P68B1DB1-Normal12"/>
              <w:rPr>
                <w:noProof/>
              </w:rPr>
            </w:pPr>
            <w:r>
              <w:rPr>
                <w:noProof/>
              </w:rPr>
              <w:t>Neizskatīto lietu skaita samazināšana Valsts padomē</w:t>
            </w:r>
          </w:p>
        </w:tc>
      </w:tr>
      <w:tr w:rsidR="00C972CB" w14:paraId="37437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C5E79" w14:textId="77777777" w:rsidR="00C972CB" w:rsidRDefault="002457F6">
            <w:pPr>
              <w:pStyle w:val="P68B1DB1-Normal12"/>
              <w:jc w:val="center"/>
              <w:rPr>
                <w:noProof/>
              </w:rPr>
            </w:pPr>
            <w:r>
              <w:rPr>
                <w:noProof/>
              </w:rPr>
              <w:t>M1C1–59 BIS</w:t>
            </w:r>
          </w:p>
        </w:tc>
        <w:tc>
          <w:tcPr>
            <w:tcW w:w="3118" w:type="dxa"/>
            <w:tcBorders>
              <w:top w:val="nil"/>
              <w:left w:val="nil"/>
              <w:bottom w:val="single" w:sz="4" w:space="0" w:color="auto"/>
              <w:right w:val="single" w:sz="4" w:space="0" w:color="auto"/>
            </w:tcBorders>
            <w:shd w:val="clear" w:color="auto" w:fill="C6EFCE"/>
            <w:noWrap/>
            <w:vAlign w:val="center"/>
          </w:tcPr>
          <w:p w14:paraId="10F114B0" w14:textId="77777777" w:rsidR="00C972CB" w:rsidRDefault="002457F6">
            <w:pPr>
              <w:pStyle w:val="P68B1DB1-Normal12"/>
              <w:rPr>
                <w:noProof/>
              </w:rPr>
            </w:pPr>
            <w:r>
              <w:rPr>
                <w:noProof/>
              </w:rPr>
              <w:t xml:space="preserve">Reforma: Valsts pārvaldes reforma </w:t>
            </w:r>
          </w:p>
        </w:tc>
        <w:tc>
          <w:tcPr>
            <w:tcW w:w="1418" w:type="dxa"/>
            <w:tcBorders>
              <w:top w:val="nil"/>
              <w:left w:val="nil"/>
              <w:bottom w:val="single" w:sz="4" w:space="0" w:color="auto"/>
              <w:right w:val="single" w:sz="4" w:space="0" w:color="auto"/>
            </w:tcBorders>
            <w:shd w:val="clear" w:color="auto" w:fill="C6EFCE"/>
            <w:noWrap/>
            <w:vAlign w:val="center"/>
          </w:tcPr>
          <w:p w14:paraId="0BB3576B"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7A2D4F2D" w14:textId="77777777" w:rsidR="00C972CB" w:rsidRDefault="002457F6">
            <w:pPr>
              <w:pStyle w:val="P68B1DB1-Normal12"/>
              <w:rPr>
                <w:noProof/>
              </w:rPr>
            </w:pPr>
            <w:r>
              <w:rPr>
                <w:noProof/>
              </w:rPr>
              <w:t>Cilvēkresursu stratēģiskās pārvaldības īstenošana valsts pārvaldē</w:t>
            </w:r>
          </w:p>
        </w:tc>
      </w:tr>
      <w:tr w:rsidR="00C972CB" w14:paraId="5D40E6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56C0BF" w14:textId="77777777" w:rsidR="00C972CB" w:rsidRDefault="002457F6">
            <w:pPr>
              <w:pStyle w:val="P68B1DB1-Normal12"/>
              <w:jc w:val="center"/>
              <w:rPr>
                <w:noProof/>
              </w:rPr>
            </w:pPr>
            <w:r>
              <w:rPr>
                <w:noProof/>
              </w:rPr>
              <w:t>M1C1–73bis</w:t>
            </w:r>
          </w:p>
        </w:tc>
        <w:tc>
          <w:tcPr>
            <w:tcW w:w="3118" w:type="dxa"/>
            <w:tcBorders>
              <w:top w:val="nil"/>
              <w:left w:val="nil"/>
              <w:bottom w:val="single" w:sz="4" w:space="0" w:color="auto"/>
              <w:right w:val="single" w:sz="4" w:space="0" w:color="auto"/>
            </w:tcBorders>
            <w:shd w:val="clear" w:color="auto" w:fill="C6EFCE"/>
            <w:noWrap/>
            <w:vAlign w:val="center"/>
          </w:tcPr>
          <w:p w14:paraId="682D321B"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28E82408"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6CBB01CC" w14:textId="77777777" w:rsidR="00C972CB" w:rsidRDefault="002457F6">
            <w:pPr>
              <w:pStyle w:val="P68B1DB1-Normal12"/>
              <w:rPr>
                <w:noProof/>
              </w:rPr>
            </w:pPr>
            <w:r>
              <w:rPr>
                <w:noProof/>
              </w:rPr>
              <w:t>Pieņem pamatnostādnes par līgumslēdzēju iestāžu kvalifikācijas sistēmas īstenošanu.</w:t>
            </w:r>
          </w:p>
        </w:tc>
      </w:tr>
      <w:tr w:rsidR="00C972CB" w14:paraId="021642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67112" w14:textId="77777777" w:rsidR="00C972CB" w:rsidRDefault="002457F6">
            <w:pPr>
              <w:pStyle w:val="P68B1DB1-Normal12"/>
              <w:jc w:val="center"/>
              <w:rPr>
                <w:noProof/>
              </w:rPr>
            </w:pPr>
            <w:r>
              <w:rPr>
                <w:noProof/>
              </w:rPr>
              <w:t>M</w:t>
            </w:r>
            <w:r>
              <w:rPr>
                <w:noProof/>
              </w:rPr>
              <w:t>1C1–108</w:t>
            </w:r>
          </w:p>
        </w:tc>
        <w:tc>
          <w:tcPr>
            <w:tcW w:w="3118" w:type="dxa"/>
            <w:tcBorders>
              <w:top w:val="nil"/>
              <w:left w:val="nil"/>
              <w:bottom w:val="single" w:sz="4" w:space="0" w:color="auto"/>
              <w:right w:val="single" w:sz="4" w:space="0" w:color="auto"/>
            </w:tcBorders>
            <w:shd w:val="clear" w:color="auto" w:fill="C6EFCE"/>
            <w:noWrap/>
            <w:vAlign w:val="center"/>
          </w:tcPr>
          <w:p w14:paraId="46BC9375" w14:textId="77777777" w:rsidR="00C972CB" w:rsidRDefault="002457F6">
            <w:pPr>
              <w:pStyle w:val="P68B1DB1-Normal12"/>
              <w:rPr>
                <w:noProof/>
              </w:rPr>
            </w:pPr>
            <w:r>
              <w:rPr>
                <w:noProof/>
              </w:rPr>
              <w:t>Reforma Nr. 1.15: Publiskās uzskaites noteikumu reforma</w:t>
            </w:r>
          </w:p>
        </w:tc>
        <w:tc>
          <w:tcPr>
            <w:tcW w:w="1418" w:type="dxa"/>
            <w:tcBorders>
              <w:top w:val="nil"/>
              <w:left w:val="nil"/>
              <w:bottom w:val="single" w:sz="4" w:space="0" w:color="auto"/>
              <w:right w:val="single" w:sz="4" w:space="0" w:color="auto"/>
            </w:tcBorders>
            <w:shd w:val="clear" w:color="auto" w:fill="C6EFCE"/>
            <w:noWrap/>
            <w:vAlign w:val="center"/>
          </w:tcPr>
          <w:p w14:paraId="4B71DA20"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69C9E9AB" w14:textId="77777777" w:rsidR="00C972CB" w:rsidRDefault="002457F6">
            <w:pPr>
              <w:pStyle w:val="P68B1DB1-Normal12"/>
              <w:rPr>
                <w:noProof/>
              </w:rPr>
            </w:pPr>
            <w:r>
              <w:rPr>
                <w:noProof/>
              </w:rPr>
              <w:t>Konceptuālās sistēmas, uzkrājumu grāmatvedības standartu kopuma un daudzdimensiju kontu kartes apstiprināšana</w:t>
            </w:r>
          </w:p>
        </w:tc>
      </w:tr>
      <w:tr w:rsidR="00C972CB" w14:paraId="579024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117BD" w14:textId="77777777" w:rsidR="00C972CB" w:rsidRDefault="002457F6">
            <w:pPr>
              <w:pStyle w:val="P68B1DB1-Normal12"/>
              <w:jc w:val="center"/>
              <w:rPr>
                <w:noProof/>
              </w:rPr>
            </w:pPr>
            <w:r>
              <w:rPr>
                <w:noProof/>
              </w:rPr>
              <w:t>M1C1–111</w:t>
            </w:r>
          </w:p>
        </w:tc>
        <w:tc>
          <w:tcPr>
            <w:tcW w:w="3118" w:type="dxa"/>
            <w:tcBorders>
              <w:top w:val="nil"/>
              <w:left w:val="nil"/>
              <w:bottom w:val="single" w:sz="4" w:space="0" w:color="auto"/>
              <w:right w:val="single" w:sz="4" w:space="0" w:color="auto"/>
            </w:tcBorders>
            <w:shd w:val="clear" w:color="auto" w:fill="C6EFCE"/>
            <w:noWrap/>
            <w:vAlign w:val="center"/>
          </w:tcPr>
          <w:p w14:paraId="63F88A32" w14:textId="77777777" w:rsidR="00C972CB" w:rsidRDefault="002457F6">
            <w:pPr>
              <w:pStyle w:val="P68B1DB1-Normal12"/>
              <w:rPr>
                <w:noProof/>
              </w:rPr>
            </w:pPr>
            <w:r>
              <w:rPr>
                <w:noProof/>
              </w:rPr>
              <w:t xml:space="preserve">Reforma Nr. 1.13: Izdevumu pārskatīšanas sistēmas </w:t>
            </w:r>
            <w:r>
              <w:rPr>
                <w:noProof/>
              </w:rPr>
              <w:t>reforma</w:t>
            </w:r>
          </w:p>
        </w:tc>
        <w:tc>
          <w:tcPr>
            <w:tcW w:w="1418" w:type="dxa"/>
            <w:tcBorders>
              <w:top w:val="nil"/>
              <w:left w:val="nil"/>
              <w:bottom w:val="single" w:sz="4" w:space="0" w:color="auto"/>
              <w:right w:val="single" w:sz="4" w:space="0" w:color="auto"/>
            </w:tcBorders>
            <w:shd w:val="clear" w:color="auto" w:fill="C6EFCE"/>
            <w:noWrap/>
            <w:vAlign w:val="center"/>
          </w:tcPr>
          <w:p w14:paraId="50DA9D85"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6DD9CCBB" w14:textId="77777777" w:rsidR="00C972CB" w:rsidRDefault="002457F6">
            <w:pPr>
              <w:pStyle w:val="P68B1DB1-Normal12"/>
              <w:rPr>
                <w:noProof/>
              </w:rPr>
            </w:pPr>
            <w:r>
              <w:rPr>
                <w:noProof/>
              </w:rPr>
              <w:t>2023. gada izdevumu pārskata pabeigšana, atsaucoties uz 2022. gadam noteikto ietaupījumu mērķi 2023. gadam</w:t>
            </w:r>
          </w:p>
        </w:tc>
      </w:tr>
      <w:tr w:rsidR="00C972CB" w14:paraId="12A983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1E5CE" w14:textId="77777777" w:rsidR="00C972CB" w:rsidRDefault="002457F6">
            <w:pPr>
              <w:pStyle w:val="P68B1DB1-Normal12"/>
              <w:jc w:val="center"/>
              <w:rPr>
                <w:noProof/>
              </w:rPr>
            </w:pPr>
            <w:r>
              <w:rPr>
                <w:noProof/>
              </w:rPr>
              <w:t>M1C1–112.</w:t>
            </w:r>
          </w:p>
        </w:tc>
        <w:tc>
          <w:tcPr>
            <w:tcW w:w="3118" w:type="dxa"/>
            <w:tcBorders>
              <w:top w:val="nil"/>
              <w:left w:val="nil"/>
              <w:bottom w:val="single" w:sz="4" w:space="0" w:color="auto"/>
              <w:right w:val="single" w:sz="4" w:space="0" w:color="auto"/>
            </w:tcBorders>
            <w:shd w:val="clear" w:color="auto" w:fill="C6EFCE"/>
            <w:noWrap/>
            <w:vAlign w:val="center"/>
          </w:tcPr>
          <w:p w14:paraId="2839F54A" w14:textId="77777777" w:rsidR="00C972CB" w:rsidRDefault="002457F6">
            <w:pPr>
              <w:pStyle w:val="P68B1DB1-Normal12"/>
              <w:rPr>
                <w:noProof/>
              </w:rPr>
            </w:pPr>
            <w:r>
              <w:rPr>
                <w:noProof/>
              </w:rPr>
              <w:t>Reforma: Nodokļu administrācijas reforma</w:t>
            </w:r>
          </w:p>
        </w:tc>
        <w:tc>
          <w:tcPr>
            <w:tcW w:w="1418" w:type="dxa"/>
            <w:tcBorders>
              <w:top w:val="nil"/>
              <w:left w:val="nil"/>
              <w:bottom w:val="single" w:sz="4" w:space="0" w:color="auto"/>
              <w:right w:val="single" w:sz="4" w:space="0" w:color="auto"/>
            </w:tcBorders>
            <w:shd w:val="clear" w:color="auto" w:fill="C6EFCE"/>
            <w:noWrap/>
            <w:vAlign w:val="center"/>
          </w:tcPr>
          <w:p w14:paraId="5283EF79"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2A86DBC3" w14:textId="77777777" w:rsidR="00C972CB" w:rsidRDefault="002457F6">
            <w:pPr>
              <w:pStyle w:val="P68B1DB1-Normal12"/>
              <w:rPr>
                <w:noProof/>
              </w:rPr>
            </w:pPr>
            <w:r>
              <w:rPr>
                <w:noProof/>
              </w:rPr>
              <w:t>Uzlabot nodokļu administrācijas darbības spējas, kā norādīts Ieņē</w:t>
            </w:r>
            <w:r>
              <w:rPr>
                <w:noProof/>
              </w:rPr>
              <w:t>mumu aģentūras darbības plānā 2021.–2023. gadam</w:t>
            </w:r>
          </w:p>
        </w:tc>
      </w:tr>
      <w:tr w:rsidR="00C972CB" w14:paraId="0804D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231622" w14:textId="77777777" w:rsidR="00C972CB" w:rsidRDefault="002457F6">
            <w:pPr>
              <w:pStyle w:val="P68B1DB1-Normal12"/>
              <w:jc w:val="center"/>
              <w:rPr>
                <w:noProof/>
              </w:rPr>
            </w:pPr>
            <w:r>
              <w:rPr>
                <w:noProof/>
              </w:rPr>
              <w:t>M1C2–2</w:t>
            </w:r>
          </w:p>
        </w:tc>
        <w:tc>
          <w:tcPr>
            <w:tcW w:w="3118" w:type="dxa"/>
            <w:tcBorders>
              <w:top w:val="nil"/>
              <w:left w:val="nil"/>
              <w:bottom w:val="single" w:sz="4" w:space="0" w:color="auto"/>
              <w:right w:val="single" w:sz="4" w:space="0" w:color="auto"/>
            </w:tcBorders>
            <w:shd w:val="clear" w:color="auto" w:fill="C6EFCE"/>
            <w:noWrap/>
            <w:vAlign w:val="center"/>
          </w:tcPr>
          <w:p w14:paraId="3914D8AA" w14:textId="77777777" w:rsidR="00C972CB" w:rsidRDefault="002457F6">
            <w:pPr>
              <w:pStyle w:val="P68B1DB1-Normal12"/>
              <w:rPr>
                <w:noProof/>
              </w:rPr>
            </w:pPr>
            <w:r>
              <w:rPr>
                <w:noProof/>
              </w:rPr>
              <w:t>Ieguldījums: Pāreja 4.0</w:t>
            </w:r>
          </w:p>
        </w:tc>
        <w:tc>
          <w:tcPr>
            <w:tcW w:w="1418" w:type="dxa"/>
            <w:tcBorders>
              <w:top w:val="nil"/>
              <w:left w:val="nil"/>
              <w:bottom w:val="single" w:sz="4" w:space="0" w:color="auto"/>
              <w:right w:val="single" w:sz="4" w:space="0" w:color="auto"/>
            </w:tcBorders>
            <w:shd w:val="clear" w:color="auto" w:fill="C6EFCE"/>
            <w:noWrap/>
            <w:vAlign w:val="center"/>
          </w:tcPr>
          <w:p w14:paraId="6FC8C214"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03CA6EAF" w14:textId="77777777" w:rsidR="00C972CB" w:rsidRDefault="002457F6">
            <w:pPr>
              <w:pStyle w:val="P68B1DB1-Normal12"/>
              <w:rPr>
                <w:noProof/>
              </w:rPr>
            </w:pPr>
            <w:r>
              <w:rPr>
                <w:noProof/>
              </w:rPr>
              <w:t>Pāreja 4.0. nodokļu kredīti, kas piešķirti uzņēmumiem, pamatojoties uz 2021.–2022. gadā iesniegtajām nodokļu deklarācijām</w:t>
            </w:r>
          </w:p>
        </w:tc>
      </w:tr>
      <w:tr w:rsidR="00C972CB" w14:paraId="555C9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6AD3B5" w14:textId="77777777" w:rsidR="00C972CB" w:rsidRDefault="002457F6">
            <w:pPr>
              <w:pStyle w:val="P68B1DB1-Normal12"/>
              <w:jc w:val="center"/>
              <w:rPr>
                <w:noProof/>
              </w:rPr>
            </w:pPr>
            <w:r>
              <w:rPr>
                <w:noProof/>
              </w:rPr>
              <w:t>M1C3–9</w:t>
            </w:r>
          </w:p>
        </w:tc>
        <w:tc>
          <w:tcPr>
            <w:tcW w:w="3118" w:type="dxa"/>
            <w:tcBorders>
              <w:top w:val="nil"/>
              <w:left w:val="nil"/>
              <w:bottom w:val="single" w:sz="4" w:space="0" w:color="auto"/>
              <w:right w:val="single" w:sz="4" w:space="0" w:color="auto"/>
            </w:tcBorders>
            <w:shd w:val="clear" w:color="auto" w:fill="C6EFCE"/>
            <w:noWrap/>
            <w:vAlign w:val="center"/>
          </w:tcPr>
          <w:p w14:paraId="6948A7A2" w14:textId="77777777" w:rsidR="00C972CB" w:rsidRDefault="002457F6">
            <w:pPr>
              <w:pStyle w:val="P68B1DB1-Normal12"/>
              <w:rPr>
                <w:noProof/>
              </w:rPr>
            </w:pPr>
            <w:r>
              <w:rPr>
                <w:noProof/>
              </w:rPr>
              <w:t xml:space="preserve">Investīcija 4.1. Digitālais tūrisma </w:t>
            </w:r>
            <w:r>
              <w:rPr>
                <w:noProof/>
              </w:rPr>
              <w:t>centrs</w:t>
            </w:r>
          </w:p>
        </w:tc>
        <w:tc>
          <w:tcPr>
            <w:tcW w:w="1418" w:type="dxa"/>
            <w:tcBorders>
              <w:top w:val="nil"/>
              <w:left w:val="nil"/>
              <w:bottom w:val="single" w:sz="4" w:space="0" w:color="auto"/>
              <w:right w:val="single" w:sz="4" w:space="0" w:color="auto"/>
            </w:tcBorders>
            <w:shd w:val="clear" w:color="auto" w:fill="C6EFCE"/>
            <w:noWrap/>
            <w:vAlign w:val="center"/>
          </w:tcPr>
          <w:p w14:paraId="2353ECBC"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65ADBDF0" w14:textId="77777777" w:rsidR="00C972CB" w:rsidRDefault="002457F6">
            <w:pPr>
              <w:pStyle w:val="P68B1DB1-Normal12"/>
              <w:rPr>
                <w:noProof/>
              </w:rPr>
            </w:pPr>
            <w:r>
              <w:rPr>
                <w:noProof/>
              </w:rPr>
              <w:t>Tūrisma operatoru iesaistīšana digitālajā tūrisma centrā</w:t>
            </w:r>
          </w:p>
        </w:tc>
      </w:tr>
      <w:tr w:rsidR="00C972CB" w14:paraId="1B2C73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4BA77A" w14:textId="77777777" w:rsidR="00C972CB" w:rsidRDefault="002457F6">
            <w:pPr>
              <w:pStyle w:val="P68B1DB1-Normal12"/>
              <w:jc w:val="center"/>
              <w:rPr>
                <w:noProof/>
              </w:rPr>
            </w:pPr>
            <w:r>
              <w:rPr>
                <w:noProof/>
              </w:rPr>
              <w:t>M1C3–10</w:t>
            </w:r>
          </w:p>
        </w:tc>
        <w:tc>
          <w:tcPr>
            <w:tcW w:w="3118" w:type="dxa"/>
            <w:tcBorders>
              <w:top w:val="nil"/>
              <w:left w:val="nil"/>
              <w:bottom w:val="single" w:sz="4" w:space="0" w:color="auto"/>
              <w:right w:val="single" w:sz="4" w:space="0" w:color="auto"/>
            </w:tcBorders>
            <w:shd w:val="clear" w:color="auto" w:fill="C6EFCE"/>
            <w:noWrap/>
            <w:vAlign w:val="center"/>
          </w:tcPr>
          <w:p w14:paraId="0064D2EF" w14:textId="77777777" w:rsidR="00C972CB" w:rsidRDefault="002457F6">
            <w:pPr>
              <w:pStyle w:val="P68B1DB1-Normal12"/>
              <w:rPr>
                <w:noProof/>
              </w:rPr>
            </w:pPr>
            <w:r>
              <w:rPr>
                <w:noProof/>
              </w:rPr>
              <w:t xml:space="preserve">Reforma. Noteikums par tūristu gidu profesijām. </w:t>
            </w:r>
          </w:p>
        </w:tc>
        <w:tc>
          <w:tcPr>
            <w:tcW w:w="1418" w:type="dxa"/>
            <w:tcBorders>
              <w:top w:val="nil"/>
              <w:left w:val="nil"/>
              <w:bottom w:val="single" w:sz="4" w:space="0" w:color="auto"/>
              <w:right w:val="single" w:sz="4" w:space="0" w:color="auto"/>
            </w:tcBorders>
            <w:shd w:val="clear" w:color="auto" w:fill="C6EFCE"/>
            <w:noWrap/>
            <w:vAlign w:val="center"/>
          </w:tcPr>
          <w:p w14:paraId="36FCC59C"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1A35C0A7" w14:textId="77777777" w:rsidR="00C972CB" w:rsidRDefault="002457F6">
            <w:pPr>
              <w:pStyle w:val="P68B1DB1-Normal12"/>
              <w:rPr>
                <w:noProof/>
              </w:rPr>
            </w:pPr>
            <w:r>
              <w:rPr>
                <w:noProof/>
              </w:rPr>
              <w:t>Valsts standarta noteikšana tūristu gidiem</w:t>
            </w:r>
          </w:p>
        </w:tc>
      </w:tr>
      <w:tr w:rsidR="00C972CB" w14:paraId="256EAF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3FAC1" w14:textId="77777777" w:rsidR="00C972CB" w:rsidRDefault="002457F6">
            <w:pPr>
              <w:pStyle w:val="P68B1DB1-Normal12"/>
              <w:jc w:val="center"/>
              <w:rPr>
                <w:noProof/>
              </w:rPr>
            </w:pPr>
            <w:r>
              <w:rPr>
                <w:noProof/>
              </w:rPr>
              <w:t>M2C1–6</w:t>
            </w:r>
          </w:p>
        </w:tc>
        <w:tc>
          <w:tcPr>
            <w:tcW w:w="3118" w:type="dxa"/>
            <w:tcBorders>
              <w:top w:val="nil"/>
              <w:left w:val="nil"/>
              <w:bottom w:val="single" w:sz="4" w:space="0" w:color="auto"/>
              <w:right w:val="single" w:sz="4" w:space="0" w:color="auto"/>
            </w:tcBorders>
            <w:shd w:val="clear" w:color="auto" w:fill="C6EFCE"/>
            <w:noWrap/>
            <w:vAlign w:val="center"/>
          </w:tcPr>
          <w:p w14:paraId="17C78AC5" w14:textId="77777777" w:rsidR="00C972CB" w:rsidRDefault="002457F6">
            <w:pPr>
              <w:pStyle w:val="P68B1DB1-Normal12"/>
              <w:rPr>
                <w:noProof/>
              </w:rPr>
            </w:pPr>
            <w:r>
              <w:rPr>
                <w:noProof/>
              </w:rPr>
              <w:t>Ieguldījums 2.2.: AGRI-solārais parks</w:t>
            </w:r>
          </w:p>
        </w:tc>
        <w:tc>
          <w:tcPr>
            <w:tcW w:w="1418" w:type="dxa"/>
            <w:tcBorders>
              <w:top w:val="nil"/>
              <w:left w:val="nil"/>
              <w:bottom w:val="single" w:sz="4" w:space="0" w:color="auto"/>
              <w:right w:val="single" w:sz="4" w:space="0" w:color="auto"/>
            </w:tcBorders>
            <w:shd w:val="clear" w:color="auto" w:fill="C6EFCE"/>
            <w:noWrap/>
            <w:vAlign w:val="center"/>
          </w:tcPr>
          <w:p w14:paraId="5D235413"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2F5D32B2" w14:textId="77777777" w:rsidR="00C972CB" w:rsidRDefault="002457F6">
            <w:pPr>
              <w:pStyle w:val="P68B1DB1-Normal12"/>
              <w:rPr>
                <w:noProof/>
              </w:rPr>
            </w:pPr>
            <w:r>
              <w:rPr>
                <w:noProof/>
              </w:rPr>
              <w:t xml:space="preserve">Līdzekļu </w:t>
            </w:r>
            <w:r>
              <w:rPr>
                <w:noProof/>
              </w:rPr>
              <w:t>piešķiršana saņēmējiem % no kopējiem ieguldījumiem piešķirtajiem finanšu resursiem</w:t>
            </w:r>
          </w:p>
        </w:tc>
      </w:tr>
      <w:tr w:rsidR="00C972CB" w14:paraId="6ABD38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677F6" w14:textId="77777777" w:rsidR="00C972CB" w:rsidRDefault="002457F6">
            <w:pPr>
              <w:pStyle w:val="P68B1DB1-Normal12"/>
              <w:jc w:val="center"/>
              <w:rPr>
                <w:noProof/>
              </w:rPr>
            </w:pPr>
            <w:r>
              <w:rPr>
                <w:noProof/>
              </w:rPr>
              <w:t>M3C2–5</w:t>
            </w:r>
          </w:p>
        </w:tc>
        <w:tc>
          <w:tcPr>
            <w:tcW w:w="3118" w:type="dxa"/>
            <w:tcBorders>
              <w:top w:val="nil"/>
              <w:left w:val="nil"/>
              <w:bottom w:val="single" w:sz="4" w:space="0" w:color="auto"/>
              <w:right w:val="single" w:sz="4" w:space="0" w:color="auto"/>
            </w:tcBorders>
            <w:shd w:val="clear" w:color="auto" w:fill="C6EFCE"/>
            <w:noWrap/>
            <w:vAlign w:val="center"/>
          </w:tcPr>
          <w:p w14:paraId="6A44D25C" w14:textId="77777777" w:rsidR="00C972CB" w:rsidRDefault="002457F6">
            <w:pPr>
              <w:pStyle w:val="P68B1DB1-Normal12"/>
              <w:rPr>
                <w:noProof/>
              </w:rPr>
            </w:pPr>
            <w:r>
              <w:rPr>
                <w:noProof/>
              </w:rPr>
              <w:t>Ieguldījums 2.1. — Loģistikas ķēdes digitalizācija</w:t>
            </w:r>
          </w:p>
        </w:tc>
        <w:tc>
          <w:tcPr>
            <w:tcW w:w="1418" w:type="dxa"/>
            <w:tcBorders>
              <w:top w:val="nil"/>
              <w:left w:val="nil"/>
              <w:bottom w:val="single" w:sz="4" w:space="0" w:color="auto"/>
              <w:right w:val="single" w:sz="4" w:space="0" w:color="auto"/>
            </w:tcBorders>
            <w:shd w:val="clear" w:color="auto" w:fill="C6EFCE"/>
            <w:noWrap/>
            <w:vAlign w:val="center"/>
          </w:tcPr>
          <w:p w14:paraId="6D4703E3" w14:textId="77777777" w:rsidR="00C972CB" w:rsidRDefault="002457F6">
            <w:pPr>
              <w:pStyle w:val="P68B1DB1-Normal12"/>
              <w:rPr>
                <w:noProof/>
              </w:rPr>
            </w:pPr>
            <w:r>
              <w:rPr>
                <w:noProof/>
              </w:rPr>
              <w:t>Mērķa</w:t>
            </w:r>
          </w:p>
        </w:tc>
        <w:tc>
          <w:tcPr>
            <w:tcW w:w="4049" w:type="dxa"/>
            <w:tcBorders>
              <w:top w:val="nil"/>
              <w:left w:val="nil"/>
              <w:bottom w:val="single" w:sz="4" w:space="0" w:color="auto"/>
              <w:right w:val="single" w:sz="4" w:space="0" w:color="auto"/>
            </w:tcBorders>
            <w:shd w:val="clear" w:color="auto" w:fill="C6EFCE"/>
            <w:noWrap/>
            <w:vAlign w:val="center"/>
          </w:tcPr>
          <w:p w14:paraId="586D0DF4" w14:textId="77777777" w:rsidR="00C972CB" w:rsidRDefault="002457F6">
            <w:pPr>
              <w:pStyle w:val="P68B1DB1-Normal12"/>
              <w:rPr>
                <w:noProof/>
              </w:rPr>
            </w:pPr>
            <w:r>
              <w:rPr>
                <w:noProof/>
              </w:rPr>
              <w:t>Loģistikas ķēdes digitalizācija</w:t>
            </w:r>
          </w:p>
        </w:tc>
      </w:tr>
      <w:tr w:rsidR="00C972CB" w14:paraId="0B3DB9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2BD324" w14:textId="77777777" w:rsidR="00C972CB" w:rsidRDefault="002457F6">
            <w:pPr>
              <w:pStyle w:val="P68B1DB1-Normal12"/>
              <w:jc w:val="center"/>
              <w:rPr>
                <w:noProof/>
              </w:rPr>
            </w:pPr>
            <w:r>
              <w:rPr>
                <w:noProof/>
              </w:rPr>
              <w:t>M5C2–2</w:t>
            </w:r>
          </w:p>
        </w:tc>
        <w:tc>
          <w:tcPr>
            <w:tcW w:w="3118" w:type="dxa"/>
            <w:tcBorders>
              <w:top w:val="nil"/>
              <w:left w:val="nil"/>
              <w:bottom w:val="single" w:sz="4" w:space="0" w:color="auto"/>
              <w:right w:val="single" w:sz="4" w:space="0" w:color="auto"/>
            </w:tcBorders>
            <w:shd w:val="clear" w:color="auto" w:fill="C6EFCE"/>
            <w:noWrap/>
            <w:vAlign w:val="center"/>
          </w:tcPr>
          <w:p w14:paraId="445008D5" w14:textId="77777777" w:rsidR="00C972CB" w:rsidRDefault="002457F6">
            <w:pPr>
              <w:pStyle w:val="P68B1DB1-Normal12"/>
              <w:rPr>
                <w:noProof/>
              </w:rPr>
            </w:pPr>
            <w:r>
              <w:rPr>
                <w:noProof/>
              </w:rPr>
              <w:t>Reforma — Pamatlikums par invaliditāti</w:t>
            </w:r>
          </w:p>
        </w:tc>
        <w:tc>
          <w:tcPr>
            <w:tcW w:w="1418" w:type="dxa"/>
            <w:tcBorders>
              <w:top w:val="nil"/>
              <w:left w:val="nil"/>
              <w:bottom w:val="single" w:sz="4" w:space="0" w:color="auto"/>
              <w:right w:val="single" w:sz="4" w:space="0" w:color="auto"/>
            </w:tcBorders>
            <w:shd w:val="clear" w:color="auto" w:fill="C6EFCE"/>
            <w:noWrap/>
            <w:vAlign w:val="center"/>
          </w:tcPr>
          <w:p w14:paraId="4D6FBDDA" w14:textId="77777777" w:rsidR="00C972CB" w:rsidRDefault="002457F6">
            <w:pPr>
              <w:pStyle w:val="P68B1DB1-Normal12"/>
              <w:rPr>
                <w:noProof/>
              </w:rPr>
            </w:pPr>
            <w:r>
              <w:rPr>
                <w:noProof/>
              </w:rPr>
              <w:t>Starpposma mērķis</w:t>
            </w:r>
          </w:p>
        </w:tc>
        <w:tc>
          <w:tcPr>
            <w:tcW w:w="4049" w:type="dxa"/>
            <w:tcBorders>
              <w:top w:val="nil"/>
              <w:left w:val="nil"/>
              <w:bottom w:val="single" w:sz="4" w:space="0" w:color="auto"/>
              <w:right w:val="single" w:sz="4" w:space="0" w:color="auto"/>
            </w:tcBorders>
            <w:shd w:val="clear" w:color="auto" w:fill="C6EFCE"/>
            <w:noWrap/>
            <w:vAlign w:val="center"/>
          </w:tcPr>
          <w:p w14:paraId="52D3324E" w14:textId="77777777" w:rsidR="00C972CB" w:rsidRDefault="002457F6">
            <w:pPr>
              <w:pStyle w:val="P68B1DB1-Normal12"/>
              <w:rPr>
                <w:noProof/>
              </w:rPr>
            </w:pPr>
            <w:r>
              <w:rPr>
                <w:noProof/>
              </w:rPr>
              <w:t>Pamatlikuma</w:t>
            </w:r>
            <w:r>
              <w:rPr>
                <w:noProof/>
              </w:rPr>
              <w:t xml:space="preserve"> stāšanās spēkā un valdības pieņemto likumdošanas dekrētu pieņemšana, ar ko izstrādā Pamatlikumā izklāstītos noteikumus, lai stiprinātu personu ar invaliditāti autonomiju</w:t>
            </w:r>
          </w:p>
        </w:tc>
      </w:tr>
      <w:tr w:rsidR="00C972CB" w14:paraId="56259FE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04EAB5" w14:textId="77777777" w:rsidR="00C972CB" w:rsidRDefault="00C972C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09AD0556" w14:textId="77777777" w:rsidR="00C972CB" w:rsidRDefault="00C972C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DB27714" w14:textId="77777777" w:rsidR="00C972CB" w:rsidRDefault="002457F6">
            <w:pPr>
              <w:pStyle w:val="P68B1DB1-Normal12"/>
              <w:rPr>
                <w:noProof/>
              </w:rPr>
            </w:pPr>
            <w:r>
              <w:rPr>
                <w:noProof/>
              </w:rPr>
              <w:t>Maksājuma summa</w:t>
            </w:r>
          </w:p>
        </w:tc>
        <w:tc>
          <w:tcPr>
            <w:tcW w:w="4049" w:type="dxa"/>
            <w:tcBorders>
              <w:top w:val="single" w:sz="4" w:space="0" w:color="auto"/>
              <w:left w:val="nil"/>
              <w:bottom w:val="single" w:sz="4" w:space="0" w:color="auto"/>
              <w:right w:val="single" w:sz="4" w:space="0" w:color="auto"/>
            </w:tcBorders>
            <w:shd w:val="clear" w:color="auto" w:fill="C6EFCE"/>
            <w:noWrap/>
            <w:vAlign w:val="bottom"/>
          </w:tcPr>
          <w:p w14:paraId="528F1501" w14:textId="606C953E" w:rsidR="00C972CB" w:rsidRDefault="002457F6">
            <w:pPr>
              <w:pStyle w:val="P68B1DB1-Normal46"/>
              <w:rPr>
                <w:noProof/>
              </w:rPr>
            </w:pPr>
            <w:r>
              <w:rPr>
                <w:noProof/>
              </w:rPr>
              <w:t>2</w:t>
            </w:r>
            <w:r>
              <w:rPr>
                <w:noProof/>
              </w:rPr>
              <w:t> </w:t>
            </w:r>
            <w:r>
              <w:rPr>
                <w:noProof/>
              </w:rPr>
              <w:t>200</w:t>
            </w:r>
            <w:r>
              <w:rPr>
                <w:noProof/>
              </w:rPr>
              <w:t> </w:t>
            </w:r>
            <w:r>
              <w:rPr>
                <w:noProof/>
              </w:rPr>
              <w:t>368</w:t>
            </w:r>
            <w:r>
              <w:rPr>
                <w:noProof/>
              </w:rPr>
              <w:t> </w:t>
            </w:r>
            <w:r>
              <w:rPr>
                <w:noProof/>
              </w:rPr>
              <w:t>263</w:t>
            </w:r>
            <w:r>
              <w:rPr>
                <w:noProof/>
              </w:rPr>
              <w:t> </w:t>
            </w:r>
            <w:r>
              <w:rPr>
                <w:noProof/>
              </w:rPr>
              <w:t>EUR</w:t>
            </w:r>
          </w:p>
        </w:tc>
      </w:tr>
    </w:tbl>
    <w:p w14:paraId="6A204F76" w14:textId="50F21AE8" w:rsidR="00C972CB" w:rsidRDefault="002457F6">
      <w:pPr>
        <w:pStyle w:val="P68B1DB1-Normal44"/>
        <w:numPr>
          <w:ilvl w:val="1"/>
          <w:numId w:val="6"/>
        </w:numPr>
        <w:spacing w:before="120" w:after="120"/>
        <w:jc w:val="both"/>
        <w:rPr>
          <w:noProof/>
        </w:rPr>
      </w:pPr>
      <w:r>
        <w:rPr>
          <w:noProof/>
        </w:rPr>
        <w:t>Septītā daļa (neatmaksājams atbalsts):</w:t>
      </w:r>
    </w:p>
    <w:tbl>
      <w:tblPr>
        <w:tblW w:w="9969" w:type="dxa"/>
        <w:tblInd w:w="113" w:type="dxa"/>
        <w:tblLook w:val="04A0" w:firstRow="1" w:lastRow="0" w:firstColumn="1" w:lastColumn="0" w:noHBand="0" w:noVBand="1"/>
      </w:tblPr>
      <w:tblGrid>
        <w:gridCol w:w="1413"/>
        <w:gridCol w:w="3118"/>
        <w:gridCol w:w="1983"/>
        <w:gridCol w:w="4020"/>
      </w:tblGrid>
      <w:tr w:rsidR="00C972CB" w14:paraId="62AA890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2FA211" w14:textId="77777777" w:rsidR="00C972CB" w:rsidRDefault="002457F6">
            <w:pPr>
              <w:pStyle w:val="P68B1DB1-Normal45"/>
              <w:jc w:val="center"/>
              <w:rPr>
                <w:noProof/>
              </w:rPr>
            </w:pPr>
            <w:r>
              <w:rPr>
                <w:noProof/>
              </w:rPr>
              <w:t xml:space="preserve">Kārtas </w:t>
            </w:r>
            <w:r>
              <w:rPr>
                <w:noProof/>
              </w:rPr>
              <w:t>numurs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693F0A" w14:textId="77777777" w:rsidR="00C972CB" w:rsidRDefault="002457F6">
            <w:pPr>
              <w:pStyle w:val="P68B1DB1-Normal45"/>
              <w:jc w:val="center"/>
              <w:rPr>
                <w:noProof/>
              </w:rPr>
            </w:pPr>
            <w:r>
              <w:rPr>
                <w:noProof/>
              </w:rPr>
              <w:t>Pasākums (reforma vai investīcija)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A44CCF" w14:textId="77777777" w:rsidR="00C972CB" w:rsidRDefault="002457F6">
            <w:pPr>
              <w:pStyle w:val="P68B1DB1-Normal45"/>
              <w:jc w:val="center"/>
              <w:rPr>
                <w:noProof/>
              </w:rPr>
            </w:pPr>
            <w:r>
              <w:rPr>
                <w:noProof/>
              </w:rPr>
              <w:t>Atskaites punkts/mērķrādītājs</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236370" w14:textId="77777777" w:rsidR="00C972CB" w:rsidRDefault="002457F6">
            <w:pPr>
              <w:pStyle w:val="P68B1DB1-Normal45"/>
              <w:jc w:val="center"/>
              <w:rPr>
                <w:noProof/>
              </w:rPr>
            </w:pPr>
            <w:r>
              <w:rPr>
                <w:noProof/>
              </w:rPr>
              <w:t>Uzvārds</w:t>
            </w:r>
          </w:p>
        </w:tc>
      </w:tr>
      <w:tr w:rsidR="00C972CB" w14:paraId="66EBBB9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583E2B" w14:textId="77777777" w:rsidR="00C972CB" w:rsidRDefault="00C972C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55C2ED" w14:textId="77777777" w:rsidR="00C972CB" w:rsidRDefault="00C972C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423C6A2" w14:textId="77777777" w:rsidR="00C972CB" w:rsidRDefault="00C972CB">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3B87E1BC" w14:textId="77777777" w:rsidR="00C972CB" w:rsidRDefault="00C972CB">
            <w:pPr>
              <w:rPr>
                <w:b/>
                <w:noProof/>
              </w:rPr>
            </w:pPr>
          </w:p>
        </w:tc>
      </w:tr>
      <w:tr w:rsidR="00C972CB" w14:paraId="3D61CAB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79472" w14:textId="77777777" w:rsidR="00C972CB" w:rsidRDefault="002457F6">
            <w:pPr>
              <w:pStyle w:val="P68B1DB1-Normal12"/>
              <w:jc w:val="center"/>
              <w:rPr>
                <w:noProof/>
              </w:rPr>
            </w:pPr>
            <w:r>
              <w:rPr>
                <w:noProof/>
              </w:rPr>
              <w:t>M1C1–17</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7856D365" w14:textId="77777777" w:rsidR="00C972CB" w:rsidRDefault="002457F6">
            <w:pPr>
              <w:pStyle w:val="P68B1DB1-Normal12"/>
              <w:rPr>
                <w:noProof/>
              </w:rPr>
            </w:pPr>
            <w:r>
              <w:rPr>
                <w:noProof/>
              </w:rPr>
              <w:t>Ieguldījums 1.1: Digitālā infrastruktūra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35F8BECE" w14:textId="77777777" w:rsidR="00C972CB" w:rsidRDefault="002457F6">
            <w:pPr>
              <w:pStyle w:val="P68B1DB1-Normal12"/>
              <w:rPr>
                <w:noProof/>
              </w:rPr>
            </w:pPr>
            <w:r>
              <w:rPr>
                <w:noProof/>
              </w:rPr>
              <w:t>Mērķa</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22BCBB15" w14:textId="77777777" w:rsidR="00C972CB" w:rsidRDefault="002457F6">
            <w:pPr>
              <w:pStyle w:val="P68B1DB1-Normal12"/>
              <w:rPr>
                <w:noProof/>
              </w:rPr>
            </w:pPr>
            <w:r>
              <w:rPr>
                <w:noProof/>
              </w:rPr>
              <w:t>Migrācija uz Polo Strategico Nazionale T1</w:t>
            </w:r>
          </w:p>
        </w:tc>
      </w:tr>
      <w:tr w:rsidR="00C972CB" w14:paraId="432B2F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AB20F4" w14:textId="77777777" w:rsidR="00C972CB" w:rsidRDefault="002457F6">
            <w:pPr>
              <w:pStyle w:val="P68B1DB1-Normal12"/>
              <w:jc w:val="center"/>
              <w:rPr>
                <w:noProof/>
              </w:rPr>
            </w:pPr>
            <w:r>
              <w:rPr>
                <w:noProof/>
              </w:rPr>
              <w:t>M7–7</w:t>
            </w:r>
          </w:p>
        </w:tc>
        <w:tc>
          <w:tcPr>
            <w:tcW w:w="3118" w:type="dxa"/>
            <w:tcBorders>
              <w:top w:val="nil"/>
              <w:left w:val="nil"/>
              <w:bottom w:val="single" w:sz="4" w:space="0" w:color="auto"/>
              <w:right w:val="single" w:sz="4" w:space="0" w:color="auto"/>
            </w:tcBorders>
            <w:shd w:val="clear" w:color="auto" w:fill="C6EFCE"/>
            <w:noWrap/>
            <w:vAlign w:val="center"/>
          </w:tcPr>
          <w:p w14:paraId="1F1C1340" w14:textId="77777777" w:rsidR="00C972CB" w:rsidRDefault="002457F6">
            <w:pPr>
              <w:pStyle w:val="P68B1DB1-Normal12"/>
              <w:rPr>
                <w:noProof/>
              </w:rPr>
            </w:pPr>
            <w:r>
              <w:rPr>
                <w:noProof/>
              </w:rPr>
              <w:t xml:space="preserve">Reforma. Ar atjaunojamiem EPL saistītā finanšu riska mazināšana </w:t>
            </w:r>
            <w:r>
              <w:rPr>
                <w:noProof/>
              </w:rPr>
              <w:t>(pašu pirkuma līgumi)</w:t>
            </w:r>
          </w:p>
        </w:tc>
        <w:tc>
          <w:tcPr>
            <w:tcW w:w="1418" w:type="dxa"/>
            <w:tcBorders>
              <w:top w:val="nil"/>
              <w:left w:val="nil"/>
              <w:bottom w:val="single" w:sz="4" w:space="0" w:color="auto"/>
              <w:right w:val="single" w:sz="4" w:space="0" w:color="auto"/>
            </w:tcBorders>
            <w:shd w:val="clear" w:color="auto" w:fill="C6EFCE"/>
            <w:noWrap/>
            <w:vAlign w:val="center"/>
          </w:tcPr>
          <w:p w14:paraId="131B333A"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1588FBA9" w14:textId="77777777" w:rsidR="00C972CB" w:rsidRDefault="002457F6">
            <w:pPr>
              <w:pStyle w:val="P68B1DB1-Normal12"/>
              <w:rPr>
                <w:noProof/>
              </w:rPr>
            </w:pPr>
            <w:r>
              <w:rPr>
                <w:noProof/>
              </w:rPr>
              <w:t>Primāro tiesību aktu stāšanās spēkā</w:t>
            </w:r>
          </w:p>
        </w:tc>
      </w:tr>
      <w:tr w:rsidR="00C972CB" w14:paraId="420394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D2C849" w14:textId="77777777" w:rsidR="00C972CB" w:rsidRDefault="002457F6">
            <w:pPr>
              <w:pStyle w:val="P68B1DB1-Normal12"/>
              <w:jc w:val="center"/>
              <w:rPr>
                <w:noProof/>
              </w:rPr>
            </w:pPr>
            <w:r>
              <w:rPr>
                <w:noProof/>
              </w:rPr>
              <w:t>M7–14</w:t>
            </w:r>
          </w:p>
        </w:tc>
        <w:tc>
          <w:tcPr>
            <w:tcW w:w="3118" w:type="dxa"/>
            <w:tcBorders>
              <w:top w:val="nil"/>
              <w:left w:val="nil"/>
              <w:bottom w:val="single" w:sz="4" w:space="0" w:color="auto"/>
              <w:right w:val="single" w:sz="4" w:space="0" w:color="auto"/>
            </w:tcBorders>
            <w:shd w:val="clear" w:color="auto" w:fill="C6EFCE"/>
            <w:noWrap/>
            <w:vAlign w:val="center"/>
          </w:tcPr>
          <w:p w14:paraId="335A90EE" w14:textId="77777777" w:rsidR="00C972CB" w:rsidRDefault="002457F6">
            <w:pPr>
              <w:pStyle w:val="P68B1DB1-Normal12"/>
              <w:rPr>
                <w:noProof/>
              </w:rPr>
            </w:pPr>
            <w:r>
              <w:rPr>
                <w:noProof/>
              </w:rPr>
              <w:t>Ieguldījums Nr. 4: Tirēnu savienojums</w:t>
            </w:r>
          </w:p>
        </w:tc>
        <w:tc>
          <w:tcPr>
            <w:tcW w:w="1418" w:type="dxa"/>
            <w:tcBorders>
              <w:top w:val="nil"/>
              <w:left w:val="nil"/>
              <w:bottom w:val="single" w:sz="4" w:space="0" w:color="auto"/>
              <w:right w:val="single" w:sz="4" w:space="0" w:color="auto"/>
            </w:tcBorders>
            <w:shd w:val="clear" w:color="auto" w:fill="C6EFCE"/>
            <w:noWrap/>
            <w:vAlign w:val="center"/>
          </w:tcPr>
          <w:p w14:paraId="3476D068"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4D25E65E" w14:textId="77777777" w:rsidR="00C972CB" w:rsidRDefault="002457F6">
            <w:pPr>
              <w:pStyle w:val="P68B1DB1-Normal12"/>
              <w:rPr>
                <w:noProof/>
              </w:rPr>
            </w:pPr>
            <w:r>
              <w:rPr>
                <w:noProof/>
              </w:rPr>
              <w:t>Līgumu piešķiršana</w:t>
            </w:r>
          </w:p>
        </w:tc>
      </w:tr>
      <w:tr w:rsidR="00C972CB" w14:paraId="0F843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523E90" w14:textId="77777777" w:rsidR="00C972CB" w:rsidRDefault="002457F6">
            <w:pPr>
              <w:pStyle w:val="P68B1DB1-Normal12"/>
              <w:jc w:val="center"/>
              <w:rPr>
                <w:noProof/>
              </w:rPr>
            </w:pPr>
            <w:r>
              <w:rPr>
                <w:noProof/>
              </w:rPr>
              <w:t xml:space="preserve">M3C2–7 </w:t>
            </w:r>
          </w:p>
        </w:tc>
        <w:tc>
          <w:tcPr>
            <w:tcW w:w="3118" w:type="dxa"/>
            <w:tcBorders>
              <w:top w:val="nil"/>
              <w:left w:val="nil"/>
              <w:bottom w:val="single" w:sz="4" w:space="0" w:color="auto"/>
              <w:right w:val="single" w:sz="4" w:space="0" w:color="auto"/>
            </w:tcBorders>
            <w:shd w:val="clear" w:color="auto" w:fill="C6EFCE"/>
            <w:noWrap/>
            <w:vAlign w:val="center"/>
          </w:tcPr>
          <w:p w14:paraId="5436DD5F" w14:textId="77777777" w:rsidR="00C972CB" w:rsidRDefault="002457F6">
            <w:pPr>
              <w:pStyle w:val="P68B1DB1-Normal12"/>
              <w:rPr>
                <w:noProof/>
              </w:rPr>
            </w:pPr>
            <w:r>
              <w:rPr>
                <w:noProof/>
              </w:rPr>
              <w:t xml:space="preserve">Ieguldījums 2.3. Aukstā gludināšana </w:t>
            </w:r>
          </w:p>
        </w:tc>
        <w:tc>
          <w:tcPr>
            <w:tcW w:w="1418" w:type="dxa"/>
            <w:tcBorders>
              <w:top w:val="nil"/>
              <w:left w:val="nil"/>
              <w:bottom w:val="single" w:sz="4" w:space="0" w:color="auto"/>
              <w:right w:val="single" w:sz="4" w:space="0" w:color="auto"/>
            </w:tcBorders>
            <w:shd w:val="clear" w:color="auto" w:fill="C6EFCE"/>
            <w:noWrap/>
            <w:vAlign w:val="center"/>
          </w:tcPr>
          <w:p w14:paraId="57D77527" w14:textId="77777777" w:rsidR="00C972CB" w:rsidRDefault="002457F6">
            <w:pPr>
              <w:pStyle w:val="P68B1DB1-Normal12"/>
              <w:rPr>
                <w:noProof/>
              </w:rPr>
            </w:pPr>
            <w:r>
              <w:rPr>
                <w:noProof/>
              </w:rPr>
              <w:t xml:space="preserve">Starpposma mērķis </w:t>
            </w:r>
          </w:p>
        </w:tc>
        <w:tc>
          <w:tcPr>
            <w:tcW w:w="4020" w:type="dxa"/>
            <w:tcBorders>
              <w:top w:val="nil"/>
              <w:left w:val="nil"/>
              <w:bottom w:val="single" w:sz="4" w:space="0" w:color="auto"/>
              <w:right w:val="single" w:sz="4" w:space="0" w:color="auto"/>
            </w:tcBorders>
            <w:shd w:val="clear" w:color="auto" w:fill="C6EFCE"/>
            <w:noWrap/>
            <w:vAlign w:val="center"/>
          </w:tcPr>
          <w:p w14:paraId="7FB64BBB" w14:textId="77777777" w:rsidR="00C972CB" w:rsidRDefault="002457F6">
            <w:pPr>
              <w:pStyle w:val="P68B1DB1-Normal12"/>
              <w:rPr>
                <w:noProof/>
              </w:rPr>
            </w:pPr>
            <w:r>
              <w:rPr>
                <w:noProof/>
              </w:rPr>
              <w:t xml:space="preserve">Visu publiskā iepirkuma līgumu slēgšanas tiesību piešķiršana </w:t>
            </w:r>
          </w:p>
        </w:tc>
      </w:tr>
      <w:tr w:rsidR="00C972CB" w14:paraId="6ED956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CD935D" w14:textId="77777777" w:rsidR="00C972CB" w:rsidRDefault="002457F6">
            <w:pPr>
              <w:pStyle w:val="P68B1DB1-Normal12"/>
              <w:jc w:val="center"/>
              <w:rPr>
                <w:noProof/>
              </w:rPr>
            </w:pPr>
            <w:r>
              <w:rPr>
                <w:noProof/>
              </w:rPr>
              <w:t>M1C1–18</w:t>
            </w:r>
          </w:p>
        </w:tc>
        <w:tc>
          <w:tcPr>
            <w:tcW w:w="3118" w:type="dxa"/>
            <w:tcBorders>
              <w:top w:val="nil"/>
              <w:left w:val="nil"/>
              <w:bottom w:val="single" w:sz="4" w:space="0" w:color="auto"/>
              <w:right w:val="single" w:sz="4" w:space="0" w:color="auto"/>
            </w:tcBorders>
            <w:shd w:val="clear" w:color="auto" w:fill="C6EFCE"/>
            <w:noWrap/>
            <w:vAlign w:val="center"/>
          </w:tcPr>
          <w:p w14:paraId="0F9B2D8E" w14:textId="77777777" w:rsidR="00C972CB" w:rsidRDefault="002457F6">
            <w:pPr>
              <w:pStyle w:val="P68B1DB1-Normal12"/>
              <w:rPr>
                <w:noProof/>
              </w:rPr>
            </w:pPr>
            <w:r>
              <w:rPr>
                <w:noProof/>
              </w:rPr>
              <w:t>Ieguldījums 1.3.1.: Valsts digitālo datu platforma</w:t>
            </w:r>
          </w:p>
        </w:tc>
        <w:tc>
          <w:tcPr>
            <w:tcW w:w="1418" w:type="dxa"/>
            <w:tcBorders>
              <w:top w:val="nil"/>
              <w:left w:val="nil"/>
              <w:bottom w:val="single" w:sz="4" w:space="0" w:color="auto"/>
              <w:right w:val="single" w:sz="4" w:space="0" w:color="auto"/>
            </w:tcBorders>
            <w:shd w:val="clear" w:color="auto" w:fill="C6EFCE"/>
            <w:noWrap/>
            <w:vAlign w:val="center"/>
          </w:tcPr>
          <w:p w14:paraId="4F2F6119" w14:textId="77777777" w:rsidR="00C972CB" w:rsidRDefault="002457F6">
            <w:pPr>
              <w:pStyle w:val="P68B1DB1-Normal12"/>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67ACE4FB" w14:textId="77777777" w:rsidR="00C972CB" w:rsidRDefault="002457F6">
            <w:pPr>
              <w:pStyle w:val="P68B1DB1-Normal12"/>
              <w:rPr>
                <w:noProof/>
              </w:rPr>
            </w:pPr>
            <w:r>
              <w:rPr>
                <w:noProof/>
              </w:rPr>
              <w:t>API valsts digitālo datu platformā T1</w:t>
            </w:r>
          </w:p>
        </w:tc>
      </w:tr>
      <w:tr w:rsidR="00C972CB" w14:paraId="17032B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D4E332" w14:textId="77777777" w:rsidR="00C972CB" w:rsidRDefault="002457F6">
            <w:pPr>
              <w:pStyle w:val="P68B1DB1-Normal12"/>
              <w:jc w:val="center"/>
              <w:rPr>
                <w:noProof/>
              </w:rPr>
            </w:pPr>
            <w:r>
              <w:rPr>
                <w:noProof/>
              </w:rPr>
              <w:t>M1C1–19</w:t>
            </w:r>
          </w:p>
        </w:tc>
        <w:tc>
          <w:tcPr>
            <w:tcW w:w="3118" w:type="dxa"/>
            <w:tcBorders>
              <w:top w:val="nil"/>
              <w:left w:val="nil"/>
              <w:bottom w:val="single" w:sz="4" w:space="0" w:color="auto"/>
              <w:right w:val="single" w:sz="4" w:space="0" w:color="auto"/>
            </w:tcBorders>
            <w:shd w:val="clear" w:color="auto" w:fill="C6EFCE"/>
            <w:noWrap/>
            <w:vAlign w:val="center"/>
          </w:tcPr>
          <w:p w14:paraId="5C1CC21D" w14:textId="77777777" w:rsidR="00C972CB" w:rsidRDefault="002457F6">
            <w:pPr>
              <w:pStyle w:val="P68B1DB1-Normal12"/>
              <w:rPr>
                <w:noProof/>
              </w:rPr>
            </w:pPr>
            <w:r>
              <w:rPr>
                <w:noProof/>
              </w:rPr>
              <w:t>Ieguldījums 1,5: Kiberdrošība</w:t>
            </w:r>
          </w:p>
        </w:tc>
        <w:tc>
          <w:tcPr>
            <w:tcW w:w="1418" w:type="dxa"/>
            <w:tcBorders>
              <w:top w:val="nil"/>
              <w:left w:val="nil"/>
              <w:bottom w:val="single" w:sz="4" w:space="0" w:color="auto"/>
              <w:right w:val="single" w:sz="4" w:space="0" w:color="auto"/>
            </w:tcBorders>
            <w:shd w:val="clear" w:color="auto" w:fill="C6EFCE"/>
            <w:noWrap/>
            <w:vAlign w:val="center"/>
          </w:tcPr>
          <w:p w14:paraId="564FC147" w14:textId="77777777" w:rsidR="00C972CB" w:rsidRDefault="002457F6">
            <w:pPr>
              <w:pStyle w:val="P68B1DB1-Normal12"/>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4CB6AC77" w14:textId="77777777" w:rsidR="00C972CB" w:rsidRDefault="002457F6">
            <w:pPr>
              <w:pStyle w:val="P68B1DB1-Normal12"/>
              <w:rPr>
                <w:noProof/>
              </w:rPr>
            </w:pPr>
            <w:r>
              <w:rPr>
                <w:noProof/>
              </w:rPr>
              <w:t>Atbalsts drošības struktūru modernizācijai T2</w:t>
            </w:r>
          </w:p>
        </w:tc>
      </w:tr>
      <w:tr w:rsidR="00C972CB" w14:paraId="3F4D3A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2020B" w14:textId="77777777" w:rsidR="00C972CB" w:rsidRDefault="002457F6">
            <w:pPr>
              <w:pStyle w:val="P68B1DB1-Normal12"/>
              <w:jc w:val="center"/>
              <w:rPr>
                <w:noProof/>
              </w:rPr>
            </w:pPr>
            <w:r>
              <w:rPr>
                <w:noProof/>
              </w:rPr>
              <w:t>M1C1–20</w:t>
            </w:r>
          </w:p>
        </w:tc>
        <w:tc>
          <w:tcPr>
            <w:tcW w:w="3118" w:type="dxa"/>
            <w:tcBorders>
              <w:top w:val="nil"/>
              <w:left w:val="nil"/>
              <w:bottom w:val="single" w:sz="4" w:space="0" w:color="auto"/>
              <w:right w:val="single" w:sz="4" w:space="0" w:color="auto"/>
            </w:tcBorders>
            <w:shd w:val="clear" w:color="auto" w:fill="C6EFCE"/>
            <w:noWrap/>
            <w:vAlign w:val="center"/>
          </w:tcPr>
          <w:p w14:paraId="1B056106" w14:textId="77777777" w:rsidR="00C972CB" w:rsidRDefault="002457F6">
            <w:pPr>
              <w:pStyle w:val="P68B1DB1-Normal12"/>
              <w:rPr>
                <w:noProof/>
              </w:rPr>
            </w:pPr>
            <w:r>
              <w:rPr>
                <w:noProof/>
              </w:rPr>
              <w:t>Ieguldījums 1,5: Kiberdrošība</w:t>
            </w:r>
          </w:p>
        </w:tc>
        <w:tc>
          <w:tcPr>
            <w:tcW w:w="1418" w:type="dxa"/>
            <w:tcBorders>
              <w:top w:val="nil"/>
              <w:left w:val="nil"/>
              <w:bottom w:val="single" w:sz="4" w:space="0" w:color="auto"/>
              <w:right w:val="single" w:sz="4" w:space="0" w:color="auto"/>
            </w:tcBorders>
            <w:shd w:val="clear" w:color="auto" w:fill="C6EFCE"/>
            <w:noWrap/>
            <w:vAlign w:val="center"/>
          </w:tcPr>
          <w:p w14:paraId="3867F4ED"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072C0876" w14:textId="77777777" w:rsidR="00C972CB" w:rsidRDefault="002457F6">
            <w:pPr>
              <w:pStyle w:val="P68B1DB1-Normal12"/>
              <w:rPr>
                <w:noProof/>
              </w:rPr>
            </w:pPr>
            <w:r>
              <w:rPr>
                <w:noProof/>
              </w:rPr>
              <w:t>Valstu kiberdrošības pakalpojumu pilnīga ieviešana</w:t>
            </w:r>
          </w:p>
        </w:tc>
      </w:tr>
      <w:tr w:rsidR="00C972CB" w14:paraId="366F86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CE3ECD" w14:textId="77777777" w:rsidR="00C972CB" w:rsidRDefault="002457F6">
            <w:pPr>
              <w:pStyle w:val="P68B1DB1-Normal12"/>
              <w:jc w:val="center"/>
              <w:rPr>
                <w:noProof/>
              </w:rPr>
            </w:pPr>
            <w:r>
              <w:rPr>
                <w:noProof/>
              </w:rPr>
              <w:t>M1C1–21</w:t>
            </w:r>
          </w:p>
        </w:tc>
        <w:tc>
          <w:tcPr>
            <w:tcW w:w="3118" w:type="dxa"/>
            <w:tcBorders>
              <w:top w:val="nil"/>
              <w:left w:val="nil"/>
              <w:bottom w:val="single" w:sz="4" w:space="0" w:color="auto"/>
              <w:right w:val="single" w:sz="4" w:space="0" w:color="auto"/>
            </w:tcBorders>
            <w:shd w:val="clear" w:color="auto" w:fill="C6EFCE"/>
            <w:noWrap/>
            <w:vAlign w:val="center"/>
          </w:tcPr>
          <w:p w14:paraId="534C06ED" w14:textId="77777777" w:rsidR="00C972CB" w:rsidRDefault="002457F6">
            <w:pPr>
              <w:pStyle w:val="P68B1DB1-Normal12"/>
              <w:rPr>
                <w:noProof/>
              </w:rPr>
            </w:pPr>
            <w:r>
              <w:rPr>
                <w:noProof/>
              </w:rPr>
              <w:t>Ieguldījums 1,5: Kiberdrošība</w:t>
            </w:r>
          </w:p>
        </w:tc>
        <w:tc>
          <w:tcPr>
            <w:tcW w:w="1418" w:type="dxa"/>
            <w:tcBorders>
              <w:top w:val="nil"/>
              <w:left w:val="nil"/>
              <w:bottom w:val="single" w:sz="4" w:space="0" w:color="auto"/>
              <w:right w:val="single" w:sz="4" w:space="0" w:color="auto"/>
            </w:tcBorders>
            <w:shd w:val="clear" w:color="auto" w:fill="C6EFCE"/>
            <w:noWrap/>
            <w:vAlign w:val="center"/>
          </w:tcPr>
          <w:p w14:paraId="26B2A4BD"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2E66BD0E" w14:textId="77777777" w:rsidR="00C972CB" w:rsidRDefault="002457F6">
            <w:pPr>
              <w:pStyle w:val="P68B1DB1-Normal12"/>
              <w:rPr>
                <w:noProof/>
              </w:rPr>
            </w:pPr>
            <w:r>
              <w:rPr>
                <w:noProof/>
              </w:rPr>
              <w:t xml:space="preserve">Kiberdrošības skrīninga un sertifikācijas laboratoriju un izvērtēšanas centru tīkla </w:t>
            </w:r>
            <w:r>
              <w:rPr>
                <w:noProof/>
              </w:rPr>
              <w:t>pabeigšana</w:t>
            </w:r>
          </w:p>
        </w:tc>
      </w:tr>
      <w:tr w:rsidR="00C972CB" w14:paraId="719621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792A67" w14:textId="77777777" w:rsidR="00C972CB" w:rsidRDefault="002457F6">
            <w:pPr>
              <w:pStyle w:val="P68B1DB1-Normal12"/>
              <w:jc w:val="center"/>
              <w:rPr>
                <w:noProof/>
              </w:rPr>
            </w:pPr>
            <w:r>
              <w:rPr>
                <w:noProof/>
              </w:rPr>
              <w:t>M1C1–22.</w:t>
            </w:r>
          </w:p>
        </w:tc>
        <w:tc>
          <w:tcPr>
            <w:tcW w:w="3118" w:type="dxa"/>
            <w:tcBorders>
              <w:top w:val="nil"/>
              <w:left w:val="nil"/>
              <w:bottom w:val="single" w:sz="4" w:space="0" w:color="auto"/>
              <w:right w:val="single" w:sz="4" w:space="0" w:color="auto"/>
            </w:tcBorders>
            <w:shd w:val="clear" w:color="auto" w:fill="C6EFCE"/>
            <w:noWrap/>
            <w:vAlign w:val="center"/>
          </w:tcPr>
          <w:p w14:paraId="165C94C7" w14:textId="77777777" w:rsidR="00C972CB" w:rsidRDefault="002457F6">
            <w:pPr>
              <w:pStyle w:val="P68B1DB1-Normal12"/>
              <w:rPr>
                <w:noProof/>
              </w:rPr>
            </w:pPr>
            <w:r>
              <w:rPr>
                <w:noProof/>
              </w:rPr>
              <w:t>Ieguldījums 1,5: Kiberdrošība</w:t>
            </w:r>
          </w:p>
        </w:tc>
        <w:tc>
          <w:tcPr>
            <w:tcW w:w="1418" w:type="dxa"/>
            <w:tcBorders>
              <w:top w:val="nil"/>
              <w:left w:val="nil"/>
              <w:bottom w:val="single" w:sz="4" w:space="0" w:color="auto"/>
              <w:right w:val="single" w:sz="4" w:space="0" w:color="auto"/>
            </w:tcBorders>
            <w:shd w:val="clear" w:color="auto" w:fill="C6EFCE"/>
            <w:noWrap/>
            <w:vAlign w:val="center"/>
          </w:tcPr>
          <w:p w14:paraId="78C4445F"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1C7FE58D" w14:textId="77777777" w:rsidR="00C972CB" w:rsidRDefault="002457F6">
            <w:pPr>
              <w:pStyle w:val="P68B1DB1-Normal12"/>
              <w:rPr>
                <w:noProof/>
              </w:rPr>
            </w:pPr>
            <w:r>
              <w:rPr>
                <w:noProof/>
              </w:rPr>
              <w:t>Centrālās revīzijas nodaļas pilnīga darbība attiecībā uz PSNC un TID drošības pasākumiem, un ir pabeigtas vismaz 30 pārbaudes</w:t>
            </w:r>
          </w:p>
        </w:tc>
      </w:tr>
      <w:tr w:rsidR="00C972CB" w14:paraId="3F4A89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92C597" w14:textId="77777777" w:rsidR="00C972CB" w:rsidRDefault="002457F6">
            <w:pPr>
              <w:pStyle w:val="P68B1DB1-Normal12"/>
              <w:jc w:val="center"/>
              <w:rPr>
                <w:noProof/>
              </w:rPr>
            </w:pPr>
            <w:r>
              <w:rPr>
                <w:noProof/>
              </w:rPr>
              <w:t>M1C1–43</w:t>
            </w:r>
          </w:p>
        </w:tc>
        <w:tc>
          <w:tcPr>
            <w:tcW w:w="3118" w:type="dxa"/>
            <w:tcBorders>
              <w:top w:val="nil"/>
              <w:left w:val="nil"/>
              <w:bottom w:val="single" w:sz="4" w:space="0" w:color="auto"/>
              <w:right w:val="single" w:sz="4" w:space="0" w:color="auto"/>
            </w:tcBorders>
            <w:shd w:val="clear" w:color="auto" w:fill="C6EFCE"/>
            <w:noWrap/>
            <w:vAlign w:val="center"/>
          </w:tcPr>
          <w:p w14:paraId="44B30CE5" w14:textId="77777777" w:rsidR="00C972CB" w:rsidRDefault="002457F6">
            <w:pPr>
              <w:pStyle w:val="P68B1DB1-Normal12"/>
              <w:rPr>
                <w:noProof/>
              </w:rPr>
            </w:pPr>
            <w:r>
              <w:rPr>
                <w:noProof/>
              </w:rPr>
              <w:t>Reforma: Civiltiesību reforma</w:t>
            </w:r>
          </w:p>
        </w:tc>
        <w:tc>
          <w:tcPr>
            <w:tcW w:w="1418" w:type="dxa"/>
            <w:tcBorders>
              <w:top w:val="nil"/>
              <w:left w:val="nil"/>
              <w:bottom w:val="single" w:sz="4" w:space="0" w:color="auto"/>
              <w:right w:val="single" w:sz="4" w:space="0" w:color="auto"/>
            </w:tcBorders>
            <w:shd w:val="clear" w:color="auto" w:fill="C6EFCE"/>
            <w:noWrap/>
            <w:vAlign w:val="center"/>
          </w:tcPr>
          <w:p w14:paraId="24027B45" w14:textId="77777777" w:rsidR="00C972CB" w:rsidRDefault="002457F6">
            <w:pPr>
              <w:pStyle w:val="P68B1DB1-Normal12"/>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0E3FC3E3" w14:textId="77777777" w:rsidR="00C972CB" w:rsidRDefault="002457F6">
            <w:pPr>
              <w:pStyle w:val="P68B1DB1-Normal12"/>
              <w:rPr>
                <w:noProof/>
              </w:rPr>
            </w:pPr>
            <w:r>
              <w:rPr>
                <w:noProof/>
              </w:rPr>
              <w:t xml:space="preserve">Neizskatīto </w:t>
            </w:r>
            <w:r>
              <w:rPr>
                <w:noProof/>
              </w:rPr>
              <w:t>lietu skaita samazināšana parastajās civiltiesās (pirmā instance)</w:t>
            </w:r>
          </w:p>
        </w:tc>
      </w:tr>
      <w:tr w:rsidR="00C972CB" w14:paraId="5933AC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82EEEC" w14:textId="77777777" w:rsidR="00C972CB" w:rsidRDefault="002457F6">
            <w:pPr>
              <w:pStyle w:val="P68B1DB1-Normal12"/>
              <w:jc w:val="center"/>
              <w:rPr>
                <w:noProof/>
              </w:rPr>
            </w:pPr>
            <w:r>
              <w:rPr>
                <w:noProof/>
              </w:rPr>
              <w:t>M1C1–44</w:t>
            </w:r>
          </w:p>
        </w:tc>
        <w:tc>
          <w:tcPr>
            <w:tcW w:w="3118" w:type="dxa"/>
            <w:tcBorders>
              <w:top w:val="nil"/>
              <w:left w:val="nil"/>
              <w:bottom w:val="single" w:sz="4" w:space="0" w:color="auto"/>
              <w:right w:val="single" w:sz="4" w:space="0" w:color="auto"/>
            </w:tcBorders>
            <w:shd w:val="clear" w:color="auto" w:fill="C6EFCE"/>
            <w:noWrap/>
            <w:vAlign w:val="center"/>
          </w:tcPr>
          <w:p w14:paraId="1F14AF4D" w14:textId="77777777" w:rsidR="00C972CB" w:rsidRDefault="002457F6">
            <w:pPr>
              <w:pStyle w:val="P68B1DB1-Normal12"/>
              <w:rPr>
                <w:noProof/>
              </w:rPr>
            </w:pPr>
            <w:r>
              <w:rPr>
                <w:noProof/>
              </w:rPr>
              <w:t>Reforma: Civiltiesību reforma</w:t>
            </w:r>
          </w:p>
        </w:tc>
        <w:tc>
          <w:tcPr>
            <w:tcW w:w="1418" w:type="dxa"/>
            <w:tcBorders>
              <w:top w:val="nil"/>
              <w:left w:val="nil"/>
              <w:bottom w:val="single" w:sz="4" w:space="0" w:color="auto"/>
              <w:right w:val="single" w:sz="4" w:space="0" w:color="auto"/>
            </w:tcBorders>
            <w:shd w:val="clear" w:color="auto" w:fill="C6EFCE"/>
            <w:noWrap/>
            <w:vAlign w:val="center"/>
          </w:tcPr>
          <w:p w14:paraId="7795CF19" w14:textId="77777777" w:rsidR="00C972CB" w:rsidRDefault="002457F6">
            <w:pPr>
              <w:pStyle w:val="P68B1DB1-Normal12"/>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4936DFC7" w14:textId="77777777" w:rsidR="00C972CB" w:rsidRDefault="002457F6">
            <w:pPr>
              <w:pStyle w:val="P68B1DB1-Normal12"/>
              <w:rPr>
                <w:noProof/>
              </w:rPr>
            </w:pPr>
            <w:r>
              <w:rPr>
                <w:noProof/>
              </w:rPr>
              <w:t>Neizskatīto lietu skaita samazināšana apelācijas tiesā (otrā instance)</w:t>
            </w:r>
          </w:p>
        </w:tc>
      </w:tr>
      <w:tr w:rsidR="00C972CB" w14:paraId="41F39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5F8233" w14:textId="77777777" w:rsidR="00C972CB" w:rsidRDefault="002457F6">
            <w:pPr>
              <w:pStyle w:val="P68B1DB1-Normal12"/>
              <w:jc w:val="center"/>
              <w:rPr>
                <w:noProof/>
              </w:rPr>
            </w:pPr>
            <w:r>
              <w:rPr>
                <w:noProof/>
              </w:rPr>
              <w:t>M1C1–60</w:t>
            </w:r>
          </w:p>
        </w:tc>
        <w:tc>
          <w:tcPr>
            <w:tcW w:w="3118" w:type="dxa"/>
            <w:tcBorders>
              <w:top w:val="nil"/>
              <w:left w:val="nil"/>
              <w:bottom w:val="single" w:sz="4" w:space="0" w:color="auto"/>
              <w:right w:val="single" w:sz="4" w:space="0" w:color="auto"/>
            </w:tcBorders>
            <w:shd w:val="clear" w:color="auto" w:fill="C6EFCE"/>
            <w:noWrap/>
            <w:vAlign w:val="center"/>
          </w:tcPr>
          <w:p w14:paraId="21129CF2" w14:textId="77777777" w:rsidR="00C972CB" w:rsidRDefault="002457F6">
            <w:pPr>
              <w:pStyle w:val="P68B1DB1-Normal12"/>
              <w:rPr>
                <w:noProof/>
              </w:rPr>
            </w:pPr>
            <w:r>
              <w:rPr>
                <w:noProof/>
              </w:rPr>
              <w:t>Reforma: Valsts pārvaldes reforma</w:t>
            </w:r>
          </w:p>
        </w:tc>
        <w:tc>
          <w:tcPr>
            <w:tcW w:w="1418" w:type="dxa"/>
            <w:tcBorders>
              <w:top w:val="nil"/>
              <w:left w:val="nil"/>
              <w:bottom w:val="single" w:sz="4" w:space="0" w:color="auto"/>
              <w:right w:val="single" w:sz="4" w:space="0" w:color="auto"/>
            </w:tcBorders>
            <w:shd w:val="clear" w:color="auto" w:fill="C6EFCE"/>
            <w:noWrap/>
            <w:vAlign w:val="center"/>
          </w:tcPr>
          <w:p w14:paraId="621BAF27"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5B1B50B2" w14:textId="77777777" w:rsidR="00C972CB" w:rsidRDefault="002457F6">
            <w:pPr>
              <w:pStyle w:val="P68B1DB1-Normal12"/>
              <w:rPr>
                <w:noProof/>
              </w:rPr>
            </w:pPr>
            <w:r>
              <w:rPr>
                <w:noProof/>
              </w:rPr>
              <w:t>Pilnībā īsten</w:t>
            </w:r>
            <w:r>
              <w:rPr>
                <w:noProof/>
              </w:rPr>
              <w:t>ot (tostarp visus deleģētos aktus) vienkāršot un/vai digitalizēt 200 kritiski svarīgu procedūru kopumu, kas ietekmē iedzīvotājus un uzņēmumus</w:t>
            </w:r>
          </w:p>
        </w:tc>
      </w:tr>
      <w:tr w:rsidR="00C972CB" w14:paraId="2C3D7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96BC63" w14:textId="77777777" w:rsidR="00C972CB" w:rsidRDefault="002457F6">
            <w:pPr>
              <w:pStyle w:val="P68B1DB1-Normal12"/>
              <w:jc w:val="center"/>
              <w:rPr>
                <w:noProof/>
              </w:rPr>
            </w:pPr>
            <w:r>
              <w:rPr>
                <w:noProof/>
              </w:rPr>
              <w:t>M1C1–72ter</w:t>
            </w:r>
          </w:p>
        </w:tc>
        <w:tc>
          <w:tcPr>
            <w:tcW w:w="3118" w:type="dxa"/>
            <w:tcBorders>
              <w:top w:val="nil"/>
              <w:left w:val="nil"/>
              <w:bottom w:val="single" w:sz="4" w:space="0" w:color="auto"/>
              <w:right w:val="single" w:sz="4" w:space="0" w:color="auto"/>
            </w:tcBorders>
            <w:shd w:val="clear" w:color="auto" w:fill="C6EFCE"/>
            <w:noWrap/>
            <w:vAlign w:val="center"/>
          </w:tcPr>
          <w:p w14:paraId="66C60445" w14:textId="77777777" w:rsidR="00C972CB" w:rsidRDefault="002457F6">
            <w:pPr>
              <w:pStyle w:val="P68B1DB1-Normal12"/>
              <w:rPr>
                <w:noProof/>
              </w:rPr>
            </w:pPr>
            <w:r>
              <w:rPr>
                <w:noProof/>
              </w:rPr>
              <w:t>Reforma: Valsts pārvaldes iestāžu un veselības aizsardzības iestāžu kavēto maksājumu samazināšana</w:t>
            </w:r>
          </w:p>
        </w:tc>
        <w:tc>
          <w:tcPr>
            <w:tcW w:w="1418" w:type="dxa"/>
            <w:tcBorders>
              <w:top w:val="nil"/>
              <w:left w:val="nil"/>
              <w:bottom w:val="single" w:sz="4" w:space="0" w:color="auto"/>
              <w:right w:val="single" w:sz="4" w:space="0" w:color="auto"/>
            </w:tcBorders>
            <w:shd w:val="clear" w:color="auto" w:fill="C6EFCE"/>
            <w:noWrap/>
            <w:vAlign w:val="center"/>
          </w:tcPr>
          <w:p w14:paraId="559EB0E5"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43F51543" w14:textId="77777777" w:rsidR="00C972CB" w:rsidRDefault="002457F6">
            <w:pPr>
              <w:pStyle w:val="P68B1DB1-Normal12"/>
              <w:rPr>
                <w:noProof/>
              </w:rPr>
            </w:pPr>
            <w:r>
              <w:rPr>
                <w:noProof/>
              </w:rPr>
              <w:t>Palielināt cilvēkresursus saistībā ar novēlotiem maksājumiem</w:t>
            </w:r>
          </w:p>
        </w:tc>
      </w:tr>
      <w:tr w:rsidR="00C972CB" w14:paraId="5AA36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05D493" w14:textId="77777777" w:rsidR="00C972CB" w:rsidRDefault="002457F6">
            <w:pPr>
              <w:pStyle w:val="P68B1DB1-Normal12"/>
              <w:jc w:val="center"/>
              <w:rPr>
                <w:noProof/>
              </w:rPr>
            </w:pPr>
            <w:r>
              <w:rPr>
                <w:noProof/>
              </w:rPr>
              <w:t>M1C1–72quater</w:t>
            </w:r>
          </w:p>
        </w:tc>
        <w:tc>
          <w:tcPr>
            <w:tcW w:w="3118" w:type="dxa"/>
            <w:tcBorders>
              <w:top w:val="nil"/>
              <w:left w:val="nil"/>
              <w:bottom w:val="single" w:sz="4" w:space="0" w:color="auto"/>
              <w:right w:val="single" w:sz="4" w:space="0" w:color="auto"/>
            </w:tcBorders>
            <w:shd w:val="clear" w:color="auto" w:fill="C6EFCE"/>
            <w:noWrap/>
            <w:vAlign w:val="center"/>
          </w:tcPr>
          <w:p w14:paraId="50B8E325" w14:textId="77777777" w:rsidR="00C972CB" w:rsidRDefault="002457F6">
            <w:pPr>
              <w:pStyle w:val="P68B1DB1-Normal12"/>
              <w:rPr>
                <w:noProof/>
              </w:rPr>
            </w:pPr>
            <w:r>
              <w:rPr>
                <w:noProof/>
              </w:rPr>
              <w:t>Reforma: Valsts pārvaldes iestāžu un veselības aizsardzības iestāžu kavēto maksājumu samazināšana</w:t>
            </w:r>
          </w:p>
        </w:tc>
        <w:tc>
          <w:tcPr>
            <w:tcW w:w="1418" w:type="dxa"/>
            <w:tcBorders>
              <w:top w:val="nil"/>
              <w:left w:val="nil"/>
              <w:bottom w:val="single" w:sz="4" w:space="0" w:color="auto"/>
              <w:right w:val="single" w:sz="4" w:space="0" w:color="auto"/>
            </w:tcBorders>
            <w:shd w:val="clear" w:color="auto" w:fill="C6EFCE"/>
            <w:noWrap/>
            <w:vAlign w:val="center"/>
          </w:tcPr>
          <w:p w14:paraId="5FEED0D1"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67CDBB9D" w14:textId="77777777" w:rsidR="00C972CB" w:rsidRDefault="002457F6">
            <w:pPr>
              <w:pStyle w:val="P68B1DB1-Normal12"/>
              <w:rPr>
                <w:noProof/>
              </w:rPr>
            </w:pPr>
            <w:r>
              <w:rPr>
                <w:noProof/>
              </w:rPr>
              <w:t>Ieviest kredītu piešķiršanu trešām personām</w:t>
            </w:r>
          </w:p>
        </w:tc>
      </w:tr>
      <w:tr w:rsidR="00C972CB" w14:paraId="3E241E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ABD9FC" w14:textId="77777777" w:rsidR="00C972CB" w:rsidRDefault="002457F6">
            <w:pPr>
              <w:pStyle w:val="P68B1DB1-Normal12"/>
              <w:jc w:val="center"/>
              <w:rPr>
                <w:noProof/>
              </w:rPr>
            </w:pPr>
            <w:r>
              <w:rPr>
                <w:noProof/>
              </w:rPr>
              <w:t>M</w:t>
            </w:r>
            <w:r>
              <w:rPr>
                <w:noProof/>
              </w:rPr>
              <w:t>1C1–72quinquies</w:t>
            </w:r>
          </w:p>
        </w:tc>
        <w:tc>
          <w:tcPr>
            <w:tcW w:w="3118" w:type="dxa"/>
            <w:tcBorders>
              <w:top w:val="nil"/>
              <w:left w:val="nil"/>
              <w:bottom w:val="single" w:sz="4" w:space="0" w:color="auto"/>
              <w:right w:val="single" w:sz="4" w:space="0" w:color="auto"/>
            </w:tcBorders>
            <w:shd w:val="clear" w:color="auto" w:fill="C6EFCE"/>
            <w:noWrap/>
            <w:vAlign w:val="center"/>
          </w:tcPr>
          <w:p w14:paraId="03D66607" w14:textId="77777777" w:rsidR="00C972CB" w:rsidRDefault="002457F6">
            <w:pPr>
              <w:pStyle w:val="P68B1DB1-Normal12"/>
              <w:rPr>
                <w:noProof/>
              </w:rPr>
            </w:pPr>
            <w:r>
              <w:rPr>
                <w:noProof/>
              </w:rPr>
              <w:t>Reforma: Valsts pārvaldes iestāžu un veselības aizsardzības iestāžu kavēto maksājumu samazināšana</w:t>
            </w:r>
          </w:p>
        </w:tc>
        <w:tc>
          <w:tcPr>
            <w:tcW w:w="1418" w:type="dxa"/>
            <w:tcBorders>
              <w:top w:val="nil"/>
              <w:left w:val="nil"/>
              <w:bottom w:val="single" w:sz="4" w:space="0" w:color="auto"/>
              <w:right w:val="single" w:sz="4" w:space="0" w:color="auto"/>
            </w:tcBorders>
            <w:shd w:val="clear" w:color="auto" w:fill="C6EFCE"/>
            <w:noWrap/>
            <w:vAlign w:val="center"/>
          </w:tcPr>
          <w:p w14:paraId="5314C6FA"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5F2233A5" w14:textId="77777777" w:rsidR="00C972CB" w:rsidRDefault="002457F6">
            <w:pPr>
              <w:pStyle w:val="P68B1DB1-Normal12"/>
              <w:rPr>
                <w:noProof/>
              </w:rPr>
            </w:pPr>
            <w:r>
              <w:rPr>
                <w:noProof/>
              </w:rPr>
              <w:t xml:space="preserve">Maksājumu izpilde InIT datubāzē </w:t>
            </w:r>
          </w:p>
        </w:tc>
      </w:tr>
      <w:tr w:rsidR="00C972CB" w14:paraId="55F720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A2B6A4" w14:textId="77777777" w:rsidR="00C972CB" w:rsidRDefault="002457F6">
            <w:pPr>
              <w:pStyle w:val="P68B1DB1-Normal12"/>
              <w:jc w:val="center"/>
              <w:rPr>
                <w:noProof/>
              </w:rPr>
            </w:pPr>
            <w:r>
              <w:rPr>
                <w:noProof/>
              </w:rPr>
              <w:t>M1C1–73ter</w:t>
            </w:r>
          </w:p>
        </w:tc>
        <w:tc>
          <w:tcPr>
            <w:tcW w:w="3118" w:type="dxa"/>
            <w:tcBorders>
              <w:top w:val="nil"/>
              <w:left w:val="nil"/>
              <w:bottom w:val="single" w:sz="4" w:space="0" w:color="auto"/>
              <w:right w:val="single" w:sz="4" w:space="0" w:color="auto"/>
            </w:tcBorders>
            <w:shd w:val="clear" w:color="auto" w:fill="C6EFCE"/>
            <w:noWrap/>
            <w:vAlign w:val="center"/>
          </w:tcPr>
          <w:p w14:paraId="1F456F19"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45C3CA6E"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0339A838" w14:textId="77777777" w:rsidR="00C972CB" w:rsidRDefault="002457F6">
            <w:pPr>
              <w:pStyle w:val="P68B1DB1-Normal12"/>
              <w:rPr>
                <w:noProof/>
              </w:rPr>
            </w:pPr>
            <w:r>
              <w:rPr>
                <w:noProof/>
              </w:rPr>
              <w:t xml:space="preserve">Stimuli līgumslēdzēju iestāžu kvalifikācijai un profesionalizācijai. </w:t>
            </w:r>
          </w:p>
        </w:tc>
      </w:tr>
      <w:tr w:rsidR="00C972CB" w14:paraId="2EF599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952C94" w14:textId="77777777" w:rsidR="00C972CB" w:rsidRDefault="002457F6">
            <w:pPr>
              <w:pStyle w:val="P68B1DB1-Normal12"/>
              <w:jc w:val="center"/>
              <w:rPr>
                <w:noProof/>
              </w:rPr>
            </w:pPr>
            <w:r>
              <w:rPr>
                <w:noProof/>
              </w:rPr>
              <w:t>M1C1–73quinquies</w:t>
            </w:r>
          </w:p>
        </w:tc>
        <w:tc>
          <w:tcPr>
            <w:tcW w:w="3118" w:type="dxa"/>
            <w:tcBorders>
              <w:top w:val="nil"/>
              <w:left w:val="nil"/>
              <w:bottom w:val="single" w:sz="4" w:space="0" w:color="auto"/>
              <w:right w:val="single" w:sz="4" w:space="0" w:color="auto"/>
            </w:tcBorders>
            <w:shd w:val="clear" w:color="auto" w:fill="C6EFCE"/>
            <w:noWrap/>
            <w:vAlign w:val="center"/>
          </w:tcPr>
          <w:p w14:paraId="69DBE76E"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344A539C"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227649B0" w14:textId="77777777" w:rsidR="00C972CB" w:rsidRDefault="002457F6">
            <w:pPr>
              <w:pStyle w:val="P68B1DB1-Normal12"/>
              <w:rPr>
                <w:noProof/>
              </w:rPr>
            </w:pPr>
            <w:r>
              <w:rPr>
                <w:noProof/>
              </w:rPr>
              <w:t>Jaunu tiesību normu par projektu finansēšanu stāšanās spēkā</w:t>
            </w:r>
          </w:p>
        </w:tc>
      </w:tr>
      <w:tr w:rsidR="00C972CB" w14:paraId="61E54C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0A4A80" w14:textId="77777777" w:rsidR="00C972CB" w:rsidRDefault="002457F6">
            <w:pPr>
              <w:pStyle w:val="P68B1DB1-Normal12"/>
              <w:jc w:val="center"/>
              <w:rPr>
                <w:noProof/>
              </w:rPr>
            </w:pPr>
            <w:r>
              <w:rPr>
                <w:noProof/>
              </w:rPr>
              <w:t>M1C1–75bis</w:t>
            </w:r>
          </w:p>
        </w:tc>
        <w:tc>
          <w:tcPr>
            <w:tcW w:w="3118" w:type="dxa"/>
            <w:tcBorders>
              <w:top w:val="nil"/>
              <w:left w:val="nil"/>
              <w:bottom w:val="single" w:sz="4" w:space="0" w:color="auto"/>
              <w:right w:val="single" w:sz="4" w:space="0" w:color="auto"/>
            </w:tcBorders>
            <w:shd w:val="clear" w:color="auto" w:fill="C6EFCE"/>
            <w:noWrap/>
            <w:vAlign w:val="center"/>
          </w:tcPr>
          <w:p w14:paraId="68D8DAAD" w14:textId="77777777" w:rsidR="00C972CB" w:rsidRDefault="002457F6">
            <w:pPr>
              <w:pStyle w:val="P68B1DB1-Normal12"/>
              <w:rPr>
                <w:noProof/>
              </w:rPr>
            </w:pPr>
            <w:r>
              <w:rPr>
                <w:noProof/>
              </w:rPr>
              <w:t>Ieguldījums 1.10: Atba</w:t>
            </w:r>
            <w:r>
              <w:rPr>
                <w:noProof/>
              </w:rPr>
              <w:t xml:space="preserve">lsts kvalifikācijai un e-iepirkumiem </w:t>
            </w:r>
          </w:p>
        </w:tc>
        <w:tc>
          <w:tcPr>
            <w:tcW w:w="1418" w:type="dxa"/>
            <w:tcBorders>
              <w:top w:val="nil"/>
              <w:left w:val="nil"/>
              <w:bottom w:val="single" w:sz="4" w:space="0" w:color="auto"/>
              <w:right w:val="single" w:sz="4" w:space="0" w:color="auto"/>
            </w:tcBorders>
            <w:shd w:val="clear" w:color="auto" w:fill="C6EFCE"/>
            <w:noWrap/>
            <w:vAlign w:val="center"/>
          </w:tcPr>
          <w:p w14:paraId="624A184E"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4F935308" w14:textId="77777777" w:rsidR="00C972CB" w:rsidRDefault="002457F6">
            <w:pPr>
              <w:pStyle w:val="P68B1DB1-Normal12"/>
              <w:rPr>
                <w:noProof/>
              </w:rPr>
            </w:pPr>
            <w:r>
              <w:rPr>
                <w:noProof/>
              </w:rPr>
              <w:t>Atbalsts kvalifikācijai un e-iepirkumiem</w:t>
            </w:r>
          </w:p>
        </w:tc>
      </w:tr>
      <w:tr w:rsidR="00C972CB" w14:paraId="0196F1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C4CC9B" w14:textId="77777777" w:rsidR="00C972CB" w:rsidRDefault="002457F6">
            <w:pPr>
              <w:pStyle w:val="P68B1DB1-Normal12"/>
              <w:jc w:val="center"/>
              <w:rPr>
                <w:noProof/>
              </w:rPr>
            </w:pPr>
            <w:r>
              <w:rPr>
                <w:noProof/>
              </w:rPr>
              <w:t>M1C1–84bis</w:t>
            </w:r>
          </w:p>
        </w:tc>
        <w:tc>
          <w:tcPr>
            <w:tcW w:w="3118" w:type="dxa"/>
            <w:tcBorders>
              <w:top w:val="nil"/>
              <w:left w:val="nil"/>
              <w:bottom w:val="single" w:sz="4" w:space="0" w:color="auto"/>
              <w:right w:val="single" w:sz="4" w:space="0" w:color="auto"/>
            </w:tcBorders>
            <w:shd w:val="clear" w:color="auto" w:fill="C6EFCE"/>
            <w:noWrap/>
            <w:vAlign w:val="center"/>
          </w:tcPr>
          <w:p w14:paraId="7CEA2C19"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3EAABA76"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36C0129D" w14:textId="77777777" w:rsidR="00C972CB" w:rsidRDefault="002457F6">
            <w:pPr>
              <w:pStyle w:val="P68B1DB1-Normal12"/>
              <w:rPr>
                <w:noProof/>
              </w:rPr>
            </w:pPr>
            <w:r>
              <w:rPr>
                <w:noProof/>
              </w:rPr>
              <w:t xml:space="preserve">Pasākumi, lai uzlabotu lēmumu pieņemšanas ātrumu līgumslēdzēju iestāžu </w:t>
            </w:r>
            <w:r>
              <w:rPr>
                <w:noProof/>
              </w:rPr>
              <w:t>līgumu slēgšanas tiesību piešķiršanā</w:t>
            </w:r>
          </w:p>
        </w:tc>
      </w:tr>
      <w:tr w:rsidR="00C972CB" w14:paraId="68C921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B779CC" w14:textId="77777777" w:rsidR="00C972CB" w:rsidRDefault="002457F6">
            <w:pPr>
              <w:pStyle w:val="P68B1DB1-Normal12"/>
              <w:jc w:val="center"/>
              <w:rPr>
                <w:noProof/>
              </w:rPr>
            </w:pPr>
            <w:r>
              <w:rPr>
                <w:noProof/>
              </w:rPr>
              <w:t>M1C1–97</w:t>
            </w:r>
          </w:p>
        </w:tc>
        <w:tc>
          <w:tcPr>
            <w:tcW w:w="3118" w:type="dxa"/>
            <w:tcBorders>
              <w:top w:val="nil"/>
              <w:left w:val="nil"/>
              <w:bottom w:val="single" w:sz="4" w:space="0" w:color="auto"/>
              <w:right w:val="single" w:sz="4" w:space="0" w:color="auto"/>
            </w:tcBorders>
            <w:shd w:val="clear" w:color="auto" w:fill="C6EFCE"/>
            <w:noWrap/>
            <w:vAlign w:val="center"/>
          </w:tcPr>
          <w:p w14:paraId="17C8533E"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7B2E1F1D" w14:textId="77777777" w:rsidR="00C972CB" w:rsidRDefault="002457F6">
            <w:pPr>
              <w:pStyle w:val="P68B1DB1-Normal12"/>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336C9CD3" w14:textId="77777777" w:rsidR="00C972CB" w:rsidRDefault="002457F6">
            <w:pPr>
              <w:pStyle w:val="P68B1DB1-Normal12"/>
              <w:rPr>
                <w:noProof/>
              </w:rPr>
            </w:pPr>
            <w:r>
              <w:rPr>
                <w:noProof/>
              </w:rPr>
              <w:t>Vidējais laiks starp līguma slēgšanas tiesību piešķiršanu un infrastruktūras realizāciju</w:t>
            </w:r>
          </w:p>
        </w:tc>
      </w:tr>
      <w:tr w:rsidR="00C972CB" w14:paraId="1208D1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16CC9F" w14:textId="77777777" w:rsidR="00C972CB" w:rsidRDefault="002457F6">
            <w:pPr>
              <w:pStyle w:val="P68B1DB1-Normal12"/>
              <w:jc w:val="center"/>
              <w:rPr>
                <w:noProof/>
              </w:rPr>
            </w:pPr>
            <w:r>
              <w:rPr>
                <w:noProof/>
              </w:rPr>
              <w:t>M1C1–98</w:t>
            </w:r>
          </w:p>
        </w:tc>
        <w:tc>
          <w:tcPr>
            <w:tcW w:w="3118" w:type="dxa"/>
            <w:tcBorders>
              <w:top w:val="nil"/>
              <w:left w:val="nil"/>
              <w:bottom w:val="single" w:sz="4" w:space="0" w:color="auto"/>
              <w:right w:val="single" w:sz="4" w:space="0" w:color="auto"/>
            </w:tcBorders>
            <w:shd w:val="clear" w:color="auto" w:fill="C6EFCE"/>
            <w:noWrap/>
            <w:vAlign w:val="center"/>
          </w:tcPr>
          <w:p w14:paraId="10B4AE2E" w14:textId="77777777" w:rsidR="00C972CB" w:rsidRDefault="002457F6">
            <w:pPr>
              <w:pStyle w:val="P68B1DB1-Normal12"/>
              <w:rPr>
                <w:noProof/>
              </w:rPr>
            </w:pPr>
            <w:r>
              <w:rPr>
                <w:noProof/>
              </w:rPr>
              <w:t xml:space="preserve">Reforma: Publiskā iepirkuma tiesiskā regulējuma </w:t>
            </w:r>
            <w:r>
              <w:rPr>
                <w:noProof/>
              </w:rPr>
              <w:t>reforma</w:t>
            </w:r>
          </w:p>
        </w:tc>
        <w:tc>
          <w:tcPr>
            <w:tcW w:w="1418" w:type="dxa"/>
            <w:tcBorders>
              <w:top w:val="nil"/>
              <w:left w:val="nil"/>
              <w:bottom w:val="single" w:sz="4" w:space="0" w:color="auto"/>
              <w:right w:val="single" w:sz="4" w:space="0" w:color="auto"/>
            </w:tcBorders>
            <w:shd w:val="clear" w:color="auto" w:fill="C6EFCE"/>
            <w:noWrap/>
            <w:vAlign w:val="center"/>
          </w:tcPr>
          <w:p w14:paraId="7E8AD9F2" w14:textId="77777777" w:rsidR="00C972CB" w:rsidRDefault="002457F6">
            <w:pPr>
              <w:pStyle w:val="P68B1DB1-Normal12"/>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2FD824CE" w14:textId="77777777" w:rsidR="00C972CB" w:rsidRDefault="002457F6">
            <w:pPr>
              <w:pStyle w:val="P68B1DB1-Normal12"/>
              <w:rPr>
                <w:noProof/>
              </w:rPr>
            </w:pPr>
            <w:r>
              <w:rPr>
                <w:noProof/>
              </w:rPr>
              <w:t>Ierēdņi, kas apmācīti, izmantojot Publisko pircēju profesionalizācijas stratēģiju</w:t>
            </w:r>
          </w:p>
        </w:tc>
      </w:tr>
      <w:tr w:rsidR="00C972CB" w14:paraId="183DA1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58D23D" w14:textId="77777777" w:rsidR="00C972CB" w:rsidRDefault="002457F6">
            <w:pPr>
              <w:pStyle w:val="P68B1DB1-Normal12"/>
              <w:jc w:val="center"/>
              <w:rPr>
                <w:noProof/>
              </w:rPr>
            </w:pPr>
            <w:r>
              <w:rPr>
                <w:noProof/>
              </w:rPr>
              <w:t>M1C1–99</w:t>
            </w:r>
          </w:p>
        </w:tc>
        <w:tc>
          <w:tcPr>
            <w:tcW w:w="3118" w:type="dxa"/>
            <w:tcBorders>
              <w:top w:val="nil"/>
              <w:left w:val="nil"/>
              <w:bottom w:val="single" w:sz="4" w:space="0" w:color="auto"/>
              <w:right w:val="single" w:sz="4" w:space="0" w:color="auto"/>
            </w:tcBorders>
            <w:shd w:val="clear" w:color="auto" w:fill="C6EFCE"/>
            <w:noWrap/>
            <w:vAlign w:val="center"/>
          </w:tcPr>
          <w:p w14:paraId="258672B6" w14:textId="77777777" w:rsidR="00C972CB" w:rsidRDefault="002457F6">
            <w:pPr>
              <w:pStyle w:val="P68B1DB1-Normal12"/>
              <w:rPr>
                <w:noProof/>
              </w:rPr>
            </w:pPr>
            <w:r>
              <w:rPr>
                <w:noProof/>
              </w:rPr>
              <w:t>Reforma: Publiskā iepirkuma tiesiskā regulējuma reforma</w:t>
            </w:r>
          </w:p>
        </w:tc>
        <w:tc>
          <w:tcPr>
            <w:tcW w:w="1418" w:type="dxa"/>
            <w:tcBorders>
              <w:top w:val="nil"/>
              <w:left w:val="nil"/>
              <w:bottom w:val="single" w:sz="4" w:space="0" w:color="auto"/>
              <w:right w:val="single" w:sz="4" w:space="0" w:color="auto"/>
            </w:tcBorders>
            <w:shd w:val="clear" w:color="auto" w:fill="C6EFCE"/>
            <w:noWrap/>
            <w:vAlign w:val="center"/>
          </w:tcPr>
          <w:p w14:paraId="31EB7008" w14:textId="77777777" w:rsidR="00C972CB" w:rsidRDefault="002457F6">
            <w:pPr>
              <w:pStyle w:val="P68B1DB1-Normal12"/>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3035BA6C" w14:textId="77777777" w:rsidR="00C972CB" w:rsidRDefault="002457F6">
            <w:pPr>
              <w:pStyle w:val="P68B1DB1-Normal12"/>
              <w:rPr>
                <w:noProof/>
              </w:rPr>
            </w:pPr>
            <w:r>
              <w:rPr>
                <w:noProof/>
              </w:rPr>
              <w:t>Līgumslēdzējas iestādes, kas izmanto dinamiskās iepirkumu sistēmas</w:t>
            </w:r>
          </w:p>
        </w:tc>
      </w:tr>
      <w:tr w:rsidR="00C972CB" w14:paraId="66256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58EF3B" w14:textId="77777777" w:rsidR="00C972CB" w:rsidRDefault="002457F6">
            <w:pPr>
              <w:pStyle w:val="P68B1DB1-Normal12"/>
              <w:jc w:val="center"/>
              <w:rPr>
                <w:noProof/>
              </w:rPr>
            </w:pPr>
            <w:r>
              <w:rPr>
                <w:noProof/>
              </w:rPr>
              <w:t>M1C1–113</w:t>
            </w:r>
          </w:p>
        </w:tc>
        <w:tc>
          <w:tcPr>
            <w:tcW w:w="3118" w:type="dxa"/>
            <w:tcBorders>
              <w:top w:val="nil"/>
              <w:left w:val="nil"/>
              <w:bottom w:val="single" w:sz="4" w:space="0" w:color="auto"/>
              <w:right w:val="single" w:sz="4" w:space="0" w:color="auto"/>
            </w:tcBorders>
            <w:shd w:val="clear" w:color="auto" w:fill="C6EFCE"/>
            <w:noWrap/>
            <w:vAlign w:val="center"/>
          </w:tcPr>
          <w:p w14:paraId="61DE6D0B" w14:textId="77777777" w:rsidR="00C972CB" w:rsidRDefault="002457F6">
            <w:pPr>
              <w:pStyle w:val="P68B1DB1-Normal12"/>
              <w:rPr>
                <w:noProof/>
              </w:rPr>
            </w:pPr>
            <w:r>
              <w:rPr>
                <w:noProof/>
              </w:rPr>
              <w:t>Reforma: Nod</w:t>
            </w:r>
            <w:r>
              <w:rPr>
                <w:noProof/>
              </w:rPr>
              <w:t>okļu administrācijas reforma</w:t>
            </w:r>
          </w:p>
        </w:tc>
        <w:tc>
          <w:tcPr>
            <w:tcW w:w="1418" w:type="dxa"/>
            <w:tcBorders>
              <w:top w:val="nil"/>
              <w:left w:val="nil"/>
              <w:bottom w:val="single" w:sz="4" w:space="0" w:color="auto"/>
              <w:right w:val="single" w:sz="4" w:space="0" w:color="auto"/>
            </w:tcBorders>
            <w:shd w:val="clear" w:color="auto" w:fill="C6EFCE"/>
            <w:noWrap/>
            <w:vAlign w:val="center"/>
          </w:tcPr>
          <w:p w14:paraId="2D0A2B32" w14:textId="77777777" w:rsidR="00C972CB" w:rsidRDefault="002457F6">
            <w:pPr>
              <w:pStyle w:val="P68B1DB1-Normal12"/>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7A27DBBA" w14:textId="77777777" w:rsidR="00C972CB" w:rsidRDefault="002457F6">
            <w:pPr>
              <w:pStyle w:val="P68B1DB1-Normal12"/>
              <w:rPr>
                <w:noProof/>
              </w:rPr>
            </w:pPr>
            <w:r>
              <w:rPr>
                <w:noProof/>
              </w:rPr>
              <w:t>Lielāks “atbilstības burtu” skaits</w:t>
            </w:r>
          </w:p>
        </w:tc>
      </w:tr>
      <w:tr w:rsidR="00C972CB" w14:paraId="3DB06D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1A99C" w14:textId="77777777" w:rsidR="00C972CB" w:rsidRDefault="002457F6">
            <w:pPr>
              <w:pStyle w:val="P68B1DB1-Normal12"/>
              <w:jc w:val="center"/>
              <w:rPr>
                <w:noProof/>
              </w:rPr>
            </w:pPr>
            <w:r>
              <w:rPr>
                <w:noProof/>
              </w:rPr>
              <w:t>M1C1–114</w:t>
            </w:r>
          </w:p>
        </w:tc>
        <w:tc>
          <w:tcPr>
            <w:tcW w:w="3118" w:type="dxa"/>
            <w:tcBorders>
              <w:top w:val="nil"/>
              <w:left w:val="nil"/>
              <w:bottom w:val="single" w:sz="4" w:space="0" w:color="auto"/>
              <w:right w:val="single" w:sz="4" w:space="0" w:color="auto"/>
            </w:tcBorders>
            <w:shd w:val="clear" w:color="auto" w:fill="C6EFCE"/>
            <w:noWrap/>
            <w:vAlign w:val="center"/>
          </w:tcPr>
          <w:p w14:paraId="63448C8D" w14:textId="77777777" w:rsidR="00C972CB" w:rsidRDefault="002457F6">
            <w:pPr>
              <w:pStyle w:val="P68B1DB1-Normal12"/>
              <w:rPr>
                <w:noProof/>
              </w:rPr>
            </w:pPr>
            <w:r>
              <w:rPr>
                <w:noProof/>
              </w:rPr>
              <w:t>Reforma: Nodokļu administrācijas reforma</w:t>
            </w:r>
          </w:p>
        </w:tc>
        <w:tc>
          <w:tcPr>
            <w:tcW w:w="1418" w:type="dxa"/>
            <w:tcBorders>
              <w:top w:val="nil"/>
              <w:left w:val="nil"/>
              <w:bottom w:val="single" w:sz="4" w:space="0" w:color="auto"/>
              <w:right w:val="single" w:sz="4" w:space="0" w:color="auto"/>
            </w:tcBorders>
            <w:shd w:val="clear" w:color="auto" w:fill="C6EFCE"/>
            <w:noWrap/>
            <w:vAlign w:val="center"/>
          </w:tcPr>
          <w:p w14:paraId="57D0F6FB" w14:textId="77777777" w:rsidR="00C972CB" w:rsidRDefault="002457F6">
            <w:pPr>
              <w:pStyle w:val="P68B1DB1-Normal12"/>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069FDB65" w14:textId="77777777" w:rsidR="00C972CB" w:rsidRDefault="002457F6">
            <w:pPr>
              <w:pStyle w:val="P68B1DB1-Normal12"/>
              <w:rPr>
                <w:noProof/>
              </w:rPr>
            </w:pPr>
            <w:r>
              <w:rPr>
                <w:noProof/>
              </w:rPr>
              <w:t>Nodokļu ieņēmumu palielinājums, ko rada “atbilstības vēstules”</w:t>
            </w:r>
          </w:p>
        </w:tc>
      </w:tr>
      <w:tr w:rsidR="00C972CB" w14:paraId="008582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3654B" w14:textId="77777777" w:rsidR="00C972CB" w:rsidRDefault="002457F6">
            <w:pPr>
              <w:pStyle w:val="P68B1DB1-Normal12"/>
              <w:jc w:val="center"/>
              <w:rPr>
                <w:noProof/>
              </w:rPr>
            </w:pPr>
            <w:r>
              <w:rPr>
                <w:noProof/>
              </w:rPr>
              <w:t>M1C2–11</w:t>
            </w:r>
          </w:p>
        </w:tc>
        <w:tc>
          <w:tcPr>
            <w:tcW w:w="3118" w:type="dxa"/>
            <w:tcBorders>
              <w:top w:val="nil"/>
              <w:left w:val="nil"/>
              <w:bottom w:val="single" w:sz="4" w:space="0" w:color="auto"/>
              <w:right w:val="single" w:sz="4" w:space="0" w:color="auto"/>
            </w:tcBorders>
            <w:shd w:val="clear" w:color="auto" w:fill="C6EFCE"/>
            <w:noWrap/>
            <w:vAlign w:val="center"/>
          </w:tcPr>
          <w:p w14:paraId="4A01B5F4" w14:textId="77777777" w:rsidR="00C972CB" w:rsidRDefault="002457F6">
            <w:pPr>
              <w:pStyle w:val="P68B1DB1-Normal12"/>
              <w:rPr>
                <w:noProof/>
              </w:rPr>
            </w:pPr>
            <w:r>
              <w:rPr>
                <w:noProof/>
              </w:rPr>
              <w:t>Reforma: Ikgadējie konkurences tiesību akti</w:t>
            </w:r>
          </w:p>
        </w:tc>
        <w:tc>
          <w:tcPr>
            <w:tcW w:w="1418" w:type="dxa"/>
            <w:tcBorders>
              <w:top w:val="nil"/>
              <w:left w:val="nil"/>
              <w:bottom w:val="single" w:sz="4" w:space="0" w:color="auto"/>
              <w:right w:val="single" w:sz="4" w:space="0" w:color="auto"/>
            </w:tcBorders>
            <w:shd w:val="clear" w:color="auto" w:fill="C6EFCE"/>
            <w:noWrap/>
            <w:vAlign w:val="center"/>
          </w:tcPr>
          <w:p w14:paraId="3EAE24F6" w14:textId="77777777" w:rsidR="00C972CB" w:rsidRDefault="002457F6">
            <w:pPr>
              <w:pStyle w:val="P68B1DB1-Normal12"/>
              <w:rPr>
                <w:noProof/>
                <w:color w:val="006600"/>
              </w:rPr>
            </w:pPr>
            <w:r>
              <w:rPr>
                <w:noProof/>
              </w:rPr>
              <w:t xml:space="preserve">Starpposma </w:t>
            </w:r>
            <w:r>
              <w:rPr>
                <w:noProof/>
              </w:rPr>
              <w:t>mērķis</w:t>
            </w:r>
          </w:p>
        </w:tc>
        <w:tc>
          <w:tcPr>
            <w:tcW w:w="4020" w:type="dxa"/>
            <w:tcBorders>
              <w:top w:val="nil"/>
              <w:left w:val="nil"/>
              <w:bottom w:val="single" w:sz="4" w:space="0" w:color="auto"/>
              <w:right w:val="single" w:sz="4" w:space="0" w:color="auto"/>
            </w:tcBorders>
            <w:shd w:val="clear" w:color="auto" w:fill="C6EFCE"/>
            <w:noWrap/>
            <w:vAlign w:val="center"/>
          </w:tcPr>
          <w:p w14:paraId="39CCCA9C" w14:textId="77777777" w:rsidR="00C972CB" w:rsidRDefault="002457F6">
            <w:pPr>
              <w:pStyle w:val="P68B1DB1-Normal12"/>
              <w:rPr>
                <w:noProof/>
                <w:color w:val="006600"/>
              </w:rPr>
            </w:pPr>
            <w:r>
              <w:rPr>
                <w:noProof/>
              </w:rPr>
              <w:t>2023. gada Konkurences likuma stāšanās spēkā</w:t>
            </w:r>
          </w:p>
        </w:tc>
      </w:tr>
      <w:tr w:rsidR="00C972CB" w14:paraId="4B0ADD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FDEB5D" w14:textId="77777777" w:rsidR="00C972CB" w:rsidRDefault="002457F6">
            <w:pPr>
              <w:pStyle w:val="P68B1DB1-Normal12"/>
              <w:jc w:val="center"/>
              <w:rPr>
                <w:noProof/>
              </w:rPr>
            </w:pPr>
            <w:r>
              <w:rPr>
                <w:noProof/>
              </w:rPr>
              <w:t>M1C2–12</w:t>
            </w:r>
          </w:p>
        </w:tc>
        <w:tc>
          <w:tcPr>
            <w:tcW w:w="3118" w:type="dxa"/>
            <w:tcBorders>
              <w:top w:val="nil"/>
              <w:left w:val="nil"/>
              <w:bottom w:val="single" w:sz="4" w:space="0" w:color="auto"/>
              <w:right w:val="single" w:sz="4" w:space="0" w:color="auto"/>
            </w:tcBorders>
            <w:shd w:val="clear" w:color="auto" w:fill="C6EFCE"/>
            <w:noWrap/>
            <w:vAlign w:val="center"/>
          </w:tcPr>
          <w:p w14:paraId="543B1A03" w14:textId="77777777" w:rsidR="00C972CB" w:rsidRDefault="002457F6">
            <w:pPr>
              <w:pStyle w:val="P68B1DB1-Normal12"/>
              <w:rPr>
                <w:noProof/>
              </w:rPr>
            </w:pPr>
            <w:r>
              <w:rPr>
                <w:noProof/>
              </w:rPr>
              <w:t>Reforma: Ikgadējie konkurences tiesību akti</w:t>
            </w:r>
          </w:p>
        </w:tc>
        <w:tc>
          <w:tcPr>
            <w:tcW w:w="1418" w:type="dxa"/>
            <w:tcBorders>
              <w:top w:val="nil"/>
              <w:left w:val="nil"/>
              <w:bottom w:val="single" w:sz="4" w:space="0" w:color="auto"/>
              <w:right w:val="single" w:sz="4" w:space="0" w:color="auto"/>
            </w:tcBorders>
            <w:shd w:val="clear" w:color="auto" w:fill="C6EFCE"/>
            <w:noWrap/>
            <w:vAlign w:val="center"/>
          </w:tcPr>
          <w:p w14:paraId="7A61D883" w14:textId="77777777" w:rsidR="00C972CB" w:rsidRDefault="002457F6">
            <w:pPr>
              <w:pStyle w:val="P68B1DB1-Normal12"/>
              <w:rPr>
                <w:noProof/>
                <w:color w:val="006600"/>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16BC2602" w14:textId="77777777" w:rsidR="00C972CB" w:rsidRDefault="002457F6">
            <w:pPr>
              <w:pStyle w:val="P68B1DB1-Normal12"/>
              <w:rPr>
                <w:noProof/>
                <w:color w:val="006600"/>
              </w:rPr>
            </w:pPr>
            <w:r>
              <w:rPr>
                <w:noProof/>
              </w:rPr>
              <w:t xml:space="preserve">Stājas spēkā visi īstenošanas pasākumi (vajadzības gadījumā arī sekundārie tiesību akti), lai efektīvi īstenotu un piemērotu </w:t>
            </w:r>
            <w:r>
              <w:rPr>
                <w:noProof/>
              </w:rPr>
              <w:t>pasākumus, kas izriet no 2023. gada Konkurences likuma</w:t>
            </w:r>
          </w:p>
        </w:tc>
      </w:tr>
      <w:tr w:rsidR="00C972CB" w14:paraId="40E9A5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FD82D" w14:textId="77777777" w:rsidR="00C972CB" w:rsidRDefault="002457F6">
            <w:pPr>
              <w:pStyle w:val="P68B1DB1-Normal12"/>
              <w:jc w:val="center"/>
              <w:rPr>
                <w:noProof/>
              </w:rPr>
            </w:pPr>
            <w:r>
              <w:rPr>
                <w:noProof/>
              </w:rPr>
              <w:t>M2C1–6bis</w:t>
            </w:r>
          </w:p>
        </w:tc>
        <w:tc>
          <w:tcPr>
            <w:tcW w:w="3118" w:type="dxa"/>
            <w:tcBorders>
              <w:top w:val="nil"/>
              <w:left w:val="nil"/>
              <w:bottom w:val="single" w:sz="4" w:space="0" w:color="auto"/>
              <w:right w:val="single" w:sz="4" w:space="0" w:color="auto"/>
            </w:tcBorders>
            <w:shd w:val="clear" w:color="auto" w:fill="C6EFCE"/>
            <w:noWrap/>
            <w:vAlign w:val="center"/>
          </w:tcPr>
          <w:p w14:paraId="78753965" w14:textId="77777777" w:rsidR="00C972CB" w:rsidRDefault="002457F6">
            <w:pPr>
              <w:pStyle w:val="P68B1DB1-Normal12"/>
              <w:rPr>
                <w:noProof/>
              </w:rPr>
            </w:pPr>
            <w:r>
              <w:rPr>
                <w:noProof/>
              </w:rPr>
              <w:t>Ieguldījums 2.2.: AGRI-solārais parks</w:t>
            </w:r>
          </w:p>
        </w:tc>
        <w:tc>
          <w:tcPr>
            <w:tcW w:w="1418" w:type="dxa"/>
            <w:tcBorders>
              <w:top w:val="nil"/>
              <w:left w:val="nil"/>
              <w:bottom w:val="single" w:sz="4" w:space="0" w:color="auto"/>
              <w:right w:val="single" w:sz="4" w:space="0" w:color="auto"/>
            </w:tcBorders>
            <w:shd w:val="clear" w:color="auto" w:fill="C6EFCE"/>
            <w:noWrap/>
            <w:vAlign w:val="center"/>
          </w:tcPr>
          <w:p w14:paraId="4427CC0E" w14:textId="77777777" w:rsidR="00C972CB" w:rsidRDefault="002457F6">
            <w:pPr>
              <w:pStyle w:val="P68B1DB1-Normal12"/>
              <w:rPr>
                <w:noProof/>
                <w:color w:val="006600"/>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45CC125F" w14:textId="77777777" w:rsidR="00C972CB" w:rsidRDefault="002457F6">
            <w:pPr>
              <w:pStyle w:val="P68B1DB1-Normal12"/>
              <w:rPr>
                <w:noProof/>
                <w:color w:val="006600"/>
              </w:rPr>
            </w:pPr>
            <w:r>
              <w:rPr>
                <w:noProof/>
              </w:rPr>
              <w:t>Līdzekļu piešķiršana saņēmējiem % no kopējiem ieguldījumiem piešķirtajiem finanšu resursiem</w:t>
            </w:r>
          </w:p>
        </w:tc>
      </w:tr>
      <w:tr w:rsidR="00C972CB" w14:paraId="03BC94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8B44ED" w14:textId="77777777" w:rsidR="00C972CB" w:rsidRDefault="002457F6">
            <w:pPr>
              <w:pStyle w:val="P68B1DB1-Normal12"/>
              <w:jc w:val="center"/>
              <w:rPr>
                <w:noProof/>
              </w:rPr>
            </w:pPr>
            <w:r>
              <w:rPr>
                <w:noProof/>
              </w:rPr>
              <w:t>M2C1–7</w:t>
            </w:r>
          </w:p>
        </w:tc>
        <w:tc>
          <w:tcPr>
            <w:tcW w:w="3118" w:type="dxa"/>
            <w:tcBorders>
              <w:top w:val="nil"/>
              <w:left w:val="nil"/>
              <w:bottom w:val="single" w:sz="4" w:space="0" w:color="auto"/>
              <w:right w:val="single" w:sz="4" w:space="0" w:color="auto"/>
            </w:tcBorders>
            <w:shd w:val="clear" w:color="auto" w:fill="C6EFCE"/>
            <w:noWrap/>
            <w:vAlign w:val="center"/>
          </w:tcPr>
          <w:p w14:paraId="1FE0178F" w14:textId="77777777" w:rsidR="00C972CB" w:rsidRDefault="002457F6">
            <w:pPr>
              <w:pStyle w:val="P68B1DB1-Normal12"/>
              <w:rPr>
                <w:noProof/>
              </w:rPr>
            </w:pPr>
            <w:r>
              <w:rPr>
                <w:noProof/>
              </w:rPr>
              <w:t xml:space="preserve">Ieguldījums 2.3. Inovācija un mehanizācija </w:t>
            </w:r>
            <w:r>
              <w:rPr>
                <w:noProof/>
              </w:rPr>
              <w:t>lauksaimniecības un pārtikas nozarē</w:t>
            </w:r>
          </w:p>
        </w:tc>
        <w:tc>
          <w:tcPr>
            <w:tcW w:w="1418" w:type="dxa"/>
            <w:tcBorders>
              <w:top w:val="nil"/>
              <w:left w:val="nil"/>
              <w:bottom w:val="single" w:sz="4" w:space="0" w:color="auto"/>
              <w:right w:val="single" w:sz="4" w:space="0" w:color="auto"/>
            </w:tcBorders>
            <w:shd w:val="clear" w:color="auto" w:fill="C6EFCE"/>
            <w:noWrap/>
            <w:vAlign w:val="center"/>
          </w:tcPr>
          <w:p w14:paraId="72F48C28" w14:textId="77777777" w:rsidR="00C972CB" w:rsidRDefault="002457F6">
            <w:pPr>
              <w:pStyle w:val="P68B1DB1-Normal12"/>
              <w:rPr>
                <w:noProof/>
                <w:color w:val="006600"/>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2AB1D81D" w14:textId="77777777" w:rsidR="00C972CB" w:rsidRDefault="002457F6">
            <w:pPr>
              <w:pStyle w:val="P68B1DB1-Normal12"/>
              <w:rPr>
                <w:noProof/>
                <w:color w:val="006600"/>
              </w:rPr>
            </w:pPr>
            <w:r>
              <w:rPr>
                <w:noProof/>
              </w:rPr>
              <w:t>Galīgo sarindojumu publicēšana, norādot galasaņēmējus.</w:t>
            </w:r>
          </w:p>
        </w:tc>
      </w:tr>
      <w:tr w:rsidR="00C972CB" w14:paraId="6706491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9C4F" w14:textId="77777777" w:rsidR="00C972CB" w:rsidRDefault="002457F6">
            <w:pPr>
              <w:pStyle w:val="P68B1DB1-Normal12"/>
              <w:jc w:val="center"/>
              <w:rPr>
                <w:noProof/>
              </w:rPr>
            </w:pPr>
            <w:r>
              <w:rPr>
                <w:noProof/>
              </w:rPr>
              <w:t>M2C2–28</w:t>
            </w:r>
          </w:p>
        </w:tc>
        <w:tc>
          <w:tcPr>
            <w:tcW w:w="3118" w:type="dxa"/>
            <w:tcBorders>
              <w:top w:val="nil"/>
              <w:left w:val="nil"/>
              <w:bottom w:val="single" w:sz="4" w:space="0" w:color="auto"/>
              <w:right w:val="single" w:sz="4" w:space="0" w:color="auto"/>
            </w:tcBorders>
            <w:shd w:val="clear" w:color="auto" w:fill="C6EFCE"/>
            <w:noWrap/>
            <w:vAlign w:val="center"/>
          </w:tcPr>
          <w:p w14:paraId="440E6A2D" w14:textId="77777777" w:rsidR="00C972CB" w:rsidRDefault="002457F6">
            <w:pPr>
              <w:pStyle w:val="P68B1DB1-Normal12"/>
              <w:rPr>
                <w:noProof/>
              </w:rPr>
            </w:pPr>
            <w:r>
              <w:rPr>
                <w:noProof/>
              </w:rPr>
              <w:t>Ieguldījums 4.3. Uzlādes infrastruktūru uzstādīšana</w:t>
            </w:r>
          </w:p>
        </w:tc>
        <w:tc>
          <w:tcPr>
            <w:tcW w:w="1418" w:type="dxa"/>
            <w:tcBorders>
              <w:top w:val="nil"/>
              <w:left w:val="nil"/>
              <w:bottom w:val="single" w:sz="4" w:space="0" w:color="auto"/>
              <w:right w:val="single" w:sz="4" w:space="0" w:color="auto"/>
            </w:tcBorders>
            <w:shd w:val="clear" w:color="auto" w:fill="C6EFCE"/>
            <w:noWrap/>
            <w:vAlign w:val="center"/>
          </w:tcPr>
          <w:p w14:paraId="780C1457" w14:textId="77777777" w:rsidR="00C972CB" w:rsidRDefault="002457F6">
            <w:pPr>
              <w:pStyle w:val="P68B1DB1-Normal12"/>
              <w:rPr>
                <w:noProof/>
                <w:color w:val="006600"/>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02753F33" w14:textId="77777777" w:rsidR="00C972CB" w:rsidRDefault="002457F6">
            <w:pPr>
              <w:pStyle w:val="P68B1DB1-Normal12"/>
              <w:rPr>
                <w:noProof/>
                <w:color w:val="006600"/>
              </w:rPr>
            </w:pPr>
            <w:r>
              <w:rPr>
                <w:noProof/>
              </w:rPr>
              <w:t xml:space="preserve">Visu publiskā iepirkuma līgumu slēgšanas tiesību piešķiršana uzlādes </w:t>
            </w:r>
            <w:r>
              <w:rPr>
                <w:noProof/>
              </w:rPr>
              <w:t>infrastruktūras uzstādīšanai M2</w:t>
            </w:r>
          </w:p>
        </w:tc>
      </w:tr>
      <w:tr w:rsidR="00C972CB" w14:paraId="4CC0A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2ECEB9" w14:textId="77777777" w:rsidR="00C972CB" w:rsidRDefault="002457F6">
            <w:pPr>
              <w:pStyle w:val="P68B1DB1-Normal12"/>
              <w:jc w:val="center"/>
              <w:rPr>
                <w:noProof/>
              </w:rPr>
            </w:pPr>
            <w:r>
              <w:rPr>
                <w:noProof/>
              </w:rPr>
              <w:t>M4C1–12</w:t>
            </w:r>
          </w:p>
        </w:tc>
        <w:tc>
          <w:tcPr>
            <w:tcW w:w="3118" w:type="dxa"/>
            <w:tcBorders>
              <w:top w:val="nil"/>
              <w:left w:val="nil"/>
              <w:bottom w:val="single" w:sz="4" w:space="0" w:color="auto"/>
              <w:right w:val="single" w:sz="4" w:space="0" w:color="auto"/>
            </w:tcBorders>
            <w:shd w:val="clear" w:color="auto" w:fill="C6EFCE"/>
            <w:noWrap/>
            <w:vAlign w:val="center"/>
          </w:tcPr>
          <w:p w14:paraId="59BD781B" w14:textId="77777777" w:rsidR="00C972CB" w:rsidRDefault="002457F6">
            <w:pPr>
              <w:pStyle w:val="P68B1DB1-Normal12"/>
              <w:rPr>
                <w:noProof/>
              </w:rPr>
            </w:pPr>
            <w:r>
              <w:rPr>
                <w:noProof/>
              </w:rPr>
              <w:t>Ieguldījums 4.1. Doktorantūras (uz pētniecību orientēta, valsts pārvalde un kultūras mantojums) skaita un karjeras iespēju paplašināšana</w:t>
            </w:r>
          </w:p>
        </w:tc>
        <w:tc>
          <w:tcPr>
            <w:tcW w:w="1418" w:type="dxa"/>
            <w:tcBorders>
              <w:top w:val="nil"/>
              <w:left w:val="nil"/>
              <w:bottom w:val="single" w:sz="4" w:space="0" w:color="auto"/>
              <w:right w:val="single" w:sz="4" w:space="0" w:color="auto"/>
            </w:tcBorders>
            <w:shd w:val="clear" w:color="auto" w:fill="C6EFCE"/>
            <w:noWrap/>
            <w:vAlign w:val="center"/>
          </w:tcPr>
          <w:p w14:paraId="54B58909" w14:textId="77777777" w:rsidR="00C972CB" w:rsidRDefault="002457F6">
            <w:pPr>
              <w:pStyle w:val="P68B1DB1-Normal12"/>
              <w:rPr>
                <w:noProof/>
                <w:color w:val="006600"/>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53570751" w14:textId="77777777" w:rsidR="00C972CB" w:rsidRDefault="002457F6">
            <w:pPr>
              <w:pStyle w:val="P68B1DB1-Normal12"/>
              <w:rPr>
                <w:noProof/>
                <w:color w:val="006600"/>
              </w:rPr>
            </w:pPr>
            <w:r>
              <w:rPr>
                <w:noProof/>
              </w:rPr>
              <w:t>Doktorantūras stipendiju programmas, ko piešķir gadā (trīs gados)</w:t>
            </w:r>
          </w:p>
        </w:tc>
      </w:tr>
      <w:tr w:rsidR="00C972CB" w14:paraId="48E86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3FEAA" w14:textId="77777777" w:rsidR="00C972CB" w:rsidRDefault="002457F6">
            <w:pPr>
              <w:pStyle w:val="P68B1DB1-Normal12"/>
              <w:jc w:val="center"/>
              <w:rPr>
                <w:noProof/>
              </w:rPr>
            </w:pPr>
            <w:r>
              <w:rPr>
                <w:noProof/>
              </w:rPr>
              <w:t>M4C1–</w:t>
            </w:r>
            <w:r>
              <w:rPr>
                <w:noProof/>
              </w:rPr>
              <w:t>14</w:t>
            </w:r>
          </w:p>
        </w:tc>
        <w:tc>
          <w:tcPr>
            <w:tcW w:w="3118" w:type="dxa"/>
            <w:tcBorders>
              <w:top w:val="nil"/>
              <w:left w:val="nil"/>
              <w:bottom w:val="single" w:sz="4" w:space="0" w:color="auto"/>
              <w:right w:val="single" w:sz="4" w:space="0" w:color="auto"/>
            </w:tcBorders>
            <w:shd w:val="clear" w:color="auto" w:fill="C6EFCE"/>
            <w:noWrap/>
            <w:vAlign w:val="center"/>
          </w:tcPr>
          <w:p w14:paraId="554D8D4F" w14:textId="77777777" w:rsidR="00C972CB" w:rsidRDefault="002457F6">
            <w:pPr>
              <w:pStyle w:val="P68B1DB1-Normal12"/>
              <w:rPr>
                <w:noProof/>
              </w:rPr>
            </w:pPr>
            <w:r>
              <w:rPr>
                <w:noProof/>
              </w:rPr>
              <w:t xml:space="preserve">Reforma. Skolotāju pieņemšana darbā </w:t>
            </w:r>
          </w:p>
        </w:tc>
        <w:tc>
          <w:tcPr>
            <w:tcW w:w="1418" w:type="dxa"/>
            <w:tcBorders>
              <w:top w:val="nil"/>
              <w:left w:val="nil"/>
              <w:bottom w:val="single" w:sz="4" w:space="0" w:color="auto"/>
              <w:right w:val="single" w:sz="4" w:space="0" w:color="auto"/>
            </w:tcBorders>
            <w:shd w:val="clear" w:color="auto" w:fill="C6EFCE"/>
            <w:noWrap/>
            <w:vAlign w:val="center"/>
          </w:tcPr>
          <w:p w14:paraId="1B32E977" w14:textId="77777777" w:rsidR="00C972CB" w:rsidRDefault="002457F6">
            <w:pPr>
              <w:pStyle w:val="P68B1DB1-Normal12"/>
              <w:rPr>
                <w:noProof/>
                <w:color w:val="006600"/>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0B3344F0" w14:textId="77777777" w:rsidR="00C972CB" w:rsidRDefault="002457F6">
            <w:pPr>
              <w:pStyle w:val="P68B1DB1-Normal12"/>
              <w:rPr>
                <w:noProof/>
                <w:color w:val="006600"/>
              </w:rPr>
            </w:pPr>
            <w:r>
              <w:rPr>
                <w:noProof/>
              </w:rPr>
              <w:t>Skolotāji, kas pieņemti darbā reformētajā darbā pieņemšanas sistēmā</w:t>
            </w:r>
          </w:p>
        </w:tc>
      </w:tr>
      <w:tr w:rsidR="00C972CB" w14:paraId="5F1F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114B18" w14:textId="77777777" w:rsidR="00C972CB" w:rsidRDefault="002457F6">
            <w:pPr>
              <w:pStyle w:val="P68B1DB1-Normal12"/>
              <w:jc w:val="center"/>
              <w:rPr>
                <w:noProof/>
              </w:rPr>
            </w:pPr>
            <w:r>
              <w:rPr>
                <w:noProof/>
              </w:rPr>
              <w:t>M4C1–15</w:t>
            </w:r>
          </w:p>
        </w:tc>
        <w:tc>
          <w:tcPr>
            <w:tcW w:w="3118" w:type="dxa"/>
            <w:tcBorders>
              <w:top w:val="nil"/>
              <w:left w:val="nil"/>
              <w:bottom w:val="single" w:sz="4" w:space="0" w:color="auto"/>
              <w:right w:val="single" w:sz="4" w:space="0" w:color="auto"/>
            </w:tcBorders>
            <w:shd w:val="clear" w:color="auto" w:fill="C6EFCE"/>
            <w:noWrap/>
            <w:vAlign w:val="center"/>
          </w:tcPr>
          <w:p w14:paraId="307AA6FF" w14:textId="77777777" w:rsidR="00C972CB" w:rsidRDefault="002457F6">
            <w:pPr>
              <w:pStyle w:val="P68B1DB1-Normal12"/>
              <w:rPr>
                <w:noProof/>
              </w:rPr>
            </w:pPr>
            <w:r>
              <w:rPr>
                <w:noProof/>
              </w:rPr>
              <w:t>Ieguldījums 1.7. Stipendijas par piekļuvi universitātēm</w:t>
            </w:r>
          </w:p>
        </w:tc>
        <w:tc>
          <w:tcPr>
            <w:tcW w:w="1418" w:type="dxa"/>
            <w:tcBorders>
              <w:top w:val="nil"/>
              <w:left w:val="nil"/>
              <w:bottom w:val="single" w:sz="4" w:space="0" w:color="auto"/>
              <w:right w:val="single" w:sz="4" w:space="0" w:color="auto"/>
            </w:tcBorders>
            <w:shd w:val="clear" w:color="auto" w:fill="C6EFCE"/>
            <w:noWrap/>
            <w:vAlign w:val="center"/>
          </w:tcPr>
          <w:p w14:paraId="6C653EDB" w14:textId="77777777" w:rsidR="00C972CB" w:rsidRDefault="002457F6">
            <w:pPr>
              <w:pStyle w:val="P68B1DB1-Normal12"/>
              <w:rPr>
                <w:noProof/>
                <w:color w:val="006600"/>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03293692" w14:textId="77777777" w:rsidR="00C972CB" w:rsidRDefault="002457F6">
            <w:pPr>
              <w:pStyle w:val="P68B1DB1-Normal12"/>
              <w:rPr>
                <w:noProof/>
                <w:color w:val="006600"/>
              </w:rPr>
            </w:pPr>
            <w:r>
              <w:rPr>
                <w:noProof/>
              </w:rPr>
              <w:t>Piešķirtās stipendijas par piekļuvi universitātei</w:t>
            </w:r>
          </w:p>
        </w:tc>
      </w:tr>
      <w:tr w:rsidR="00C972CB" w14:paraId="061893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B92E6B" w14:textId="77777777" w:rsidR="00C972CB" w:rsidRDefault="002457F6">
            <w:pPr>
              <w:pStyle w:val="P68B1DB1-Normal12"/>
              <w:jc w:val="center"/>
              <w:rPr>
                <w:noProof/>
              </w:rPr>
            </w:pPr>
            <w:r>
              <w:rPr>
                <w:noProof/>
              </w:rPr>
              <w:t>M4C2–3</w:t>
            </w:r>
          </w:p>
        </w:tc>
        <w:tc>
          <w:tcPr>
            <w:tcW w:w="3118" w:type="dxa"/>
            <w:tcBorders>
              <w:top w:val="nil"/>
              <w:left w:val="nil"/>
              <w:bottom w:val="single" w:sz="4" w:space="0" w:color="auto"/>
              <w:right w:val="single" w:sz="4" w:space="0" w:color="auto"/>
            </w:tcBorders>
            <w:shd w:val="clear" w:color="auto" w:fill="C6EFCE"/>
            <w:noWrap/>
            <w:vAlign w:val="center"/>
          </w:tcPr>
          <w:p w14:paraId="77369795" w14:textId="77777777" w:rsidR="00C972CB" w:rsidRDefault="002457F6">
            <w:pPr>
              <w:pStyle w:val="P68B1DB1-Normal12"/>
              <w:rPr>
                <w:noProof/>
              </w:rPr>
            </w:pPr>
            <w:r>
              <w:rPr>
                <w:noProof/>
              </w:rPr>
              <w:t xml:space="preserve">Ieguldījums </w:t>
            </w:r>
            <w:r>
              <w:rPr>
                <w:noProof/>
              </w:rPr>
              <w:t>3.3. Inovatīvu doktorantūras programmu ieviešana, kas atbilst inovācijas vajadzībām uzņēmumos un veicina pētnieku pieņemšanu darbā uzņēmumos</w:t>
            </w:r>
          </w:p>
        </w:tc>
        <w:tc>
          <w:tcPr>
            <w:tcW w:w="1418" w:type="dxa"/>
            <w:tcBorders>
              <w:top w:val="nil"/>
              <w:left w:val="nil"/>
              <w:bottom w:val="single" w:sz="4" w:space="0" w:color="auto"/>
              <w:right w:val="single" w:sz="4" w:space="0" w:color="auto"/>
            </w:tcBorders>
            <w:shd w:val="clear" w:color="auto" w:fill="C6EFCE"/>
            <w:noWrap/>
            <w:vAlign w:val="center"/>
          </w:tcPr>
          <w:p w14:paraId="046231BC" w14:textId="77777777" w:rsidR="00C972CB" w:rsidRDefault="002457F6">
            <w:pPr>
              <w:pStyle w:val="P68B1DB1-Normal12"/>
              <w:rPr>
                <w:noProof/>
                <w:color w:val="006600"/>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461A9D7D" w14:textId="77777777" w:rsidR="00C972CB" w:rsidRDefault="002457F6">
            <w:pPr>
              <w:pStyle w:val="P68B1DB1-Normal12"/>
              <w:rPr>
                <w:noProof/>
                <w:color w:val="006600"/>
              </w:rPr>
            </w:pPr>
            <w:r>
              <w:rPr>
                <w:noProof/>
              </w:rPr>
              <w:t>Tiek piešķirtas inovatīvas doktorantūras stipendijas</w:t>
            </w:r>
          </w:p>
        </w:tc>
      </w:tr>
      <w:tr w:rsidR="00C972CB" w14:paraId="2723A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F200A3" w14:textId="77777777" w:rsidR="00C972CB" w:rsidRDefault="002457F6">
            <w:pPr>
              <w:pStyle w:val="P68B1DB1-Normal12"/>
              <w:jc w:val="center"/>
              <w:rPr>
                <w:noProof/>
              </w:rPr>
            </w:pPr>
            <w:r>
              <w:rPr>
                <w:noProof/>
              </w:rPr>
              <w:t>M5C1–15bis</w:t>
            </w:r>
          </w:p>
        </w:tc>
        <w:tc>
          <w:tcPr>
            <w:tcW w:w="3118" w:type="dxa"/>
            <w:tcBorders>
              <w:top w:val="nil"/>
              <w:left w:val="nil"/>
              <w:bottom w:val="single" w:sz="4" w:space="0" w:color="auto"/>
              <w:right w:val="single" w:sz="4" w:space="0" w:color="auto"/>
            </w:tcBorders>
            <w:shd w:val="clear" w:color="auto" w:fill="C6EFCE"/>
            <w:noWrap/>
            <w:vAlign w:val="center"/>
          </w:tcPr>
          <w:p w14:paraId="1A0F621B" w14:textId="77777777" w:rsidR="00C972CB" w:rsidRDefault="002457F6">
            <w:pPr>
              <w:pStyle w:val="P68B1DB1-Normal12"/>
              <w:rPr>
                <w:noProof/>
              </w:rPr>
            </w:pPr>
            <w:r>
              <w:rPr>
                <w:noProof/>
              </w:rPr>
              <w:t>Ieguldījums 4 — Universālais civildienests</w:t>
            </w:r>
          </w:p>
        </w:tc>
        <w:tc>
          <w:tcPr>
            <w:tcW w:w="1418" w:type="dxa"/>
            <w:tcBorders>
              <w:top w:val="nil"/>
              <w:left w:val="nil"/>
              <w:bottom w:val="single" w:sz="4" w:space="0" w:color="auto"/>
              <w:right w:val="single" w:sz="4" w:space="0" w:color="auto"/>
            </w:tcBorders>
            <w:shd w:val="clear" w:color="auto" w:fill="C6EFCE"/>
            <w:noWrap/>
            <w:vAlign w:val="center"/>
          </w:tcPr>
          <w:p w14:paraId="5B336712" w14:textId="77777777" w:rsidR="00C972CB" w:rsidRDefault="002457F6">
            <w:pPr>
              <w:pStyle w:val="P68B1DB1-Normal12"/>
              <w:rPr>
                <w:noProof/>
                <w:color w:val="006600"/>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5E05FF65" w14:textId="77777777" w:rsidR="00C972CB" w:rsidRDefault="002457F6">
            <w:pPr>
              <w:rPr>
                <w:noProof/>
                <w:color w:val="006600"/>
                <w:sz w:val="20"/>
              </w:rPr>
            </w:pPr>
            <w:r>
              <w:rPr>
                <w:noProof/>
                <w:color w:val="006100"/>
                <w:sz w:val="20"/>
              </w:rPr>
              <w:t>Pašreizējā “Disposizioni concernenti la disciplina dei rapporti tra enti e operatora Volontari del servizio civile universale” normatīvā pārskatīšana, kas pieņemta 2019. gada 14.</w:t>
            </w:r>
            <w:r>
              <w:rPr>
                <w:rStyle w:val="font111"/>
                <w:noProof/>
                <w:vertAlign w:val="superscript"/>
              </w:rPr>
              <w:t>janvārī</w:t>
            </w:r>
            <w:r>
              <w:rPr>
                <w:rStyle w:val="font81"/>
                <w:rFonts w:eastAsiaTheme="majorEastAsia"/>
                <w:noProof/>
              </w:rPr>
              <w:t xml:space="preserve"> kā dpcm (decreto del Presidente del Consiglio dei Mi</w:t>
            </w:r>
            <w:r>
              <w:rPr>
                <w:rStyle w:val="font81"/>
                <w:rFonts w:eastAsiaTheme="majorEastAsia"/>
                <w:noProof/>
              </w:rPr>
              <w:t xml:space="preserve">nistri) ar mērķi stiprināt universālo civildienestu </w:t>
            </w:r>
          </w:p>
        </w:tc>
      </w:tr>
      <w:tr w:rsidR="00C972CB" w14:paraId="76785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3A756" w14:textId="77777777" w:rsidR="00C972CB" w:rsidRDefault="002457F6">
            <w:pPr>
              <w:pStyle w:val="P68B1DB1-Normal12"/>
              <w:jc w:val="center"/>
              <w:rPr>
                <w:noProof/>
              </w:rPr>
            </w:pPr>
            <w:r>
              <w:rPr>
                <w:noProof/>
              </w:rPr>
              <w:t>M7–1</w:t>
            </w:r>
          </w:p>
        </w:tc>
        <w:tc>
          <w:tcPr>
            <w:tcW w:w="3118" w:type="dxa"/>
            <w:tcBorders>
              <w:top w:val="nil"/>
              <w:left w:val="nil"/>
              <w:bottom w:val="single" w:sz="4" w:space="0" w:color="auto"/>
              <w:right w:val="single" w:sz="4" w:space="0" w:color="auto"/>
            </w:tcBorders>
            <w:shd w:val="clear" w:color="auto" w:fill="C6EFCE"/>
            <w:noWrap/>
            <w:vAlign w:val="center"/>
          </w:tcPr>
          <w:p w14:paraId="27675E31" w14:textId="77777777" w:rsidR="00C972CB" w:rsidRDefault="002457F6">
            <w:pPr>
              <w:pStyle w:val="P68B1DB1-Normal12"/>
              <w:rPr>
                <w:noProof/>
              </w:rPr>
            </w:pPr>
            <w:r>
              <w:rPr>
                <w:noProof/>
              </w:rPr>
              <w:t>Reforma: Atjaunīgās enerģijas atļauju piešķiršanas procedūru racionalizēšana</w:t>
            </w:r>
          </w:p>
        </w:tc>
        <w:tc>
          <w:tcPr>
            <w:tcW w:w="1418" w:type="dxa"/>
            <w:tcBorders>
              <w:top w:val="nil"/>
              <w:left w:val="nil"/>
              <w:bottom w:val="single" w:sz="4" w:space="0" w:color="auto"/>
              <w:right w:val="single" w:sz="4" w:space="0" w:color="auto"/>
            </w:tcBorders>
            <w:shd w:val="clear" w:color="auto" w:fill="C6EFCE"/>
            <w:noWrap/>
            <w:vAlign w:val="center"/>
          </w:tcPr>
          <w:p w14:paraId="4395505F" w14:textId="77777777" w:rsidR="00C972CB" w:rsidRDefault="002457F6">
            <w:pPr>
              <w:pStyle w:val="P68B1DB1-Normal12"/>
              <w:rPr>
                <w:noProof/>
                <w:color w:val="006600"/>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52392CCB" w14:textId="77777777" w:rsidR="00C972CB" w:rsidRDefault="002457F6">
            <w:pPr>
              <w:pStyle w:val="P68B1DB1-Normal12"/>
              <w:rPr>
                <w:noProof/>
                <w:color w:val="006600"/>
              </w:rPr>
            </w:pPr>
            <w:r>
              <w:rPr>
                <w:noProof/>
              </w:rPr>
              <w:t>“Atjaunojamo energoresursu paātrinājuma zonu” noteikšana</w:t>
            </w:r>
          </w:p>
        </w:tc>
      </w:tr>
      <w:tr w:rsidR="00C972CB" w14:paraId="255100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D1AE24" w14:textId="77777777" w:rsidR="00C972CB" w:rsidRDefault="002457F6">
            <w:pPr>
              <w:pStyle w:val="P68B1DB1-Normal12"/>
              <w:jc w:val="center"/>
              <w:rPr>
                <w:noProof/>
              </w:rPr>
            </w:pPr>
            <w:r>
              <w:rPr>
                <w:noProof/>
              </w:rPr>
              <w:t>M7–4</w:t>
            </w:r>
          </w:p>
        </w:tc>
        <w:tc>
          <w:tcPr>
            <w:tcW w:w="3118" w:type="dxa"/>
            <w:tcBorders>
              <w:top w:val="nil"/>
              <w:left w:val="nil"/>
              <w:bottom w:val="single" w:sz="4" w:space="0" w:color="auto"/>
              <w:right w:val="single" w:sz="4" w:space="0" w:color="auto"/>
            </w:tcBorders>
            <w:shd w:val="clear" w:color="auto" w:fill="C6EFCE"/>
            <w:noWrap/>
            <w:vAlign w:val="center"/>
          </w:tcPr>
          <w:p w14:paraId="07123CE0" w14:textId="77777777" w:rsidR="00C972CB" w:rsidRDefault="002457F6">
            <w:pPr>
              <w:pStyle w:val="P68B1DB1-Normal12"/>
              <w:rPr>
                <w:noProof/>
              </w:rPr>
            </w:pPr>
            <w:r>
              <w:rPr>
                <w:noProof/>
              </w:rPr>
              <w:t>Reforma: Videi kaitīgu subsīdiju samazi</w:t>
            </w:r>
            <w:r>
              <w:rPr>
                <w:noProof/>
              </w:rPr>
              <w:t>nāšana</w:t>
            </w:r>
          </w:p>
        </w:tc>
        <w:tc>
          <w:tcPr>
            <w:tcW w:w="1418" w:type="dxa"/>
            <w:tcBorders>
              <w:top w:val="nil"/>
              <w:left w:val="nil"/>
              <w:bottom w:val="single" w:sz="4" w:space="0" w:color="auto"/>
              <w:right w:val="single" w:sz="4" w:space="0" w:color="auto"/>
            </w:tcBorders>
            <w:shd w:val="clear" w:color="auto" w:fill="C6EFCE"/>
            <w:noWrap/>
            <w:vAlign w:val="center"/>
          </w:tcPr>
          <w:p w14:paraId="61B60DC7"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203B7DAC" w14:textId="77777777" w:rsidR="00C972CB" w:rsidRDefault="002457F6">
            <w:pPr>
              <w:pStyle w:val="P68B1DB1-Normal12"/>
              <w:rPr>
                <w:noProof/>
              </w:rPr>
            </w:pPr>
            <w:r>
              <w:rPr>
                <w:noProof/>
              </w:rPr>
              <w:t>Valdības ziņojuma pieņemšana, pamatojoties uz rezultātiem, kas gūti valdības apspriedēs ar ieinteresētajām personām, lai noteiktu ceļvedi videi kaitīgu subsīdiju samazināšanai līdz 2030. gadam.</w:t>
            </w:r>
          </w:p>
        </w:tc>
      </w:tr>
      <w:tr w:rsidR="00C972CB" w14:paraId="4FB488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4F5B3" w14:textId="77777777" w:rsidR="00C972CB" w:rsidRDefault="002457F6">
            <w:pPr>
              <w:pStyle w:val="P68B1DB1-Normal12"/>
              <w:jc w:val="center"/>
              <w:rPr>
                <w:noProof/>
              </w:rPr>
            </w:pPr>
            <w:r>
              <w:rPr>
                <w:noProof/>
              </w:rPr>
              <w:t>M7–8</w:t>
            </w:r>
          </w:p>
        </w:tc>
        <w:tc>
          <w:tcPr>
            <w:tcW w:w="3118" w:type="dxa"/>
            <w:tcBorders>
              <w:top w:val="nil"/>
              <w:left w:val="nil"/>
              <w:bottom w:val="single" w:sz="4" w:space="0" w:color="auto"/>
              <w:right w:val="single" w:sz="4" w:space="0" w:color="auto"/>
            </w:tcBorders>
            <w:shd w:val="clear" w:color="auto" w:fill="C6EFCE"/>
            <w:noWrap/>
            <w:vAlign w:val="center"/>
          </w:tcPr>
          <w:p w14:paraId="00A2949F" w14:textId="77777777" w:rsidR="00C972CB" w:rsidRDefault="002457F6">
            <w:pPr>
              <w:pStyle w:val="P68B1DB1-Normal12"/>
              <w:rPr>
                <w:noProof/>
              </w:rPr>
            </w:pPr>
            <w:r>
              <w:rPr>
                <w:noProof/>
              </w:rPr>
              <w:t xml:space="preserve">Reforma. Ar atjaunojamiem EPL </w:t>
            </w:r>
            <w:r>
              <w:rPr>
                <w:noProof/>
              </w:rPr>
              <w:t>saistītā finanšu riska mazināšana (pašu pirkuma līgumi)</w:t>
            </w:r>
          </w:p>
        </w:tc>
        <w:tc>
          <w:tcPr>
            <w:tcW w:w="1418" w:type="dxa"/>
            <w:tcBorders>
              <w:top w:val="nil"/>
              <w:left w:val="nil"/>
              <w:bottom w:val="single" w:sz="4" w:space="0" w:color="auto"/>
              <w:right w:val="single" w:sz="4" w:space="0" w:color="auto"/>
            </w:tcBorders>
            <w:shd w:val="clear" w:color="auto" w:fill="C6EFCE"/>
            <w:noWrap/>
            <w:vAlign w:val="center"/>
          </w:tcPr>
          <w:p w14:paraId="782C3AE6"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53DC9106" w14:textId="77777777" w:rsidR="00C972CB" w:rsidRDefault="002457F6">
            <w:pPr>
              <w:pStyle w:val="P68B1DB1-Normal12"/>
              <w:rPr>
                <w:noProof/>
              </w:rPr>
            </w:pPr>
            <w:r>
              <w:rPr>
                <w:noProof/>
              </w:rPr>
              <w:t>Sekundāro tiesību aktu stāšanās spēkā</w:t>
            </w:r>
          </w:p>
        </w:tc>
      </w:tr>
      <w:tr w:rsidR="00C972CB" w14:paraId="667AEA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D7BBAC" w14:textId="77777777" w:rsidR="00C972CB" w:rsidRDefault="002457F6">
            <w:pPr>
              <w:pStyle w:val="P68B1DB1-Normal12"/>
              <w:jc w:val="center"/>
              <w:rPr>
                <w:noProof/>
              </w:rPr>
            </w:pPr>
            <w:r>
              <w:rPr>
                <w:noProof/>
              </w:rPr>
              <w:t>M7–16</w:t>
            </w:r>
          </w:p>
        </w:tc>
        <w:tc>
          <w:tcPr>
            <w:tcW w:w="3118" w:type="dxa"/>
            <w:tcBorders>
              <w:top w:val="nil"/>
              <w:left w:val="nil"/>
              <w:bottom w:val="single" w:sz="4" w:space="0" w:color="auto"/>
              <w:right w:val="single" w:sz="4" w:space="0" w:color="auto"/>
            </w:tcBorders>
            <w:shd w:val="clear" w:color="auto" w:fill="C6EFCE"/>
            <w:noWrap/>
            <w:vAlign w:val="center"/>
          </w:tcPr>
          <w:p w14:paraId="7E479337" w14:textId="77777777" w:rsidR="00C972CB" w:rsidRDefault="002457F6">
            <w:pPr>
              <w:pStyle w:val="P68B1DB1-Normal12"/>
              <w:rPr>
                <w:noProof/>
              </w:rPr>
            </w:pPr>
            <w:r>
              <w:rPr>
                <w:noProof/>
              </w:rPr>
              <w:t>Ieguldījums Nr. 5: SA.CO.I.3</w:t>
            </w:r>
          </w:p>
        </w:tc>
        <w:tc>
          <w:tcPr>
            <w:tcW w:w="1418" w:type="dxa"/>
            <w:tcBorders>
              <w:top w:val="nil"/>
              <w:left w:val="nil"/>
              <w:bottom w:val="single" w:sz="4" w:space="0" w:color="auto"/>
              <w:right w:val="single" w:sz="4" w:space="0" w:color="auto"/>
            </w:tcBorders>
            <w:shd w:val="clear" w:color="auto" w:fill="C6EFCE"/>
            <w:noWrap/>
            <w:vAlign w:val="center"/>
          </w:tcPr>
          <w:p w14:paraId="1AE7AE1A"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450EDE82" w14:textId="77777777" w:rsidR="00C972CB" w:rsidRDefault="002457F6">
            <w:pPr>
              <w:pStyle w:val="P68B1DB1-Normal12"/>
              <w:rPr>
                <w:noProof/>
              </w:rPr>
            </w:pPr>
            <w:r>
              <w:rPr>
                <w:noProof/>
              </w:rPr>
              <w:t>Līgumu piešķiršana</w:t>
            </w:r>
          </w:p>
        </w:tc>
      </w:tr>
      <w:tr w:rsidR="00C972CB" w14:paraId="03DD1D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83496E" w14:textId="77777777" w:rsidR="00C972CB" w:rsidRDefault="002457F6">
            <w:pPr>
              <w:pStyle w:val="P68B1DB1-Normal12"/>
              <w:jc w:val="center"/>
              <w:rPr>
                <w:noProof/>
              </w:rPr>
            </w:pPr>
            <w:r>
              <w:rPr>
                <w:noProof/>
              </w:rPr>
              <w:t>M4C1–10 bis</w:t>
            </w:r>
          </w:p>
        </w:tc>
        <w:tc>
          <w:tcPr>
            <w:tcW w:w="3118" w:type="dxa"/>
            <w:tcBorders>
              <w:top w:val="nil"/>
              <w:left w:val="nil"/>
              <w:bottom w:val="single" w:sz="4" w:space="0" w:color="auto"/>
              <w:right w:val="single" w:sz="4" w:space="0" w:color="auto"/>
            </w:tcBorders>
            <w:shd w:val="clear" w:color="auto" w:fill="C6EFCE"/>
            <w:noWrap/>
            <w:vAlign w:val="center"/>
          </w:tcPr>
          <w:p w14:paraId="0BA4D063" w14:textId="77777777" w:rsidR="00C972CB" w:rsidRDefault="002457F6">
            <w:pPr>
              <w:pStyle w:val="P68B1DB1-Normal12"/>
              <w:rPr>
                <w:noProof/>
              </w:rPr>
            </w:pPr>
            <w:r>
              <w:rPr>
                <w:noProof/>
              </w:rPr>
              <w:t>Reforma. Tehnisko un profesionālo institūtu reforma</w:t>
            </w:r>
          </w:p>
        </w:tc>
        <w:tc>
          <w:tcPr>
            <w:tcW w:w="1418" w:type="dxa"/>
            <w:tcBorders>
              <w:top w:val="nil"/>
              <w:left w:val="nil"/>
              <w:bottom w:val="single" w:sz="4" w:space="0" w:color="auto"/>
              <w:right w:val="single" w:sz="4" w:space="0" w:color="auto"/>
            </w:tcBorders>
            <w:shd w:val="clear" w:color="auto" w:fill="C6EFCE"/>
            <w:noWrap/>
            <w:vAlign w:val="center"/>
          </w:tcPr>
          <w:p w14:paraId="4CDB2E1F" w14:textId="77777777" w:rsidR="00C972CB" w:rsidRDefault="002457F6">
            <w:pPr>
              <w:pStyle w:val="P68B1DB1-Normal12"/>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0F853208" w14:textId="77777777" w:rsidR="00C972CB" w:rsidRDefault="002457F6">
            <w:pPr>
              <w:pStyle w:val="P68B1DB1-Normal12"/>
              <w:rPr>
                <w:noProof/>
              </w:rPr>
            </w:pPr>
            <w:r>
              <w:rPr>
                <w:noProof/>
              </w:rPr>
              <w:t>Sekundāro tiesību aktu stāšanās spēkā.</w:t>
            </w:r>
          </w:p>
        </w:tc>
      </w:tr>
      <w:tr w:rsidR="00C972CB" w14:paraId="0329918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BE7AC5" w14:textId="77777777" w:rsidR="00C972CB" w:rsidRDefault="00C972C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2A78BCCC" w14:textId="77777777" w:rsidR="00C972CB" w:rsidRDefault="00C972C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74EFA0CB" w14:textId="77777777" w:rsidR="00C972CB" w:rsidRDefault="002457F6">
            <w:pPr>
              <w:pStyle w:val="P68B1DB1-Normal12"/>
              <w:rPr>
                <w:noProof/>
              </w:rPr>
            </w:pPr>
            <w:r>
              <w:rPr>
                <w:noProof/>
              </w:rPr>
              <w:t>Maksājuma summa</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27F87EEA" w14:textId="192163AF" w:rsidR="00C972CB" w:rsidRDefault="002457F6">
            <w:pPr>
              <w:pStyle w:val="P68B1DB1-Normal46"/>
              <w:rPr>
                <w:noProof/>
              </w:rPr>
            </w:pPr>
            <w:r>
              <w:rPr>
                <w:noProof/>
              </w:rPr>
              <w:t>5</w:t>
            </w:r>
            <w:r>
              <w:rPr>
                <w:noProof/>
              </w:rPr>
              <w:t> </w:t>
            </w:r>
            <w:r>
              <w:rPr>
                <w:noProof/>
              </w:rPr>
              <w:t>991</w:t>
            </w:r>
            <w:r>
              <w:rPr>
                <w:noProof/>
              </w:rPr>
              <w:t> </w:t>
            </w:r>
            <w:r>
              <w:rPr>
                <w:noProof/>
              </w:rPr>
              <w:t>809</w:t>
            </w:r>
            <w:r>
              <w:rPr>
                <w:noProof/>
              </w:rPr>
              <w:t> </w:t>
            </w:r>
            <w:r>
              <w:rPr>
                <w:noProof/>
              </w:rPr>
              <w:t>595</w:t>
            </w:r>
            <w:r>
              <w:rPr>
                <w:noProof/>
              </w:rPr>
              <w:t> </w:t>
            </w:r>
            <w:r>
              <w:rPr>
                <w:noProof/>
              </w:rPr>
              <w:t>EUR</w:t>
            </w:r>
          </w:p>
        </w:tc>
      </w:tr>
    </w:tbl>
    <w:p w14:paraId="74953F3A" w14:textId="1F94E648" w:rsidR="00C972CB" w:rsidRDefault="002457F6">
      <w:pPr>
        <w:pStyle w:val="P68B1DB1-Normal44"/>
        <w:numPr>
          <w:ilvl w:val="1"/>
          <w:numId w:val="6"/>
        </w:numPr>
        <w:spacing w:before="120" w:after="120"/>
        <w:jc w:val="both"/>
        <w:rPr>
          <w:noProof/>
        </w:rPr>
      </w:pPr>
      <w:r>
        <w:rPr>
          <w:noProof/>
        </w:rPr>
        <w:t>Astotā daļa (neatmaksājams atbalsts):</w:t>
      </w:r>
    </w:p>
    <w:tbl>
      <w:tblPr>
        <w:tblW w:w="9991" w:type="dxa"/>
        <w:tblInd w:w="113" w:type="dxa"/>
        <w:tblLook w:val="04A0" w:firstRow="1" w:lastRow="0" w:firstColumn="1" w:lastColumn="0" w:noHBand="0" w:noVBand="1"/>
      </w:tblPr>
      <w:tblGrid>
        <w:gridCol w:w="1413"/>
        <w:gridCol w:w="3118"/>
        <w:gridCol w:w="1983"/>
        <w:gridCol w:w="4020"/>
      </w:tblGrid>
      <w:tr w:rsidR="00C972CB" w14:paraId="10D12EC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4261386" w14:textId="77777777" w:rsidR="00C972CB" w:rsidRDefault="002457F6">
            <w:pPr>
              <w:pStyle w:val="P68B1DB1-Normal45"/>
              <w:jc w:val="center"/>
              <w:rPr>
                <w:noProof/>
              </w:rPr>
            </w:pPr>
            <w:r>
              <w:rPr>
                <w:noProof/>
              </w:rPr>
              <w:t>Kārtas numurs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C7C987" w14:textId="77777777" w:rsidR="00C972CB" w:rsidRDefault="002457F6">
            <w:pPr>
              <w:pStyle w:val="P68B1DB1-Normal45"/>
              <w:jc w:val="center"/>
              <w:rPr>
                <w:noProof/>
              </w:rPr>
            </w:pPr>
            <w:r>
              <w:rPr>
                <w:noProof/>
              </w:rPr>
              <w:t>Pasākums (reforma vai investīcija)</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8B35AF" w14:textId="77777777" w:rsidR="00C972CB" w:rsidRDefault="002457F6">
            <w:pPr>
              <w:pStyle w:val="P68B1DB1-Normal45"/>
              <w:jc w:val="center"/>
              <w:rPr>
                <w:noProof/>
              </w:rPr>
            </w:pPr>
            <w:r>
              <w:rPr>
                <w:noProof/>
              </w:rPr>
              <w:t>Atskaites punkts/mērķrādītājs</w:t>
            </w:r>
          </w:p>
        </w:tc>
        <w:tc>
          <w:tcPr>
            <w:tcW w:w="4020" w:type="dxa"/>
            <w:vMerge w:val="restart"/>
            <w:tcBorders>
              <w:top w:val="single" w:sz="4" w:space="0" w:color="auto"/>
              <w:left w:val="nil"/>
              <w:bottom w:val="single" w:sz="4" w:space="0" w:color="auto"/>
              <w:right w:val="single" w:sz="4" w:space="0" w:color="auto"/>
            </w:tcBorders>
            <w:shd w:val="clear" w:color="auto" w:fill="BDD7EE"/>
            <w:vAlign w:val="center"/>
            <w:hideMark/>
          </w:tcPr>
          <w:p w14:paraId="319734CB" w14:textId="77777777" w:rsidR="00C972CB" w:rsidRDefault="002457F6">
            <w:pPr>
              <w:pStyle w:val="P68B1DB1-Normal45"/>
              <w:jc w:val="center"/>
              <w:rPr>
                <w:noProof/>
              </w:rPr>
            </w:pPr>
            <w:r>
              <w:rPr>
                <w:noProof/>
              </w:rPr>
              <w:t>Uzvārds</w:t>
            </w:r>
          </w:p>
        </w:tc>
      </w:tr>
      <w:tr w:rsidR="00C972CB" w14:paraId="59EFEBB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FB9F3E" w14:textId="77777777" w:rsidR="00C972CB" w:rsidRDefault="00C972C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18F467" w14:textId="77777777" w:rsidR="00C972CB" w:rsidRDefault="00C972CB">
            <w:pPr>
              <w:rPr>
                <w:b/>
                <w:noProof/>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364D5F5" w14:textId="77777777" w:rsidR="00C972CB" w:rsidRDefault="00C972CB">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4E70D6DE" w14:textId="77777777" w:rsidR="00C972CB" w:rsidRDefault="00C972CB">
            <w:pPr>
              <w:rPr>
                <w:b/>
                <w:noProof/>
              </w:rPr>
            </w:pPr>
          </w:p>
        </w:tc>
      </w:tr>
      <w:tr w:rsidR="00C972CB" w14:paraId="4966CE9B"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1FED4" w14:textId="77777777" w:rsidR="00C972CB" w:rsidRDefault="002457F6">
            <w:pPr>
              <w:pStyle w:val="P68B1DB1-Normal12"/>
              <w:jc w:val="center"/>
              <w:rPr>
                <w:noProof/>
              </w:rPr>
            </w:pPr>
            <w:r>
              <w:rPr>
                <w:noProof/>
              </w:rPr>
              <w:t>M1C1–23</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D09EBD2" w14:textId="77777777" w:rsidR="00C972CB" w:rsidRDefault="002457F6">
            <w:pPr>
              <w:pStyle w:val="P68B1DB1-Normal12"/>
              <w:jc w:val="center"/>
              <w:rPr>
                <w:noProof/>
              </w:rPr>
            </w:pPr>
            <w:r>
              <w:rPr>
                <w:noProof/>
              </w:rPr>
              <w:t xml:space="preserve">Ieguldījums 1.4.6.: </w:t>
            </w:r>
            <w:r>
              <w:rPr>
                <w:noProof/>
              </w:rPr>
              <w:t>Mobilitāte kā pakalpojums Itālijai</w:t>
            </w:r>
          </w:p>
        </w:tc>
        <w:tc>
          <w:tcPr>
            <w:tcW w:w="1440" w:type="dxa"/>
            <w:tcBorders>
              <w:top w:val="single" w:sz="4" w:space="0" w:color="auto"/>
              <w:left w:val="nil"/>
              <w:bottom w:val="single" w:sz="4" w:space="0" w:color="auto"/>
              <w:right w:val="single" w:sz="4" w:space="0" w:color="auto"/>
            </w:tcBorders>
            <w:shd w:val="clear" w:color="auto" w:fill="C6EFCE"/>
            <w:noWrap/>
            <w:vAlign w:val="center"/>
          </w:tcPr>
          <w:p w14:paraId="30A8CB34" w14:textId="77777777" w:rsidR="00C972CB" w:rsidRDefault="002457F6">
            <w:pPr>
              <w:pStyle w:val="P68B1DB1-Normal12"/>
              <w:jc w:val="center"/>
              <w:rPr>
                <w:noProof/>
              </w:rPr>
            </w:pPr>
            <w:r>
              <w:rPr>
                <w:noProof/>
              </w:rPr>
              <w:t>Starpposma mērķis</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568863BB" w14:textId="77777777" w:rsidR="00C972CB" w:rsidRDefault="002457F6">
            <w:pPr>
              <w:pStyle w:val="P68B1DB1-Normal12"/>
              <w:rPr>
                <w:noProof/>
              </w:rPr>
            </w:pPr>
            <w:r>
              <w:rPr>
                <w:noProof/>
              </w:rPr>
              <w:t>Mobilitāte kā pakalpojumu risinājumi M2</w:t>
            </w:r>
          </w:p>
        </w:tc>
      </w:tr>
      <w:tr w:rsidR="00C972CB" w14:paraId="4453B5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10E9B4" w14:textId="77777777" w:rsidR="00C972CB" w:rsidRDefault="002457F6">
            <w:pPr>
              <w:pStyle w:val="P68B1DB1-Normal12"/>
              <w:jc w:val="center"/>
              <w:rPr>
                <w:noProof/>
              </w:rPr>
            </w:pPr>
            <w:r>
              <w:rPr>
                <w:noProof/>
              </w:rPr>
              <w:t>M1C1–76</w:t>
            </w:r>
          </w:p>
        </w:tc>
        <w:tc>
          <w:tcPr>
            <w:tcW w:w="3118" w:type="dxa"/>
            <w:tcBorders>
              <w:top w:val="nil"/>
              <w:left w:val="nil"/>
              <w:bottom w:val="single" w:sz="4" w:space="0" w:color="auto"/>
              <w:right w:val="single" w:sz="4" w:space="0" w:color="auto"/>
            </w:tcBorders>
            <w:shd w:val="clear" w:color="auto" w:fill="C6EFCE"/>
            <w:noWrap/>
            <w:vAlign w:val="center"/>
          </w:tcPr>
          <w:p w14:paraId="0BE24642"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440" w:type="dxa"/>
            <w:tcBorders>
              <w:top w:val="nil"/>
              <w:left w:val="nil"/>
              <w:bottom w:val="single" w:sz="4" w:space="0" w:color="auto"/>
              <w:right w:val="single" w:sz="4" w:space="0" w:color="auto"/>
            </w:tcBorders>
            <w:shd w:val="clear" w:color="auto" w:fill="C6EFCE"/>
            <w:noWrap/>
            <w:vAlign w:val="center"/>
          </w:tcPr>
          <w:p w14:paraId="02ADF75F"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66F79D20" w14:textId="77777777" w:rsidR="00C972CB" w:rsidRDefault="002457F6">
            <w:pPr>
              <w:pStyle w:val="P68B1DB1-Normal12"/>
              <w:rPr>
                <w:noProof/>
              </w:rPr>
            </w:pPr>
            <w:r>
              <w:rPr>
                <w:noProof/>
              </w:rPr>
              <w:t xml:space="preserve">Samazināts vidējais dienu skaits, ko centrālās </w:t>
            </w:r>
            <w:r>
              <w:rPr>
                <w:noProof/>
              </w:rPr>
              <w:t>valsts pārvaldes iestādes izmanto, lai maksātu uzņēmumiem</w:t>
            </w:r>
          </w:p>
        </w:tc>
      </w:tr>
      <w:tr w:rsidR="00C972CB" w14:paraId="6744B4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727BF" w14:textId="77777777" w:rsidR="00C972CB" w:rsidRDefault="002457F6">
            <w:pPr>
              <w:pStyle w:val="P68B1DB1-Normal12"/>
              <w:jc w:val="center"/>
              <w:rPr>
                <w:noProof/>
              </w:rPr>
            </w:pPr>
            <w:r>
              <w:rPr>
                <w:noProof/>
              </w:rPr>
              <w:t>M1C1–77</w:t>
            </w:r>
          </w:p>
        </w:tc>
        <w:tc>
          <w:tcPr>
            <w:tcW w:w="3118" w:type="dxa"/>
            <w:tcBorders>
              <w:top w:val="nil"/>
              <w:left w:val="nil"/>
              <w:bottom w:val="single" w:sz="4" w:space="0" w:color="auto"/>
              <w:right w:val="single" w:sz="4" w:space="0" w:color="auto"/>
            </w:tcBorders>
            <w:shd w:val="clear" w:color="auto" w:fill="C6EFCE"/>
            <w:noWrap/>
            <w:vAlign w:val="center"/>
          </w:tcPr>
          <w:p w14:paraId="426CBD54"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440" w:type="dxa"/>
            <w:tcBorders>
              <w:top w:val="nil"/>
              <w:left w:val="nil"/>
              <w:bottom w:val="single" w:sz="4" w:space="0" w:color="auto"/>
              <w:right w:val="single" w:sz="4" w:space="0" w:color="auto"/>
            </w:tcBorders>
            <w:shd w:val="clear" w:color="auto" w:fill="C6EFCE"/>
            <w:noWrap/>
            <w:vAlign w:val="center"/>
          </w:tcPr>
          <w:p w14:paraId="60A80B6B"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29CAE1C9" w14:textId="77777777" w:rsidR="00C972CB" w:rsidRDefault="002457F6">
            <w:pPr>
              <w:pStyle w:val="P68B1DB1-Normal12"/>
              <w:rPr>
                <w:noProof/>
              </w:rPr>
            </w:pPr>
            <w:r>
              <w:rPr>
                <w:noProof/>
              </w:rPr>
              <w:t>Vidējais dienu skaits, kurā reģionālās publiskās pārvaldes iestādes maksā uzņēmumiem,</w:t>
            </w:r>
            <w:r>
              <w:rPr>
                <w:noProof/>
              </w:rPr>
              <w:t xml:space="preserve"> ir samazināts</w:t>
            </w:r>
          </w:p>
        </w:tc>
      </w:tr>
      <w:tr w:rsidR="00C972CB" w14:paraId="5EA9B3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D38CAA" w14:textId="77777777" w:rsidR="00C972CB" w:rsidRDefault="002457F6">
            <w:pPr>
              <w:pStyle w:val="P68B1DB1-Normal12"/>
              <w:jc w:val="center"/>
              <w:rPr>
                <w:noProof/>
              </w:rPr>
            </w:pPr>
            <w:r>
              <w:rPr>
                <w:noProof/>
              </w:rPr>
              <w:t>M1C1–78</w:t>
            </w:r>
          </w:p>
        </w:tc>
        <w:tc>
          <w:tcPr>
            <w:tcW w:w="3118" w:type="dxa"/>
            <w:tcBorders>
              <w:top w:val="nil"/>
              <w:left w:val="nil"/>
              <w:bottom w:val="single" w:sz="4" w:space="0" w:color="auto"/>
              <w:right w:val="single" w:sz="4" w:space="0" w:color="auto"/>
            </w:tcBorders>
            <w:shd w:val="clear" w:color="auto" w:fill="C6EFCE"/>
            <w:noWrap/>
            <w:vAlign w:val="center"/>
          </w:tcPr>
          <w:p w14:paraId="3BC8245C"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440" w:type="dxa"/>
            <w:tcBorders>
              <w:top w:val="nil"/>
              <w:left w:val="nil"/>
              <w:bottom w:val="single" w:sz="4" w:space="0" w:color="auto"/>
              <w:right w:val="single" w:sz="4" w:space="0" w:color="auto"/>
            </w:tcBorders>
            <w:shd w:val="clear" w:color="auto" w:fill="C6EFCE"/>
            <w:noWrap/>
            <w:vAlign w:val="center"/>
          </w:tcPr>
          <w:p w14:paraId="0827A5A8"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740AD567" w14:textId="77777777" w:rsidR="00C972CB" w:rsidRDefault="002457F6">
            <w:pPr>
              <w:pStyle w:val="P68B1DB1-Normal12"/>
              <w:rPr>
                <w:noProof/>
              </w:rPr>
            </w:pPr>
            <w:r>
              <w:rPr>
                <w:noProof/>
              </w:rPr>
              <w:t>Samazināts vidējais dienu skaits, ko vietējās publiskās pārvaldes iestādes izmanto, lai maksātu uzņēmumiem</w:t>
            </w:r>
          </w:p>
        </w:tc>
      </w:tr>
      <w:tr w:rsidR="00C972CB" w14:paraId="4920B4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4B8869" w14:textId="77777777" w:rsidR="00C972CB" w:rsidRDefault="002457F6">
            <w:pPr>
              <w:pStyle w:val="P68B1DB1-Normal12"/>
              <w:jc w:val="center"/>
              <w:rPr>
                <w:noProof/>
              </w:rPr>
            </w:pPr>
            <w:r>
              <w:rPr>
                <w:noProof/>
              </w:rPr>
              <w:t>M1C1–79</w:t>
            </w:r>
          </w:p>
        </w:tc>
        <w:tc>
          <w:tcPr>
            <w:tcW w:w="3118" w:type="dxa"/>
            <w:tcBorders>
              <w:top w:val="nil"/>
              <w:left w:val="nil"/>
              <w:bottom w:val="single" w:sz="4" w:space="0" w:color="auto"/>
              <w:right w:val="single" w:sz="4" w:space="0" w:color="auto"/>
            </w:tcBorders>
            <w:shd w:val="clear" w:color="auto" w:fill="C6EFCE"/>
            <w:noWrap/>
            <w:vAlign w:val="center"/>
          </w:tcPr>
          <w:p w14:paraId="7FBCED6C" w14:textId="77777777" w:rsidR="00C972CB" w:rsidRDefault="002457F6">
            <w:pPr>
              <w:pStyle w:val="P68B1DB1-Normal12"/>
              <w:jc w:val="center"/>
              <w:rPr>
                <w:noProof/>
              </w:rPr>
            </w:pPr>
            <w:r>
              <w:rPr>
                <w:noProof/>
              </w:rPr>
              <w:t>Reforma: Val</w:t>
            </w:r>
            <w:r>
              <w:rPr>
                <w:noProof/>
              </w:rPr>
              <w:t>sts pārvaldes iestāžu un veselības aizsardzības iestāžu kavēto maksājumu samazināšana</w:t>
            </w:r>
          </w:p>
        </w:tc>
        <w:tc>
          <w:tcPr>
            <w:tcW w:w="1440" w:type="dxa"/>
            <w:tcBorders>
              <w:top w:val="nil"/>
              <w:left w:val="nil"/>
              <w:bottom w:val="single" w:sz="4" w:space="0" w:color="auto"/>
              <w:right w:val="single" w:sz="4" w:space="0" w:color="auto"/>
            </w:tcBorders>
            <w:shd w:val="clear" w:color="auto" w:fill="C6EFCE"/>
            <w:noWrap/>
            <w:vAlign w:val="center"/>
          </w:tcPr>
          <w:p w14:paraId="0DED3ACE"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60F599F8" w14:textId="77777777" w:rsidR="00C972CB" w:rsidRDefault="002457F6">
            <w:pPr>
              <w:pStyle w:val="P68B1DB1-Normal12"/>
              <w:rPr>
                <w:noProof/>
              </w:rPr>
            </w:pPr>
            <w:r>
              <w:rPr>
                <w:noProof/>
              </w:rPr>
              <w:t>Samazināts vidējais dienu skaits, ko sabiedrības veselības pārvaldes iestādes izmanto, lai maksātu uzņēmumiem</w:t>
            </w:r>
          </w:p>
        </w:tc>
      </w:tr>
      <w:tr w:rsidR="00C972CB" w14:paraId="7DB17E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BC8AC7" w14:textId="77777777" w:rsidR="00C972CB" w:rsidRDefault="002457F6">
            <w:pPr>
              <w:pStyle w:val="P68B1DB1-Normal12"/>
              <w:jc w:val="center"/>
              <w:rPr>
                <w:noProof/>
              </w:rPr>
            </w:pPr>
            <w:r>
              <w:rPr>
                <w:noProof/>
              </w:rPr>
              <w:t>M1C1–80</w:t>
            </w:r>
          </w:p>
        </w:tc>
        <w:tc>
          <w:tcPr>
            <w:tcW w:w="3118" w:type="dxa"/>
            <w:tcBorders>
              <w:top w:val="nil"/>
              <w:left w:val="nil"/>
              <w:bottom w:val="single" w:sz="4" w:space="0" w:color="auto"/>
              <w:right w:val="single" w:sz="4" w:space="0" w:color="auto"/>
            </w:tcBorders>
            <w:shd w:val="clear" w:color="auto" w:fill="C6EFCE"/>
            <w:noWrap/>
            <w:vAlign w:val="center"/>
          </w:tcPr>
          <w:p w14:paraId="0A24B52F" w14:textId="77777777" w:rsidR="00C972CB" w:rsidRDefault="002457F6">
            <w:pPr>
              <w:pStyle w:val="P68B1DB1-Normal12"/>
              <w:jc w:val="center"/>
              <w:rPr>
                <w:noProof/>
              </w:rPr>
            </w:pPr>
            <w:r>
              <w:rPr>
                <w:noProof/>
              </w:rPr>
              <w:t xml:space="preserve">Reforma: Valsts pārvaldes iestāžu un </w:t>
            </w:r>
            <w:r>
              <w:rPr>
                <w:noProof/>
              </w:rPr>
              <w:t>veselības aizsardzības iestāžu kavēto maksājumu samazināšana</w:t>
            </w:r>
          </w:p>
        </w:tc>
        <w:tc>
          <w:tcPr>
            <w:tcW w:w="1440" w:type="dxa"/>
            <w:tcBorders>
              <w:top w:val="nil"/>
              <w:left w:val="nil"/>
              <w:bottom w:val="single" w:sz="4" w:space="0" w:color="auto"/>
              <w:right w:val="single" w:sz="4" w:space="0" w:color="auto"/>
            </w:tcBorders>
            <w:shd w:val="clear" w:color="auto" w:fill="C6EFCE"/>
            <w:noWrap/>
            <w:vAlign w:val="center"/>
          </w:tcPr>
          <w:p w14:paraId="3D478B17"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7CAFC1FA" w14:textId="77777777" w:rsidR="00C972CB" w:rsidRDefault="002457F6">
            <w:pPr>
              <w:pStyle w:val="P68B1DB1-Normal12"/>
              <w:rPr>
                <w:noProof/>
              </w:rPr>
            </w:pPr>
            <w:r>
              <w:rPr>
                <w:noProof/>
              </w:rPr>
              <w:t>Ir samazināts vidējais to dienu skaits, kurās centrālās valsts pārvaldes iestādes kavē maksāt uzņēmumiem</w:t>
            </w:r>
          </w:p>
        </w:tc>
      </w:tr>
      <w:tr w:rsidR="00C972CB" w14:paraId="7E0554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820A8" w14:textId="77777777" w:rsidR="00C972CB" w:rsidRDefault="002457F6">
            <w:pPr>
              <w:pStyle w:val="P68B1DB1-Normal12"/>
              <w:jc w:val="center"/>
              <w:rPr>
                <w:noProof/>
              </w:rPr>
            </w:pPr>
            <w:r>
              <w:rPr>
                <w:noProof/>
              </w:rPr>
              <w:t>M1C1–81</w:t>
            </w:r>
          </w:p>
        </w:tc>
        <w:tc>
          <w:tcPr>
            <w:tcW w:w="3118" w:type="dxa"/>
            <w:tcBorders>
              <w:top w:val="nil"/>
              <w:left w:val="nil"/>
              <w:bottom w:val="single" w:sz="4" w:space="0" w:color="auto"/>
              <w:right w:val="single" w:sz="4" w:space="0" w:color="auto"/>
            </w:tcBorders>
            <w:shd w:val="clear" w:color="auto" w:fill="C6EFCE"/>
            <w:noWrap/>
            <w:vAlign w:val="center"/>
          </w:tcPr>
          <w:p w14:paraId="58E99A95" w14:textId="77777777" w:rsidR="00C972CB" w:rsidRDefault="002457F6">
            <w:pPr>
              <w:pStyle w:val="P68B1DB1-Normal12"/>
              <w:jc w:val="center"/>
              <w:rPr>
                <w:noProof/>
              </w:rPr>
            </w:pPr>
            <w:r>
              <w:rPr>
                <w:noProof/>
              </w:rPr>
              <w:t xml:space="preserve">Reforma: Valsts pārvaldes iestāžu un veselības aizsardzības iestāžu kavēto </w:t>
            </w:r>
            <w:r>
              <w:rPr>
                <w:noProof/>
              </w:rPr>
              <w:t>maksājumu samazināšana</w:t>
            </w:r>
          </w:p>
        </w:tc>
        <w:tc>
          <w:tcPr>
            <w:tcW w:w="1440" w:type="dxa"/>
            <w:tcBorders>
              <w:top w:val="nil"/>
              <w:left w:val="nil"/>
              <w:bottom w:val="single" w:sz="4" w:space="0" w:color="auto"/>
              <w:right w:val="single" w:sz="4" w:space="0" w:color="auto"/>
            </w:tcBorders>
            <w:shd w:val="clear" w:color="auto" w:fill="C6EFCE"/>
            <w:noWrap/>
            <w:vAlign w:val="center"/>
          </w:tcPr>
          <w:p w14:paraId="14DC1FE5"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5BC05EE5" w14:textId="77777777" w:rsidR="00C972CB" w:rsidRDefault="002457F6">
            <w:pPr>
              <w:pStyle w:val="P68B1DB1-Normal12"/>
              <w:rPr>
                <w:noProof/>
              </w:rPr>
            </w:pPr>
            <w:r>
              <w:rPr>
                <w:noProof/>
              </w:rPr>
              <w:t>Vidējais dienu skaits, kad reģionālās publiskās pārvaldes iestādes kavē maksāt uzņēmumiem, ir samazināts</w:t>
            </w:r>
          </w:p>
        </w:tc>
      </w:tr>
      <w:tr w:rsidR="00C972CB" w14:paraId="6A1EB7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F4B3E" w14:textId="77777777" w:rsidR="00C972CB" w:rsidRDefault="002457F6">
            <w:pPr>
              <w:pStyle w:val="P68B1DB1-Normal12"/>
              <w:jc w:val="center"/>
              <w:rPr>
                <w:noProof/>
              </w:rPr>
            </w:pPr>
            <w:r>
              <w:rPr>
                <w:noProof/>
              </w:rPr>
              <w:t>M1C1–82</w:t>
            </w:r>
          </w:p>
        </w:tc>
        <w:tc>
          <w:tcPr>
            <w:tcW w:w="3118" w:type="dxa"/>
            <w:tcBorders>
              <w:top w:val="nil"/>
              <w:left w:val="nil"/>
              <w:bottom w:val="single" w:sz="4" w:space="0" w:color="auto"/>
              <w:right w:val="single" w:sz="4" w:space="0" w:color="auto"/>
            </w:tcBorders>
            <w:shd w:val="clear" w:color="auto" w:fill="C6EFCE"/>
            <w:noWrap/>
            <w:vAlign w:val="center"/>
          </w:tcPr>
          <w:p w14:paraId="6D4658DF"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440" w:type="dxa"/>
            <w:tcBorders>
              <w:top w:val="nil"/>
              <w:left w:val="nil"/>
              <w:bottom w:val="single" w:sz="4" w:space="0" w:color="auto"/>
              <w:right w:val="single" w:sz="4" w:space="0" w:color="auto"/>
            </w:tcBorders>
            <w:shd w:val="clear" w:color="auto" w:fill="C6EFCE"/>
            <w:noWrap/>
            <w:vAlign w:val="center"/>
          </w:tcPr>
          <w:p w14:paraId="3ECC4A90"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3E55515A" w14:textId="77777777" w:rsidR="00C972CB" w:rsidRDefault="002457F6">
            <w:pPr>
              <w:pStyle w:val="P68B1DB1-Normal12"/>
              <w:rPr>
                <w:noProof/>
              </w:rPr>
            </w:pPr>
            <w:r>
              <w:rPr>
                <w:noProof/>
              </w:rPr>
              <w:t xml:space="preserve">Ir </w:t>
            </w:r>
            <w:r>
              <w:rPr>
                <w:noProof/>
              </w:rPr>
              <w:t>samazināts vidējais to dienu skaits, kurās vietējās publiskās pārvaldes iestādes kavē maksāt uzņēmumiem</w:t>
            </w:r>
          </w:p>
        </w:tc>
      </w:tr>
      <w:tr w:rsidR="00C972CB" w14:paraId="7CD68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7CE4BF" w14:textId="77777777" w:rsidR="00C972CB" w:rsidRDefault="002457F6">
            <w:pPr>
              <w:pStyle w:val="P68B1DB1-Normal12"/>
              <w:jc w:val="center"/>
              <w:rPr>
                <w:noProof/>
              </w:rPr>
            </w:pPr>
            <w:r>
              <w:rPr>
                <w:noProof/>
              </w:rPr>
              <w:t>M1C1–83</w:t>
            </w:r>
          </w:p>
        </w:tc>
        <w:tc>
          <w:tcPr>
            <w:tcW w:w="3118" w:type="dxa"/>
            <w:tcBorders>
              <w:top w:val="nil"/>
              <w:left w:val="nil"/>
              <w:bottom w:val="single" w:sz="4" w:space="0" w:color="auto"/>
              <w:right w:val="single" w:sz="4" w:space="0" w:color="auto"/>
            </w:tcBorders>
            <w:shd w:val="clear" w:color="auto" w:fill="C6EFCE"/>
            <w:noWrap/>
            <w:vAlign w:val="center"/>
          </w:tcPr>
          <w:p w14:paraId="4D60479B"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440" w:type="dxa"/>
            <w:tcBorders>
              <w:top w:val="nil"/>
              <w:left w:val="nil"/>
              <w:bottom w:val="single" w:sz="4" w:space="0" w:color="auto"/>
              <w:right w:val="single" w:sz="4" w:space="0" w:color="auto"/>
            </w:tcBorders>
            <w:shd w:val="clear" w:color="auto" w:fill="C6EFCE"/>
            <w:noWrap/>
            <w:vAlign w:val="center"/>
          </w:tcPr>
          <w:p w14:paraId="01A7E572"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2119FB9E" w14:textId="77777777" w:rsidR="00C972CB" w:rsidRDefault="002457F6">
            <w:pPr>
              <w:pStyle w:val="P68B1DB1-Normal12"/>
              <w:rPr>
                <w:noProof/>
              </w:rPr>
            </w:pPr>
            <w:r>
              <w:rPr>
                <w:noProof/>
              </w:rPr>
              <w:t>Tiek samazināts vidējais to dienu skait</w:t>
            </w:r>
            <w:r>
              <w:rPr>
                <w:noProof/>
              </w:rPr>
              <w:t>s, kurās veselības aprūpes valsts pārvaldes iestādes maksā uzņēmumiem</w:t>
            </w:r>
          </w:p>
        </w:tc>
      </w:tr>
      <w:tr w:rsidR="00C972CB" w14:paraId="4FCE3E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26A3E0" w14:textId="77777777" w:rsidR="00C972CB" w:rsidRDefault="002457F6">
            <w:pPr>
              <w:pStyle w:val="P68B1DB1-Normal12"/>
              <w:jc w:val="center"/>
              <w:rPr>
                <w:noProof/>
              </w:rPr>
            </w:pPr>
            <w:r>
              <w:rPr>
                <w:noProof/>
              </w:rPr>
              <w:t>M1C1–25</w:t>
            </w:r>
          </w:p>
        </w:tc>
        <w:tc>
          <w:tcPr>
            <w:tcW w:w="3118" w:type="dxa"/>
            <w:tcBorders>
              <w:top w:val="nil"/>
              <w:left w:val="nil"/>
              <w:bottom w:val="single" w:sz="4" w:space="0" w:color="auto"/>
              <w:right w:val="single" w:sz="4" w:space="0" w:color="auto"/>
            </w:tcBorders>
            <w:shd w:val="clear" w:color="auto" w:fill="C6EFCE"/>
            <w:noWrap/>
            <w:vAlign w:val="center"/>
          </w:tcPr>
          <w:p w14:paraId="3B69ADE7" w14:textId="77777777" w:rsidR="00C972CB" w:rsidRDefault="002457F6">
            <w:pPr>
              <w:pStyle w:val="P68B1DB1-Normal12"/>
              <w:jc w:val="center"/>
              <w:rPr>
                <w:noProof/>
              </w:rPr>
            </w:pPr>
            <w:r>
              <w:rPr>
                <w:noProof/>
              </w:rPr>
              <w:t>Ieguldījums 1.6.6.: Finanšu policijas digitalizācija</w:t>
            </w:r>
          </w:p>
        </w:tc>
        <w:tc>
          <w:tcPr>
            <w:tcW w:w="1440" w:type="dxa"/>
            <w:tcBorders>
              <w:top w:val="nil"/>
              <w:left w:val="nil"/>
              <w:bottom w:val="single" w:sz="4" w:space="0" w:color="auto"/>
              <w:right w:val="single" w:sz="4" w:space="0" w:color="auto"/>
            </w:tcBorders>
            <w:shd w:val="clear" w:color="auto" w:fill="C6EFCE"/>
            <w:noWrap/>
            <w:vAlign w:val="center"/>
          </w:tcPr>
          <w:p w14:paraId="6041557A" w14:textId="77777777" w:rsidR="00C972CB" w:rsidRDefault="002457F6">
            <w:pPr>
              <w:pStyle w:val="P68B1DB1-Normal12"/>
              <w:jc w:val="center"/>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45790C00" w14:textId="77777777" w:rsidR="00C972CB" w:rsidRDefault="002457F6">
            <w:pPr>
              <w:pStyle w:val="P68B1DB1-Normal12"/>
              <w:rPr>
                <w:noProof/>
              </w:rPr>
            </w:pPr>
            <w:r>
              <w:rPr>
                <w:noProof/>
              </w:rPr>
              <w:t>Attīstīt operatīvās informācijas sistēmas, ko izmanto cīņā pret ekonomiskajiem noziegumiem</w:t>
            </w:r>
          </w:p>
        </w:tc>
      </w:tr>
      <w:tr w:rsidR="00C972CB" w14:paraId="531339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91C2A" w14:textId="77777777" w:rsidR="00C972CB" w:rsidRDefault="002457F6">
            <w:pPr>
              <w:pStyle w:val="P68B1DB1-Normal12"/>
              <w:jc w:val="center"/>
              <w:rPr>
                <w:noProof/>
              </w:rPr>
            </w:pPr>
            <w:r>
              <w:rPr>
                <w:noProof/>
              </w:rPr>
              <w:t>M1C1–61</w:t>
            </w:r>
          </w:p>
        </w:tc>
        <w:tc>
          <w:tcPr>
            <w:tcW w:w="3118" w:type="dxa"/>
            <w:tcBorders>
              <w:top w:val="nil"/>
              <w:left w:val="nil"/>
              <w:bottom w:val="single" w:sz="4" w:space="0" w:color="auto"/>
              <w:right w:val="single" w:sz="4" w:space="0" w:color="auto"/>
            </w:tcBorders>
            <w:shd w:val="clear" w:color="auto" w:fill="C6EFCE"/>
            <w:noWrap/>
            <w:vAlign w:val="center"/>
          </w:tcPr>
          <w:p w14:paraId="47FA4B54" w14:textId="77777777" w:rsidR="00C972CB" w:rsidRDefault="002457F6">
            <w:pPr>
              <w:pStyle w:val="P68B1DB1-Normal12"/>
              <w:jc w:val="center"/>
              <w:rPr>
                <w:noProof/>
              </w:rPr>
            </w:pPr>
            <w:r>
              <w:rPr>
                <w:noProof/>
              </w:rPr>
              <w:t>Reforma: Valsts pārvaldes reforma</w:t>
            </w:r>
          </w:p>
        </w:tc>
        <w:tc>
          <w:tcPr>
            <w:tcW w:w="1440" w:type="dxa"/>
            <w:tcBorders>
              <w:top w:val="nil"/>
              <w:left w:val="nil"/>
              <w:bottom w:val="single" w:sz="4" w:space="0" w:color="auto"/>
              <w:right w:val="single" w:sz="4" w:space="0" w:color="auto"/>
            </w:tcBorders>
            <w:shd w:val="clear" w:color="auto" w:fill="C6EFCE"/>
            <w:noWrap/>
            <w:vAlign w:val="center"/>
          </w:tcPr>
          <w:p w14:paraId="6828A7B6" w14:textId="77777777" w:rsidR="00C972CB" w:rsidRDefault="002457F6">
            <w:pPr>
              <w:pStyle w:val="P68B1DB1-Normal12"/>
              <w:jc w:val="center"/>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7AB6D4EB" w14:textId="77777777" w:rsidR="00C972CB" w:rsidRDefault="002457F6">
            <w:pPr>
              <w:pStyle w:val="P68B1DB1-Normal12"/>
              <w:rPr>
                <w:noProof/>
              </w:rPr>
            </w:pPr>
            <w:r>
              <w:rPr>
                <w:noProof/>
              </w:rPr>
              <w:t>Papildu 50 kritiski svarīgu procedūru kopuma, kas tieši ietekmē iedzīvotājus, vienkāršošanas un/vai digitalizācijas pabeigšana (tostarp visi deleģētie akti)</w:t>
            </w:r>
          </w:p>
        </w:tc>
      </w:tr>
      <w:tr w:rsidR="00C972CB" w14:paraId="524596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90CBC6" w14:textId="77777777" w:rsidR="00C972CB" w:rsidRDefault="002457F6">
            <w:pPr>
              <w:pStyle w:val="P68B1DB1-Normal12"/>
              <w:jc w:val="center"/>
              <w:rPr>
                <w:noProof/>
              </w:rPr>
            </w:pPr>
            <w:r>
              <w:rPr>
                <w:noProof/>
              </w:rPr>
              <w:t>M1C1–62</w:t>
            </w:r>
          </w:p>
        </w:tc>
        <w:tc>
          <w:tcPr>
            <w:tcW w:w="3118" w:type="dxa"/>
            <w:tcBorders>
              <w:top w:val="nil"/>
              <w:left w:val="nil"/>
              <w:bottom w:val="single" w:sz="4" w:space="0" w:color="auto"/>
              <w:right w:val="single" w:sz="4" w:space="0" w:color="auto"/>
            </w:tcBorders>
            <w:shd w:val="clear" w:color="auto" w:fill="C6EFCE"/>
            <w:noWrap/>
            <w:vAlign w:val="center"/>
          </w:tcPr>
          <w:p w14:paraId="04E6253A" w14:textId="77777777" w:rsidR="00C972CB" w:rsidRDefault="002457F6">
            <w:pPr>
              <w:pStyle w:val="P68B1DB1-Normal12"/>
              <w:jc w:val="center"/>
              <w:rPr>
                <w:noProof/>
              </w:rPr>
            </w:pPr>
            <w:r>
              <w:rPr>
                <w:noProof/>
              </w:rPr>
              <w:t>Reforma: Valsts pārvaldes reforma</w:t>
            </w:r>
          </w:p>
        </w:tc>
        <w:tc>
          <w:tcPr>
            <w:tcW w:w="1440" w:type="dxa"/>
            <w:tcBorders>
              <w:top w:val="nil"/>
              <w:left w:val="nil"/>
              <w:bottom w:val="single" w:sz="4" w:space="0" w:color="auto"/>
              <w:right w:val="single" w:sz="4" w:space="0" w:color="auto"/>
            </w:tcBorders>
            <w:shd w:val="clear" w:color="auto" w:fill="C6EFCE"/>
            <w:noWrap/>
            <w:vAlign w:val="center"/>
          </w:tcPr>
          <w:p w14:paraId="0C2EE1B0" w14:textId="77777777" w:rsidR="00C972CB" w:rsidRDefault="002457F6">
            <w:pPr>
              <w:pStyle w:val="P68B1DB1-Normal12"/>
              <w:jc w:val="center"/>
              <w:rPr>
                <w:noProof/>
              </w:rPr>
            </w:pPr>
            <w:r>
              <w:rPr>
                <w:noProof/>
              </w:rPr>
              <w:t>Star</w:t>
            </w:r>
            <w:r>
              <w:rPr>
                <w:noProof/>
              </w:rPr>
              <w:t>pposma mērķis</w:t>
            </w:r>
          </w:p>
        </w:tc>
        <w:tc>
          <w:tcPr>
            <w:tcW w:w="4020" w:type="dxa"/>
            <w:tcBorders>
              <w:top w:val="nil"/>
              <w:left w:val="nil"/>
              <w:bottom w:val="single" w:sz="4" w:space="0" w:color="auto"/>
              <w:right w:val="single" w:sz="4" w:space="0" w:color="auto"/>
            </w:tcBorders>
            <w:shd w:val="clear" w:color="auto" w:fill="C6EFCE"/>
            <w:noWrap/>
            <w:vAlign w:val="center"/>
          </w:tcPr>
          <w:p w14:paraId="7D94D894" w14:textId="77777777" w:rsidR="00C972CB" w:rsidRDefault="002457F6">
            <w:pPr>
              <w:pStyle w:val="P68B1DB1-Normal12"/>
              <w:rPr>
                <w:noProof/>
              </w:rPr>
            </w:pPr>
            <w:r>
              <w:rPr>
                <w:noProof/>
              </w:rPr>
              <w:t>Palielināt ieguldījumu apgūšanu</w:t>
            </w:r>
          </w:p>
        </w:tc>
      </w:tr>
      <w:tr w:rsidR="00C972CB" w14:paraId="063A2A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9B8842" w14:textId="77777777" w:rsidR="00C972CB" w:rsidRDefault="002457F6">
            <w:pPr>
              <w:pStyle w:val="P68B1DB1-Normal12"/>
              <w:jc w:val="center"/>
              <w:rPr>
                <w:noProof/>
              </w:rPr>
            </w:pPr>
            <w:r>
              <w:rPr>
                <w:noProof/>
              </w:rPr>
              <w:t>M1C1–115</w:t>
            </w:r>
          </w:p>
        </w:tc>
        <w:tc>
          <w:tcPr>
            <w:tcW w:w="3118" w:type="dxa"/>
            <w:tcBorders>
              <w:top w:val="nil"/>
              <w:left w:val="nil"/>
              <w:bottom w:val="single" w:sz="4" w:space="0" w:color="auto"/>
              <w:right w:val="single" w:sz="4" w:space="0" w:color="auto"/>
            </w:tcBorders>
            <w:shd w:val="clear" w:color="auto" w:fill="C6EFCE"/>
            <w:noWrap/>
            <w:vAlign w:val="center"/>
          </w:tcPr>
          <w:p w14:paraId="33C723A5" w14:textId="77777777" w:rsidR="00C972CB" w:rsidRDefault="002457F6">
            <w:pPr>
              <w:pStyle w:val="P68B1DB1-Normal12"/>
              <w:jc w:val="center"/>
              <w:rPr>
                <w:noProof/>
              </w:rPr>
            </w:pPr>
            <w:r>
              <w:rPr>
                <w:noProof/>
              </w:rPr>
              <w:t>Reforma Nr. 1.13: Izdevumu pārskatīšanas sistēmas reforma</w:t>
            </w:r>
          </w:p>
        </w:tc>
        <w:tc>
          <w:tcPr>
            <w:tcW w:w="1440" w:type="dxa"/>
            <w:tcBorders>
              <w:top w:val="nil"/>
              <w:left w:val="nil"/>
              <w:bottom w:val="single" w:sz="4" w:space="0" w:color="auto"/>
              <w:right w:val="single" w:sz="4" w:space="0" w:color="auto"/>
            </w:tcBorders>
            <w:shd w:val="clear" w:color="auto" w:fill="C6EFCE"/>
            <w:noWrap/>
            <w:vAlign w:val="center"/>
          </w:tcPr>
          <w:p w14:paraId="79AF3858" w14:textId="77777777" w:rsidR="00C972CB" w:rsidRDefault="002457F6">
            <w:pPr>
              <w:pStyle w:val="P68B1DB1-Normal12"/>
              <w:jc w:val="center"/>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52118C24" w14:textId="77777777" w:rsidR="00C972CB" w:rsidRDefault="002457F6">
            <w:pPr>
              <w:pStyle w:val="P68B1DB1-Normal12"/>
              <w:rPr>
                <w:noProof/>
              </w:rPr>
            </w:pPr>
            <w:r>
              <w:rPr>
                <w:noProof/>
              </w:rPr>
              <w:t>2024. gada izdevumu pārskata pabeigšana, atsaucoties uz ietaupījumu mērķi, kas 2024. gadam noteikts 2022. un 2023. gadā</w:t>
            </w:r>
          </w:p>
        </w:tc>
      </w:tr>
      <w:tr w:rsidR="00C972CB" w14:paraId="3A0E18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88DFA1" w14:textId="77777777" w:rsidR="00C972CB" w:rsidRDefault="002457F6">
            <w:pPr>
              <w:pStyle w:val="P68B1DB1-Normal12"/>
              <w:jc w:val="center"/>
              <w:rPr>
                <w:noProof/>
              </w:rPr>
            </w:pPr>
            <w:r>
              <w:rPr>
                <w:noProof/>
              </w:rPr>
              <w:t>M1C2–3</w:t>
            </w:r>
          </w:p>
        </w:tc>
        <w:tc>
          <w:tcPr>
            <w:tcW w:w="3118" w:type="dxa"/>
            <w:tcBorders>
              <w:top w:val="nil"/>
              <w:left w:val="nil"/>
              <w:bottom w:val="single" w:sz="4" w:space="0" w:color="auto"/>
              <w:right w:val="single" w:sz="4" w:space="0" w:color="auto"/>
            </w:tcBorders>
            <w:shd w:val="clear" w:color="auto" w:fill="C6EFCE"/>
            <w:noWrap/>
            <w:vAlign w:val="center"/>
          </w:tcPr>
          <w:p w14:paraId="1DF7DF35" w14:textId="77777777" w:rsidR="00C972CB" w:rsidRDefault="002457F6">
            <w:pPr>
              <w:pStyle w:val="P68B1DB1-Normal12"/>
              <w:jc w:val="center"/>
              <w:rPr>
                <w:noProof/>
              </w:rPr>
            </w:pPr>
            <w:r>
              <w:rPr>
                <w:noProof/>
              </w:rPr>
              <w:t>Ieguldījums: Pāreja 4.0</w:t>
            </w:r>
          </w:p>
        </w:tc>
        <w:tc>
          <w:tcPr>
            <w:tcW w:w="1440" w:type="dxa"/>
            <w:tcBorders>
              <w:top w:val="nil"/>
              <w:left w:val="nil"/>
              <w:bottom w:val="single" w:sz="4" w:space="0" w:color="auto"/>
              <w:right w:val="single" w:sz="4" w:space="0" w:color="auto"/>
            </w:tcBorders>
            <w:shd w:val="clear" w:color="auto" w:fill="C6EFCE"/>
            <w:noWrap/>
            <w:vAlign w:val="center"/>
          </w:tcPr>
          <w:p w14:paraId="493AC52D"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6EAB3B48" w14:textId="77777777" w:rsidR="00C972CB" w:rsidRDefault="002457F6">
            <w:pPr>
              <w:pStyle w:val="P68B1DB1-Normal12"/>
              <w:rPr>
                <w:noProof/>
              </w:rPr>
            </w:pPr>
            <w:r>
              <w:rPr>
                <w:noProof/>
              </w:rPr>
              <w:t>Pāreja 4.0. nodokļu kredīti, kas piešķirti uzņēmumiem, pamatojoties uz 2021.–2023. gadā iesniegtajām nodokļu deklarācijām</w:t>
            </w:r>
          </w:p>
        </w:tc>
      </w:tr>
      <w:tr w:rsidR="00C972CB" w14:paraId="7F7C03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DEA83E" w14:textId="77777777" w:rsidR="00C972CB" w:rsidRDefault="002457F6">
            <w:pPr>
              <w:pStyle w:val="P68B1DB1-Normal12"/>
              <w:jc w:val="center"/>
              <w:rPr>
                <w:noProof/>
              </w:rPr>
            </w:pPr>
            <w:r>
              <w:rPr>
                <w:noProof/>
              </w:rPr>
              <w:t>M4C1–16</w:t>
            </w:r>
          </w:p>
        </w:tc>
        <w:tc>
          <w:tcPr>
            <w:tcW w:w="3118" w:type="dxa"/>
            <w:tcBorders>
              <w:top w:val="nil"/>
              <w:left w:val="nil"/>
              <w:bottom w:val="single" w:sz="4" w:space="0" w:color="auto"/>
              <w:right w:val="single" w:sz="4" w:space="0" w:color="auto"/>
            </w:tcBorders>
            <w:shd w:val="clear" w:color="auto" w:fill="C6EFCE"/>
            <w:noWrap/>
            <w:vAlign w:val="center"/>
          </w:tcPr>
          <w:p w14:paraId="7DE92730" w14:textId="77777777" w:rsidR="00C972CB" w:rsidRDefault="002457F6">
            <w:pPr>
              <w:pStyle w:val="P68B1DB1-Normal12"/>
              <w:jc w:val="center"/>
              <w:rPr>
                <w:noProof/>
              </w:rPr>
            </w:pPr>
            <w:r>
              <w:rPr>
                <w:noProof/>
              </w:rPr>
              <w:t>Ieguldījums 3.1.: Jaunas prasmes un jaunas valodas</w:t>
            </w:r>
          </w:p>
        </w:tc>
        <w:tc>
          <w:tcPr>
            <w:tcW w:w="1440" w:type="dxa"/>
            <w:tcBorders>
              <w:top w:val="nil"/>
              <w:left w:val="nil"/>
              <w:bottom w:val="single" w:sz="4" w:space="0" w:color="auto"/>
              <w:right w:val="single" w:sz="4" w:space="0" w:color="auto"/>
            </w:tcBorders>
            <w:shd w:val="clear" w:color="auto" w:fill="C6EFCE"/>
            <w:noWrap/>
            <w:vAlign w:val="center"/>
          </w:tcPr>
          <w:p w14:paraId="74916661"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09118084" w14:textId="77777777" w:rsidR="00C972CB" w:rsidRDefault="002457F6">
            <w:pPr>
              <w:pStyle w:val="P68B1DB1-Normal12"/>
              <w:rPr>
                <w:noProof/>
              </w:rPr>
            </w:pPr>
            <w:r>
              <w:rPr>
                <w:noProof/>
              </w:rPr>
              <w:t>Skolas, kas 2024./25. gadā ir a</w:t>
            </w:r>
            <w:r>
              <w:rPr>
                <w:noProof/>
              </w:rPr>
              <w:t xml:space="preserve">ktivizējušas STEM vadlīniju projektus  </w:t>
            </w:r>
          </w:p>
        </w:tc>
      </w:tr>
      <w:tr w:rsidR="00C972CB" w14:paraId="3CE436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A2EEC" w14:textId="77777777" w:rsidR="00C972CB" w:rsidRDefault="002457F6">
            <w:pPr>
              <w:pStyle w:val="P68B1DB1-Normal12"/>
              <w:jc w:val="center"/>
              <w:rPr>
                <w:noProof/>
              </w:rPr>
            </w:pPr>
            <w:r>
              <w:rPr>
                <w:noProof/>
              </w:rPr>
              <w:t>M4C1–17</w:t>
            </w:r>
          </w:p>
        </w:tc>
        <w:tc>
          <w:tcPr>
            <w:tcW w:w="3118" w:type="dxa"/>
            <w:tcBorders>
              <w:top w:val="nil"/>
              <w:left w:val="nil"/>
              <w:bottom w:val="single" w:sz="4" w:space="0" w:color="auto"/>
              <w:right w:val="single" w:sz="4" w:space="0" w:color="auto"/>
            </w:tcBorders>
            <w:shd w:val="clear" w:color="auto" w:fill="C6EFCE"/>
            <w:noWrap/>
            <w:vAlign w:val="center"/>
          </w:tcPr>
          <w:p w14:paraId="5D0704A6" w14:textId="77777777" w:rsidR="00C972CB" w:rsidRDefault="002457F6">
            <w:pPr>
              <w:pStyle w:val="P68B1DB1-Normal12"/>
              <w:jc w:val="center"/>
              <w:rPr>
                <w:noProof/>
              </w:rPr>
            </w:pPr>
            <w:r>
              <w:rPr>
                <w:noProof/>
              </w:rPr>
              <w:t>Ieguldījums 3.1.: Jaunas prasmes un jaunas valodas</w:t>
            </w:r>
          </w:p>
        </w:tc>
        <w:tc>
          <w:tcPr>
            <w:tcW w:w="1440" w:type="dxa"/>
            <w:tcBorders>
              <w:top w:val="nil"/>
              <w:left w:val="nil"/>
              <w:bottom w:val="single" w:sz="4" w:space="0" w:color="auto"/>
              <w:right w:val="single" w:sz="4" w:space="0" w:color="auto"/>
            </w:tcBorders>
            <w:shd w:val="clear" w:color="auto" w:fill="C6EFCE"/>
            <w:noWrap/>
            <w:vAlign w:val="center"/>
          </w:tcPr>
          <w:p w14:paraId="714A4A3D"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4A0F029E" w14:textId="77777777" w:rsidR="00C972CB" w:rsidRDefault="002457F6">
            <w:pPr>
              <w:pStyle w:val="P68B1DB1-Normal12"/>
              <w:rPr>
                <w:noProof/>
              </w:rPr>
            </w:pPr>
            <w:r>
              <w:rPr>
                <w:noProof/>
              </w:rPr>
              <w:t xml:space="preserve">Ikgadējie valodu kursi un metodiskie kursi, kas tiek nodrošināti skolotājiem      </w:t>
            </w:r>
          </w:p>
        </w:tc>
      </w:tr>
      <w:tr w:rsidR="00C972CB" w14:paraId="451FF2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8663C" w14:textId="77777777" w:rsidR="00C972CB" w:rsidRDefault="002457F6">
            <w:pPr>
              <w:pStyle w:val="P68B1DB1-Normal12"/>
              <w:jc w:val="center"/>
              <w:rPr>
                <w:noProof/>
              </w:rPr>
            </w:pPr>
            <w:r>
              <w:rPr>
                <w:noProof/>
              </w:rPr>
              <w:t>M4C2–1 bis</w:t>
            </w:r>
          </w:p>
        </w:tc>
        <w:tc>
          <w:tcPr>
            <w:tcW w:w="3118" w:type="dxa"/>
            <w:tcBorders>
              <w:top w:val="nil"/>
              <w:left w:val="nil"/>
              <w:bottom w:val="single" w:sz="4" w:space="0" w:color="auto"/>
              <w:right w:val="single" w:sz="4" w:space="0" w:color="auto"/>
            </w:tcBorders>
            <w:shd w:val="clear" w:color="auto" w:fill="C6EFCE"/>
            <w:noWrap/>
            <w:vAlign w:val="center"/>
          </w:tcPr>
          <w:p w14:paraId="6976C32B" w14:textId="77777777" w:rsidR="00C972CB" w:rsidRDefault="002457F6">
            <w:pPr>
              <w:pStyle w:val="P68B1DB1-Normal12"/>
              <w:jc w:val="center"/>
              <w:rPr>
                <w:noProof/>
              </w:rPr>
            </w:pPr>
            <w:r>
              <w:rPr>
                <w:noProof/>
              </w:rPr>
              <w:t xml:space="preserve">Ieguldījums 1.2: Jauno pētnieku iesniegto projektu finansēšana </w:t>
            </w:r>
          </w:p>
        </w:tc>
        <w:tc>
          <w:tcPr>
            <w:tcW w:w="1440" w:type="dxa"/>
            <w:tcBorders>
              <w:top w:val="nil"/>
              <w:left w:val="nil"/>
              <w:bottom w:val="single" w:sz="4" w:space="0" w:color="auto"/>
              <w:right w:val="single" w:sz="4" w:space="0" w:color="auto"/>
            </w:tcBorders>
            <w:shd w:val="clear" w:color="auto" w:fill="C6EFCE"/>
            <w:noWrap/>
            <w:vAlign w:val="center"/>
          </w:tcPr>
          <w:p w14:paraId="0C2A2B61" w14:textId="77777777" w:rsidR="00C972CB" w:rsidRDefault="002457F6">
            <w:pPr>
              <w:pStyle w:val="P68B1DB1-Normal12"/>
              <w:jc w:val="center"/>
              <w:rPr>
                <w:noProof/>
              </w:rPr>
            </w:pPr>
            <w:r>
              <w:rPr>
                <w:noProof/>
              </w:rPr>
              <w:t xml:space="preserve">Mērķa </w:t>
            </w:r>
          </w:p>
        </w:tc>
        <w:tc>
          <w:tcPr>
            <w:tcW w:w="4020" w:type="dxa"/>
            <w:tcBorders>
              <w:top w:val="nil"/>
              <w:left w:val="nil"/>
              <w:bottom w:val="single" w:sz="4" w:space="0" w:color="auto"/>
              <w:right w:val="single" w:sz="4" w:space="0" w:color="auto"/>
            </w:tcBorders>
            <w:shd w:val="clear" w:color="auto" w:fill="C6EFCE"/>
            <w:noWrap/>
            <w:vAlign w:val="center"/>
          </w:tcPr>
          <w:p w14:paraId="48CEEB26" w14:textId="77777777" w:rsidR="00C972CB" w:rsidRDefault="002457F6">
            <w:pPr>
              <w:pStyle w:val="P68B1DB1-Normal12"/>
              <w:rPr>
                <w:noProof/>
              </w:rPr>
            </w:pPr>
            <w:r>
              <w:rPr>
                <w:noProof/>
              </w:rPr>
              <w:t xml:space="preserve">To studentu skaits, kuriem piešķirta pētniecības stipendija </w:t>
            </w:r>
          </w:p>
        </w:tc>
      </w:tr>
      <w:tr w:rsidR="00C972CB" w14:paraId="3BDDA0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A76008" w14:textId="77777777" w:rsidR="00C972CB" w:rsidRDefault="002457F6">
            <w:pPr>
              <w:pStyle w:val="P68B1DB1-Normal12"/>
              <w:jc w:val="center"/>
              <w:rPr>
                <w:noProof/>
              </w:rPr>
            </w:pPr>
            <w:r>
              <w:rPr>
                <w:noProof/>
              </w:rPr>
              <w:t xml:space="preserve">M5C1–10 </w:t>
            </w:r>
          </w:p>
        </w:tc>
        <w:tc>
          <w:tcPr>
            <w:tcW w:w="3118" w:type="dxa"/>
            <w:tcBorders>
              <w:top w:val="nil"/>
              <w:left w:val="nil"/>
              <w:bottom w:val="single" w:sz="4" w:space="0" w:color="auto"/>
              <w:right w:val="single" w:sz="4" w:space="0" w:color="auto"/>
            </w:tcBorders>
            <w:shd w:val="clear" w:color="auto" w:fill="C6EFCE"/>
            <w:noWrap/>
            <w:vAlign w:val="center"/>
          </w:tcPr>
          <w:p w14:paraId="311C07F2" w14:textId="77777777" w:rsidR="00C972CB" w:rsidRDefault="002457F6">
            <w:pPr>
              <w:pStyle w:val="P68B1DB1-Normal12"/>
              <w:jc w:val="center"/>
              <w:rPr>
                <w:noProof/>
              </w:rPr>
            </w:pPr>
            <w:r>
              <w:rPr>
                <w:noProof/>
              </w:rPr>
              <w:t xml:space="preserve">Reforma — nedeklarēts darbs </w:t>
            </w:r>
          </w:p>
        </w:tc>
        <w:tc>
          <w:tcPr>
            <w:tcW w:w="1440" w:type="dxa"/>
            <w:tcBorders>
              <w:top w:val="nil"/>
              <w:left w:val="nil"/>
              <w:bottom w:val="single" w:sz="4" w:space="0" w:color="auto"/>
              <w:right w:val="single" w:sz="4" w:space="0" w:color="auto"/>
            </w:tcBorders>
            <w:shd w:val="clear" w:color="auto" w:fill="C6EFCE"/>
            <w:noWrap/>
            <w:vAlign w:val="center"/>
          </w:tcPr>
          <w:p w14:paraId="1B699E44"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3DE957E4" w14:textId="77777777" w:rsidR="00C972CB" w:rsidRDefault="002457F6">
            <w:pPr>
              <w:pStyle w:val="P68B1DB1-Normal12"/>
              <w:rPr>
                <w:noProof/>
              </w:rPr>
            </w:pPr>
            <w:r>
              <w:rPr>
                <w:noProof/>
              </w:rPr>
              <w:t>Lielāks darba inspekciju skaits</w:t>
            </w:r>
          </w:p>
        </w:tc>
      </w:tr>
      <w:tr w:rsidR="00C972CB" w14:paraId="71A1C2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6B72FC" w14:textId="77777777" w:rsidR="00C972CB" w:rsidRDefault="002457F6">
            <w:pPr>
              <w:pStyle w:val="P68B1DB1-Normal12"/>
              <w:jc w:val="center"/>
              <w:rPr>
                <w:noProof/>
              </w:rPr>
            </w:pPr>
            <w:r>
              <w:rPr>
                <w:noProof/>
              </w:rPr>
              <w:t>M7–2</w:t>
            </w:r>
          </w:p>
        </w:tc>
        <w:tc>
          <w:tcPr>
            <w:tcW w:w="3118" w:type="dxa"/>
            <w:tcBorders>
              <w:top w:val="nil"/>
              <w:left w:val="nil"/>
              <w:bottom w:val="single" w:sz="4" w:space="0" w:color="auto"/>
              <w:right w:val="single" w:sz="4" w:space="0" w:color="auto"/>
            </w:tcBorders>
            <w:shd w:val="clear" w:color="auto" w:fill="C6EFCE"/>
            <w:noWrap/>
            <w:vAlign w:val="center"/>
          </w:tcPr>
          <w:p w14:paraId="7526F39A" w14:textId="77777777" w:rsidR="00C972CB" w:rsidRDefault="002457F6">
            <w:pPr>
              <w:pStyle w:val="P68B1DB1-Normal12"/>
              <w:rPr>
                <w:noProof/>
              </w:rPr>
            </w:pPr>
            <w:r>
              <w:rPr>
                <w:noProof/>
              </w:rPr>
              <w:t xml:space="preserve">Reforma: Atjaunīgās enerģijas atļauju </w:t>
            </w:r>
            <w:r>
              <w:rPr>
                <w:noProof/>
              </w:rPr>
              <w:t>piešķiršanas procedūru racionalizēšana</w:t>
            </w:r>
          </w:p>
        </w:tc>
        <w:tc>
          <w:tcPr>
            <w:tcW w:w="1440" w:type="dxa"/>
            <w:tcBorders>
              <w:top w:val="nil"/>
              <w:left w:val="nil"/>
              <w:bottom w:val="single" w:sz="4" w:space="0" w:color="auto"/>
              <w:right w:val="single" w:sz="4" w:space="0" w:color="auto"/>
            </w:tcBorders>
            <w:shd w:val="clear" w:color="auto" w:fill="C6EFCE"/>
            <w:noWrap/>
            <w:vAlign w:val="center"/>
          </w:tcPr>
          <w:p w14:paraId="725C54C7" w14:textId="77777777" w:rsidR="00C972CB" w:rsidRDefault="002457F6">
            <w:pPr>
              <w:pStyle w:val="P68B1DB1-Normal12"/>
              <w:jc w:val="center"/>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5B2D3D9E" w14:textId="77777777" w:rsidR="00C972CB" w:rsidRDefault="002457F6">
            <w:pPr>
              <w:pStyle w:val="P68B1DB1-Normal12"/>
              <w:rPr>
                <w:noProof/>
              </w:rPr>
            </w:pPr>
            <w:r>
              <w:rPr>
                <w:noProof/>
              </w:rPr>
              <w:t xml:space="preserve">Primāro tiesību aktu stāšanās spēkā (Testo Unico) </w:t>
            </w:r>
          </w:p>
        </w:tc>
      </w:tr>
      <w:tr w:rsidR="00C972CB" w14:paraId="3D9E1A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BBC5C2" w14:textId="77777777" w:rsidR="00C972CB" w:rsidRDefault="002457F6">
            <w:pPr>
              <w:pStyle w:val="P68B1DB1-Normal12"/>
              <w:jc w:val="center"/>
              <w:rPr>
                <w:noProof/>
              </w:rPr>
            </w:pPr>
            <w:r>
              <w:rPr>
                <w:noProof/>
              </w:rPr>
              <w:t>M7–20</w:t>
            </w:r>
          </w:p>
        </w:tc>
        <w:tc>
          <w:tcPr>
            <w:tcW w:w="3118" w:type="dxa"/>
            <w:tcBorders>
              <w:top w:val="nil"/>
              <w:left w:val="nil"/>
              <w:bottom w:val="single" w:sz="4" w:space="0" w:color="auto"/>
              <w:right w:val="single" w:sz="4" w:space="0" w:color="auto"/>
            </w:tcBorders>
            <w:shd w:val="clear" w:color="auto" w:fill="C6EFCE"/>
            <w:noWrap/>
            <w:vAlign w:val="center"/>
          </w:tcPr>
          <w:p w14:paraId="6F9E8ACD" w14:textId="77777777" w:rsidR="00C972CB" w:rsidRDefault="002457F6">
            <w:pPr>
              <w:pStyle w:val="P68B1DB1-Normal12"/>
              <w:rPr>
                <w:noProof/>
              </w:rPr>
            </w:pPr>
            <w:r>
              <w:rPr>
                <w:noProof/>
              </w:rPr>
              <w:t>Ieguldījums 6: Pārrobežu elektroenerģijas starpsavienojumu projekti starp Itāliju un kaimiņvalstīm</w:t>
            </w:r>
          </w:p>
        </w:tc>
        <w:tc>
          <w:tcPr>
            <w:tcW w:w="1440" w:type="dxa"/>
            <w:tcBorders>
              <w:top w:val="nil"/>
              <w:left w:val="nil"/>
              <w:bottom w:val="single" w:sz="4" w:space="0" w:color="auto"/>
              <w:right w:val="single" w:sz="4" w:space="0" w:color="auto"/>
            </w:tcBorders>
            <w:shd w:val="clear" w:color="auto" w:fill="C6EFCE"/>
            <w:noWrap/>
            <w:vAlign w:val="center"/>
          </w:tcPr>
          <w:p w14:paraId="303FC6D2" w14:textId="77777777" w:rsidR="00C972CB" w:rsidRDefault="002457F6">
            <w:pPr>
              <w:pStyle w:val="P68B1DB1-Normal12"/>
              <w:jc w:val="center"/>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19BB32F2" w14:textId="77777777" w:rsidR="00C972CB" w:rsidRDefault="002457F6">
            <w:pPr>
              <w:pStyle w:val="P68B1DB1-Normal12"/>
              <w:rPr>
                <w:noProof/>
              </w:rPr>
            </w:pPr>
            <w:r>
              <w:rPr>
                <w:noProof/>
              </w:rPr>
              <w:t xml:space="preserve">Līgumu slēgšanas tiesību piešķiršana divu starpsavienojumu būvniecībai starp Itāliju un Slovēniju: “Zaule — Dekani” un “Redipuglia — Vrtojba”  </w:t>
            </w:r>
          </w:p>
        </w:tc>
      </w:tr>
      <w:tr w:rsidR="00C972CB" w14:paraId="521800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687706" w14:textId="77777777" w:rsidR="00C972CB" w:rsidRDefault="002457F6">
            <w:pPr>
              <w:pStyle w:val="P68B1DB1-Normal12"/>
              <w:jc w:val="center"/>
              <w:rPr>
                <w:noProof/>
              </w:rPr>
            </w:pPr>
            <w:r>
              <w:rPr>
                <w:noProof/>
              </w:rPr>
              <w:t>M7–25</w:t>
            </w:r>
          </w:p>
        </w:tc>
        <w:tc>
          <w:tcPr>
            <w:tcW w:w="3118" w:type="dxa"/>
            <w:tcBorders>
              <w:top w:val="nil"/>
              <w:left w:val="nil"/>
              <w:bottom w:val="single" w:sz="4" w:space="0" w:color="auto"/>
              <w:right w:val="single" w:sz="4" w:space="0" w:color="auto"/>
            </w:tcBorders>
            <w:shd w:val="clear" w:color="auto" w:fill="C6EFCE"/>
            <w:noWrap/>
            <w:vAlign w:val="center"/>
          </w:tcPr>
          <w:p w14:paraId="43AB208F" w14:textId="77777777" w:rsidR="00C972CB" w:rsidRDefault="002457F6">
            <w:pPr>
              <w:pStyle w:val="P68B1DB1-Normal12"/>
              <w:rPr>
                <w:noProof/>
              </w:rPr>
            </w:pPr>
            <w:r>
              <w:rPr>
                <w:noProof/>
              </w:rPr>
              <w:t>Ieguldījums 10: Ilgtspējīga, apritīga un droša kritiski svarīgo izejvielu piegāde</w:t>
            </w:r>
          </w:p>
        </w:tc>
        <w:tc>
          <w:tcPr>
            <w:tcW w:w="1440" w:type="dxa"/>
            <w:tcBorders>
              <w:top w:val="nil"/>
              <w:left w:val="nil"/>
              <w:bottom w:val="single" w:sz="4" w:space="0" w:color="auto"/>
              <w:right w:val="single" w:sz="4" w:space="0" w:color="auto"/>
            </w:tcBorders>
            <w:shd w:val="clear" w:color="auto" w:fill="C6EFCE"/>
            <w:noWrap/>
            <w:vAlign w:val="center"/>
          </w:tcPr>
          <w:p w14:paraId="170CDFB3" w14:textId="77777777" w:rsidR="00C972CB" w:rsidRDefault="002457F6">
            <w:pPr>
              <w:pStyle w:val="P68B1DB1-Normal12"/>
              <w:jc w:val="center"/>
              <w:rPr>
                <w:noProof/>
              </w:rPr>
            </w:pPr>
            <w:r>
              <w:rPr>
                <w:noProof/>
              </w:rPr>
              <w:t>Starpposma mērķis</w:t>
            </w:r>
          </w:p>
        </w:tc>
        <w:tc>
          <w:tcPr>
            <w:tcW w:w="4020" w:type="dxa"/>
            <w:tcBorders>
              <w:top w:val="nil"/>
              <w:left w:val="nil"/>
              <w:bottom w:val="single" w:sz="4" w:space="0" w:color="auto"/>
              <w:right w:val="single" w:sz="4" w:space="0" w:color="auto"/>
            </w:tcBorders>
            <w:shd w:val="clear" w:color="auto" w:fill="C6EFCE"/>
            <w:noWrap/>
            <w:vAlign w:val="center"/>
          </w:tcPr>
          <w:p w14:paraId="63EE9005" w14:textId="77777777" w:rsidR="00C972CB" w:rsidRDefault="002457F6">
            <w:pPr>
              <w:pStyle w:val="P68B1DB1-Normal12"/>
              <w:rPr>
                <w:noProof/>
              </w:rPr>
            </w:pPr>
            <w:r>
              <w:rPr>
                <w:noProof/>
              </w:rPr>
              <w:t>Publicēts ziņojums par KSI nākotnes vajadzībām un ekodizaina potenciālu samazināt pieprasījumu pēc kritiski svarīgām izejvielām</w:t>
            </w:r>
          </w:p>
        </w:tc>
      </w:tr>
      <w:tr w:rsidR="00C972CB" w14:paraId="3C2FFD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FBCA5" w14:textId="77777777" w:rsidR="00C972CB" w:rsidRDefault="002457F6">
            <w:pPr>
              <w:pStyle w:val="P68B1DB1-Normal12"/>
              <w:jc w:val="center"/>
              <w:rPr>
                <w:noProof/>
              </w:rPr>
            </w:pPr>
            <w:r>
              <w:rPr>
                <w:noProof/>
              </w:rPr>
              <w:t>M7–30</w:t>
            </w:r>
          </w:p>
        </w:tc>
        <w:tc>
          <w:tcPr>
            <w:tcW w:w="3118" w:type="dxa"/>
            <w:tcBorders>
              <w:top w:val="nil"/>
              <w:left w:val="nil"/>
              <w:bottom w:val="single" w:sz="4" w:space="0" w:color="auto"/>
              <w:right w:val="single" w:sz="4" w:space="0" w:color="auto"/>
            </w:tcBorders>
            <w:shd w:val="clear" w:color="auto" w:fill="C6EFCE"/>
            <w:noWrap/>
            <w:vAlign w:val="center"/>
          </w:tcPr>
          <w:p w14:paraId="2584F4C3" w14:textId="77777777" w:rsidR="00C972CB" w:rsidRDefault="002457F6">
            <w:pPr>
              <w:pStyle w:val="P68B1DB1-Normal12"/>
              <w:rPr>
                <w:noProof/>
              </w:rPr>
            </w:pPr>
            <w:r>
              <w:rPr>
                <w:noProof/>
              </w:rPr>
              <w:t>Ieguldījums 10: Izmēģinājuma projekti par prasmēm “Crescere Green”</w:t>
            </w:r>
          </w:p>
        </w:tc>
        <w:tc>
          <w:tcPr>
            <w:tcW w:w="1440" w:type="dxa"/>
            <w:tcBorders>
              <w:top w:val="nil"/>
              <w:left w:val="nil"/>
              <w:bottom w:val="single" w:sz="4" w:space="0" w:color="auto"/>
              <w:right w:val="single" w:sz="4" w:space="0" w:color="auto"/>
            </w:tcBorders>
            <w:shd w:val="clear" w:color="auto" w:fill="C6EFCE"/>
            <w:noWrap/>
            <w:vAlign w:val="center"/>
          </w:tcPr>
          <w:p w14:paraId="78AEA930" w14:textId="77777777" w:rsidR="00C972CB" w:rsidRDefault="002457F6">
            <w:pPr>
              <w:pStyle w:val="P68B1DB1-Normal12"/>
              <w:jc w:val="center"/>
              <w:rPr>
                <w:noProof/>
              </w:rPr>
            </w:pPr>
            <w:r>
              <w:rPr>
                <w:noProof/>
              </w:rPr>
              <w:t>Mērķa</w:t>
            </w:r>
          </w:p>
        </w:tc>
        <w:tc>
          <w:tcPr>
            <w:tcW w:w="4020" w:type="dxa"/>
            <w:tcBorders>
              <w:top w:val="nil"/>
              <w:left w:val="nil"/>
              <w:bottom w:val="single" w:sz="4" w:space="0" w:color="auto"/>
              <w:right w:val="single" w:sz="4" w:space="0" w:color="auto"/>
            </w:tcBorders>
            <w:shd w:val="clear" w:color="auto" w:fill="C6EFCE"/>
            <w:noWrap/>
            <w:vAlign w:val="center"/>
          </w:tcPr>
          <w:p w14:paraId="5F9D9A29" w14:textId="77777777" w:rsidR="00C972CB" w:rsidRDefault="002457F6">
            <w:pPr>
              <w:pStyle w:val="P68B1DB1-Normal12"/>
              <w:rPr>
                <w:noProof/>
              </w:rPr>
            </w:pPr>
            <w:r>
              <w:rPr>
                <w:noProof/>
              </w:rPr>
              <w:t>Apmācības nodrošināšana 20000 cilvēkiem</w:t>
            </w:r>
          </w:p>
        </w:tc>
      </w:tr>
      <w:tr w:rsidR="00C972CB" w14:paraId="296BCB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16183F" w14:textId="77777777" w:rsidR="00C972CB" w:rsidRDefault="002457F6">
            <w:pPr>
              <w:pStyle w:val="P68B1DB1-Normal12"/>
              <w:jc w:val="center"/>
              <w:rPr>
                <w:noProof/>
              </w:rPr>
            </w:pPr>
            <w:r>
              <w:rPr>
                <w:noProof/>
              </w:rPr>
              <w:t>M1C2–14</w:t>
            </w:r>
            <w:r>
              <w:rPr>
                <w:noProof/>
              </w:rPr>
              <w:t>bis</w:t>
            </w:r>
          </w:p>
        </w:tc>
        <w:tc>
          <w:tcPr>
            <w:tcW w:w="3118" w:type="dxa"/>
            <w:tcBorders>
              <w:top w:val="nil"/>
              <w:left w:val="nil"/>
              <w:bottom w:val="single" w:sz="4" w:space="0" w:color="auto"/>
              <w:right w:val="single" w:sz="4" w:space="0" w:color="auto"/>
            </w:tcBorders>
            <w:shd w:val="clear" w:color="auto" w:fill="C6EFCE"/>
            <w:noWrap/>
            <w:vAlign w:val="center"/>
          </w:tcPr>
          <w:p w14:paraId="22ACDA1E" w14:textId="77777777" w:rsidR="00C972CB" w:rsidRDefault="002457F6">
            <w:pPr>
              <w:pStyle w:val="P68B1DB1-Normal12"/>
              <w:jc w:val="center"/>
              <w:rPr>
                <w:noProof/>
              </w:rPr>
            </w:pPr>
            <w:r>
              <w:rPr>
                <w:noProof/>
              </w:rPr>
              <w:t>Reforma.   uzņēmumu stimulu racionalizācija un vienkāršošana.</w:t>
            </w:r>
          </w:p>
        </w:tc>
        <w:tc>
          <w:tcPr>
            <w:tcW w:w="1440" w:type="dxa"/>
            <w:tcBorders>
              <w:top w:val="nil"/>
              <w:left w:val="nil"/>
              <w:bottom w:val="single" w:sz="4" w:space="0" w:color="auto"/>
              <w:right w:val="single" w:sz="4" w:space="0" w:color="auto"/>
            </w:tcBorders>
            <w:shd w:val="clear" w:color="auto" w:fill="C6EFCE"/>
            <w:noWrap/>
            <w:vAlign w:val="center"/>
          </w:tcPr>
          <w:p w14:paraId="5C387156" w14:textId="77777777" w:rsidR="00C972CB" w:rsidRDefault="002457F6">
            <w:pPr>
              <w:pStyle w:val="P68B1DB1-Normal12"/>
              <w:jc w:val="center"/>
              <w:rPr>
                <w:noProof/>
              </w:rPr>
            </w:pPr>
            <w:r>
              <w:rPr>
                <w:noProof/>
              </w:rPr>
              <w:t xml:space="preserve">Starpposma mērķis </w:t>
            </w:r>
          </w:p>
        </w:tc>
        <w:tc>
          <w:tcPr>
            <w:tcW w:w="4020" w:type="dxa"/>
            <w:tcBorders>
              <w:top w:val="nil"/>
              <w:left w:val="nil"/>
              <w:bottom w:val="single" w:sz="4" w:space="0" w:color="auto"/>
              <w:right w:val="single" w:sz="4" w:space="0" w:color="auto"/>
            </w:tcBorders>
            <w:shd w:val="clear" w:color="auto" w:fill="C6EFCE"/>
            <w:noWrap/>
            <w:vAlign w:val="center"/>
          </w:tcPr>
          <w:p w14:paraId="7C60D22C" w14:textId="77777777" w:rsidR="00C972CB" w:rsidRDefault="002457F6">
            <w:pPr>
              <w:pStyle w:val="P68B1DB1-Normal12"/>
              <w:rPr>
                <w:noProof/>
              </w:rPr>
            </w:pPr>
            <w:r>
              <w:rPr>
                <w:noProof/>
              </w:rPr>
              <w:t>Ziņojuma publicēšana, novērtējot visus stimulus uzņēmumiem</w:t>
            </w:r>
          </w:p>
        </w:tc>
      </w:tr>
      <w:tr w:rsidR="00C972CB" w14:paraId="286393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64B5" w14:textId="77777777" w:rsidR="00C972CB" w:rsidRDefault="00C972C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1782BA6" w14:textId="77777777" w:rsidR="00C972CB" w:rsidRDefault="00C972CB">
            <w:pPr>
              <w:rPr>
                <w:noProof/>
                <w:color w:val="006100"/>
                <w:sz w:val="20"/>
              </w:rPr>
            </w:pPr>
          </w:p>
        </w:tc>
        <w:tc>
          <w:tcPr>
            <w:tcW w:w="1440" w:type="dxa"/>
            <w:tcBorders>
              <w:top w:val="single" w:sz="4" w:space="0" w:color="auto"/>
              <w:left w:val="nil"/>
              <w:bottom w:val="single" w:sz="4" w:space="0" w:color="auto"/>
              <w:right w:val="single" w:sz="4" w:space="0" w:color="auto"/>
            </w:tcBorders>
            <w:shd w:val="clear" w:color="auto" w:fill="C6EFCE"/>
            <w:noWrap/>
            <w:vAlign w:val="bottom"/>
          </w:tcPr>
          <w:p w14:paraId="0A2F6C7B" w14:textId="77777777" w:rsidR="00C972CB" w:rsidRDefault="002457F6">
            <w:pPr>
              <w:pStyle w:val="P68B1DB1-Normal12"/>
              <w:rPr>
                <w:noProof/>
              </w:rPr>
            </w:pPr>
            <w:r>
              <w:rPr>
                <w:noProof/>
              </w:rPr>
              <w:t>Maksājuma summa</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586150BF" w14:textId="7AC7BF91" w:rsidR="00C972CB" w:rsidRDefault="002457F6">
            <w:pPr>
              <w:pStyle w:val="P68B1DB1-Normal46"/>
              <w:rPr>
                <w:noProof/>
              </w:rPr>
            </w:pPr>
            <w:r>
              <w:rPr>
                <w:noProof/>
              </w:rPr>
              <w:t>3</w:t>
            </w:r>
            <w:r>
              <w:rPr>
                <w:noProof/>
              </w:rPr>
              <w:t> </w:t>
            </w:r>
            <w:r>
              <w:rPr>
                <w:noProof/>
              </w:rPr>
              <w:t>358</w:t>
            </w:r>
            <w:r>
              <w:rPr>
                <w:noProof/>
              </w:rPr>
              <w:t> </w:t>
            </w:r>
            <w:r>
              <w:rPr>
                <w:noProof/>
              </w:rPr>
              <w:t>104</w:t>
            </w:r>
            <w:r>
              <w:rPr>
                <w:noProof/>
              </w:rPr>
              <w:t> </w:t>
            </w:r>
            <w:r>
              <w:rPr>
                <w:noProof/>
              </w:rPr>
              <w:t>131</w:t>
            </w:r>
            <w:r>
              <w:rPr>
                <w:noProof/>
              </w:rPr>
              <w:t> </w:t>
            </w:r>
            <w:r>
              <w:rPr>
                <w:noProof/>
              </w:rPr>
              <w:t>EUR</w:t>
            </w:r>
          </w:p>
        </w:tc>
      </w:tr>
    </w:tbl>
    <w:p w14:paraId="3A8C85C7" w14:textId="77777777" w:rsidR="00C972CB" w:rsidRDefault="00C972CB">
      <w:pPr>
        <w:spacing w:before="120" w:after="120"/>
        <w:jc w:val="both"/>
        <w:rPr>
          <w:rFonts w:eastAsia="Calibri"/>
          <w:noProof/>
        </w:rPr>
      </w:pPr>
    </w:p>
    <w:p w14:paraId="3E32EEF5" w14:textId="21BD2A6E" w:rsidR="00C972CB" w:rsidRDefault="002457F6">
      <w:pPr>
        <w:pStyle w:val="P68B1DB1-Normal44"/>
        <w:spacing w:after="200" w:line="276" w:lineRule="auto"/>
        <w:rPr>
          <w:noProof/>
        </w:rPr>
      </w:pPr>
      <w:r>
        <w:rPr>
          <w:noProof/>
        </w:rPr>
        <w:br w:type="page"/>
      </w:r>
    </w:p>
    <w:p w14:paraId="1CA77A5A" w14:textId="43060E30" w:rsidR="00C972CB" w:rsidRDefault="002457F6">
      <w:pPr>
        <w:pStyle w:val="P68B1DB1-Normal44"/>
        <w:numPr>
          <w:ilvl w:val="1"/>
          <w:numId w:val="6"/>
        </w:numPr>
        <w:spacing w:before="120" w:after="120"/>
        <w:jc w:val="both"/>
        <w:rPr>
          <w:noProof/>
        </w:rPr>
      </w:pPr>
      <w:r>
        <w:rPr>
          <w:noProof/>
        </w:rPr>
        <w:t>Devītais piešķīrums (neatmaksājams atbalsts):</w:t>
      </w:r>
    </w:p>
    <w:tbl>
      <w:tblPr>
        <w:tblW w:w="9947" w:type="dxa"/>
        <w:tblInd w:w="113" w:type="dxa"/>
        <w:tblLook w:val="04A0" w:firstRow="1" w:lastRow="0" w:firstColumn="1" w:lastColumn="0" w:noHBand="0" w:noVBand="1"/>
      </w:tblPr>
      <w:tblGrid>
        <w:gridCol w:w="1413"/>
        <w:gridCol w:w="3150"/>
        <w:gridCol w:w="1983"/>
        <w:gridCol w:w="3959"/>
      </w:tblGrid>
      <w:tr w:rsidR="00C972CB" w14:paraId="4100B922"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F56DA9" w14:textId="77777777" w:rsidR="00C972CB" w:rsidRDefault="002457F6">
            <w:pPr>
              <w:pStyle w:val="P68B1DB1-Normal45"/>
              <w:jc w:val="center"/>
              <w:rPr>
                <w:noProof/>
              </w:rPr>
            </w:pPr>
            <w:r>
              <w:rPr>
                <w:noProof/>
              </w:rPr>
              <w:t>Kārtas numurs</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CBFB7" w14:textId="77777777" w:rsidR="00C972CB" w:rsidRDefault="002457F6">
            <w:pPr>
              <w:pStyle w:val="P68B1DB1-Normal45"/>
              <w:jc w:val="center"/>
              <w:rPr>
                <w:noProof/>
              </w:rPr>
            </w:pPr>
            <w:r>
              <w:rPr>
                <w:noProof/>
              </w:rPr>
              <w:t xml:space="preserve">Pasākums </w:t>
            </w:r>
            <w:r>
              <w:rPr>
                <w:noProof/>
              </w:rPr>
              <w:t>(reforma vai investīcija)</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D3A8B8" w14:textId="77777777" w:rsidR="00C972CB" w:rsidRDefault="002457F6">
            <w:pPr>
              <w:pStyle w:val="P68B1DB1-Normal45"/>
              <w:jc w:val="center"/>
              <w:rPr>
                <w:noProof/>
              </w:rPr>
            </w:pPr>
            <w:r>
              <w:rPr>
                <w:noProof/>
              </w:rPr>
              <w:t>Atskaites punkts/mērķrādītājs</w:t>
            </w:r>
          </w:p>
        </w:tc>
        <w:tc>
          <w:tcPr>
            <w:tcW w:w="39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FC817F" w14:textId="77777777" w:rsidR="00C972CB" w:rsidRDefault="002457F6">
            <w:pPr>
              <w:pStyle w:val="P68B1DB1-Normal45"/>
              <w:jc w:val="center"/>
              <w:rPr>
                <w:noProof/>
              </w:rPr>
            </w:pPr>
            <w:r>
              <w:rPr>
                <w:noProof/>
              </w:rPr>
              <w:t>Uzvārds</w:t>
            </w:r>
          </w:p>
        </w:tc>
      </w:tr>
      <w:tr w:rsidR="00C972CB" w14:paraId="500FF7B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3CB1894" w14:textId="77777777" w:rsidR="00C972CB" w:rsidRDefault="00C972CB">
            <w:pPr>
              <w:rPr>
                <w:b/>
                <w:noProof/>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17ACDB1" w14:textId="77777777" w:rsidR="00C972CB" w:rsidRDefault="00C972CB">
            <w:pPr>
              <w:rPr>
                <w:b/>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4F31D6AB" w14:textId="77777777" w:rsidR="00C972CB" w:rsidRDefault="00C972CB">
            <w:pPr>
              <w:rPr>
                <w:b/>
                <w:noProof/>
              </w:rPr>
            </w:pPr>
          </w:p>
        </w:tc>
        <w:tc>
          <w:tcPr>
            <w:tcW w:w="3959" w:type="dxa"/>
            <w:vMerge/>
            <w:tcBorders>
              <w:top w:val="single" w:sz="4" w:space="0" w:color="auto"/>
              <w:left w:val="single" w:sz="4" w:space="0" w:color="auto"/>
              <w:bottom w:val="single" w:sz="4" w:space="0" w:color="auto"/>
              <w:right w:val="single" w:sz="4" w:space="0" w:color="auto"/>
            </w:tcBorders>
            <w:vAlign w:val="center"/>
            <w:hideMark/>
          </w:tcPr>
          <w:p w14:paraId="46053005" w14:textId="77777777" w:rsidR="00C972CB" w:rsidRDefault="00C972CB">
            <w:pPr>
              <w:rPr>
                <w:b/>
                <w:noProof/>
              </w:rPr>
            </w:pPr>
          </w:p>
        </w:tc>
      </w:tr>
      <w:tr w:rsidR="00C972CB" w14:paraId="6403CE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0429E" w14:textId="77777777" w:rsidR="00C972CB" w:rsidRDefault="002457F6">
            <w:pPr>
              <w:pStyle w:val="P68B1DB1-Normal12"/>
              <w:jc w:val="center"/>
              <w:rPr>
                <w:noProof/>
              </w:rPr>
            </w:pPr>
            <w:r>
              <w:rPr>
                <w:noProof/>
              </w:rPr>
              <w:t>M4C1–7</w:t>
            </w:r>
          </w:p>
        </w:tc>
        <w:tc>
          <w:tcPr>
            <w:tcW w:w="3150" w:type="dxa"/>
            <w:tcBorders>
              <w:top w:val="single" w:sz="4" w:space="0" w:color="auto"/>
              <w:left w:val="nil"/>
              <w:bottom w:val="single" w:sz="4" w:space="0" w:color="auto"/>
              <w:right w:val="single" w:sz="4" w:space="0" w:color="auto"/>
            </w:tcBorders>
            <w:shd w:val="clear" w:color="auto" w:fill="C6EFCE"/>
            <w:noWrap/>
            <w:vAlign w:val="center"/>
          </w:tcPr>
          <w:p w14:paraId="12284DEA" w14:textId="77777777" w:rsidR="00C972CB" w:rsidRDefault="002457F6">
            <w:pPr>
              <w:pStyle w:val="P68B1DB1-Normal12"/>
              <w:jc w:val="center"/>
              <w:rPr>
                <w:noProof/>
              </w:rPr>
            </w:pPr>
            <w:r>
              <w:rPr>
                <w:noProof/>
              </w:rPr>
              <w:t>Ieguldījums 1.4.: Ārkārtas intervence, kuras mērķis ir samazināt teritoriālās atšķirības vidusskolas I un II ciklos un novērst mācību priekšlaicīgu pārtraukšanu</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2F41CB6C" w14:textId="77777777" w:rsidR="00C972CB" w:rsidRDefault="002457F6">
            <w:pPr>
              <w:pStyle w:val="P68B1DB1-Normal12"/>
              <w:jc w:val="center"/>
              <w:rPr>
                <w:noProof/>
              </w:rPr>
            </w:pPr>
            <w:r>
              <w:rPr>
                <w:noProof/>
              </w:rPr>
              <w:t>Mērķa</w:t>
            </w:r>
          </w:p>
        </w:tc>
        <w:tc>
          <w:tcPr>
            <w:tcW w:w="3959" w:type="dxa"/>
            <w:tcBorders>
              <w:top w:val="single" w:sz="4" w:space="0" w:color="auto"/>
              <w:left w:val="nil"/>
              <w:bottom w:val="single" w:sz="4" w:space="0" w:color="auto"/>
              <w:right w:val="single" w:sz="4" w:space="0" w:color="auto"/>
            </w:tcBorders>
            <w:shd w:val="clear" w:color="auto" w:fill="C6EFCE"/>
            <w:noWrap/>
            <w:vAlign w:val="center"/>
          </w:tcPr>
          <w:p w14:paraId="0A25B7AB" w14:textId="77777777" w:rsidR="00C972CB" w:rsidRDefault="002457F6">
            <w:pPr>
              <w:pStyle w:val="P68B1DB1-Normal12"/>
              <w:rPr>
                <w:noProof/>
              </w:rPr>
            </w:pPr>
            <w:r>
              <w:rPr>
                <w:noProof/>
              </w:rPr>
              <w:t>Studenti vai</w:t>
            </w:r>
            <w:r>
              <w:rPr>
                <w:noProof/>
              </w:rPr>
              <w:t xml:space="preserve"> jaunieši, kas piedalījušies mentorēšanas pasākumos vai apmācības kursos</w:t>
            </w:r>
          </w:p>
        </w:tc>
      </w:tr>
      <w:tr w:rsidR="00C972CB" w14:paraId="28EAA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2514BE" w14:textId="77777777" w:rsidR="00C972CB" w:rsidRDefault="002457F6">
            <w:pPr>
              <w:pStyle w:val="P68B1DB1-Normal12"/>
              <w:jc w:val="center"/>
              <w:rPr>
                <w:noProof/>
              </w:rPr>
            </w:pPr>
            <w:r>
              <w:rPr>
                <w:noProof/>
              </w:rPr>
              <w:t>M4C1–14 bis</w:t>
            </w:r>
          </w:p>
        </w:tc>
        <w:tc>
          <w:tcPr>
            <w:tcW w:w="3150" w:type="dxa"/>
            <w:tcBorders>
              <w:top w:val="nil"/>
              <w:left w:val="nil"/>
              <w:bottom w:val="single" w:sz="4" w:space="0" w:color="auto"/>
              <w:right w:val="single" w:sz="4" w:space="0" w:color="auto"/>
            </w:tcBorders>
            <w:shd w:val="clear" w:color="auto" w:fill="C6EFCE"/>
            <w:noWrap/>
            <w:vAlign w:val="center"/>
          </w:tcPr>
          <w:p w14:paraId="06995F92" w14:textId="77777777" w:rsidR="00C972CB" w:rsidRDefault="002457F6">
            <w:pPr>
              <w:pStyle w:val="P68B1DB1-Normal12"/>
              <w:jc w:val="center"/>
              <w:rPr>
                <w:noProof/>
              </w:rPr>
            </w:pPr>
            <w:r>
              <w:rPr>
                <w:noProof/>
              </w:rPr>
              <w:t xml:space="preserve">Reforma. Skolotāju pieņemšana darbā   </w:t>
            </w:r>
          </w:p>
        </w:tc>
        <w:tc>
          <w:tcPr>
            <w:tcW w:w="1425" w:type="dxa"/>
            <w:tcBorders>
              <w:top w:val="nil"/>
              <w:left w:val="nil"/>
              <w:bottom w:val="single" w:sz="4" w:space="0" w:color="auto"/>
              <w:right w:val="single" w:sz="4" w:space="0" w:color="auto"/>
            </w:tcBorders>
            <w:shd w:val="clear" w:color="auto" w:fill="C6EFCE"/>
            <w:noWrap/>
            <w:vAlign w:val="center"/>
          </w:tcPr>
          <w:p w14:paraId="44F40D67" w14:textId="77777777" w:rsidR="00C972CB" w:rsidRDefault="002457F6">
            <w:pPr>
              <w:pStyle w:val="P68B1DB1-Normal12"/>
              <w:jc w:val="center"/>
              <w:rPr>
                <w:noProof/>
              </w:rPr>
            </w:pPr>
            <w:r>
              <w:rPr>
                <w:noProof/>
              </w:rPr>
              <w:t xml:space="preserve">Mērķa </w:t>
            </w:r>
          </w:p>
        </w:tc>
        <w:tc>
          <w:tcPr>
            <w:tcW w:w="3959" w:type="dxa"/>
            <w:tcBorders>
              <w:top w:val="nil"/>
              <w:left w:val="nil"/>
              <w:bottom w:val="single" w:sz="4" w:space="0" w:color="auto"/>
              <w:right w:val="single" w:sz="4" w:space="0" w:color="auto"/>
            </w:tcBorders>
            <w:shd w:val="clear" w:color="auto" w:fill="C6EFCE"/>
            <w:noWrap/>
            <w:vAlign w:val="center"/>
          </w:tcPr>
          <w:p w14:paraId="61B2F194" w14:textId="77777777" w:rsidR="00C972CB" w:rsidRDefault="002457F6">
            <w:pPr>
              <w:pStyle w:val="P68B1DB1-Normal12"/>
              <w:rPr>
                <w:noProof/>
              </w:rPr>
            </w:pPr>
            <w:r>
              <w:rPr>
                <w:noProof/>
              </w:rPr>
              <w:t>Skolotāji, kas pieņemti darbā reformētajā darbā pieņemšanas sistēmā</w:t>
            </w:r>
          </w:p>
        </w:tc>
      </w:tr>
      <w:tr w:rsidR="00C972CB" w14:paraId="71D387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33835D" w14:textId="77777777" w:rsidR="00C972CB" w:rsidRDefault="002457F6">
            <w:pPr>
              <w:pStyle w:val="P68B1DB1-Normal12"/>
              <w:jc w:val="center"/>
              <w:rPr>
                <w:noProof/>
              </w:rPr>
            </w:pPr>
            <w:r>
              <w:rPr>
                <w:noProof/>
              </w:rPr>
              <w:t>M7–6</w:t>
            </w:r>
          </w:p>
        </w:tc>
        <w:tc>
          <w:tcPr>
            <w:tcW w:w="3150" w:type="dxa"/>
            <w:tcBorders>
              <w:top w:val="nil"/>
              <w:left w:val="nil"/>
              <w:bottom w:val="single" w:sz="4" w:space="0" w:color="auto"/>
              <w:right w:val="single" w:sz="4" w:space="0" w:color="auto"/>
            </w:tcBorders>
            <w:shd w:val="clear" w:color="auto" w:fill="C6EFCE"/>
            <w:noWrap/>
            <w:vAlign w:val="center"/>
          </w:tcPr>
          <w:p w14:paraId="29435DDB" w14:textId="77777777" w:rsidR="00C972CB" w:rsidRDefault="002457F6">
            <w:pPr>
              <w:pStyle w:val="P68B1DB1-Normal12"/>
              <w:rPr>
                <w:noProof/>
              </w:rPr>
            </w:pPr>
            <w:r>
              <w:rPr>
                <w:noProof/>
              </w:rPr>
              <w:t>Reforma. Biometāna pieslēguma gāzes tīklam izmaksu</w:t>
            </w:r>
            <w:r>
              <w:rPr>
                <w:noProof/>
              </w:rPr>
              <w:t xml:space="preserve"> samazināšana</w:t>
            </w:r>
          </w:p>
        </w:tc>
        <w:tc>
          <w:tcPr>
            <w:tcW w:w="1425" w:type="dxa"/>
            <w:tcBorders>
              <w:top w:val="nil"/>
              <w:left w:val="nil"/>
              <w:bottom w:val="single" w:sz="4" w:space="0" w:color="auto"/>
              <w:right w:val="single" w:sz="4" w:space="0" w:color="auto"/>
            </w:tcBorders>
            <w:shd w:val="clear" w:color="auto" w:fill="C6EFCE"/>
            <w:noWrap/>
            <w:vAlign w:val="center"/>
          </w:tcPr>
          <w:p w14:paraId="18745096" w14:textId="77777777" w:rsidR="00C972CB" w:rsidRDefault="002457F6">
            <w:pPr>
              <w:pStyle w:val="P68B1DB1-Normal12"/>
              <w:jc w:val="center"/>
              <w:rPr>
                <w:noProof/>
              </w:rPr>
            </w:pPr>
            <w:r>
              <w:rPr>
                <w:noProof/>
              </w:rPr>
              <w:t>Starpposma mērķis</w:t>
            </w:r>
          </w:p>
        </w:tc>
        <w:tc>
          <w:tcPr>
            <w:tcW w:w="3959" w:type="dxa"/>
            <w:tcBorders>
              <w:top w:val="nil"/>
              <w:left w:val="nil"/>
              <w:bottom w:val="single" w:sz="4" w:space="0" w:color="auto"/>
              <w:right w:val="single" w:sz="4" w:space="0" w:color="auto"/>
            </w:tcBorders>
            <w:shd w:val="clear" w:color="auto" w:fill="C6EFCE"/>
            <w:noWrap/>
            <w:vAlign w:val="center"/>
          </w:tcPr>
          <w:p w14:paraId="41443C8B" w14:textId="77777777" w:rsidR="00C972CB" w:rsidRDefault="002457F6">
            <w:pPr>
              <w:pStyle w:val="P68B1DB1-Normal12"/>
              <w:rPr>
                <w:noProof/>
              </w:rPr>
            </w:pPr>
            <w:r>
              <w:rPr>
                <w:noProof/>
              </w:rPr>
              <w:t xml:space="preserve">Tiesību aktu stāšanās spēkā, lai samazinātu izmaksas, kas saistītas ar biometāna ražotņu pieslēgšanu gāzes tīklam </w:t>
            </w:r>
          </w:p>
        </w:tc>
      </w:tr>
      <w:tr w:rsidR="00C972CB" w14:paraId="33BCF2F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F770AB" w14:textId="77777777" w:rsidR="00C972CB" w:rsidRDefault="002457F6">
            <w:pPr>
              <w:pStyle w:val="P68B1DB1-Normal12"/>
              <w:jc w:val="center"/>
              <w:rPr>
                <w:noProof/>
              </w:rPr>
            </w:pPr>
            <w:r>
              <w:rPr>
                <w:noProof/>
              </w:rPr>
              <w:t>M7–10</w:t>
            </w:r>
          </w:p>
        </w:tc>
        <w:tc>
          <w:tcPr>
            <w:tcW w:w="3150" w:type="dxa"/>
            <w:tcBorders>
              <w:top w:val="nil"/>
              <w:left w:val="nil"/>
              <w:bottom w:val="single" w:sz="4" w:space="0" w:color="auto"/>
              <w:right w:val="single" w:sz="4" w:space="0" w:color="auto"/>
            </w:tcBorders>
            <w:shd w:val="clear" w:color="auto" w:fill="C6EFCE"/>
            <w:noWrap/>
            <w:vAlign w:val="center"/>
          </w:tcPr>
          <w:p w14:paraId="61AA3DBD" w14:textId="77777777" w:rsidR="00C972CB" w:rsidRDefault="002457F6">
            <w:pPr>
              <w:pStyle w:val="P68B1DB1-Normal12"/>
              <w:rPr>
                <w:noProof/>
              </w:rPr>
            </w:pPr>
            <w:r>
              <w:rPr>
                <w:noProof/>
              </w:rPr>
              <w:t>Reforma: “Jaunu prasmju plāns — pārkārtošanās”</w:t>
            </w:r>
          </w:p>
        </w:tc>
        <w:tc>
          <w:tcPr>
            <w:tcW w:w="1425" w:type="dxa"/>
            <w:tcBorders>
              <w:top w:val="nil"/>
              <w:left w:val="nil"/>
              <w:bottom w:val="single" w:sz="4" w:space="0" w:color="auto"/>
              <w:right w:val="single" w:sz="4" w:space="0" w:color="auto"/>
            </w:tcBorders>
            <w:shd w:val="clear" w:color="auto" w:fill="C6EFCE"/>
            <w:noWrap/>
            <w:vAlign w:val="center"/>
          </w:tcPr>
          <w:p w14:paraId="5B0F71E5" w14:textId="77777777" w:rsidR="00C972CB" w:rsidRDefault="002457F6">
            <w:pPr>
              <w:pStyle w:val="P68B1DB1-Normal12"/>
              <w:jc w:val="center"/>
              <w:rPr>
                <w:noProof/>
              </w:rPr>
            </w:pPr>
            <w:r>
              <w:rPr>
                <w:noProof/>
              </w:rPr>
              <w:t>Starpposma mērķis</w:t>
            </w:r>
          </w:p>
        </w:tc>
        <w:tc>
          <w:tcPr>
            <w:tcW w:w="3959" w:type="dxa"/>
            <w:tcBorders>
              <w:top w:val="nil"/>
              <w:left w:val="nil"/>
              <w:bottom w:val="single" w:sz="4" w:space="0" w:color="auto"/>
              <w:right w:val="single" w:sz="4" w:space="0" w:color="auto"/>
            </w:tcBorders>
            <w:shd w:val="clear" w:color="auto" w:fill="C6EFCE"/>
            <w:noWrap/>
            <w:vAlign w:val="center"/>
          </w:tcPr>
          <w:p w14:paraId="7A915027" w14:textId="77777777" w:rsidR="00C972CB" w:rsidRDefault="002457F6">
            <w:pPr>
              <w:pStyle w:val="P68B1DB1-Normal12"/>
              <w:rPr>
                <w:noProof/>
              </w:rPr>
            </w:pPr>
            <w:r>
              <w:rPr>
                <w:noProof/>
              </w:rPr>
              <w:t>Reģionālo tiesību aktu stāšanās spēkā</w:t>
            </w:r>
          </w:p>
        </w:tc>
      </w:tr>
      <w:tr w:rsidR="00C972CB" w14:paraId="4A56868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0A3F2" w14:textId="77777777" w:rsidR="00C972CB" w:rsidRDefault="002457F6">
            <w:pPr>
              <w:pStyle w:val="P68B1DB1-Normal12"/>
              <w:jc w:val="center"/>
              <w:rPr>
                <w:noProof/>
              </w:rPr>
            </w:pPr>
            <w:r>
              <w:rPr>
                <w:noProof/>
              </w:rPr>
              <w:t>M7–18</w:t>
            </w:r>
          </w:p>
        </w:tc>
        <w:tc>
          <w:tcPr>
            <w:tcW w:w="3150" w:type="dxa"/>
            <w:tcBorders>
              <w:top w:val="nil"/>
              <w:left w:val="nil"/>
              <w:bottom w:val="single" w:sz="4" w:space="0" w:color="auto"/>
              <w:right w:val="single" w:sz="4" w:space="0" w:color="auto"/>
            </w:tcBorders>
            <w:shd w:val="clear" w:color="auto" w:fill="C6EFCE"/>
            <w:noWrap/>
            <w:vAlign w:val="center"/>
          </w:tcPr>
          <w:p w14:paraId="635E750C" w14:textId="77777777" w:rsidR="00C972CB" w:rsidRDefault="002457F6">
            <w:pPr>
              <w:pStyle w:val="P68B1DB1-Normal12"/>
              <w:rPr>
                <w:noProof/>
              </w:rPr>
            </w:pPr>
            <w:r>
              <w:rPr>
                <w:noProof/>
              </w:rPr>
              <w:t>Ieguldījums 6: Pārrobežu elektroenerģijas starpsavienojumu projekti starp Itāliju un kaimiņvalstīm</w:t>
            </w:r>
          </w:p>
        </w:tc>
        <w:tc>
          <w:tcPr>
            <w:tcW w:w="1425" w:type="dxa"/>
            <w:tcBorders>
              <w:top w:val="nil"/>
              <w:left w:val="nil"/>
              <w:bottom w:val="single" w:sz="4" w:space="0" w:color="auto"/>
              <w:right w:val="single" w:sz="4" w:space="0" w:color="auto"/>
            </w:tcBorders>
            <w:shd w:val="clear" w:color="auto" w:fill="C6EFCE"/>
            <w:noWrap/>
            <w:vAlign w:val="center"/>
          </w:tcPr>
          <w:p w14:paraId="39BD2A32" w14:textId="77777777" w:rsidR="00C972CB" w:rsidRDefault="002457F6">
            <w:pPr>
              <w:pStyle w:val="P68B1DB1-Normal12"/>
              <w:jc w:val="center"/>
              <w:rPr>
                <w:noProof/>
              </w:rPr>
            </w:pPr>
            <w:r>
              <w:rPr>
                <w:noProof/>
              </w:rPr>
              <w:t>Starpposma mērķis</w:t>
            </w:r>
          </w:p>
        </w:tc>
        <w:tc>
          <w:tcPr>
            <w:tcW w:w="3959" w:type="dxa"/>
            <w:tcBorders>
              <w:top w:val="nil"/>
              <w:left w:val="nil"/>
              <w:bottom w:val="single" w:sz="4" w:space="0" w:color="auto"/>
              <w:right w:val="single" w:sz="4" w:space="0" w:color="auto"/>
            </w:tcBorders>
            <w:shd w:val="clear" w:color="auto" w:fill="C6EFCE"/>
            <w:noWrap/>
            <w:vAlign w:val="center"/>
          </w:tcPr>
          <w:p w14:paraId="29089C07" w14:textId="77777777" w:rsidR="00C972CB" w:rsidRDefault="002457F6">
            <w:pPr>
              <w:pStyle w:val="P68B1DB1-Normal12"/>
              <w:rPr>
                <w:noProof/>
              </w:rPr>
            </w:pPr>
            <w:r>
              <w:rPr>
                <w:noProof/>
              </w:rPr>
              <w:t>Līgumu slēgšanas tiesību piešķiršana Itālijas un Austrijas starpsavienojuma “Somplago — Würmlach” būvniecībai</w:t>
            </w:r>
          </w:p>
        </w:tc>
      </w:tr>
      <w:tr w:rsidR="00C972CB" w14:paraId="62C690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45FB4" w14:textId="77777777" w:rsidR="00C972CB" w:rsidRDefault="002457F6">
            <w:pPr>
              <w:pStyle w:val="P68B1DB1-Normal12"/>
              <w:jc w:val="center"/>
              <w:rPr>
                <w:noProof/>
              </w:rPr>
            </w:pPr>
            <w:r>
              <w:rPr>
                <w:noProof/>
              </w:rPr>
              <w:t>M1C1–24</w:t>
            </w:r>
          </w:p>
        </w:tc>
        <w:tc>
          <w:tcPr>
            <w:tcW w:w="3150" w:type="dxa"/>
            <w:tcBorders>
              <w:top w:val="nil"/>
              <w:left w:val="nil"/>
              <w:bottom w:val="single" w:sz="4" w:space="0" w:color="auto"/>
              <w:right w:val="single" w:sz="4" w:space="0" w:color="auto"/>
            </w:tcBorders>
            <w:shd w:val="clear" w:color="auto" w:fill="C6EFCE"/>
            <w:noWrap/>
            <w:vAlign w:val="center"/>
          </w:tcPr>
          <w:p w14:paraId="2F887B18" w14:textId="77777777" w:rsidR="00C972CB" w:rsidRDefault="002457F6">
            <w:pPr>
              <w:pStyle w:val="P68B1DB1-Normal12"/>
              <w:jc w:val="center"/>
              <w:rPr>
                <w:noProof/>
              </w:rPr>
            </w:pPr>
            <w:r>
              <w:rPr>
                <w:noProof/>
              </w:rPr>
              <w:t xml:space="preserve">Ieguldījums </w:t>
            </w:r>
            <w:r>
              <w:rPr>
                <w:noProof/>
              </w:rPr>
              <w:t>1.7.1.: Digitālais civildienests</w:t>
            </w:r>
          </w:p>
        </w:tc>
        <w:tc>
          <w:tcPr>
            <w:tcW w:w="1425" w:type="dxa"/>
            <w:tcBorders>
              <w:top w:val="nil"/>
              <w:left w:val="nil"/>
              <w:bottom w:val="single" w:sz="4" w:space="0" w:color="auto"/>
              <w:right w:val="single" w:sz="4" w:space="0" w:color="auto"/>
            </w:tcBorders>
            <w:shd w:val="clear" w:color="auto" w:fill="C6EFCE"/>
            <w:noWrap/>
            <w:vAlign w:val="center"/>
          </w:tcPr>
          <w:p w14:paraId="21E7278E"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3BE53247" w14:textId="77777777" w:rsidR="00C972CB" w:rsidRDefault="002457F6">
            <w:pPr>
              <w:pStyle w:val="P68B1DB1-Normal12"/>
              <w:rPr>
                <w:noProof/>
              </w:rPr>
            </w:pPr>
            <w:r>
              <w:rPr>
                <w:noProof/>
              </w:rPr>
              <w:t xml:space="preserve">Iedzīvotāji, kas piedalās digitālās izglītības un/vai veicināšanas iniciatīvās, kuras nodrošina organizācijas, kas reģistrētas vispārējo civildienesta organizāciju valsts reģistrā </w:t>
            </w:r>
          </w:p>
        </w:tc>
      </w:tr>
      <w:tr w:rsidR="00C972CB" w14:paraId="06ED82E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9EAB9D" w14:textId="77777777" w:rsidR="00C972CB" w:rsidRDefault="002457F6">
            <w:pPr>
              <w:pStyle w:val="P68B1DB1-Normal12"/>
              <w:jc w:val="center"/>
              <w:rPr>
                <w:noProof/>
              </w:rPr>
            </w:pPr>
            <w:r>
              <w:rPr>
                <w:noProof/>
              </w:rPr>
              <w:t>M1C1–96</w:t>
            </w:r>
          </w:p>
        </w:tc>
        <w:tc>
          <w:tcPr>
            <w:tcW w:w="3150" w:type="dxa"/>
            <w:tcBorders>
              <w:top w:val="nil"/>
              <w:left w:val="nil"/>
              <w:bottom w:val="single" w:sz="4" w:space="0" w:color="auto"/>
              <w:right w:val="single" w:sz="4" w:space="0" w:color="auto"/>
            </w:tcBorders>
            <w:shd w:val="clear" w:color="auto" w:fill="C6EFCE"/>
            <w:noWrap/>
            <w:vAlign w:val="center"/>
          </w:tcPr>
          <w:p w14:paraId="402A8AF7" w14:textId="77777777" w:rsidR="00C972CB" w:rsidRDefault="002457F6">
            <w:pPr>
              <w:pStyle w:val="P68B1DB1-Normal12"/>
              <w:jc w:val="center"/>
              <w:rPr>
                <w:noProof/>
              </w:rPr>
            </w:pPr>
            <w:r>
              <w:rPr>
                <w:noProof/>
              </w:rPr>
              <w:t>Reforma: Publiskā iepirkuma</w:t>
            </w:r>
            <w:r>
              <w:rPr>
                <w:noProof/>
              </w:rPr>
              <w:t xml:space="preserve"> tiesiskā regulējuma reforma</w:t>
            </w:r>
          </w:p>
        </w:tc>
        <w:tc>
          <w:tcPr>
            <w:tcW w:w="1425" w:type="dxa"/>
            <w:tcBorders>
              <w:top w:val="nil"/>
              <w:left w:val="nil"/>
              <w:bottom w:val="single" w:sz="4" w:space="0" w:color="auto"/>
              <w:right w:val="single" w:sz="4" w:space="0" w:color="auto"/>
            </w:tcBorders>
            <w:shd w:val="clear" w:color="auto" w:fill="C6EFCE"/>
            <w:noWrap/>
            <w:vAlign w:val="center"/>
          </w:tcPr>
          <w:p w14:paraId="3B21F2FB"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20736B71" w14:textId="77777777" w:rsidR="00C972CB" w:rsidRDefault="002457F6">
            <w:pPr>
              <w:pStyle w:val="P68B1DB1-Normal12"/>
              <w:rPr>
                <w:noProof/>
              </w:rPr>
            </w:pPr>
            <w:r>
              <w:rPr>
                <w:noProof/>
              </w:rPr>
              <w:t>Vidējais laiks no publicēšanas līdz līguma slēgšanas tiesību piešķiršanai</w:t>
            </w:r>
          </w:p>
        </w:tc>
      </w:tr>
      <w:tr w:rsidR="00C972CB" w14:paraId="1A4EB7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C2A763" w14:textId="77777777" w:rsidR="00C972CB" w:rsidRDefault="002457F6">
            <w:pPr>
              <w:pStyle w:val="P68B1DB1-Normal12"/>
              <w:jc w:val="center"/>
              <w:rPr>
                <w:noProof/>
              </w:rPr>
            </w:pPr>
            <w:r>
              <w:rPr>
                <w:noProof/>
              </w:rPr>
              <w:t>M1C1–97bis</w:t>
            </w:r>
          </w:p>
        </w:tc>
        <w:tc>
          <w:tcPr>
            <w:tcW w:w="3150" w:type="dxa"/>
            <w:tcBorders>
              <w:top w:val="nil"/>
              <w:left w:val="nil"/>
              <w:bottom w:val="single" w:sz="4" w:space="0" w:color="auto"/>
              <w:right w:val="single" w:sz="4" w:space="0" w:color="auto"/>
            </w:tcBorders>
            <w:shd w:val="clear" w:color="auto" w:fill="C6EFCE"/>
            <w:noWrap/>
            <w:vAlign w:val="center"/>
          </w:tcPr>
          <w:p w14:paraId="269C5CE7" w14:textId="77777777" w:rsidR="00C972CB" w:rsidRDefault="002457F6">
            <w:pPr>
              <w:pStyle w:val="P68B1DB1-Normal12"/>
              <w:jc w:val="center"/>
              <w:rPr>
                <w:noProof/>
              </w:rPr>
            </w:pPr>
            <w:r>
              <w:rPr>
                <w:noProof/>
              </w:rPr>
              <w:t>Reforma: Publiskā iepirkuma tiesiskā regulējuma reforma</w:t>
            </w:r>
          </w:p>
        </w:tc>
        <w:tc>
          <w:tcPr>
            <w:tcW w:w="1425" w:type="dxa"/>
            <w:tcBorders>
              <w:top w:val="nil"/>
              <w:left w:val="nil"/>
              <w:bottom w:val="single" w:sz="4" w:space="0" w:color="auto"/>
              <w:right w:val="single" w:sz="4" w:space="0" w:color="auto"/>
            </w:tcBorders>
            <w:shd w:val="clear" w:color="auto" w:fill="C6EFCE"/>
            <w:noWrap/>
            <w:vAlign w:val="center"/>
          </w:tcPr>
          <w:p w14:paraId="57A4DEE3"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6B07838D" w14:textId="77777777" w:rsidR="00C972CB" w:rsidRDefault="002457F6">
            <w:pPr>
              <w:pStyle w:val="P68B1DB1-Normal12"/>
              <w:rPr>
                <w:noProof/>
              </w:rPr>
            </w:pPr>
            <w:r>
              <w:rPr>
                <w:noProof/>
              </w:rPr>
              <w:t xml:space="preserve">Vidējais laiks starp līguma slēgšanas tiesību piešķiršanu un </w:t>
            </w:r>
            <w:r>
              <w:rPr>
                <w:noProof/>
              </w:rPr>
              <w:t>infrastruktūras realizāciju</w:t>
            </w:r>
          </w:p>
        </w:tc>
      </w:tr>
      <w:tr w:rsidR="00C972CB" w14:paraId="50C4D2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AE135" w14:textId="77777777" w:rsidR="00C972CB" w:rsidRDefault="002457F6">
            <w:pPr>
              <w:pStyle w:val="P68B1DB1-Normal12"/>
              <w:jc w:val="center"/>
              <w:rPr>
                <w:noProof/>
              </w:rPr>
            </w:pPr>
            <w:r>
              <w:rPr>
                <w:noProof/>
              </w:rPr>
              <w:t>M1C1–98bis</w:t>
            </w:r>
          </w:p>
        </w:tc>
        <w:tc>
          <w:tcPr>
            <w:tcW w:w="3150" w:type="dxa"/>
            <w:tcBorders>
              <w:top w:val="nil"/>
              <w:left w:val="nil"/>
              <w:bottom w:val="single" w:sz="4" w:space="0" w:color="auto"/>
              <w:right w:val="single" w:sz="4" w:space="0" w:color="auto"/>
            </w:tcBorders>
            <w:shd w:val="clear" w:color="auto" w:fill="C6EFCE"/>
            <w:noWrap/>
            <w:vAlign w:val="center"/>
          </w:tcPr>
          <w:p w14:paraId="5FFE9F18" w14:textId="77777777" w:rsidR="00C972CB" w:rsidRDefault="002457F6">
            <w:pPr>
              <w:pStyle w:val="P68B1DB1-Normal12"/>
              <w:jc w:val="center"/>
              <w:rPr>
                <w:noProof/>
              </w:rPr>
            </w:pPr>
            <w:r>
              <w:rPr>
                <w:noProof/>
              </w:rPr>
              <w:t>Reforma: Publiskā iepirkuma tiesiskā regulējuma reforma</w:t>
            </w:r>
          </w:p>
        </w:tc>
        <w:tc>
          <w:tcPr>
            <w:tcW w:w="1425" w:type="dxa"/>
            <w:tcBorders>
              <w:top w:val="nil"/>
              <w:left w:val="nil"/>
              <w:bottom w:val="single" w:sz="4" w:space="0" w:color="auto"/>
              <w:right w:val="single" w:sz="4" w:space="0" w:color="auto"/>
            </w:tcBorders>
            <w:shd w:val="clear" w:color="auto" w:fill="C6EFCE"/>
            <w:noWrap/>
            <w:vAlign w:val="center"/>
          </w:tcPr>
          <w:p w14:paraId="462A4AB0"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5F801C26" w14:textId="77777777" w:rsidR="00C972CB" w:rsidRDefault="002457F6">
            <w:pPr>
              <w:pStyle w:val="P68B1DB1-Normal12"/>
              <w:rPr>
                <w:noProof/>
              </w:rPr>
            </w:pPr>
            <w:r>
              <w:rPr>
                <w:noProof/>
              </w:rPr>
              <w:t>Ierēdņi, kas apmācīti, izmantojot Publisko pircēju profesionalizācijas stratēģiju</w:t>
            </w:r>
          </w:p>
        </w:tc>
      </w:tr>
      <w:tr w:rsidR="00C972CB" w14:paraId="7FB22F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C55893" w14:textId="77777777" w:rsidR="00C972CB" w:rsidRDefault="002457F6">
            <w:pPr>
              <w:pStyle w:val="P68B1DB1-Normal12"/>
              <w:jc w:val="center"/>
              <w:rPr>
                <w:noProof/>
              </w:rPr>
            </w:pPr>
            <w:r>
              <w:rPr>
                <w:noProof/>
              </w:rPr>
              <w:t>M1C1–99bis</w:t>
            </w:r>
          </w:p>
        </w:tc>
        <w:tc>
          <w:tcPr>
            <w:tcW w:w="3150" w:type="dxa"/>
            <w:tcBorders>
              <w:top w:val="nil"/>
              <w:left w:val="nil"/>
              <w:bottom w:val="single" w:sz="4" w:space="0" w:color="auto"/>
              <w:right w:val="single" w:sz="4" w:space="0" w:color="auto"/>
            </w:tcBorders>
            <w:shd w:val="clear" w:color="auto" w:fill="C6EFCE"/>
            <w:noWrap/>
            <w:vAlign w:val="center"/>
          </w:tcPr>
          <w:p w14:paraId="12E3CF81" w14:textId="77777777" w:rsidR="00C972CB" w:rsidRDefault="002457F6">
            <w:pPr>
              <w:pStyle w:val="P68B1DB1-Normal12"/>
              <w:jc w:val="center"/>
              <w:rPr>
                <w:noProof/>
              </w:rPr>
            </w:pPr>
            <w:r>
              <w:rPr>
                <w:noProof/>
              </w:rPr>
              <w:t>Reforma: Publiskā iepirkuma tiesiskā regulējuma reforma. Ieg</w:t>
            </w:r>
            <w:r>
              <w:rPr>
                <w:noProof/>
              </w:rPr>
              <w:t>uldījums 1.10: Atbalsts kvalifikācijai un e-iepirkumiem</w:t>
            </w:r>
          </w:p>
        </w:tc>
        <w:tc>
          <w:tcPr>
            <w:tcW w:w="1425" w:type="dxa"/>
            <w:tcBorders>
              <w:top w:val="nil"/>
              <w:left w:val="nil"/>
              <w:bottom w:val="single" w:sz="4" w:space="0" w:color="auto"/>
              <w:right w:val="single" w:sz="4" w:space="0" w:color="auto"/>
            </w:tcBorders>
            <w:shd w:val="clear" w:color="auto" w:fill="C6EFCE"/>
            <w:noWrap/>
            <w:vAlign w:val="center"/>
          </w:tcPr>
          <w:p w14:paraId="489C4202"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2D9D1EC5" w14:textId="77777777" w:rsidR="00C972CB" w:rsidRDefault="002457F6">
            <w:pPr>
              <w:pStyle w:val="P68B1DB1-Normal12"/>
              <w:rPr>
                <w:noProof/>
              </w:rPr>
            </w:pPr>
            <w:r>
              <w:rPr>
                <w:noProof/>
              </w:rPr>
              <w:t xml:space="preserve">Līgumslēdzēju iestāžu digitālās kompetences </w:t>
            </w:r>
          </w:p>
        </w:tc>
      </w:tr>
      <w:tr w:rsidR="00C972CB" w14:paraId="2996B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D33E58" w14:textId="77777777" w:rsidR="00C972CB" w:rsidRDefault="002457F6">
            <w:pPr>
              <w:pStyle w:val="P68B1DB1-Normal12"/>
              <w:jc w:val="center"/>
              <w:rPr>
                <w:noProof/>
              </w:rPr>
            </w:pPr>
            <w:r>
              <w:rPr>
                <w:noProof/>
              </w:rPr>
              <w:t>M1C1–116</w:t>
            </w:r>
          </w:p>
        </w:tc>
        <w:tc>
          <w:tcPr>
            <w:tcW w:w="3150" w:type="dxa"/>
            <w:tcBorders>
              <w:top w:val="nil"/>
              <w:left w:val="nil"/>
              <w:bottom w:val="single" w:sz="4" w:space="0" w:color="auto"/>
              <w:right w:val="single" w:sz="4" w:space="0" w:color="auto"/>
            </w:tcBorders>
            <w:shd w:val="clear" w:color="auto" w:fill="C6EFCE"/>
            <w:noWrap/>
            <w:vAlign w:val="center"/>
          </w:tcPr>
          <w:p w14:paraId="500BA1A4" w14:textId="77777777" w:rsidR="00C972CB" w:rsidRDefault="002457F6">
            <w:pPr>
              <w:pStyle w:val="P68B1DB1-Normal12"/>
              <w:jc w:val="center"/>
              <w:rPr>
                <w:noProof/>
              </w:rPr>
            </w:pPr>
            <w:r>
              <w:rPr>
                <w:noProof/>
              </w:rPr>
              <w:t>Reforma: Nodokļu administrācijas reforma</w:t>
            </w:r>
          </w:p>
        </w:tc>
        <w:tc>
          <w:tcPr>
            <w:tcW w:w="1425" w:type="dxa"/>
            <w:tcBorders>
              <w:top w:val="nil"/>
              <w:left w:val="nil"/>
              <w:bottom w:val="single" w:sz="4" w:space="0" w:color="auto"/>
              <w:right w:val="single" w:sz="4" w:space="0" w:color="auto"/>
            </w:tcBorders>
            <w:shd w:val="clear" w:color="auto" w:fill="C6EFCE"/>
            <w:noWrap/>
            <w:vAlign w:val="center"/>
          </w:tcPr>
          <w:p w14:paraId="6944EB2A"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13FE9B41" w14:textId="77777777" w:rsidR="00C972CB" w:rsidRDefault="002457F6">
            <w:pPr>
              <w:pStyle w:val="P68B1DB1-Normal12"/>
              <w:rPr>
                <w:noProof/>
              </w:rPr>
            </w:pPr>
            <w:r>
              <w:rPr>
                <w:noProof/>
              </w:rPr>
              <w:t>Nodokļu nemaksāšanas samazināšana, kā noteikts rādītājā “izvairīšanās iespējamība”</w:t>
            </w:r>
          </w:p>
        </w:tc>
      </w:tr>
      <w:tr w:rsidR="00C972CB" w14:paraId="080B2E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D589B8" w14:textId="77777777" w:rsidR="00C972CB" w:rsidRDefault="002457F6">
            <w:pPr>
              <w:pStyle w:val="P68B1DB1-Normal12"/>
              <w:jc w:val="center"/>
              <w:rPr>
                <w:noProof/>
              </w:rPr>
            </w:pPr>
            <w:r>
              <w:rPr>
                <w:noProof/>
              </w:rPr>
              <w:t>M1C2–5</w:t>
            </w:r>
          </w:p>
        </w:tc>
        <w:tc>
          <w:tcPr>
            <w:tcW w:w="3150" w:type="dxa"/>
            <w:tcBorders>
              <w:top w:val="nil"/>
              <w:left w:val="nil"/>
              <w:bottom w:val="single" w:sz="4" w:space="0" w:color="auto"/>
              <w:right w:val="single" w:sz="4" w:space="0" w:color="auto"/>
            </w:tcBorders>
            <w:shd w:val="clear" w:color="auto" w:fill="C6EFCE"/>
            <w:noWrap/>
            <w:vAlign w:val="center"/>
          </w:tcPr>
          <w:p w14:paraId="191126BF" w14:textId="77777777" w:rsidR="00C972CB" w:rsidRDefault="002457F6">
            <w:pPr>
              <w:pStyle w:val="P68B1DB1-Normal12"/>
              <w:jc w:val="center"/>
              <w:rPr>
                <w:noProof/>
              </w:rPr>
            </w:pPr>
            <w:r>
              <w:rPr>
                <w:noProof/>
              </w:rPr>
              <w:t>Ieguldījums 6: Ieguldījumi rūpnieciskā īpašuma sistēmā</w:t>
            </w:r>
          </w:p>
        </w:tc>
        <w:tc>
          <w:tcPr>
            <w:tcW w:w="1425" w:type="dxa"/>
            <w:tcBorders>
              <w:top w:val="nil"/>
              <w:left w:val="nil"/>
              <w:bottom w:val="single" w:sz="4" w:space="0" w:color="auto"/>
              <w:right w:val="single" w:sz="4" w:space="0" w:color="auto"/>
            </w:tcBorders>
            <w:shd w:val="clear" w:color="auto" w:fill="C6EFCE"/>
            <w:noWrap/>
            <w:vAlign w:val="center"/>
          </w:tcPr>
          <w:p w14:paraId="42082B21"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4E6B5E3D" w14:textId="77777777" w:rsidR="00C972CB" w:rsidRDefault="002457F6">
            <w:pPr>
              <w:pStyle w:val="P68B1DB1-Normal12"/>
              <w:rPr>
                <w:noProof/>
              </w:rPr>
            </w:pPr>
            <w:r>
              <w:rPr>
                <w:noProof/>
              </w:rPr>
              <w:t>Projekti, ko atbalsta ar rūpniecisko īpašumu saistītas finansēšanas iespējas</w:t>
            </w:r>
          </w:p>
        </w:tc>
      </w:tr>
      <w:tr w:rsidR="00C972CB" w14:paraId="45A29D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0073B2" w14:textId="77777777" w:rsidR="00C972CB" w:rsidRDefault="002457F6">
            <w:pPr>
              <w:pStyle w:val="P68B1DB1-Normal12"/>
              <w:jc w:val="center"/>
              <w:rPr>
                <w:noProof/>
              </w:rPr>
            </w:pPr>
            <w:r>
              <w:rPr>
                <w:noProof/>
              </w:rPr>
              <w:t>M1C2–13</w:t>
            </w:r>
          </w:p>
        </w:tc>
        <w:tc>
          <w:tcPr>
            <w:tcW w:w="3150" w:type="dxa"/>
            <w:tcBorders>
              <w:top w:val="nil"/>
              <w:left w:val="nil"/>
              <w:bottom w:val="single" w:sz="4" w:space="0" w:color="auto"/>
              <w:right w:val="single" w:sz="4" w:space="0" w:color="auto"/>
            </w:tcBorders>
            <w:shd w:val="clear" w:color="auto" w:fill="C6EFCE"/>
            <w:noWrap/>
            <w:vAlign w:val="center"/>
          </w:tcPr>
          <w:p w14:paraId="1C634FAE" w14:textId="77777777" w:rsidR="00C972CB" w:rsidRDefault="002457F6">
            <w:pPr>
              <w:pStyle w:val="P68B1DB1-Normal12"/>
              <w:jc w:val="center"/>
              <w:rPr>
                <w:noProof/>
              </w:rPr>
            </w:pPr>
            <w:r>
              <w:rPr>
                <w:noProof/>
              </w:rPr>
              <w:t>Reforma: Ikgadējie konkurences tiesību akti</w:t>
            </w:r>
          </w:p>
        </w:tc>
        <w:tc>
          <w:tcPr>
            <w:tcW w:w="1425" w:type="dxa"/>
            <w:tcBorders>
              <w:top w:val="nil"/>
              <w:left w:val="nil"/>
              <w:bottom w:val="single" w:sz="4" w:space="0" w:color="auto"/>
              <w:right w:val="single" w:sz="4" w:space="0" w:color="auto"/>
            </w:tcBorders>
            <w:shd w:val="clear" w:color="auto" w:fill="C6EFCE"/>
            <w:noWrap/>
            <w:vAlign w:val="center"/>
          </w:tcPr>
          <w:p w14:paraId="28F47BC9" w14:textId="77777777" w:rsidR="00C972CB" w:rsidRDefault="002457F6">
            <w:pPr>
              <w:pStyle w:val="P68B1DB1-Normal12"/>
              <w:jc w:val="center"/>
              <w:rPr>
                <w:noProof/>
              </w:rPr>
            </w:pPr>
            <w:r>
              <w:rPr>
                <w:noProof/>
              </w:rPr>
              <w:t>Starpposma mērķis</w:t>
            </w:r>
          </w:p>
        </w:tc>
        <w:tc>
          <w:tcPr>
            <w:tcW w:w="3959" w:type="dxa"/>
            <w:tcBorders>
              <w:top w:val="nil"/>
              <w:left w:val="nil"/>
              <w:bottom w:val="single" w:sz="4" w:space="0" w:color="auto"/>
              <w:right w:val="single" w:sz="4" w:space="0" w:color="auto"/>
            </w:tcBorders>
            <w:shd w:val="clear" w:color="auto" w:fill="C6EFCE"/>
            <w:noWrap/>
            <w:vAlign w:val="center"/>
          </w:tcPr>
          <w:p w14:paraId="463DA2FD" w14:textId="77777777" w:rsidR="00C972CB" w:rsidRDefault="002457F6">
            <w:pPr>
              <w:pStyle w:val="P68B1DB1-Normal12"/>
              <w:rPr>
                <w:noProof/>
              </w:rPr>
            </w:pPr>
            <w:r>
              <w:rPr>
                <w:noProof/>
              </w:rPr>
              <w:t>2024. gada Konkurences likuma stāšanās spēkā</w:t>
            </w:r>
          </w:p>
        </w:tc>
      </w:tr>
      <w:tr w:rsidR="00C972CB" w14:paraId="654262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DE1B8" w14:textId="77777777" w:rsidR="00C972CB" w:rsidRDefault="002457F6">
            <w:pPr>
              <w:pStyle w:val="P68B1DB1-Normal12"/>
              <w:jc w:val="center"/>
              <w:rPr>
                <w:noProof/>
              </w:rPr>
            </w:pPr>
            <w:r>
              <w:rPr>
                <w:noProof/>
              </w:rPr>
              <w:t>M1C2–14</w:t>
            </w:r>
          </w:p>
        </w:tc>
        <w:tc>
          <w:tcPr>
            <w:tcW w:w="3150" w:type="dxa"/>
            <w:tcBorders>
              <w:top w:val="nil"/>
              <w:left w:val="nil"/>
              <w:bottom w:val="single" w:sz="4" w:space="0" w:color="auto"/>
              <w:right w:val="single" w:sz="4" w:space="0" w:color="auto"/>
            </w:tcBorders>
            <w:shd w:val="clear" w:color="auto" w:fill="C6EFCE"/>
            <w:noWrap/>
            <w:vAlign w:val="center"/>
          </w:tcPr>
          <w:p w14:paraId="347905B8" w14:textId="77777777" w:rsidR="00C972CB" w:rsidRDefault="002457F6">
            <w:pPr>
              <w:pStyle w:val="P68B1DB1-Normal12"/>
              <w:jc w:val="center"/>
              <w:rPr>
                <w:noProof/>
              </w:rPr>
            </w:pPr>
            <w:r>
              <w:rPr>
                <w:noProof/>
              </w:rPr>
              <w:t>Reforma: Ikgadējie konkurences tiesību akti</w:t>
            </w:r>
          </w:p>
        </w:tc>
        <w:tc>
          <w:tcPr>
            <w:tcW w:w="1425" w:type="dxa"/>
            <w:tcBorders>
              <w:top w:val="nil"/>
              <w:left w:val="nil"/>
              <w:bottom w:val="single" w:sz="4" w:space="0" w:color="auto"/>
              <w:right w:val="single" w:sz="4" w:space="0" w:color="auto"/>
            </w:tcBorders>
            <w:shd w:val="clear" w:color="auto" w:fill="C6EFCE"/>
            <w:noWrap/>
            <w:vAlign w:val="center"/>
          </w:tcPr>
          <w:p w14:paraId="21DD2E53"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3D46EEC2" w14:textId="77777777" w:rsidR="00C972CB" w:rsidRDefault="002457F6">
            <w:pPr>
              <w:pStyle w:val="P68B1DB1-Normal12"/>
              <w:rPr>
                <w:noProof/>
              </w:rPr>
            </w:pPr>
            <w:r>
              <w:rPr>
                <w:noProof/>
              </w:rPr>
              <w:t>Ieviesti miljoniem 2G viedo skaitītāju.</w:t>
            </w:r>
          </w:p>
        </w:tc>
      </w:tr>
      <w:tr w:rsidR="00C972CB" w14:paraId="2A14A4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0EE74" w14:textId="77777777" w:rsidR="00C972CB" w:rsidRDefault="002457F6">
            <w:pPr>
              <w:pStyle w:val="P68B1DB1-Normal12"/>
              <w:jc w:val="center"/>
              <w:rPr>
                <w:noProof/>
              </w:rPr>
            </w:pPr>
            <w:r>
              <w:rPr>
                <w:noProof/>
              </w:rPr>
              <w:t>M1C3–1</w:t>
            </w:r>
          </w:p>
        </w:tc>
        <w:tc>
          <w:tcPr>
            <w:tcW w:w="3150" w:type="dxa"/>
            <w:tcBorders>
              <w:top w:val="nil"/>
              <w:left w:val="nil"/>
              <w:bottom w:val="single" w:sz="4" w:space="0" w:color="auto"/>
              <w:right w:val="single" w:sz="4" w:space="0" w:color="auto"/>
            </w:tcBorders>
            <w:shd w:val="clear" w:color="auto" w:fill="C6EFCE"/>
            <w:noWrap/>
            <w:vAlign w:val="center"/>
          </w:tcPr>
          <w:p w14:paraId="70589CEC" w14:textId="77777777" w:rsidR="00C972CB" w:rsidRDefault="002457F6">
            <w:pPr>
              <w:pStyle w:val="P68B1DB1-Normal12"/>
              <w:jc w:val="center"/>
              <w:rPr>
                <w:noProof/>
              </w:rPr>
            </w:pPr>
            <w:r>
              <w:rPr>
                <w:noProof/>
              </w:rPr>
              <w:t>Ieguldījums 1.1. Digitālā stratēģija un kultūras mantojuma platformas</w:t>
            </w:r>
          </w:p>
        </w:tc>
        <w:tc>
          <w:tcPr>
            <w:tcW w:w="1425" w:type="dxa"/>
            <w:tcBorders>
              <w:top w:val="nil"/>
              <w:left w:val="nil"/>
              <w:bottom w:val="single" w:sz="4" w:space="0" w:color="auto"/>
              <w:right w:val="single" w:sz="4" w:space="0" w:color="auto"/>
            </w:tcBorders>
            <w:shd w:val="clear" w:color="auto" w:fill="C6EFCE"/>
            <w:noWrap/>
            <w:vAlign w:val="center"/>
          </w:tcPr>
          <w:p w14:paraId="12890033"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2CD95EC0" w14:textId="77777777" w:rsidR="00C972CB" w:rsidRDefault="002457F6">
            <w:pPr>
              <w:pStyle w:val="P68B1DB1-Normal12"/>
              <w:rPr>
                <w:noProof/>
              </w:rPr>
            </w:pPr>
            <w:r>
              <w:rPr>
                <w:noProof/>
              </w:rPr>
              <w:t>Lietotāji, kas apmācīti, izmantojot kultūras mantojuma e-mācību platformu</w:t>
            </w:r>
          </w:p>
        </w:tc>
      </w:tr>
      <w:tr w:rsidR="00C972CB" w14:paraId="4AEAD2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F39CD1" w14:textId="77777777" w:rsidR="00C972CB" w:rsidRDefault="002457F6">
            <w:pPr>
              <w:pStyle w:val="P68B1DB1-Normal12"/>
              <w:jc w:val="center"/>
              <w:rPr>
                <w:noProof/>
              </w:rPr>
            </w:pPr>
            <w:r>
              <w:rPr>
                <w:noProof/>
              </w:rPr>
              <w:t>M1C3–2</w:t>
            </w:r>
          </w:p>
        </w:tc>
        <w:tc>
          <w:tcPr>
            <w:tcW w:w="3150" w:type="dxa"/>
            <w:tcBorders>
              <w:top w:val="nil"/>
              <w:left w:val="nil"/>
              <w:bottom w:val="single" w:sz="4" w:space="0" w:color="auto"/>
              <w:right w:val="single" w:sz="4" w:space="0" w:color="auto"/>
            </w:tcBorders>
            <w:shd w:val="clear" w:color="auto" w:fill="C6EFCE"/>
            <w:noWrap/>
            <w:vAlign w:val="center"/>
          </w:tcPr>
          <w:p w14:paraId="40D3EDDE" w14:textId="77777777" w:rsidR="00C972CB" w:rsidRDefault="002457F6">
            <w:pPr>
              <w:pStyle w:val="P68B1DB1-Normal12"/>
              <w:jc w:val="center"/>
              <w:rPr>
                <w:noProof/>
              </w:rPr>
            </w:pPr>
            <w:r>
              <w:rPr>
                <w:noProof/>
              </w:rPr>
              <w:t>Ieguldījumi — 1.1. Digitālā stratēģija un kultūras mantojuma platformas</w:t>
            </w:r>
          </w:p>
        </w:tc>
        <w:tc>
          <w:tcPr>
            <w:tcW w:w="1425" w:type="dxa"/>
            <w:tcBorders>
              <w:top w:val="nil"/>
              <w:left w:val="nil"/>
              <w:bottom w:val="single" w:sz="4" w:space="0" w:color="auto"/>
              <w:right w:val="single" w:sz="4" w:space="0" w:color="auto"/>
            </w:tcBorders>
            <w:shd w:val="clear" w:color="auto" w:fill="C6EFCE"/>
            <w:noWrap/>
            <w:vAlign w:val="center"/>
          </w:tcPr>
          <w:p w14:paraId="1D5945E0"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04DA6F41" w14:textId="77777777" w:rsidR="00C972CB" w:rsidRDefault="002457F6">
            <w:pPr>
              <w:pStyle w:val="P68B1DB1-Normal12"/>
              <w:rPr>
                <w:noProof/>
              </w:rPr>
            </w:pPr>
            <w:r>
              <w:rPr>
                <w:noProof/>
              </w:rPr>
              <w:t xml:space="preserve">Digitālajā bibliotēkā sagatavoti un publicēti digitālie resursi </w:t>
            </w:r>
          </w:p>
        </w:tc>
      </w:tr>
      <w:tr w:rsidR="00C972CB" w14:paraId="59A2FE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81FF9" w14:textId="77777777" w:rsidR="00C972CB" w:rsidRDefault="002457F6">
            <w:pPr>
              <w:pStyle w:val="P68B1DB1-Normal12"/>
              <w:jc w:val="center"/>
              <w:rPr>
                <w:noProof/>
              </w:rPr>
            </w:pPr>
            <w:r>
              <w:rPr>
                <w:noProof/>
              </w:rPr>
              <w:t>M1C3–5</w:t>
            </w:r>
          </w:p>
        </w:tc>
        <w:tc>
          <w:tcPr>
            <w:tcW w:w="3150" w:type="dxa"/>
            <w:tcBorders>
              <w:top w:val="nil"/>
              <w:left w:val="nil"/>
              <w:bottom w:val="single" w:sz="4" w:space="0" w:color="auto"/>
              <w:right w:val="single" w:sz="4" w:space="0" w:color="auto"/>
            </w:tcBorders>
            <w:shd w:val="clear" w:color="auto" w:fill="C6EFCE"/>
            <w:noWrap/>
            <w:vAlign w:val="center"/>
          </w:tcPr>
          <w:p w14:paraId="5A3F6D98" w14:textId="77777777" w:rsidR="00C972CB" w:rsidRDefault="002457F6">
            <w:pPr>
              <w:pStyle w:val="P68B1DB1-Normal12"/>
              <w:jc w:val="center"/>
              <w:rPr>
                <w:noProof/>
              </w:rPr>
            </w:pPr>
            <w:r>
              <w:rPr>
                <w:noProof/>
              </w:rPr>
              <w:t>Ieguldījumi — 1.3. Uzlabot energoefektivitāti kinoteātros, teātros un muzejos</w:t>
            </w:r>
          </w:p>
        </w:tc>
        <w:tc>
          <w:tcPr>
            <w:tcW w:w="1425" w:type="dxa"/>
            <w:tcBorders>
              <w:top w:val="nil"/>
              <w:left w:val="nil"/>
              <w:bottom w:val="single" w:sz="4" w:space="0" w:color="auto"/>
              <w:right w:val="single" w:sz="4" w:space="0" w:color="auto"/>
            </w:tcBorders>
            <w:shd w:val="clear" w:color="auto" w:fill="C6EFCE"/>
            <w:noWrap/>
            <w:vAlign w:val="center"/>
          </w:tcPr>
          <w:p w14:paraId="4E5C4DC3"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4620211C" w14:textId="77777777" w:rsidR="00C972CB" w:rsidRDefault="002457F6">
            <w:pPr>
              <w:pStyle w:val="P68B1DB1-Normal12"/>
              <w:rPr>
                <w:noProof/>
              </w:rPr>
            </w:pPr>
            <w:r>
              <w:rPr>
                <w:noProof/>
              </w:rPr>
              <w:t>Tiek pabeigta</w:t>
            </w:r>
            <w:r>
              <w:rPr>
                <w:noProof/>
              </w:rPr>
              <w:t>s intervences saistībā ar valsts muzejiem un kultūras objektiem, teātra hallēm un kinoteātriem (otrā partija)</w:t>
            </w:r>
          </w:p>
        </w:tc>
      </w:tr>
      <w:tr w:rsidR="00C972CB" w14:paraId="490638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97B38" w14:textId="77777777" w:rsidR="00C972CB" w:rsidRDefault="002457F6">
            <w:pPr>
              <w:pStyle w:val="P68B1DB1-Normal12"/>
              <w:jc w:val="center"/>
              <w:rPr>
                <w:noProof/>
              </w:rPr>
            </w:pPr>
            <w:r>
              <w:rPr>
                <w:noProof/>
              </w:rPr>
              <w:t>M2C2–29</w:t>
            </w:r>
          </w:p>
        </w:tc>
        <w:tc>
          <w:tcPr>
            <w:tcW w:w="3150" w:type="dxa"/>
            <w:tcBorders>
              <w:top w:val="nil"/>
              <w:left w:val="nil"/>
              <w:bottom w:val="single" w:sz="4" w:space="0" w:color="auto"/>
              <w:right w:val="single" w:sz="4" w:space="0" w:color="auto"/>
            </w:tcBorders>
            <w:shd w:val="clear" w:color="auto" w:fill="C6EFCE"/>
            <w:noWrap/>
            <w:vAlign w:val="center"/>
          </w:tcPr>
          <w:p w14:paraId="3598FFFE" w14:textId="77777777" w:rsidR="00C972CB" w:rsidRDefault="002457F6">
            <w:pPr>
              <w:pStyle w:val="P68B1DB1-Normal12"/>
              <w:jc w:val="center"/>
              <w:rPr>
                <w:noProof/>
              </w:rPr>
            </w:pPr>
            <w:r>
              <w:rPr>
                <w:noProof/>
              </w:rPr>
              <w:t>Ieguldījums 4.3. Uzlādes infrastruktūru uzstādīšana</w:t>
            </w:r>
          </w:p>
        </w:tc>
        <w:tc>
          <w:tcPr>
            <w:tcW w:w="1425" w:type="dxa"/>
            <w:tcBorders>
              <w:top w:val="nil"/>
              <w:left w:val="nil"/>
              <w:bottom w:val="single" w:sz="4" w:space="0" w:color="auto"/>
              <w:right w:val="single" w:sz="4" w:space="0" w:color="auto"/>
            </w:tcBorders>
            <w:shd w:val="clear" w:color="auto" w:fill="C6EFCE"/>
            <w:noWrap/>
            <w:vAlign w:val="center"/>
          </w:tcPr>
          <w:p w14:paraId="49A17549"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521D4C55" w14:textId="77777777" w:rsidR="00C972CB" w:rsidRDefault="002457F6">
            <w:pPr>
              <w:pStyle w:val="P68B1DB1-Normal12"/>
              <w:rPr>
                <w:noProof/>
              </w:rPr>
            </w:pPr>
            <w:r>
              <w:rPr>
                <w:noProof/>
              </w:rPr>
              <w:t>Ātras uzlādes staciju skaits gar brīvceļiem</w:t>
            </w:r>
          </w:p>
        </w:tc>
      </w:tr>
      <w:tr w:rsidR="00C972CB" w14:paraId="34C3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AF04B1" w14:textId="77777777" w:rsidR="00C972CB" w:rsidRDefault="002457F6">
            <w:pPr>
              <w:pStyle w:val="P68B1DB1-Normal12"/>
              <w:jc w:val="center"/>
              <w:rPr>
                <w:noProof/>
              </w:rPr>
            </w:pPr>
            <w:r>
              <w:rPr>
                <w:noProof/>
              </w:rPr>
              <w:t>M2C2–29.bis</w:t>
            </w:r>
          </w:p>
        </w:tc>
        <w:tc>
          <w:tcPr>
            <w:tcW w:w="3150" w:type="dxa"/>
            <w:tcBorders>
              <w:top w:val="nil"/>
              <w:left w:val="nil"/>
              <w:bottom w:val="single" w:sz="4" w:space="0" w:color="auto"/>
              <w:right w:val="single" w:sz="4" w:space="0" w:color="auto"/>
            </w:tcBorders>
            <w:shd w:val="clear" w:color="auto" w:fill="C6EFCE"/>
            <w:noWrap/>
            <w:vAlign w:val="center"/>
          </w:tcPr>
          <w:p w14:paraId="6B53A708" w14:textId="77777777" w:rsidR="00C972CB" w:rsidRDefault="002457F6">
            <w:pPr>
              <w:pStyle w:val="P68B1DB1-Normal12"/>
              <w:jc w:val="center"/>
              <w:rPr>
                <w:noProof/>
              </w:rPr>
            </w:pPr>
            <w:r>
              <w:rPr>
                <w:noProof/>
              </w:rPr>
              <w:t xml:space="preserve">Ieguldījums 4.3. </w:t>
            </w:r>
            <w:r>
              <w:rPr>
                <w:noProof/>
              </w:rPr>
              <w:t>Uzlādes infrastruktūru uzstādīšana</w:t>
            </w:r>
          </w:p>
        </w:tc>
        <w:tc>
          <w:tcPr>
            <w:tcW w:w="1425" w:type="dxa"/>
            <w:tcBorders>
              <w:top w:val="nil"/>
              <w:left w:val="nil"/>
              <w:bottom w:val="single" w:sz="4" w:space="0" w:color="auto"/>
              <w:right w:val="single" w:sz="4" w:space="0" w:color="auto"/>
            </w:tcBorders>
            <w:shd w:val="clear" w:color="auto" w:fill="C6EFCE"/>
            <w:noWrap/>
            <w:vAlign w:val="center"/>
          </w:tcPr>
          <w:p w14:paraId="033BC89C"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278BAEF6" w14:textId="77777777" w:rsidR="00C972CB" w:rsidRDefault="002457F6">
            <w:pPr>
              <w:pStyle w:val="P68B1DB1-Normal12"/>
              <w:rPr>
                <w:noProof/>
              </w:rPr>
            </w:pPr>
            <w:r>
              <w:rPr>
                <w:noProof/>
              </w:rPr>
              <w:t>Ātrās uzlādes staciju skaits pilsētu teritorijās</w:t>
            </w:r>
          </w:p>
        </w:tc>
      </w:tr>
      <w:tr w:rsidR="00C972CB" w14:paraId="6DB373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49EF4" w14:textId="77777777" w:rsidR="00C972CB" w:rsidRDefault="002457F6">
            <w:pPr>
              <w:pStyle w:val="P68B1DB1-Normal12"/>
              <w:jc w:val="center"/>
              <w:rPr>
                <w:noProof/>
              </w:rPr>
            </w:pPr>
            <w:r>
              <w:rPr>
                <w:noProof/>
              </w:rPr>
              <w:t>M2C2–30</w:t>
            </w:r>
          </w:p>
        </w:tc>
        <w:tc>
          <w:tcPr>
            <w:tcW w:w="3150" w:type="dxa"/>
            <w:tcBorders>
              <w:top w:val="nil"/>
              <w:left w:val="nil"/>
              <w:bottom w:val="single" w:sz="4" w:space="0" w:color="auto"/>
              <w:right w:val="single" w:sz="4" w:space="0" w:color="auto"/>
            </w:tcBorders>
            <w:shd w:val="clear" w:color="auto" w:fill="C6EFCE"/>
            <w:noWrap/>
            <w:vAlign w:val="center"/>
          </w:tcPr>
          <w:p w14:paraId="6132ECF3" w14:textId="77777777" w:rsidR="00C972CB" w:rsidRDefault="002457F6">
            <w:pPr>
              <w:pStyle w:val="P68B1DB1-Normal12"/>
              <w:jc w:val="center"/>
              <w:rPr>
                <w:noProof/>
              </w:rPr>
            </w:pPr>
            <w:r>
              <w:rPr>
                <w:noProof/>
              </w:rPr>
              <w:t>Ieguldījums 4.3. Uzlādes infrastruktūru uzstādīšana</w:t>
            </w:r>
          </w:p>
        </w:tc>
        <w:tc>
          <w:tcPr>
            <w:tcW w:w="1425" w:type="dxa"/>
            <w:tcBorders>
              <w:top w:val="nil"/>
              <w:left w:val="nil"/>
              <w:bottom w:val="single" w:sz="4" w:space="0" w:color="auto"/>
              <w:right w:val="single" w:sz="4" w:space="0" w:color="auto"/>
            </w:tcBorders>
            <w:shd w:val="clear" w:color="auto" w:fill="C6EFCE"/>
            <w:noWrap/>
            <w:vAlign w:val="center"/>
          </w:tcPr>
          <w:p w14:paraId="79B91F35"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4DEF3AE6" w14:textId="77777777" w:rsidR="00C972CB" w:rsidRDefault="002457F6">
            <w:pPr>
              <w:pStyle w:val="P68B1DB1-Normal12"/>
              <w:rPr>
                <w:noProof/>
              </w:rPr>
            </w:pPr>
            <w:r>
              <w:rPr>
                <w:noProof/>
              </w:rPr>
              <w:t>Ātras uzlādes staciju skaits gar brīvceļiem</w:t>
            </w:r>
          </w:p>
        </w:tc>
      </w:tr>
      <w:tr w:rsidR="00C972CB" w14:paraId="40FBC7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549035" w14:textId="77777777" w:rsidR="00C972CB" w:rsidRDefault="002457F6">
            <w:pPr>
              <w:pStyle w:val="P68B1DB1-Normal12"/>
              <w:jc w:val="center"/>
              <w:rPr>
                <w:noProof/>
              </w:rPr>
            </w:pPr>
            <w:r>
              <w:rPr>
                <w:noProof/>
              </w:rPr>
              <w:t>M2C2–30bis</w:t>
            </w:r>
          </w:p>
        </w:tc>
        <w:tc>
          <w:tcPr>
            <w:tcW w:w="3150" w:type="dxa"/>
            <w:tcBorders>
              <w:top w:val="nil"/>
              <w:left w:val="nil"/>
              <w:bottom w:val="single" w:sz="4" w:space="0" w:color="auto"/>
              <w:right w:val="single" w:sz="4" w:space="0" w:color="auto"/>
            </w:tcBorders>
            <w:shd w:val="clear" w:color="auto" w:fill="C6EFCE"/>
            <w:noWrap/>
            <w:vAlign w:val="center"/>
          </w:tcPr>
          <w:p w14:paraId="7F2D0536" w14:textId="77777777" w:rsidR="00C972CB" w:rsidRDefault="002457F6">
            <w:pPr>
              <w:pStyle w:val="P68B1DB1-Normal12"/>
              <w:jc w:val="center"/>
              <w:rPr>
                <w:noProof/>
              </w:rPr>
            </w:pPr>
            <w:r>
              <w:rPr>
                <w:noProof/>
              </w:rPr>
              <w:t xml:space="preserve">Ieguldījums 4.3. Uzlādes infrastruktūru </w:t>
            </w:r>
            <w:r>
              <w:rPr>
                <w:noProof/>
              </w:rPr>
              <w:t>uzstādīšana</w:t>
            </w:r>
          </w:p>
        </w:tc>
        <w:tc>
          <w:tcPr>
            <w:tcW w:w="1425" w:type="dxa"/>
            <w:tcBorders>
              <w:top w:val="nil"/>
              <w:left w:val="nil"/>
              <w:bottom w:val="single" w:sz="4" w:space="0" w:color="auto"/>
              <w:right w:val="single" w:sz="4" w:space="0" w:color="auto"/>
            </w:tcBorders>
            <w:shd w:val="clear" w:color="auto" w:fill="C6EFCE"/>
            <w:noWrap/>
            <w:vAlign w:val="center"/>
          </w:tcPr>
          <w:p w14:paraId="7D2DDF26"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63D6C2CB" w14:textId="77777777" w:rsidR="00C972CB" w:rsidRDefault="002457F6">
            <w:pPr>
              <w:pStyle w:val="P68B1DB1-Normal12"/>
              <w:rPr>
                <w:noProof/>
              </w:rPr>
            </w:pPr>
            <w:r>
              <w:rPr>
                <w:noProof/>
              </w:rPr>
              <w:t>Ātrās uzlādes staciju skaits pilsētu teritorijās</w:t>
            </w:r>
          </w:p>
        </w:tc>
      </w:tr>
      <w:tr w:rsidR="00C972CB" w14:paraId="4036B4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282133" w14:textId="77777777" w:rsidR="00C972CB" w:rsidRDefault="002457F6">
            <w:pPr>
              <w:pStyle w:val="P68B1DB1-Normal12"/>
              <w:jc w:val="center"/>
              <w:rPr>
                <w:noProof/>
              </w:rPr>
            </w:pPr>
            <w:r>
              <w:rPr>
                <w:noProof/>
              </w:rPr>
              <w:t>M2C2–30ter</w:t>
            </w:r>
          </w:p>
        </w:tc>
        <w:tc>
          <w:tcPr>
            <w:tcW w:w="3150" w:type="dxa"/>
            <w:tcBorders>
              <w:top w:val="nil"/>
              <w:left w:val="nil"/>
              <w:bottom w:val="single" w:sz="4" w:space="0" w:color="auto"/>
              <w:right w:val="single" w:sz="4" w:space="0" w:color="auto"/>
            </w:tcBorders>
            <w:shd w:val="clear" w:color="auto" w:fill="C6EFCE"/>
            <w:noWrap/>
            <w:vAlign w:val="center"/>
          </w:tcPr>
          <w:p w14:paraId="1C8E63D7" w14:textId="77777777" w:rsidR="00C972CB" w:rsidRDefault="002457F6">
            <w:pPr>
              <w:pStyle w:val="P68B1DB1-Normal12"/>
              <w:jc w:val="center"/>
              <w:rPr>
                <w:noProof/>
              </w:rPr>
            </w:pPr>
            <w:r>
              <w:rPr>
                <w:noProof/>
              </w:rPr>
              <w:t>Ieguldījums 4.3. Uzlādes infrastruktūru uzstādīšana</w:t>
            </w:r>
          </w:p>
        </w:tc>
        <w:tc>
          <w:tcPr>
            <w:tcW w:w="1425" w:type="dxa"/>
            <w:tcBorders>
              <w:top w:val="nil"/>
              <w:left w:val="nil"/>
              <w:bottom w:val="single" w:sz="4" w:space="0" w:color="auto"/>
              <w:right w:val="single" w:sz="4" w:space="0" w:color="auto"/>
            </w:tcBorders>
            <w:shd w:val="clear" w:color="auto" w:fill="C6EFCE"/>
            <w:noWrap/>
            <w:vAlign w:val="center"/>
          </w:tcPr>
          <w:p w14:paraId="1D98FF6E"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118BEE03" w14:textId="77777777" w:rsidR="00C972CB" w:rsidRDefault="002457F6">
            <w:pPr>
              <w:pStyle w:val="P68B1DB1-Normal12"/>
              <w:rPr>
                <w:noProof/>
              </w:rPr>
            </w:pPr>
            <w:r>
              <w:rPr>
                <w:noProof/>
              </w:rPr>
              <w:t>Ātrās uzlādes staciju skaits</w:t>
            </w:r>
          </w:p>
        </w:tc>
      </w:tr>
      <w:tr w:rsidR="00C972CB" w14:paraId="7F79C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C1AE94" w14:textId="77777777" w:rsidR="00C972CB" w:rsidRDefault="002457F6">
            <w:pPr>
              <w:pStyle w:val="P68B1DB1-Normal12"/>
              <w:jc w:val="center"/>
              <w:rPr>
                <w:noProof/>
              </w:rPr>
            </w:pPr>
            <w:r>
              <w:rPr>
                <w:noProof/>
              </w:rPr>
              <w:t>M2C3–3</w:t>
            </w:r>
          </w:p>
        </w:tc>
        <w:tc>
          <w:tcPr>
            <w:tcW w:w="3150" w:type="dxa"/>
            <w:tcBorders>
              <w:top w:val="nil"/>
              <w:left w:val="nil"/>
              <w:bottom w:val="single" w:sz="4" w:space="0" w:color="auto"/>
              <w:right w:val="single" w:sz="4" w:space="0" w:color="auto"/>
            </w:tcBorders>
            <w:shd w:val="clear" w:color="auto" w:fill="C6EFCE"/>
            <w:noWrap/>
            <w:vAlign w:val="center"/>
          </w:tcPr>
          <w:p w14:paraId="5A532268" w14:textId="77777777" w:rsidR="00C972CB" w:rsidRDefault="002457F6">
            <w:pPr>
              <w:pStyle w:val="P68B1DB1-Normal12"/>
              <w:jc w:val="center"/>
              <w:rPr>
                <w:noProof/>
              </w:rPr>
            </w:pPr>
            <w:r>
              <w:rPr>
                <w:noProof/>
              </w:rPr>
              <w:t xml:space="preserve">Ieguldījums 2.1.– Energoefektivitātes ekobona stiprināšana </w:t>
            </w:r>
          </w:p>
        </w:tc>
        <w:tc>
          <w:tcPr>
            <w:tcW w:w="1425" w:type="dxa"/>
            <w:tcBorders>
              <w:top w:val="nil"/>
              <w:left w:val="nil"/>
              <w:bottom w:val="single" w:sz="4" w:space="0" w:color="auto"/>
              <w:right w:val="single" w:sz="4" w:space="0" w:color="auto"/>
            </w:tcBorders>
            <w:shd w:val="clear" w:color="auto" w:fill="C6EFCE"/>
            <w:noWrap/>
            <w:vAlign w:val="center"/>
          </w:tcPr>
          <w:p w14:paraId="425BC3ED"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55783443" w14:textId="77777777" w:rsidR="00C972CB" w:rsidRDefault="002457F6">
            <w:pPr>
              <w:pStyle w:val="P68B1DB1-Normal12"/>
              <w:rPr>
                <w:noProof/>
              </w:rPr>
            </w:pPr>
            <w:r>
              <w:rPr>
                <w:noProof/>
              </w:rPr>
              <w:t xml:space="preserve">Ēku renovācija </w:t>
            </w:r>
            <w:r>
              <w:rPr>
                <w:noProof/>
              </w:rPr>
              <w:t>“Superbonus T2”</w:t>
            </w:r>
          </w:p>
        </w:tc>
      </w:tr>
      <w:tr w:rsidR="00C972CB" w14:paraId="0ACEDC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944B" w14:textId="77777777" w:rsidR="00C972CB" w:rsidRDefault="002457F6">
            <w:pPr>
              <w:pStyle w:val="P68B1DB1-Normal12"/>
              <w:jc w:val="center"/>
              <w:rPr>
                <w:noProof/>
              </w:rPr>
            </w:pPr>
            <w:r>
              <w:rPr>
                <w:noProof/>
              </w:rPr>
              <w:t>M4C1–13</w:t>
            </w:r>
          </w:p>
        </w:tc>
        <w:tc>
          <w:tcPr>
            <w:tcW w:w="3150" w:type="dxa"/>
            <w:tcBorders>
              <w:top w:val="nil"/>
              <w:left w:val="nil"/>
              <w:bottom w:val="single" w:sz="4" w:space="0" w:color="auto"/>
              <w:right w:val="single" w:sz="4" w:space="0" w:color="auto"/>
            </w:tcBorders>
            <w:shd w:val="clear" w:color="auto" w:fill="C6EFCE"/>
            <w:noWrap/>
            <w:vAlign w:val="center"/>
          </w:tcPr>
          <w:p w14:paraId="2F02F277" w14:textId="77777777" w:rsidR="00C972CB" w:rsidRDefault="002457F6">
            <w:pPr>
              <w:pStyle w:val="P68B1DB1-Normal12"/>
              <w:jc w:val="center"/>
              <w:rPr>
                <w:noProof/>
              </w:rPr>
            </w:pPr>
            <w:r>
              <w:rPr>
                <w:noProof/>
              </w:rPr>
              <w:t>Ieguldījums 2.1.: Integrēta digitālā mācīšana un apmācība par digitālo pārveidi skolu darbiniekiem;</w:t>
            </w:r>
          </w:p>
        </w:tc>
        <w:tc>
          <w:tcPr>
            <w:tcW w:w="1425" w:type="dxa"/>
            <w:tcBorders>
              <w:top w:val="nil"/>
              <w:left w:val="nil"/>
              <w:bottom w:val="single" w:sz="4" w:space="0" w:color="auto"/>
              <w:right w:val="single" w:sz="4" w:space="0" w:color="auto"/>
            </w:tcBorders>
            <w:shd w:val="clear" w:color="auto" w:fill="C6EFCE"/>
            <w:noWrap/>
            <w:vAlign w:val="center"/>
          </w:tcPr>
          <w:p w14:paraId="1F1C8464"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240FBCE8" w14:textId="77777777" w:rsidR="00C972CB" w:rsidRDefault="002457F6">
            <w:pPr>
              <w:pStyle w:val="P68B1DB1-Normal12"/>
              <w:rPr>
                <w:noProof/>
              </w:rPr>
            </w:pPr>
            <w:r>
              <w:rPr>
                <w:noProof/>
              </w:rPr>
              <w:t xml:space="preserve">Skolu vadītāju, skolotāju un administratīvā personāla apmācība    </w:t>
            </w:r>
          </w:p>
        </w:tc>
      </w:tr>
      <w:tr w:rsidR="00C972CB" w14:paraId="389EDB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E1D0FD" w14:textId="77777777" w:rsidR="00C972CB" w:rsidRDefault="002457F6">
            <w:pPr>
              <w:pStyle w:val="P68B1DB1-Normal12"/>
              <w:jc w:val="center"/>
              <w:rPr>
                <w:noProof/>
              </w:rPr>
            </w:pPr>
            <w:r>
              <w:rPr>
                <w:noProof/>
              </w:rPr>
              <w:t>M4C1–15 bis</w:t>
            </w:r>
          </w:p>
        </w:tc>
        <w:tc>
          <w:tcPr>
            <w:tcW w:w="3150" w:type="dxa"/>
            <w:tcBorders>
              <w:top w:val="nil"/>
              <w:left w:val="nil"/>
              <w:bottom w:val="single" w:sz="4" w:space="0" w:color="auto"/>
              <w:right w:val="single" w:sz="4" w:space="0" w:color="auto"/>
            </w:tcBorders>
            <w:shd w:val="clear" w:color="auto" w:fill="C6EFCE"/>
            <w:noWrap/>
            <w:vAlign w:val="center"/>
          </w:tcPr>
          <w:p w14:paraId="3E1B528D" w14:textId="77777777" w:rsidR="00C972CB" w:rsidRDefault="002457F6">
            <w:pPr>
              <w:pStyle w:val="P68B1DB1-Normal12"/>
              <w:jc w:val="center"/>
              <w:rPr>
                <w:noProof/>
              </w:rPr>
            </w:pPr>
            <w:r>
              <w:rPr>
                <w:noProof/>
              </w:rPr>
              <w:t>Ieguldījums 1.7. Stipendijas par piekļuvi uni</w:t>
            </w:r>
            <w:r>
              <w:rPr>
                <w:noProof/>
              </w:rPr>
              <w:t>versitātēm</w:t>
            </w:r>
          </w:p>
        </w:tc>
        <w:tc>
          <w:tcPr>
            <w:tcW w:w="1425" w:type="dxa"/>
            <w:tcBorders>
              <w:top w:val="nil"/>
              <w:left w:val="nil"/>
              <w:bottom w:val="single" w:sz="4" w:space="0" w:color="auto"/>
              <w:right w:val="single" w:sz="4" w:space="0" w:color="auto"/>
            </w:tcBorders>
            <w:shd w:val="clear" w:color="auto" w:fill="C6EFCE"/>
            <w:noWrap/>
            <w:vAlign w:val="center"/>
          </w:tcPr>
          <w:p w14:paraId="393AC07E"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1DF77060" w14:textId="77777777" w:rsidR="00C972CB" w:rsidRDefault="002457F6">
            <w:pPr>
              <w:pStyle w:val="P68B1DB1-Normal12"/>
              <w:rPr>
                <w:noProof/>
              </w:rPr>
            </w:pPr>
            <w:r>
              <w:rPr>
                <w:noProof/>
              </w:rPr>
              <w:t>Piešķirtās stipendijas par piekļuvi universitātei</w:t>
            </w:r>
          </w:p>
        </w:tc>
      </w:tr>
      <w:tr w:rsidR="00C972CB" w14:paraId="63D613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48788B" w14:textId="77777777" w:rsidR="00C972CB" w:rsidRDefault="002457F6">
            <w:pPr>
              <w:pStyle w:val="P68B1DB1-Normal12"/>
              <w:jc w:val="center"/>
              <w:rPr>
                <w:noProof/>
              </w:rPr>
            </w:pPr>
            <w:r>
              <w:rPr>
                <w:noProof/>
              </w:rPr>
              <w:t>M4C1–19</w:t>
            </w:r>
          </w:p>
        </w:tc>
        <w:tc>
          <w:tcPr>
            <w:tcW w:w="3150" w:type="dxa"/>
            <w:tcBorders>
              <w:top w:val="nil"/>
              <w:left w:val="nil"/>
              <w:bottom w:val="single" w:sz="4" w:space="0" w:color="auto"/>
              <w:right w:val="single" w:sz="4" w:space="0" w:color="auto"/>
            </w:tcBorders>
            <w:shd w:val="clear" w:color="auto" w:fill="C6EFCE"/>
            <w:noWrap/>
            <w:vAlign w:val="center"/>
          </w:tcPr>
          <w:p w14:paraId="14454F41" w14:textId="77777777" w:rsidR="00C972CB" w:rsidRDefault="002457F6">
            <w:pPr>
              <w:pStyle w:val="P68B1DB1-Normal12"/>
              <w:jc w:val="center"/>
              <w:rPr>
                <w:noProof/>
              </w:rPr>
            </w:pPr>
            <w:r>
              <w:rPr>
                <w:noProof/>
              </w:rPr>
              <w:t>Ieguldījums 3.2.: Skola 4.0: inovatīvas skolas, elektroinstalācijas, jaunas klases un darbsemināri</w:t>
            </w:r>
          </w:p>
        </w:tc>
        <w:tc>
          <w:tcPr>
            <w:tcW w:w="1425" w:type="dxa"/>
            <w:tcBorders>
              <w:top w:val="nil"/>
              <w:left w:val="nil"/>
              <w:bottom w:val="single" w:sz="4" w:space="0" w:color="auto"/>
              <w:right w:val="single" w:sz="4" w:space="0" w:color="auto"/>
            </w:tcBorders>
            <w:shd w:val="clear" w:color="auto" w:fill="C6EFCE"/>
            <w:noWrap/>
            <w:vAlign w:val="center"/>
          </w:tcPr>
          <w:p w14:paraId="41FE3386"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500B7D63" w14:textId="77777777" w:rsidR="00C972CB" w:rsidRDefault="002457F6">
            <w:pPr>
              <w:pStyle w:val="P68B1DB1-Normal12"/>
              <w:rPr>
                <w:noProof/>
              </w:rPr>
            </w:pPr>
            <w:r>
              <w:rPr>
                <w:noProof/>
              </w:rPr>
              <w:t>Nodarbības tiek pārveidotas inovatīvā mācību vidē, pateicoties skolai 4.0</w:t>
            </w:r>
          </w:p>
        </w:tc>
      </w:tr>
      <w:tr w:rsidR="00C972CB" w14:paraId="520962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B371D2" w14:textId="77777777" w:rsidR="00C972CB" w:rsidRDefault="002457F6">
            <w:pPr>
              <w:pStyle w:val="P68B1DB1-Normal12"/>
              <w:jc w:val="center"/>
              <w:rPr>
                <w:noProof/>
              </w:rPr>
            </w:pPr>
            <w:r>
              <w:rPr>
                <w:noProof/>
              </w:rPr>
              <w:t>M4C1–20</w:t>
            </w:r>
          </w:p>
        </w:tc>
        <w:tc>
          <w:tcPr>
            <w:tcW w:w="3150" w:type="dxa"/>
            <w:tcBorders>
              <w:top w:val="nil"/>
              <w:left w:val="nil"/>
              <w:bottom w:val="single" w:sz="4" w:space="0" w:color="auto"/>
              <w:right w:val="single" w:sz="4" w:space="0" w:color="auto"/>
            </w:tcBorders>
            <w:shd w:val="clear" w:color="auto" w:fill="C6EFCE"/>
            <w:noWrap/>
            <w:vAlign w:val="center"/>
          </w:tcPr>
          <w:p w14:paraId="4D22547D" w14:textId="77777777" w:rsidR="00C972CB" w:rsidRDefault="002457F6">
            <w:pPr>
              <w:pStyle w:val="P68B1DB1-Normal12"/>
              <w:jc w:val="center"/>
              <w:rPr>
                <w:noProof/>
              </w:rPr>
            </w:pPr>
            <w:r>
              <w:rPr>
                <w:noProof/>
              </w:rPr>
              <w:t>Ieguldījums 1,5: Terciārās profesionālās izglītības sistēmas (ITS) izstrāde</w:t>
            </w:r>
          </w:p>
        </w:tc>
        <w:tc>
          <w:tcPr>
            <w:tcW w:w="1425" w:type="dxa"/>
            <w:tcBorders>
              <w:top w:val="nil"/>
              <w:left w:val="nil"/>
              <w:bottom w:val="single" w:sz="4" w:space="0" w:color="auto"/>
              <w:right w:val="single" w:sz="4" w:space="0" w:color="auto"/>
            </w:tcBorders>
            <w:shd w:val="clear" w:color="auto" w:fill="C6EFCE"/>
            <w:noWrap/>
            <w:vAlign w:val="center"/>
          </w:tcPr>
          <w:p w14:paraId="39101906"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399CDE4F" w14:textId="77777777" w:rsidR="00C972CB" w:rsidRDefault="002457F6">
            <w:pPr>
              <w:pStyle w:val="P68B1DB1-Normal12"/>
              <w:rPr>
                <w:noProof/>
              </w:rPr>
            </w:pPr>
            <w:r>
              <w:rPr>
                <w:noProof/>
              </w:rPr>
              <w:t>Arodmācību sistēmā (ITS) uzņemto studentu skaits</w:t>
            </w:r>
          </w:p>
        </w:tc>
      </w:tr>
      <w:tr w:rsidR="00C972CB" w14:paraId="7EDDF8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12C93E" w14:textId="77777777" w:rsidR="00C972CB" w:rsidRDefault="002457F6">
            <w:pPr>
              <w:pStyle w:val="P68B1DB1-Normal12"/>
              <w:jc w:val="center"/>
              <w:rPr>
                <w:noProof/>
              </w:rPr>
            </w:pPr>
            <w:r>
              <w:rPr>
                <w:noProof/>
              </w:rPr>
              <w:t>M4C1–20 bis</w:t>
            </w:r>
          </w:p>
        </w:tc>
        <w:tc>
          <w:tcPr>
            <w:tcW w:w="3150" w:type="dxa"/>
            <w:tcBorders>
              <w:top w:val="nil"/>
              <w:left w:val="nil"/>
              <w:bottom w:val="single" w:sz="4" w:space="0" w:color="auto"/>
              <w:right w:val="single" w:sz="4" w:space="0" w:color="auto"/>
            </w:tcBorders>
            <w:shd w:val="clear" w:color="auto" w:fill="C6EFCE"/>
            <w:noWrap/>
            <w:vAlign w:val="center"/>
          </w:tcPr>
          <w:p w14:paraId="64BF25D7" w14:textId="77777777" w:rsidR="00C972CB" w:rsidRDefault="002457F6">
            <w:pPr>
              <w:pStyle w:val="P68B1DB1-Normal12"/>
              <w:jc w:val="center"/>
              <w:rPr>
                <w:noProof/>
              </w:rPr>
            </w:pPr>
            <w:r>
              <w:rPr>
                <w:noProof/>
              </w:rPr>
              <w:t xml:space="preserve">Ieguldījums 1,5: Terciārās profesionālās izglītības sistēmas (ITS) izstrāde </w:t>
            </w:r>
          </w:p>
        </w:tc>
        <w:tc>
          <w:tcPr>
            <w:tcW w:w="1425" w:type="dxa"/>
            <w:tcBorders>
              <w:top w:val="nil"/>
              <w:left w:val="nil"/>
              <w:bottom w:val="single" w:sz="4" w:space="0" w:color="auto"/>
              <w:right w:val="single" w:sz="4" w:space="0" w:color="auto"/>
            </w:tcBorders>
            <w:shd w:val="clear" w:color="auto" w:fill="C6EFCE"/>
            <w:noWrap/>
            <w:vAlign w:val="center"/>
          </w:tcPr>
          <w:p w14:paraId="141B8C8A" w14:textId="77777777" w:rsidR="00C972CB" w:rsidRDefault="002457F6">
            <w:pPr>
              <w:pStyle w:val="P68B1DB1-Normal12"/>
              <w:jc w:val="center"/>
              <w:rPr>
                <w:noProof/>
              </w:rPr>
            </w:pPr>
            <w:r>
              <w:rPr>
                <w:noProof/>
              </w:rPr>
              <w:t>Starpposma mērķis</w:t>
            </w:r>
          </w:p>
        </w:tc>
        <w:tc>
          <w:tcPr>
            <w:tcW w:w="3959" w:type="dxa"/>
            <w:tcBorders>
              <w:top w:val="nil"/>
              <w:left w:val="nil"/>
              <w:bottom w:val="single" w:sz="4" w:space="0" w:color="auto"/>
              <w:right w:val="single" w:sz="4" w:space="0" w:color="auto"/>
            </w:tcBorders>
            <w:shd w:val="clear" w:color="auto" w:fill="C6EFCE"/>
            <w:noWrap/>
            <w:vAlign w:val="center"/>
          </w:tcPr>
          <w:p w14:paraId="7FEB3F07" w14:textId="77777777" w:rsidR="00C972CB" w:rsidRDefault="002457F6">
            <w:pPr>
              <w:pStyle w:val="P68B1DB1-Normal12"/>
              <w:rPr>
                <w:noProof/>
              </w:rPr>
            </w:pPr>
            <w:r>
              <w:rPr>
                <w:noProof/>
              </w:rPr>
              <w:t>Jaunās va</w:t>
            </w:r>
            <w:r>
              <w:rPr>
                <w:noProof/>
              </w:rPr>
              <w:t xml:space="preserve">lsts uzraudzības sistēmas īstenošana </w:t>
            </w:r>
          </w:p>
        </w:tc>
      </w:tr>
      <w:tr w:rsidR="00C972CB" w14:paraId="4A5E36F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A1F45C" w14:textId="77777777" w:rsidR="00C972CB" w:rsidRDefault="002457F6">
            <w:pPr>
              <w:pStyle w:val="P68B1DB1-Normal12"/>
              <w:jc w:val="center"/>
              <w:rPr>
                <w:noProof/>
              </w:rPr>
            </w:pPr>
            <w:r>
              <w:rPr>
                <w:noProof/>
              </w:rPr>
              <w:t>M4C2–2</w:t>
            </w:r>
          </w:p>
        </w:tc>
        <w:tc>
          <w:tcPr>
            <w:tcW w:w="3150" w:type="dxa"/>
            <w:tcBorders>
              <w:top w:val="nil"/>
              <w:left w:val="nil"/>
              <w:bottom w:val="single" w:sz="4" w:space="0" w:color="auto"/>
              <w:right w:val="single" w:sz="4" w:space="0" w:color="auto"/>
            </w:tcBorders>
            <w:shd w:val="clear" w:color="auto" w:fill="C6EFCE"/>
            <w:noWrap/>
            <w:vAlign w:val="center"/>
          </w:tcPr>
          <w:p w14:paraId="74282371" w14:textId="77777777" w:rsidR="00C972CB" w:rsidRDefault="002457F6">
            <w:pPr>
              <w:pStyle w:val="P68B1DB1-Normal12"/>
              <w:jc w:val="center"/>
              <w:rPr>
                <w:noProof/>
              </w:rPr>
            </w:pPr>
            <w:r>
              <w:rPr>
                <w:noProof/>
              </w:rPr>
              <w:t>Ieguldījums 2.2.: Partnerības pētniecības un inovācijas jomā — “Apvārsnis Eiropa”</w:t>
            </w:r>
          </w:p>
        </w:tc>
        <w:tc>
          <w:tcPr>
            <w:tcW w:w="1425" w:type="dxa"/>
            <w:tcBorders>
              <w:top w:val="nil"/>
              <w:left w:val="nil"/>
              <w:bottom w:val="single" w:sz="4" w:space="0" w:color="auto"/>
              <w:right w:val="single" w:sz="4" w:space="0" w:color="auto"/>
            </w:tcBorders>
            <w:shd w:val="clear" w:color="auto" w:fill="C6EFCE"/>
            <w:noWrap/>
            <w:vAlign w:val="center"/>
          </w:tcPr>
          <w:p w14:paraId="42E4A4D4"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58943FBE" w14:textId="77777777" w:rsidR="00C972CB" w:rsidRDefault="002457F6">
            <w:pPr>
              <w:pStyle w:val="P68B1DB1-Normal12"/>
              <w:rPr>
                <w:noProof/>
              </w:rPr>
            </w:pPr>
            <w:r>
              <w:rPr>
                <w:noProof/>
              </w:rPr>
              <w:t>No uzņēmumiem saņemto projektu skaits</w:t>
            </w:r>
          </w:p>
        </w:tc>
      </w:tr>
      <w:tr w:rsidR="00C972CB" w14:paraId="5D560A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704F05" w14:textId="77777777" w:rsidR="00C972CB" w:rsidRDefault="002457F6">
            <w:pPr>
              <w:pStyle w:val="P68B1DB1-Normal12"/>
              <w:jc w:val="center"/>
              <w:rPr>
                <w:noProof/>
              </w:rPr>
            </w:pPr>
            <w:r>
              <w:rPr>
                <w:noProof/>
              </w:rPr>
              <w:t xml:space="preserve">M5C1–3 </w:t>
            </w:r>
          </w:p>
        </w:tc>
        <w:tc>
          <w:tcPr>
            <w:tcW w:w="3150" w:type="dxa"/>
            <w:tcBorders>
              <w:top w:val="nil"/>
              <w:left w:val="nil"/>
              <w:bottom w:val="single" w:sz="4" w:space="0" w:color="auto"/>
              <w:right w:val="single" w:sz="4" w:space="0" w:color="auto"/>
            </w:tcBorders>
            <w:shd w:val="clear" w:color="auto" w:fill="C6EFCE"/>
            <w:noWrap/>
            <w:vAlign w:val="center"/>
          </w:tcPr>
          <w:p w14:paraId="3E9434C1" w14:textId="77777777" w:rsidR="00C972CB" w:rsidRDefault="002457F6">
            <w:pPr>
              <w:pStyle w:val="P68B1DB1-Normal12"/>
              <w:jc w:val="center"/>
              <w:rPr>
                <w:noProof/>
              </w:rPr>
            </w:pPr>
            <w:r>
              <w:rPr>
                <w:noProof/>
              </w:rPr>
              <w:t>Reforma — ADTP un profesionālā apmācība</w:t>
            </w:r>
          </w:p>
        </w:tc>
        <w:tc>
          <w:tcPr>
            <w:tcW w:w="1425" w:type="dxa"/>
            <w:tcBorders>
              <w:top w:val="nil"/>
              <w:left w:val="nil"/>
              <w:bottom w:val="single" w:sz="4" w:space="0" w:color="auto"/>
              <w:right w:val="single" w:sz="4" w:space="0" w:color="auto"/>
            </w:tcBorders>
            <w:shd w:val="clear" w:color="auto" w:fill="C6EFCE"/>
            <w:noWrap/>
            <w:vAlign w:val="center"/>
          </w:tcPr>
          <w:p w14:paraId="56B8A3F5"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0476D1AA" w14:textId="77777777" w:rsidR="00C972CB" w:rsidRDefault="002457F6">
            <w:pPr>
              <w:pStyle w:val="P68B1DB1-Normal12"/>
              <w:rPr>
                <w:noProof/>
              </w:rPr>
            </w:pPr>
            <w:r>
              <w:rPr>
                <w:noProof/>
              </w:rPr>
              <w:t xml:space="preserve">Cilvēki, uz kuriem attiecas programma “Darba ņēmēju garantēta nodarbināmība” (GOL) </w:t>
            </w:r>
          </w:p>
        </w:tc>
      </w:tr>
      <w:tr w:rsidR="00C972CB" w14:paraId="0CA260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D21D25" w14:textId="77777777" w:rsidR="00C972CB" w:rsidRDefault="002457F6">
            <w:pPr>
              <w:pStyle w:val="P68B1DB1-Normal12"/>
              <w:jc w:val="center"/>
              <w:rPr>
                <w:noProof/>
              </w:rPr>
            </w:pPr>
            <w:r>
              <w:rPr>
                <w:noProof/>
              </w:rPr>
              <w:t xml:space="preserve">M5C1–4 </w:t>
            </w:r>
          </w:p>
        </w:tc>
        <w:tc>
          <w:tcPr>
            <w:tcW w:w="3150" w:type="dxa"/>
            <w:tcBorders>
              <w:top w:val="nil"/>
              <w:left w:val="nil"/>
              <w:bottom w:val="single" w:sz="4" w:space="0" w:color="auto"/>
              <w:right w:val="single" w:sz="4" w:space="0" w:color="auto"/>
            </w:tcBorders>
            <w:shd w:val="clear" w:color="auto" w:fill="C6EFCE"/>
            <w:noWrap/>
            <w:vAlign w:val="center"/>
          </w:tcPr>
          <w:p w14:paraId="3FB4ED62" w14:textId="77777777" w:rsidR="00C972CB" w:rsidRDefault="002457F6">
            <w:pPr>
              <w:pStyle w:val="P68B1DB1-Normal12"/>
              <w:jc w:val="center"/>
              <w:rPr>
                <w:noProof/>
              </w:rPr>
            </w:pPr>
            <w:r>
              <w:rPr>
                <w:noProof/>
              </w:rPr>
              <w:t xml:space="preserve">Reforma — ADTP un profesionālā apmācība </w:t>
            </w:r>
          </w:p>
        </w:tc>
        <w:tc>
          <w:tcPr>
            <w:tcW w:w="1425" w:type="dxa"/>
            <w:tcBorders>
              <w:top w:val="nil"/>
              <w:left w:val="nil"/>
              <w:bottom w:val="single" w:sz="4" w:space="0" w:color="auto"/>
              <w:right w:val="single" w:sz="4" w:space="0" w:color="auto"/>
            </w:tcBorders>
            <w:shd w:val="clear" w:color="auto" w:fill="C6EFCE"/>
            <w:noWrap/>
            <w:vAlign w:val="center"/>
          </w:tcPr>
          <w:p w14:paraId="1B039362"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7339D4B7" w14:textId="77777777" w:rsidR="00C972CB" w:rsidRDefault="002457F6">
            <w:pPr>
              <w:pStyle w:val="P68B1DB1-Normal12"/>
              <w:rPr>
                <w:noProof/>
              </w:rPr>
            </w:pPr>
            <w:r>
              <w:rPr>
                <w:noProof/>
              </w:rPr>
              <w:t xml:space="preserve">Garantēta darba ņēmēju nodarbināmība ir piedalījušies arodapmācībās </w:t>
            </w:r>
          </w:p>
        </w:tc>
      </w:tr>
      <w:tr w:rsidR="00C972CB" w14:paraId="128E9A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5FB70D" w14:textId="77777777" w:rsidR="00C972CB" w:rsidRDefault="002457F6">
            <w:pPr>
              <w:pStyle w:val="P68B1DB1-Normal12"/>
              <w:jc w:val="center"/>
              <w:rPr>
                <w:noProof/>
              </w:rPr>
            </w:pPr>
            <w:r>
              <w:rPr>
                <w:noProof/>
              </w:rPr>
              <w:t xml:space="preserve">M5C1–5 </w:t>
            </w:r>
          </w:p>
        </w:tc>
        <w:tc>
          <w:tcPr>
            <w:tcW w:w="3150" w:type="dxa"/>
            <w:tcBorders>
              <w:top w:val="nil"/>
              <w:left w:val="nil"/>
              <w:bottom w:val="single" w:sz="4" w:space="0" w:color="auto"/>
              <w:right w:val="single" w:sz="4" w:space="0" w:color="auto"/>
            </w:tcBorders>
            <w:shd w:val="clear" w:color="auto" w:fill="C6EFCE"/>
            <w:noWrap/>
            <w:vAlign w:val="center"/>
          </w:tcPr>
          <w:p w14:paraId="0EFE4AC9" w14:textId="77777777" w:rsidR="00C972CB" w:rsidRDefault="002457F6">
            <w:pPr>
              <w:pStyle w:val="P68B1DB1-Normal12"/>
              <w:jc w:val="center"/>
              <w:rPr>
                <w:noProof/>
              </w:rPr>
            </w:pPr>
            <w:r>
              <w:rPr>
                <w:noProof/>
              </w:rPr>
              <w:t xml:space="preserve">Reforma — ADTP un profesionālā </w:t>
            </w:r>
            <w:r>
              <w:rPr>
                <w:noProof/>
              </w:rPr>
              <w:t>apmācība</w:t>
            </w:r>
          </w:p>
        </w:tc>
        <w:tc>
          <w:tcPr>
            <w:tcW w:w="1425" w:type="dxa"/>
            <w:tcBorders>
              <w:top w:val="nil"/>
              <w:left w:val="nil"/>
              <w:bottom w:val="single" w:sz="4" w:space="0" w:color="auto"/>
              <w:right w:val="single" w:sz="4" w:space="0" w:color="auto"/>
            </w:tcBorders>
            <w:shd w:val="clear" w:color="auto" w:fill="C6EFCE"/>
            <w:noWrap/>
            <w:vAlign w:val="center"/>
          </w:tcPr>
          <w:p w14:paraId="4C87CB6C"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1093D63D" w14:textId="77777777" w:rsidR="00C972CB" w:rsidRDefault="002457F6">
            <w:pPr>
              <w:pStyle w:val="P68B1DB1-Normal12"/>
              <w:rPr>
                <w:noProof/>
              </w:rPr>
            </w:pPr>
            <w:r>
              <w:rPr>
                <w:noProof/>
              </w:rPr>
              <w:t>Valsts nodarbinātības dienesti (VND) katrā reģionā ir izpildījuši VND pakalpojumu būtiskā līmeņa kritērijus, kā noteikts darba ņēmēju nodarbinātības garantijas programmā (GOL).</w:t>
            </w:r>
          </w:p>
        </w:tc>
      </w:tr>
      <w:tr w:rsidR="00C972CB" w14:paraId="5101DF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BBD822" w14:textId="77777777" w:rsidR="00C972CB" w:rsidRDefault="002457F6">
            <w:pPr>
              <w:pStyle w:val="P68B1DB1-Normal12"/>
              <w:jc w:val="center"/>
              <w:rPr>
                <w:noProof/>
              </w:rPr>
            </w:pPr>
            <w:r>
              <w:rPr>
                <w:noProof/>
              </w:rPr>
              <w:t>M5C1–7</w:t>
            </w:r>
          </w:p>
        </w:tc>
        <w:tc>
          <w:tcPr>
            <w:tcW w:w="3150" w:type="dxa"/>
            <w:tcBorders>
              <w:top w:val="nil"/>
              <w:left w:val="nil"/>
              <w:bottom w:val="single" w:sz="4" w:space="0" w:color="auto"/>
              <w:right w:val="single" w:sz="4" w:space="0" w:color="auto"/>
            </w:tcBorders>
            <w:shd w:val="clear" w:color="auto" w:fill="C6EFCE"/>
            <w:noWrap/>
            <w:vAlign w:val="center"/>
          </w:tcPr>
          <w:p w14:paraId="585F324B" w14:textId="77777777" w:rsidR="00C972CB" w:rsidRDefault="002457F6">
            <w:pPr>
              <w:pStyle w:val="P68B1DB1-Normal12"/>
              <w:jc w:val="center"/>
              <w:rPr>
                <w:noProof/>
              </w:rPr>
            </w:pPr>
            <w:r>
              <w:rPr>
                <w:noProof/>
              </w:rPr>
              <w:t>Ieguldījums 1 — Valsts nodarbinātības dienestu (VND) sti</w:t>
            </w:r>
            <w:r>
              <w:rPr>
                <w:noProof/>
              </w:rPr>
              <w:t xml:space="preserve">prināšana </w:t>
            </w:r>
          </w:p>
        </w:tc>
        <w:tc>
          <w:tcPr>
            <w:tcW w:w="1425" w:type="dxa"/>
            <w:tcBorders>
              <w:top w:val="nil"/>
              <w:left w:val="nil"/>
              <w:bottom w:val="single" w:sz="4" w:space="0" w:color="auto"/>
              <w:right w:val="single" w:sz="4" w:space="0" w:color="auto"/>
            </w:tcBorders>
            <w:shd w:val="clear" w:color="auto" w:fill="C6EFCE"/>
            <w:noWrap/>
            <w:vAlign w:val="center"/>
          </w:tcPr>
          <w:p w14:paraId="57194BF3"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008387EA" w14:textId="77777777" w:rsidR="00C972CB" w:rsidRDefault="002457F6">
            <w:pPr>
              <w:pStyle w:val="P68B1DB1-Normal12"/>
              <w:rPr>
                <w:noProof/>
              </w:rPr>
            </w:pPr>
            <w:r>
              <w:rPr>
                <w:noProof/>
              </w:rPr>
              <w:t>Valstu nodarbinātības dienesti (VND) ir pabeiguši stiprināšanas plānā paredzētos pasākumus</w:t>
            </w:r>
          </w:p>
        </w:tc>
      </w:tr>
      <w:tr w:rsidR="00C972CB" w14:paraId="57952F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01E6E" w14:textId="77777777" w:rsidR="00C972CB" w:rsidRDefault="002457F6">
            <w:pPr>
              <w:pStyle w:val="P68B1DB1-Normal12"/>
              <w:jc w:val="center"/>
              <w:rPr>
                <w:noProof/>
              </w:rPr>
            </w:pPr>
            <w:r>
              <w:rPr>
                <w:noProof/>
              </w:rPr>
              <w:t>M5C1–15</w:t>
            </w:r>
          </w:p>
        </w:tc>
        <w:tc>
          <w:tcPr>
            <w:tcW w:w="3150" w:type="dxa"/>
            <w:tcBorders>
              <w:top w:val="nil"/>
              <w:left w:val="nil"/>
              <w:bottom w:val="single" w:sz="4" w:space="0" w:color="auto"/>
              <w:right w:val="single" w:sz="4" w:space="0" w:color="auto"/>
            </w:tcBorders>
            <w:shd w:val="clear" w:color="auto" w:fill="C6EFCE"/>
            <w:noWrap/>
            <w:vAlign w:val="center"/>
          </w:tcPr>
          <w:p w14:paraId="63FC53A0" w14:textId="77777777" w:rsidR="00C972CB" w:rsidRDefault="002457F6">
            <w:pPr>
              <w:pStyle w:val="P68B1DB1-Normal12"/>
              <w:jc w:val="center"/>
              <w:rPr>
                <w:noProof/>
              </w:rPr>
            </w:pPr>
            <w:r>
              <w:rPr>
                <w:noProof/>
              </w:rPr>
              <w:t>Ieguldījums — duālās sistēmas stiprināšana</w:t>
            </w:r>
          </w:p>
        </w:tc>
        <w:tc>
          <w:tcPr>
            <w:tcW w:w="1425" w:type="dxa"/>
            <w:tcBorders>
              <w:top w:val="nil"/>
              <w:left w:val="nil"/>
              <w:bottom w:val="single" w:sz="4" w:space="0" w:color="auto"/>
              <w:right w:val="single" w:sz="4" w:space="0" w:color="auto"/>
            </w:tcBorders>
            <w:shd w:val="clear" w:color="auto" w:fill="C6EFCE"/>
            <w:noWrap/>
            <w:vAlign w:val="center"/>
          </w:tcPr>
          <w:p w14:paraId="62211004"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29706310" w14:textId="77777777" w:rsidR="00C972CB" w:rsidRDefault="002457F6">
            <w:pPr>
              <w:pStyle w:val="P68B1DB1-Normal12"/>
              <w:rPr>
                <w:noProof/>
              </w:rPr>
            </w:pPr>
            <w:r>
              <w:rPr>
                <w:noProof/>
              </w:rPr>
              <w:t xml:space="preserve">Personas, kuras ir piedalījušās duālajā sistēmā un saņēmušas attiecīgo sertifikātu piecu </w:t>
            </w:r>
            <w:r>
              <w:rPr>
                <w:noProof/>
              </w:rPr>
              <w:t>gadu periodā no 2021. līdz 2025. gadam</w:t>
            </w:r>
          </w:p>
        </w:tc>
      </w:tr>
      <w:tr w:rsidR="00C972CB" w14:paraId="02CBCC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3C2368" w14:textId="77777777" w:rsidR="00C972CB" w:rsidRDefault="002457F6">
            <w:pPr>
              <w:pStyle w:val="P68B1DB1-Normal12"/>
              <w:jc w:val="center"/>
              <w:rPr>
                <w:noProof/>
              </w:rPr>
            </w:pPr>
            <w:r>
              <w:rPr>
                <w:noProof/>
              </w:rPr>
              <w:t>M6C2–2</w:t>
            </w:r>
          </w:p>
        </w:tc>
        <w:tc>
          <w:tcPr>
            <w:tcW w:w="3150" w:type="dxa"/>
            <w:tcBorders>
              <w:top w:val="nil"/>
              <w:left w:val="nil"/>
              <w:bottom w:val="single" w:sz="4" w:space="0" w:color="auto"/>
              <w:right w:val="single" w:sz="4" w:space="0" w:color="auto"/>
            </w:tcBorders>
            <w:shd w:val="clear" w:color="auto" w:fill="C6EFCE"/>
            <w:noWrap/>
            <w:vAlign w:val="center"/>
          </w:tcPr>
          <w:p w14:paraId="4B26FA0A" w14:textId="77777777" w:rsidR="00C972CB" w:rsidRDefault="002457F6">
            <w:pPr>
              <w:pStyle w:val="P68B1DB1-Normal12"/>
              <w:jc w:val="center"/>
              <w:rPr>
                <w:noProof/>
              </w:rPr>
            </w:pPr>
            <w:r>
              <w:rPr>
                <w:noProof/>
              </w:rPr>
              <w:t>Ieguldījums 2.1.: NHS biomedicīniskās pētniecības stiprināšana un uzlabošana</w:t>
            </w:r>
          </w:p>
        </w:tc>
        <w:tc>
          <w:tcPr>
            <w:tcW w:w="1425" w:type="dxa"/>
            <w:tcBorders>
              <w:top w:val="nil"/>
              <w:left w:val="nil"/>
              <w:bottom w:val="single" w:sz="4" w:space="0" w:color="auto"/>
              <w:right w:val="single" w:sz="4" w:space="0" w:color="auto"/>
            </w:tcBorders>
            <w:shd w:val="clear" w:color="auto" w:fill="C6EFCE"/>
            <w:noWrap/>
            <w:vAlign w:val="center"/>
          </w:tcPr>
          <w:p w14:paraId="31532062"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5D0E25C5" w14:textId="77777777" w:rsidR="00C972CB" w:rsidRDefault="002457F6">
            <w:pPr>
              <w:pStyle w:val="P68B1DB1-Normal12"/>
              <w:rPr>
                <w:noProof/>
              </w:rPr>
            </w:pPr>
            <w:r>
              <w:rPr>
                <w:noProof/>
              </w:rPr>
              <w:t>Finansētie pētniecības projekti retu vēža veidu un slimību jomā</w:t>
            </w:r>
          </w:p>
        </w:tc>
      </w:tr>
      <w:tr w:rsidR="00C972CB" w14:paraId="070E19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603EF4" w14:textId="77777777" w:rsidR="00C972CB" w:rsidRDefault="002457F6">
            <w:pPr>
              <w:pStyle w:val="P68B1DB1-Normal12"/>
              <w:jc w:val="center"/>
              <w:rPr>
                <w:noProof/>
              </w:rPr>
            </w:pPr>
            <w:r>
              <w:rPr>
                <w:noProof/>
              </w:rPr>
              <w:t>M6C2–3</w:t>
            </w:r>
          </w:p>
        </w:tc>
        <w:tc>
          <w:tcPr>
            <w:tcW w:w="3150" w:type="dxa"/>
            <w:tcBorders>
              <w:top w:val="nil"/>
              <w:left w:val="nil"/>
              <w:bottom w:val="single" w:sz="4" w:space="0" w:color="auto"/>
              <w:right w:val="single" w:sz="4" w:space="0" w:color="auto"/>
            </w:tcBorders>
            <w:shd w:val="clear" w:color="auto" w:fill="C6EFCE"/>
            <w:noWrap/>
            <w:vAlign w:val="center"/>
          </w:tcPr>
          <w:p w14:paraId="0A5BF8E1" w14:textId="77777777" w:rsidR="00C972CB" w:rsidRDefault="002457F6">
            <w:pPr>
              <w:pStyle w:val="P68B1DB1-Normal12"/>
              <w:jc w:val="center"/>
              <w:rPr>
                <w:noProof/>
              </w:rPr>
            </w:pPr>
            <w:r>
              <w:rPr>
                <w:noProof/>
              </w:rPr>
              <w:t>Ieguldījums 2.1.: NHS biomedicīniskās pētniecības stip</w:t>
            </w:r>
            <w:r>
              <w:rPr>
                <w:noProof/>
              </w:rPr>
              <w:t>rināšana un uzlabošana</w:t>
            </w:r>
          </w:p>
        </w:tc>
        <w:tc>
          <w:tcPr>
            <w:tcW w:w="1425" w:type="dxa"/>
            <w:tcBorders>
              <w:top w:val="nil"/>
              <w:left w:val="nil"/>
              <w:bottom w:val="single" w:sz="4" w:space="0" w:color="auto"/>
              <w:right w:val="single" w:sz="4" w:space="0" w:color="auto"/>
            </w:tcBorders>
            <w:shd w:val="clear" w:color="auto" w:fill="C6EFCE"/>
            <w:noWrap/>
            <w:vAlign w:val="center"/>
          </w:tcPr>
          <w:p w14:paraId="056778E1"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6D94F87F" w14:textId="77777777" w:rsidR="00C972CB" w:rsidRDefault="002457F6">
            <w:pPr>
              <w:pStyle w:val="P68B1DB1-Normal12"/>
              <w:rPr>
                <w:noProof/>
              </w:rPr>
            </w:pPr>
            <w:r>
              <w:rPr>
                <w:noProof/>
              </w:rPr>
              <w:t>Finansēti pētniecības projekti par slimībām, kurām ir liela ietekme uz veselību</w:t>
            </w:r>
          </w:p>
        </w:tc>
      </w:tr>
      <w:tr w:rsidR="00C972CB" w14:paraId="379989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E787C5" w14:textId="77777777" w:rsidR="00C972CB" w:rsidRDefault="002457F6">
            <w:pPr>
              <w:pStyle w:val="P68B1DB1-Normal12"/>
              <w:jc w:val="center"/>
              <w:rPr>
                <w:noProof/>
              </w:rPr>
            </w:pPr>
            <w:r>
              <w:rPr>
                <w:noProof/>
              </w:rPr>
              <w:t>M7–3</w:t>
            </w:r>
          </w:p>
        </w:tc>
        <w:tc>
          <w:tcPr>
            <w:tcW w:w="3150" w:type="dxa"/>
            <w:tcBorders>
              <w:top w:val="nil"/>
              <w:left w:val="nil"/>
              <w:bottom w:val="single" w:sz="4" w:space="0" w:color="auto"/>
              <w:right w:val="single" w:sz="4" w:space="0" w:color="auto"/>
            </w:tcBorders>
            <w:shd w:val="clear" w:color="auto" w:fill="C6EFCE"/>
            <w:noWrap/>
            <w:vAlign w:val="center"/>
          </w:tcPr>
          <w:p w14:paraId="4750568D" w14:textId="77777777" w:rsidR="00C972CB" w:rsidRDefault="002457F6">
            <w:pPr>
              <w:pStyle w:val="P68B1DB1-Normal12"/>
              <w:rPr>
                <w:noProof/>
              </w:rPr>
            </w:pPr>
            <w:r>
              <w:rPr>
                <w:noProof/>
              </w:rPr>
              <w:t xml:space="preserve">Reforma: Atjaunīgās enerģijas atļauju piešķiršanas procedūru racionalizēšana </w:t>
            </w:r>
          </w:p>
        </w:tc>
        <w:tc>
          <w:tcPr>
            <w:tcW w:w="1425" w:type="dxa"/>
            <w:tcBorders>
              <w:top w:val="nil"/>
              <w:left w:val="nil"/>
              <w:bottom w:val="single" w:sz="4" w:space="0" w:color="auto"/>
              <w:right w:val="single" w:sz="4" w:space="0" w:color="auto"/>
            </w:tcBorders>
            <w:shd w:val="clear" w:color="auto" w:fill="C6EFCE"/>
            <w:noWrap/>
            <w:vAlign w:val="center"/>
          </w:tcPr>
          <w:p w14:paraId="70152BB9" w14:textId="77777777" w:rsidR="00C972CB" w:rsidRDefault="002457F6">
            <w:pPr>
              <w:pStyle w:val="P68B1DB1-Normal12"/>
              <w:jc w:val="center"/>
              <w:rPr>
                <w:noProof/>
              </w:rPr>
            </w:pPr>
            <w:r>
              <w:rPr>
                <w:noProof/>
              </w:rPr>
              <w:t>Starpposma mērķis</w:t>
            </w:r>
          </w:p>
        </w:tc>
        <w:tc>
          <w:tcPr>
            <w:tcW w:w="3959" w:type="dxa"/>
            <w:tcBorders>
              <w:top w:val="nil"/>
              <w:left w:val="nil"/>
              <w:bottom w:val="single" w:sz="4" w:space="0" w:color="auto"/>
              <w:right w:val="single" w:sz="4" w:space="0" w:color="auto"/>
            </w:tcBorders>
            <w:shd w:val="clear" w:color="auto" w:fill="C6EFCE"/>
            <w:noWrap/>
            <w:vAlign w:val="center"/>
          </w:tcPr>
          <w:p w14:paraId="773B4380" w14:textId="77777777" w:rsidR="00C972CB" w:rsidRDefault="002457F6">
            <w:pPr>
              <w:pStyle w:val="P68B1DB1-Normal12"/>
              <w:rPr>
                <w:noProof/>
              </w:rPr>
            </w:pPr>
            <w:r>
              <w:rPr>
                <w:noProof/>
              </w:rPr>
              <w:t xml:space="preserve">Ar atjaunīgajiem energoresursiem saistītās </w:t>
            </w:r>
            <w:r>
              <w:rPr>
                <w:noProof/>
              </w:rPr>
              <w:t>vienotās digitālās platformas izveide un darbības sākšana</w:t>
            </w:r>
          </w:p>
        </w:tc>
      </w:tr>
      <w:tr w:rsidR="00C972CB" w14:paraId="060466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C14E6" w14:textId="77777777" w:rsidR="00C972CB" w:rsidRDefault="002457F6">
            <w:pPr>
              <w:pStyle w:val="P68B1DB1-Normal12"/>
              <w:jc w:val="center"/>
              <w:rPr>
                <w:noProof/>
              </w:rPr>
            </w:pPr>
            <w:r>
              <w:rPr>
                <w:noProof/>
              </w:rPr>
              <w:t>M7–5</w:t>
            </w:r>
          </w:p>
        </w:tc>
        <w:tc>
          <w:tcPr>
            <w:tcW w:w="3150" w:type="dxa"/>
            <w:tcBorders>
              <w:top w:val="nil"/>
              <w:left w:val="nil"/>
              <w:bottom w:val="single" w:sz="4" w:space="0" w:color="auto"/>
              <w:right w:val="single" w:sz="4" w:space="0" w:color="auto"/>
            </w:tcBorders>
            <w:shd w:val="clear" w:color="auto" w:fill="C6EFCE"/>
            <w:noWrap/>
            <w:vAlign w:val="center"/>
          </w:tcPr>
          <w:p w14:paraId="39CA74F3" w14:textId="77777777" w:rsidR="00C972CB" w:rsidRDefault="002457F6">
            <w:pPr>
              <w:pStyle w:val="P68B1DB1-Normal12"/>
              <w:rPr>
                <w:noProof/>
              </w:rPr>
            </w:pPr>
            <w:r>
              <w:rPr>
                <w:noProof/>
              </w:rPr>
              <w:t>Reforma: Videi kaitīgu subsīdiju samazināšana</w:t>
            </w:r>
          </w:p>
        </w:tc>
        <w:tc>
          <w:tcPr>
            <w:tcW w:w="1425" w:type="dxa"/>
            <w:tcBorders>
              <w:top w:val="nil"/>
              <w:left w:val="nil"/>
              <w:bottom w:val="single" w:sz="4" w:space="0" w:color="auto"/>
              <w:right w:val="single" w:sz="4" w:space="0" w:color="auto"/>
            </w:tcBorders>
            <w:shd w:val="clear" w:color="auto" w:fill="C6EFCE"/>
            <w:noWrap/>
            <w:vAlign w:val="center"/>
          </w:tcPr>
          <w:p w14:paraId="26F56D5D" w14:textId="77777777" w:rsidR="00C972CB" w:rsidRDefault="002457F6">
            <w:pPr>
              <w:pStyle w:val="P68B1DB1-Normal12"/>
              <w:jc w:val="center"/>
              <w:rPr>
                <w:noProof/>
              </w:rPr>
            </w:pPr>
            <w:r>
              <w:rPr>
                <w:noProof/>
              </w:rPr>
              <w:t>Starpposma mērķis</w:t>
            </w:r>
          </w:p>
        </w:tc>
        <w:tc>
          <w:tcPr>
            <w:tcW w:w="3959" w:type="dxa"/>
            <w:tcBorders>
              <w:top w:val="nil"/>
              <w:left w:val="nil"/>
              <w:bottom w:val="single" w:sz="4" w:space="0" w:color="auto"/>
              <w:right w:val="single" w:sz="4" w:space="0" w:color="auto"/>
            </w:tcBorders>
            <w:shd w:val="clear" w:color="auto" w:fill="C6EFCE"/>
            <w:noWrap/>
            <w:vAlign w:val="center"/>
          </w:tcPr>
          <w:p w14:paraId="30714F85" w14:textId="77777777" w:rsidR="00C972CB" w:rsidRDefault="002457F6">
            <w:pPr>
              <w:pStyle w:val="P68B1DB1-Normal12"/>
              <w:rPr>
                <w:noProof/>
              </w:rPr>
            </w:pPr>
            <w:r>
              <w:rPr>
                <w:noProof/>
              </w:rPr>
              <w:t>Primāro un sekundāro tiesību aktu stāšanās spēkā.</w:t>
            </w:r>
          </w:p>
        </w:tc>
      </w:tr>
      <w:tr w:rsidR="00C972CB" w14:paraId="18C2AC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E7A261" w14:textId="77777777" w:rsidR="00C972CB" w:rsidRDefault="002457F6">
            <w:pPr>
              <w:pStyle w:val="P68B1DB1-Normal12"/>
              <w:jc w:val="center"/>
              <w:rPr>
                <w:noProof/>
              </w:rPr>
            </w:pPr>
            <w:r>
              <w:rPr>
                <w:noProof/>
              </w:rPr>
              <w:t>M7–21</w:t>
            </w:r>
          </w:p>
        </w:tc>
        <w:tc>
          <w:tcPr>
            <w:tcW w:w="3150" w:type="dxa"/>
            <w:tcBorders>
              <w:top w:val="nil"/>
              <w:left w:val="nil"/>
              <w:bottom w:val="single" w:sz="4" w:space="0" w:color="auto"/>
              <w:right w:val="single" w:sz="4" w:space="0" w:color="auto"/>
            </w:tcBorders>
            <w:shd w:val="clear" w:color="auto" w:fill="C6EFCE"/>
            <w:noWrap/>
            <w:vAlign w:val="center"/>
          </w:tcPr>
          <w:p w14:paraId="5E4D4505" w14:textId="77777777" w:rsidR="00C972CB" w:rsidRDefault="002457F6">
            <w:pPr>
              <w:pStyle w:val="P68B1DB1-Normal12"/>
              <w:rPr>
                <w:noProof/>
              </w:rPr>
            </w:pPr>
            <w:r>
              <w:rPr>
                <w:noProof/>
              </w:rPr>
              <w:t xml:space="preserve">Ieguldījums 6: Pārrobežu elektroenerģijas starpsavienojumu projekti </w:t>
            </w:r>
            <w:r>
              <w:rPr>
                <w:noProof/>
              </w:rPr>
              <w:t>starp Itāliju un kaimiņvalstīm</w:t>
            </w:r>
          </w:p>
        </w:tc>
        <w:tc>
          <w:tcPr>
            <w:tcW w:w="1425" w:type="dxa"/>
            <w:tcBorders>
              <w:top w:val="nil"/>
              <w:left w:val="nil"/>
              <w:bottom w:val="single" w:sz="4" w:space="0" w:color="auto"/>
              <w:right w:val="single" w:sz="4" w:space="0" w:color="auto"/>
            </w:tcBorders>
            <w:shd w:val="clear" w:color="auto" w:fill="C6EFCE"/>
            <w:noWrap/>
            <w:vAlign w:val="center"/>
          </w:tcPr>
          <w:p w14:paraId="555DAC4E"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05A7FDDD" w14:textId="77777777" w:rsidR="00C972CB" w:rsidRDefault="002457F6">
            <w:pPr>
              <w:pStyle w:val="P68B1DB1-Normal12"/>
              <w:rPr>
                <w:noProof/>
              </w:rPr>
            </w:pPr>
            <w:r>
              <w:rPr>
                <w:noProof/>
              </w:rPr>
              <w:t>Starpsavienojuma nominālās jaudas palielināšana starp Itāliju un Slovēniju pēc darbu pabeigšanas</w:t>
            </w:r>
          </w:p>
        </w:tc>
      </w:tr>
      <w:tr w:rsidR="00C972CB" w14:paraId="5FEB2B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5BB557" w14:textId="77777777" w:rsidR="00C972CB" w:rsidRDefault="002457F6">
            <w:pPr>
              <w:pStyle w:val="P68B1DB1-Normal12"/>
              <w:jc w:val="center"/>
              <w:rPr>
                <w:noProof/>
              </w:rPr>
            </w:pPr>
            <w:r>
              <w:rPr>
                <w:noProof/>
              </w:rPr>
              <w:t>M7–26</w:t>
            </w:r>
          </w:p>
        </w:tc>
        <w:tc>
          <w:tcPr>
            <w:tcW w:w="3150" w:type="dxa"/>
            <w:tcBorders>
              <w:top w:val="nil"/>
              <w:left w:val="nil"/>
              <w:bottom w:val="single" w:sz="4" w:space="0" w:color="auto"/>
              <w:right w:val="single" w:sz="4" w:space="0" w:color="auto"/>
            </w:tcBorders>
            <w:shd w:val="clear" w:color="auto" w:fill="C6EFCE"/>
            <w:noWrap/>
            <w:vAlign w:val="center"/>
          </w:tcPr>
          <w:p w14:paraId="7C48BBF8" w14:textId="77777777" w:rsidR="00C972CB" w:rsidRDefault="002457F6">
            <w:pPr>
              <w:pStyle w:val="P68B1DB1-Normal12"/>
              <w:rPr>
                <w:noProof/>
              </w:rPr>
            </w:pPr>
            <w:r>
              <w:rPr>
                <w:noProof/>
              </w:rPr>
              <w:t>Ieguldījums 10: Ilgtspējīga, apritīga un droša kritiski svarīgo izejvielu piegāde</w:t>
            </w:r>
          </w:p>
        </w:tc>
        <w:tc>
          <w:tcPr>
            <w:tcW w:w="1425" w:type="dxa"/>
            <w:tcBorders>
              <w:top w:val="nil"/>
              <w:left w:val="nil"/>
              <w:bottom w:val="single" w:sz="4" w:space="0" w:color="auto"/>
              <w:right w:val="single" w:sz="4" w:space="0" w:color="auto"/>
            </w:tcBorders>
            <w:shd w:val="clear" w:color="auto" w:fill="C6EFCE"/>
            <w:noWrap/>
            <w:vAlign w:val="center"/>
          </w:tcPr>
          <w:p w14:paraId="0D60128E" w14:textId="77777777" w:rsidR="00C972CB" w:rsidRDefault="002457F6">
            <w:pPr>
              <w:pStyle w:val="P68B1DB1-Normal12"/>
              <w:jc w:val="center"/>
              <w:rPr>
                <w:noProof/>
              </w:rPr>
            </w:pPr>
            <w:r>
              <w:rPr>
                <w:noProof/>
              </w:rPr>
              <w:t>Mērķa</w:t>
            </w:r>
          </w:p>
        </w:tc>
        <w:tc>
          <w:tcPr>
            <w:tcW w:w="3959" w:type="dxa"/>
            <w:tcBorders>
              <w:top w:val="nil"/>
              <w:left w:val="nil"/>
              <w:bottom w:val="single" w:sz="4" w:space="0" w:color="auto"/>
              <w:right w:val="single" w:sz="4" w:space="0" w:color="auto"/>
            </w:tcBorders>
            <w:shd w:val="clear" w:color="auto" w:fill="C6EFCE"/>
            <w:noWrap/>
            <w:vAlign w:val="center"/>
          </w:tcPr>
          <w:p w14:paraId="39B495FF" w14:textId="77777777" w:rsidR="00C972CB" w:rsidRDefault="002457F6">
            <w:pPr>
              <w:pStyle w:val="P68B1DB1-Normal12"/>
              <w:rPr>
                <w:noProof/>
              </w:rPr>
            </w:pPr>
            <w:r>
              <w:rPr>
                <w:noProof/>
              </w:rPr>
              <w:t>Ģeogrāfiskās informācijas s</w:t>
            </w:r>
            <w:r>
              <w:rPr>
                <w:noProof/>
              </w:rPr>
              <w:t>istēma (ĢIS) par ieguves rūpniecības atkritumiem, lai nodrošinātu kritiski svarīgu izejvielu ilgtspējīgu, apritīgu un drošu piegādi</w:t>
            </w:r>
          </w:p>
        </w:tc>
      </w:tr>
      <w:tr w:rsidR="00C972CB" w14:paraId="0432A9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751BA" w14:textId="77777777" w:rsidR="00C972CB" w:rsidRDefault="00C972CB">
            <w:pPr>
              <w:jc w:val="center"/>
              <w:rPr>
                <w:noProof/>
                <w:color w:val="006100"/>
                <w:sz w:val="20"/>
              </w:rPr>
            </w:pPr>
          </w:p>
        </w:tc>
        <w:tc>
          <w:tcPr>
            <w:tcW w:w="3150" w:type="dxa"/>
            <w:tcBorders>
              <w:top w:val="single" w:sz="4" w:space="0" w:color="auto"/>
              <w:left w:val="nil"/>
              <w:bottom w:val="single" w:sz="4" w:space="0" w:color="auto"/>
              <w:right w:val="single" w:sz="4" w:space="0" w:color="auto"/>
            </w:tcBorders>
            <w:shd w:val="clear" w:color="auto" w:fill="C6EFCE"/>
            <w:noWrap/>
            <w:vAlign w:val="bottom"/>
          </w:tcPr>
          <w:p w14:paraId="543722BD" w14:textId="77777777" w:rsidR="00C972CB" w:rsidRDefault="00C972CB">
            <w:pPr>
              <w:rPr>
                <w:noProof/>
                <w:color w:val="006100"/>
                <w:sz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623C8227" w14:textId="77777777" w:rsidR="00C972CB" w:rsidRDefault="002457F6">
            <w:pPr>
              <w:pStyle w:val="P68B1DB1-Normal12"/>
              <w:rPr>
                <w:noProof/>
              </w:rPr>
            </w:pPr>
            <w:r>
              <w:rPr>
                <w:noProof/>
              </w:rPr>
              <w:t>Maksājuma summa</w:t>
            </w:r>
          </w:p>
        </w:tc>
        <w:tc>
          <w:tcPr>
            <w:tcW w:w="3959" w:type="dxa"/>
            <w:tcBorders>
              <w:top w:val="single" w:sz="4" w:space="0" w:color="auto"/>
              <w:left w:val="nil"/>
              <w:bottom w:val="single" w:sz="4" w:space="0" w:color="auto"/>
              <w:right w:val="single" w:sz="4" w:space="0" w:color="auto"/>
            </w:tcBorders>
            <w:shd w:val="clear" w:color="auto" w:fill="C6EFCE"/>
            <w:noWrap/>
            <w:vAlign w:val="bottom"/>
          </w:tcPr>
          <w:p w14:paraId="4659F5AC" w14:textId="00AC1C74" w:rsidR="00C972CB" w:rsidRDefault="002457F6">
            <w:pPr>
              <w:pStyle w:val="P68B1DB1-Normal46"/>
              <w:rPr>
                <w:noProof/>
              </w:rPr>
            </w:pPr>
            <w:r>
              <w:rPr>
                <w:noProof/>
              </w:rPr>
              <w:t>7</w:t>
            </w:r>
            <w:r>
              <w:rPr>
                <w:noProof/>
              </w:rPr>
              <w:t> </w:t>
            </w:r>
            <w:r>
              <w:rPr>
                <w:noProof/>
              </w:rPr>
              <w:t>046</w:t>
            </w:r>
            <w:r>
              <w:rPr>
                <w:noProof/>
              </w:rPr>
              <w:t> </w:t>
            </w:r>
            <w:r>
              <w:rPr>
                <w:noProof/>
              </w:rPr>
              <w:t>237</w:t>
            </w:r>
            <w:r>
              <w:rPr>
                <w:noProof/>
              </w:rPr>
              <w:t> </w:t>
            </w:r>
            <w:r>
              <w:rPr>
                <w:noProof/>
              </w:rPr>
              <w:t>746</w:t>
            </w:r>
            <w:r>
              <w:rPr>
                <w:noProof/>
              </w:rPr>
              <w:t> </w:t>
            </w:r>
            <w:r>
              <w:rPr>
                <w:noProof/>
              </w:rPr>
              <w:t>EUR</w:t>
            </w:r>
          </w:p>
        </w:tc>
      </w:tr>
    </w:tbl>
    <w:p w14:paraId="0DC62B79" w14:textId="1FB27D29" w:rsidR="00C972CB" w:rsidRDefault="002457F6">
      <w:pPr>
        <w:pStyle w:val="P68B1DB1-Normal44"/>
        <w:numPr>
          <w:ilvl w:val="1"/>
          <w:numId w:val="6"/>
        </w:numPr>
        <w:spacing w:before="120" w:after="120"/>
        <w:jc w:val="both"/>
        <w:rPr>
          <w:noProof/>
        </w:rPr>
      </w:pPr>
      <w:r>
        <w:rPr>
          <w:noProof/>
        </w:rPr>
        <w:t>Desmitā daļa (neatmaksājams atbalsts):</w:t>
      </w:r>
    </w:p>
    <w:tbl>
      <w:tblPr>
        <w:tblW w:w="10023" w:type="dxa"/>
        <w:tblInd w:w="113" w:type="dxa"/>
        <w:tblLook w:val="04A0" w:firstRow="1" w:lastRow="0" w:firstColumn="1" w:lastColumn="0" w:noHBand="0" w:noVBand="1"/>
      </w:tblPr>
      <w:tblGrid>
        <w:gridCol w:w="1413"/>
        <w:gridCol w:w="3195"/>
        <w:gridCol w:w="1983"/>
        <w:gridCol w:w="4035"/>
      </w:tblGrid>
      <w:tr w:rsidR="00C972CB" w14:paraId="688B3F1D"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421B7B" w14:textId="77777777" w:rsidR="00C972CB" w:rsidRDefault="002457F6">
            <w:pPr>
              <w:pStyle w:val="P68B1DB1-Normal45"/>
              <w:jc w:val="center"/>
              <w:rPr>
                <w:noProof/>
              </w:rPr>
            </w:pPr>
            <w:r>
              <w:rPr>
                <w:noProof/>
              </w:rPr>
              <w:t>Kārtas numurs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24FF18" w14:textId="77777777" w:rsidR="00C972CB" w:rsidRDefault="002457F6">
            <w:pPr>
              <w:pStyle w:val="P68B1DB1-Normal45"/>
              <w:jc w:val="center"/>
              <w:rPr>
                <w:noProof/>
              </w:rPr>
            </w:pPr>
            <w:r>
              <w:rPr>
                <w:noProof/>
              </w:rPr>
              <w:t xml:space="preserve">Pasākums (reforma vai </w:t>
            </w:r>
            <w:r>
              <w:rPr>
                <w:noProof/>
              </w:rPr>
              <w:t>investīcija)</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5B2B83" w14:textId="77777777" w:rsidR="00C972CB" w:rsidRDefault="002457F6">
            <w:pPr>
              <w:pStyle w:val="P68B1DB1-Normal45"/>
              <w:jc w:val="center"/>
              <w:rPr>
                <w:noProof/>
              </w:rPr>
            </w:pPr>
            <w:r>
              <w:rPr>
                <w:noProof/>
              </w:rPr>
              <w:t>Atskaites punkts/mērķrādītājs</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A11ABB" w14:textId="77777777" w:rsidR="00C972CB" w:rsidRDefault="002457F6">
            <w:pPr>
              <w:pStyle w:val="P68B1DB1-Normal45"/>
              <w:jc w:val="center"/>
              <w:rPr>
                <w:noProof/>
              </w:rPr>
            </w:pPr>
            <w:r>
              <w:rPr>
                <w:noProof/>
              </w:rPr>
              <w:t>Uzvārds</w:t>
            </w:r>
          </w:p>
        </w:tc>
      </w:tr>
      <w:tr w:rsidR="00C972CB" w14:paraId="6580FD9B"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1012ACE" w14:textId="77777777" w:rsidR="00C972CB" w:rsidRDefault="00C972C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64D3F08F" w14:textId="77777777" w:rsidR="00C972CB" w:rsidRDefault="00C972CB">
            <w:pPr>
              <w:rPr>
                <w:b/>
                <w:noProof/>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1C081FB" w14:textId="77777777" w:rsidR="00C972CB" w:rsidRDefault="00C972CB">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41474077" w14:textId="77777777" w:rsidR="00C972CB" w:rsidRDefault="00C972CB">
            <w:pPr>
              <w:rPr>
                <w:b/>
                <w:noProof/>
              </w:rPr>
            </w:pPr>
          </w:p>
        </w:tc>
      </w:tr>
      <w:tr w:rsidR="00C972CB" w14:paraId="73054B8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DFE20" w14:textId="77777777" w:rsidR="00C972CB" w:rsidRDefault="002457F6">
            <w:pPr>
              <w:pStyle w:val="P68B1DB1-Normal12"/>
              <w:jc w:val="center"/>
              <w:rPr>
                <w:noProof/>
              </w:rPr>
            </w:pPr>
            <w:r>
              <w:rPr>
                <w:noProof/>
              </w:rPr>
              <w:t>M1C1–88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25ACACD"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380" w:type="dxa"/>
            <w:tcBorders>
              <w:top w:val="single" w:sz="4" w:space="0" w:color="auto"/>
              <w:left w:val="nil"/>
              <w:bottom w:val="single" w:sz="4" w:space="0" w:color="auto"/>
              <w:right w:val="single" w:sz="4" w:space="0" w:color="auto"/>
            </w:tcBorders>
            <w:shd w:val="clear" w:color="auto" w:fill="C6EFCE"/>
            <w:noWrap/>
            <w:vAlign w:val="center"/>
          </w:tcPr>
          <w:p w14:paraId="7022BE49" w14:textId="77777777" w:rsidR="00C972CB" w:rsidRDefault="002457F6">
            <w:pPr>
              <w:pStyle w:val="P68B1DB1-Normal12"/>
              <w:jc w:val="center"/>
              <w:rPr>
                <w:noProof/>
              </w:rPr>
            </w:pPr>
            <w:r>
              <w:rPr>
                <w:noProof/>
              </w:rPr>
              <w:t>Mērķa</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7FEAEFFA" w14:textId="77777777" w:rsidR="00C972CB" w:rsidRDefault="002457F6">
            <w:pPr>
              <w:pStyle w:val="P68B1DB1-Normal12"/>
              <w:rPr>
                <w:noProof/>
              </w:rPr>
            </w:pPr>
            <w:r>
              <w:rPr>
                <w:noProof/>
              </w:rPr>
              <w:t xml:space="preserve">Samazināts vidējais dienu skaits, ko centrālās valsts pārvaldes iestādes izmanto, lai </w:t>
            </w:r>
            <w:r>
              <w:rPr>
                <w:noProof/>
              </w:rPr>
              <w:t>maksātu uzņēmumiem</w:t>
            </w:r>
          </w:p>
        </w:tc>
      </w:tr>
      <w:tr w:rsidR="00C972CB" w14:paraId="439C5D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F1757" w14:textId="77777777" w:rsidR="00C972CB" w:rsidRDefault="002457F6">
            <w:pPr>
              <w:pStyle w:val="P68B1DB1-Normal12"/>
              <w:jc w:val="center"/>
              <w:rPr>
                <w:noProof/>
              </w:rPr>
            </w:pPr>
            <w:r>
              <w:rPr>
                <w:noProof/>
              </w:rPr>
              <w:t>M1C1–89</w:t>
            </w:r>
          </w:p>
        </w:tc>
        <w:tc>
          <w:tcPr>
            <w:tcW w:w="3195" w:type="dxa"/>
            <w:tcBorders>
              <w:top w:val="nil"/>
              <w:left w:val="nil"/>
              <w:bottom w:val="single" w:sz="4" w:space="0" w:color="auto"/>
              <w:right w:val="single" w:sz="4" w:space="0" w:color="auto"/>
            </w:tcBorders>
            <w:shd w:val="clear" w:color="auto" w:fill="C6EFCE"/>
            <w:noWrap/>
            <w:vAlign w:val="center"/>
          </w:tcPr>
          <w:p w14:paraId="029F3F59"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380" w:type="dxa"/>
            <w:tcBorders>
              <w:top w:val="nil"/>
              <w:left w:val="nil"/>
              <w:bottom w:val="single" w:sz="4" w:space="0" w:color="auto"/>
              <w:right w:val="single" w:sz="4" w:space="0" w:color="auto"/>
            </w:tcBorders>
            <w:shd w:val="clear" w:color="auto" w:fill="C6EFCE"/>
            <w:noWrap/>
            <w:vAlign w:val="center"/>
          </w:tcPr>
          <w:p w14:paraId="324DEB89"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7251B512" w14:textId="77777777" w:rsidR="00C972CB" w:rsidRDefault="002457F6">
            <w:pPr>
              <w:pStyle w:val="P68B1DB1-Normal12"/>
              <w:rPr>
                <w:noProof/>
              </w:rPr>
            </w:pPr>
            <w:r>
              <w:rPr>
                <w:noProof/>
              </w:rPr>
              <w:t>Vidējais dienu skaits, kurā reģionālās publiskās pārvaldes iestādes maksā uzņēmumiem, ir samazināts</w:t>
            </w:r>
          </w:p>
        </w:tc>
      </w:tr>
      <w:tr w:rsidR="00C972CB" w14:paraId="722113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2B891" w14:textId="77777777" w:rsidR="00C972CB" w:rsidRDefault="002457F6">
            <w:pPr>
              <w:pStyle w:val="P68B1DB1-Normal12"/>
              <w:jc w:val="center"/>
              <w:rPr>
                <w:noProof/>
              </w:rPr>
            </w:pPr>
            <w:r>
              <w:rPr>
                <w:noProof/>
              </w:rPr>
              <w:t>M1C1–90</w:t>
            </w:r>
          </w:p>
        </w:tc>
        <w:tc>
          <w:tcPr>
            <w:tcW w:w="3195" w:type="dxa"/>
            <w:tcBorders>
              <w:top w:val="nil"/>
              <w:left w:val="nil"/>
              <w:bottom w:val="single" w:sz="4" w:space="0" w:color="auto"/>
              <w:right w:val="single" w:sz="4" w:space="0" w:color="auto"/>
            </w:tcBorders>
            <w:shd w:val="clear" w:color="auto" w:fill="C6EFCE"/>
            <w:noWrap/>
            <w:vAlign w:val="center"/>
          </w:tcPr>
          <w:p w14:paraId="435F7BBA" w14:textId="77777777" w:rsidR="00C972CB" w:rsidRDefault="002457F6">
            <w:pPr>
              <w:pStyle w:val="P68B1DB1-Normal12"/>
              <w:jc w:val="center"/>
              <w:rPr>
                <w:noProof/>
              </w:rPr>
            </w:pPr>
            <w:r>
              <w:rPr>
                <w:noProof/>
              </w:rPr>
              <w:t>Reforma: Valsts</w:t>
            </w:r>
            <w:r>
              <w:rPr>
                <w:noProof/>
              </w:rPr>
              <w:t xml:space="preserve"> pārvaldes iestāžu un veselības aizsardzības iestāžu kavēto maksājumu samazināšana</w:t>
            </w:r>
          </w:p>
        </w:tc>
        <w:tc>
          <w:tcPr>
            <w:tcW w:w="1380" w:type="dxa"/>
            <w:tcBorders>
              <w:top w:val="nil"/>
              <w:left w:val="nil"/>
              <w:bottom w:val="single" w:sz="4" w:space="0" w:color="auto"/>
              <w:right w:val="single" w:sz="4" w:space="0" w:color="auto"/>
            </w:tcBorders>
            <w:shd w:val="clear" w:color="auto" w:fill="C6EFCE"/>
            <w:noWrap/>
            <w:vAlign w:val="center"/>
          </w:tcPr>
          <w:p w14:paraId="411A5B5F"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2B302C52" w14:textId="77777777" w:rsidR="00C972CB" w:rsidRDefault="002457F6">
            <w:pPr>
              <w:pStyle w:val="P68B1DB1-Normal12"/>
              <w:rPr>
                <w:noProof/>
              </w:rPr>
            </w:pPr>
            <w:r>
              <w:rPr>
                <w:noProof/>
              </w:rPr>
              <w:t>Samazināts vidējais dienu skaits, ko vietējās publiskās pārvaldes iestādes izmanto, lai maksātu uzņēmumiem</w:t>
            </w:r>
          </w:p>
        </w:tc>
      </w:tr>
      <w:tr w:rsidR="00C972CB" w14:paraId="4D0D8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FCA5E" w14:textId="77777777" w:rsidR="00C972CB" w:rsidRDefault="002457F6">
            <w:pPr>
              <w:pStyle w:val="P68B1DB1-Normal12"/>
              <w:jc w:val="center"/>
              <w:rPr>
                <w:noProof/>
              </w:rPr>
            </w:pPr>
            <w:r>
              <w:rPr>
                <w:noProof/>
              </w:rPr>
              <w:t>M1C1–91</w:t>
            </w:r>
          </w:p>
        </w:tc>
        <w:tc>
          <w:tcPr>
            <w:tcW w:w="3195" w:type="dxa"/>
            <w:tcBorders>
              <w:top w:val="nil"/>
              <w:left w:val="nil"/>
              <w:bottom w:val="single" w:sz="4" w:space="0" w:color="auto"/>
              <w:right w:val="single" w:sz="4" w:space="0" w:color="auto"/>
            </w:tcBorders>
            <w:shd w:val="clear" w:color="auto" w:fill="C6EFCE"/>
            <w:noWrap/>
            <w:vAlign w:val="center"/>
          </w:tcPr>
          <w:p w14:paraId="7F33695D" w14:textId="77777777" w:rsidR="00C972CB" w:rsidRDefault="002457F6">
            <w:pPr>
              <w:pStyle w:val="P68B1DB1-Normal12"/>
              <w:jc w:val="center"/>
              <w:rPr>
                <w:noProof/>
              </w:rPr>
            </w:pPr>
            <w:r>
              <w:rPr>
                <w:noProof/>
              </w:rPr>
              <w:t>Reforma: Valsts pārvaldes iestāžu un veselības aizs</w:t>
            </w:r>
            <w:r>
              <w:rPr>
                <w:noProof/>
              </w:rPr>
              <w:t>ardzības iestāžu kavēto maksājumu samazināšana</w:t>
            </w:r>
          </w:p>
        </w:tc>
        <w:tc>
          <w:tcPr>
            <w:tcW w:w="1380" w:type="dxa"/>
            <w:tcBorders>
              <w:top w:val="nil"/>
              <w:left w:val="nil"/>
              <w:bottom w:val="single" w:sz="4" w:space="0" w:color="auto"/>
              <w:right w:val="single" w:sz="4" w:space="0" w:color="auto"/>
            </w:tcBorders>
            <w:shd w:val="clear" w:color="auto" w:fill="C6EFCE"/>
            <w:noWrap/>
            <w:vAlign w:val="center"/>
          </w:tcPr>
          <w:p w14:paraId="725E004E"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1B3EA35A" w14:textId="77777777" w:rsidR="00C972CB" w:rsidRDefault="002457F6">
            <w:pPr>
              <w:pStyle w:val="P68B1DB1-Normal12"/>
              <w:rPr>
                <w:noProof/>
              </w:rPr>
            </w:pPr>
            <w:r>
              <w:rPr>
                <w:noProof/>
              </w:rPr>
              <w:t>Samazināts vidējais dienu skaits, ko sabiedrības veselības pārvaldes iestādes izmanto, lai maksātu uzņēmumiem</w:t>
            </w:r>
          </w:p>
        </w:tc>
      </w:tr>
      <w:tr w:rsidR="00C972CB" w14:paraId="1E368D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31E58" w14:textId="77777777" w:rsidR="00C972CB" w:rsidRDefault="002457F6">
            <w:pPr>
              <w:pStyle w:val="P68B1DB1-Normal12"/>
              <w:jc w:val="center"/>
              <w:rPr>
                <w:noProof/>
              </w:rPr>
            </w:pPr>
            <w:r>
              <w:rPr>
                <w:noProof/>
              </w:rPr>
              <w:t>M1C1–92</w:t>
            </w:r>
          </w:p>
        </w:tc>
        <w:tc>
          <w:tcPr>
            <w:tcW w:w="3195" w:type="dxa"/>
            <w:tcBorders>
              <w:top w:val="nil"/>
              <w:left w:val="nil"/>
              <w:bottom w:val="single" w:sz="4" w:space="0" w:color="auto"/>
              <w:right w:val="single" w:sz="4" w:space="0" w:color="auto"/>
            </w:tcBorders>
            <w:shd w:val="clear" w:color="auto" w:fill="C6EFCE"/>
            <w:noWrap/>
            <w:vAlign w:val="center"/>
          </w:tcPr>
          <w:p w14:paraId="7BDFC47F" w14:textId="77777777" w:rsidR="00C972CB" w:rsidRDefault="002457F6">
            <w:pPr>
              <w:pStyle w:val="P68B1DB1-Normal12"/>
              <w:jc w:val="center"/>
              <w:rPr>
                <w:noProof/>
              </w:rPr>
            </w:pPr>
            <w:r>
              <w:rPr>
                <w:noProof/>
              </w:rPr>
              <w:t>Reforma: Valsts pārvaldes iestāžu un veselības aizsardzības iestāžu kavēto maksājumu</w:t>
            </w:r>
            <w:r>
              <w:rPr>
                <w:noProof/>
              </w:rPr>
              <w:t xml:space="preserve"> samazināšana</w:t>
            </w:r>
          </w:p>
        </w:tc>
        <w:tc>
          <w:tcPr>
            <w:tcW w:w="1380" w:type="dxa"/>
            <w:tcBorders>
              <w:top w:val="nil"/>
              <w:left w:val="nil"/>
              <w:bottom w:val="single" w:sz="4" w:space="0" w:color="auto"/>
              <w:right w:val="single" w:sz="4" w:space="0" w:color="auto"/>
            </w:tcBorders>
            <w:shd w:val="clear" w:color="auto" w:fill="C6EFCE"/>
            <w:noWrap/>
            <w:vAlign w:val="center"/>
          </w:tcPr>
          <w:p w14:paraId="5282349F"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68299499" w14:textId="77777777" w:rsidR="00C972CB" w:rsidRDefault="002457F6">
            <w:pPr>
              <w:pStyle w:val="P68B1DB1-Normal12"/>
              <w:rPr>
                <w:noProof/>
              </w:rPr>
            </w:pPr>
            <w:r>
              <w:rPr>
                <w:noProof/>
              </w:rPr>
              <w:t>Ir samazināts vidējais to dienu skaits, kurās centrālās valsts pārvaldes iestādes kavē maksāt uzņēmumiem</w:t>
            </w:r>
          </w:p>
        </w:tc>
      </w:tr>
      <w:tr w:rsidR="00C972CB" w14:paraId="366F66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DD1C6A" w14:textId="77777777" w:rsidR="00C972CB" w:rsidRDefault="002457F6">
            <w:pPr>
              <w:pStyle w:val="P68B1DB1-Normal12"/>
              <w:jc w:val="center"/>
              <w:rPr>
                <w:noProof/>
              </w:rPr>
            </w:pPr>
            <w:r>
              <w:rPr>
                <w:noProof/>
              </w:rPr>
              <w:t>M1C1–93</w:t>
            </w:r>
          </w:p>
        </w:tc>
        <w:tc>
          <w:tcPr>
            <w:tcW w:w="3195" w:type="dxa"/>
            <w:tcBorders>
              <w:top w:val="nil"/>
              <w:left w:val="nil"/>
              <w:bottom w:val="single" w:sz="4" w:space="0" w:color="auto"/>
              <w:right w:val="single" w:sz="4" w:space="0" w:color="auto"/>
            </w:tcBorders>
            <w:shd w:val="clear" w:color="auto" w:fill="C6EFCE"/>
            <w:noWrap/>
            <w:vAlign w:val="center"/>
          </w:tcPr>
          <w:p w14:paraId="1697EBB9"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380" w:type="dxa"/>
            <w:tcBorders>
              <w:top w:val="nil"/>
              <w:left w:val="nil"/>
              <w:bottom w:val="single" w:sz="4" w:space="0" w:color="auto"/>
              <w:right w:val="single" w:sz="4" w:space="0" w:color="auto"/>
            </w:tcBorders>
            <w:shd w:val="clear" w:color="auto" w:fill="C6EFCE"/>
            <w:noWrap/>
            <w:vAlign w:val="center"/>
          </w:tcPr>
          <w:p w14:paraId="5D3ACA2F"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336B4CD5" w14:textId="77777777" w:rsidR="00C972CB" w:rsidRDefault="002457F6">
            <w:pPr>
              <w:pStyle w:val="P68B1DB1-Normal12"/>
              <w:rPr>
                <w:noProof/>
              </w:rPr>
            </w:pPr>
            <w:r>
              <w:rPr>
                <w:noProof/>
              </w:rPr>
              <w:t xml:space="preserve">Vidējais dienu </w:t>
            </w:r>
            <w:r>
              <w:rPr>
                <w:noProof/>
              </w:rPr>
              <w:t>skaits, kad reģionālās publiskās pārvaldes iestādes kavē maksāt uzņēmumiem, ir samazināts</w:t>
            </w:r>
          </w:p>
        </w:tc>
      </w:tr>
      <w:tr w:rsidR="00C972CB" w14:paraId="25E461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AA9F6" w14:textId="77777777" w:rsidR="00C972CB" w:rsidRDefault="002457F6">
            <w:pPr>
              <w:pStyle w:val="P68B1DB1-Normal12"/>
              <w:jc w:val="center"/>
              <w:rPr>
                <w:noProof/>
              </w:rPr>
            </w:pPr>
            <w:r>
              <w:rPr>
                <w:noProof/>
              </w:rPr>
              <w:t>M1C1–94</w:t>
            </w:r>
          </w:p>
        </w:tc>
        <w:tc>
          <w:tcPr>
            <w:tcW w:w="3195" w:type="dxa"/>
            <w:tcBorders>
              <w:top w:val="nil"/>
              <w:left w:val="nil"/>
              <w:bottom w:val="single" w:sz="4" w:space="0" w:color="auto"/>
              <w:right w:val="single" w:sz="4" w:space="0" w:color="auto"/>
            </w:tcBorders>
            <w:shd w:val="clear" w:color="auto" w:fill="C6EFCE"/>
            <w:noWrap/>
            <w:vAlign w:val="center"/>
          </w:tcPr>
          <w:p w14:paraId="16172E31"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380" w:type="dxa"/>
            <w:tcBorders>
              <w:top w:val="nil"/>
              <w:left w:val="nil"/>
              <w:bottom w:val="single" w:sz="4" w:space="0" w:color="auto"/>
              <w:right w:val="single" w:sz="4" w:space="0" w:color="auto"/>
            </w:tcBorders>
            <w:shd w:val="clear" w:color="auto" w:fill="C6EFCE"/>
            <w:noWrap/>
            <w:vAlign w:val="center"/>
          </w:tcPr>
          <w:p w14:paraId="1253CFE4"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345B193F" w14:textId="77777777" w:rsidR="00C972CB" w:rsidRDefault="002457F6">
            <w:pPr>
              <w:pStyle w:val="P68B1DB1-Normal12"/>
              <w:rPr>
                <w:noProof/>
              </w:rPr>
            </w:pPr>
            <w:r>
              <w:rPr>
                <w:noProof/>
              </w:rPr>
              <w:t>Ir samazināts vidējais to dienu skaits, kurās vietējā</w:t>
            </w:r>
            <w:r>
              <w:rPr>
                <w:noProof/>
              </w:rPr>
              <w:t>s publiskās pārvaldes iestādes kavē maksāt uzņēmumiem</w:t>
            </w:r>
          </w:p>
        </w:tc>
      </w:tr>
      <w:tr w:rsidR="00C972CB" w14:paraId="62E4A9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759187" w14:textId="77777777" w:rsidR="00C972CB" w:rsidRDefault="002457F6">
            <w:pPr>
              <w:pStyle w:val="P68B1DB1-Normal12"/>
              <w:jc w:val="center"/>
              <w:rPr>
                <w:noProof/>
              </w:rPr>
            </w:pPr>
            <w:r>
              <w:rPr>
                <w:noProof/>
              </w:rPr>
              <w:t>M1C1–95</w:t>
            </w:r>
          </w:p>
        </w:tc>
        <w:tc>
          <w:tcPr>
            <w:tcW w:w="3195" w:type="dxa"/>
            <w:tcBorders>
              <w:top w:val="nil"/>
              <w:left w:val="nil"/>
              <w:bottom w:val="single" w:sz="4" w:space="0" w:color="auto"/>
              <w:right w:val="single" w:sz="4" w:space="0" w:color="auto"/>
            </w:tcBorders>
            <w:shd w:val="clear" w:color="auto" w:fill="C6EFCE"/>
            <w:noWrap/>
            <w:vAlign w:val="center"/>
          </w:tcPr>
          <w:p w14:paraId="4A5CB79E" w14:textId="77777777" w:rsidR="00C972CB" w:rsidRDefault="002457F6">
            <w:pPr>
              <w:pStyle w:val="P68B1DB1-Normal12"/>
              <w:jc w:val="center"/>
              <w:rPr>
                <w:noProof/>
              </w:rPr>
            </w:pPr>
            <w:r>
              <w:rPr>
                <w:noProof/>
              </w:rPr>
              <w:t>Reforma: Valsts pārvaldes iestāžu un veselības aizsardzības iestāžu kavēto maksājumu samazināšana</w:t>
            </w:r>
          </w:p>
        </w:tc>
        <w:tc>
          <w:tcPr>
            <w:tcW w:w="1380" w:type="dxa"/>
            <w:tcBorders>
              <w:top w:val="nil"/>
              <w:left w:val="nil"/>
              <w:bottom w:val="single" w:sz="4" w:space="0" w:color="auto"/>
              <w:right w:val="single" w:sz="4" w:space="0" w:color="auto"/>
            </w:tcBorders>
            <w:shd w:val="clear" w:color="auto" w:fill="C6EFCE"/>
            <w:noWrap/>
            <w:vAlign w:val="center"/>
          </w:tcPr>
          <w:p w14:paraId="61FCFE7D"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41BBF64C" w14:textId="77777777" w:rsidR="00C972CB" w:rsidRDefault="002457F6">
            <w:pPr>
              <w:pStyle w:val="P68B1DB1-Normal12"/>
              <w:rPr>
                <w:noProof/>
              </w:rPr>
            </w:pPr>
            <w:r>
              <w:rPr>
                <w:noProof/>
              </w:rPr>
              <w:t xml:space="preserve">Tiek samazināts vidējais to dienu skaits, kurās veselības aprūpes valsts pārvaldes </w:t>
            </w:r>
            <w:r>
              <w:rPr>
                <w:noProof/>
              </w:rPr>
              <w:t>iestādes maksā uzņēmumiem</w:t>
            </w:r>
          </w:p>
        </w:tc>
      </w:tr>
      <w:tr w:rsidR="00C972CB" w14:paraId="2018D3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3D44A6" w14:textId="77777777" w:rsidR="00C972CB" w:rsidRDefault="002457F6">
            <w:pPr>
              <w:pStyle w:val="P68B1DB1-Normal12"/>
              <w:jc w:val="center"/>
              <w:rPr>
                <w:noProof/>
              </w:rPr>
            </w:pPr>
            <w:r>
              <w:rPr>
                <w:noProof/>
              </w:rPr>
              <w:t>M1C1–117</w:t>
            </w:r>
          </w:p>
        </w:tc>
        <w:tc>
          <w:tcPr>
            <w:tcW w:w="3195" w:type="dxa"/>
            <w:tcBorders>
              <w:top w:val="nil"/>
              <w:left w:val="nil"/>
              <w:bottom w:val="single" w:sz="4" w:space="0" w:color="auto"/>
              <w:right w:val="single" w:sz="4" w:space="0" w:color="auto"/>
            </w:tcBorders>
            <w:shd w:val="clear" w:color="auto" w:fill="C6EFCE"/>
            <w:noWrap/>
            <w:vAlign w:val="center"/>
          </w:tcPr>
          <w:p w14:paraId="3E7F9D0D" w14:textId="77777777" w:rsidR="00C972CB" w:rsidRDefault="002457F6">
            <w:pPr>
              <w:pStyle w:val="P68B1DB1-Normal12"/>
              <w:jc w:val="center"/>
              <w:rPr>
                <w:noProof/>
              </w:rPr>
            </w:pPr>
            <w:r>
              <w:rPr>
                <w:noProof/>
              </w:rPr>
              <w:t>Reforma Nr. 1.15: Publiskās uzskaites noteikumu reforma</w:t>
            </w:r>
          </w:p>
        </w:tc>
        <w:tc>
          <w:tcPr>
            <w:tcW w:w="1380" w:type="dxa"/>
            <w:tcBorders>
              <w:top w:val="nil"/>
              <w:left w:val="nil"/>
              <w:bottom w:val="single" w:sz="4" w:space="0" w:color="auto"/>
              <w:right w:val="single" w:sz="4" w:space="0" w:color="auto"/>
            </w:tcBorders>
            <w:shd w:val="clear" w:color="auto" w:fill="C6EFCE"/>
            <w:noWrap/>
            <w:vAlign w:val="center"/>
          </w:tcPr>
          <w:p w14:paraId="40B8C23B"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B00285B" w14:textId="77777777" w:rsidR="00C972CB" w:rsidRDefault="002457F6">
            <w:pPr>
              <w:pStyle w:val="P68B1DB1-Normal12"/>
              <w:rPr>
                <w:noProof/>
              </w:rPr>
            </w:pPr>
            <w:r>
              <w:rPr>
                <w:noProof/>
              </w:rPr>
              <w:t>Valsts iestādes, kas apmācītas pārejai uz jauno uzkrājumu grāmatvedības sistēmu</w:t>
            </w:r>
          </w:p>
        </w:tc>
      </w:tr>
      <w:tr w:rsidR="00C972CB" w14:paraId="537B45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91319" w14:textId="77777777" w:rsidR="00C972CB" w:rsidRDefault="002457F6">
            <w:pPr>
              <w:pStyle w:val="P68B1DB1-Normal12"/>
              <w:jc w:val="center"/>
              <w:rPr>
                <w:noProof/>
              </w:rPr>
            </w:pPr>
            <w:r>
              <w:rPr>
                <w:noProof/>
              </w:rPr>
              <w:t>M1C1–119</w:t>
            </w:r>
          </w:p>
        </w:tc>
        <w:tc>
          <w:tcPr>
            <w:tcW w:w="3195" w:type="dxa"/>
            <w:tcBorders>
              <w:top w:val="nil"/>
              <w:left w:val="nil"/>
              <w:bottom w:val="single" w:sz="4" w:space="0" w:color="auto"/>
              <w:right w:val="single" w:sz="4" w:space="0" w:color="auto"/>
            </w:tcBorders>
            <w:shd w:val="clear" w:color="auto" w:fill="C6EFCE"/>
            <w:noWrap/>
            <w:vAlign w:val="center"/>
          </w:tcPr>
          <w:p w14:paraId="210E8C10" w14:textId="77777777" w:rsidR="00C972CB" w:rsidRDefault="002457F6">
            <w:pPr>
              <w:pStyle w:val="P68B1DB1-Normal12"/>
              <w:jc w:val="center"/>
              <w:rPr>
                <w:noProof/>
              </w:rPr>
            </w:pPr>
            <w:r>
              <w:rPr>
                <w:noProof/>
              </w:rPr>
              <w:t>Reforma: Vietējā un reģionālā līmeņa fiskālās sistēmas reforma</w:t>
            </w:r>
          </w:p>
        </w:tc>
        <w:tc>
          <w:tcPr>
            <w:tcW w:w="1380" w:type="dxa"/>
            <w:tcBorders>
              <w:top w:val="nil"/>
              <w:left w:val="nil"/>
              <w:bottom w:val="single" w:sz="4" w:space="0" w:color="auto"/>
              <w:right w:val="single" w:sz="4" w:space="0" w:color="auto"/>
            </w:tcBorders>
            <w:shd w:val="clear" w:color="auto" w:fill="C6EFCE"/>
            <w:noWrap/>
            <w:vAlign w:val="center"/>
          </w:tcPr>
          <w:p w14:paraId="461FFD88" w14:textId="77777777" w:rsidR="00C972CB" w:rsidRDefault="002457F6">
            <w:pPr>
              <w:pStyle w:val="P68B1DB1-Normal12"/>
              <w:jc w:val="center"/>
              <w:rPr>
                <w:noProof/>
              </w:rPr>
            </w:pPr>
            <w:r>
              <w:rPr>
                <w:noProof/>
              </w:rPr>
              <w:t>Starp</w:t>
            </w:r>
            <w:r>
              <w:rPr>
                <w:noProof/>
              </w:rPr>
              <w:t>posma mērķis</w:t>
            </w:r>
          </w:p>
        </w:tc>
        <w:tc>
          <w:tcPr>
            <w:tcW w:w="4035" w:type="dxa"/>
            <w:tcBorders>
              <w:top w:val="nil"/>
              <w:left w:val="nil"/>
              <w:bottom w:val="single" w:sz="4" w:space="0" w:color="auto"/>
              <w:right w:val="single" w:sz="4" w:space="0" w:color="auto"/>
            </w:tcBorders>
            <w:shd w:val="clear" w:color="auto" w:fill="C6EFCE"/>
            <w:noWrap/>
            <w:vAlign w:val="center"/>
          </w:tcPr>
          <w:p w14:paraId="544E1B54" w14:textId="77777777" w:rsidR="00C972CB" w:rsidRDefault="002457F6">
            <w:pPr>
              <w:pStyle w:val="P68B1DB1-Normal12"/>
              <w:rPr>
                <w:noProof/>
              </w:rPr>
            </w:pPr>
            <w:r>
              <w:rPr>
                <w:noProof/>
              </w:rPr>
              <w:t>Primāro un sekundāro tiesību aktu stāšanās spēkā, lai īstenotu reģionālo fiskālo federālismu</w:t>
            </w:r>
          </w:p>
        </w:tc>
      </w:tr>
      <w:tr w:rsidR="00C972CB" w14:paraId="36FD70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74C5A" w14:textId="77777777" w:rsidR="00C972CB" w:rsidRDefault="002457F6">
            <w:pPr>
              <w:pStyle w:val="P68B1DB1-Normal12"/>
              <w:jc w:val="center"/>
              <w:rPr>
                <w:noProof/>
              </w:rPr>
            </w:pPr>
            <w:r>
              <w:rPr>
                <w:noProof/>
              </w:rPr>
              <w:t>M1C1–120</w:t>
            </w:r>
          </w:p>
        </w:tc>
        <w:tc>
          <w:tcPr>
            <w:tcW w:w="3195" w:type="dxa"/>
            <w:tcBorders>
              <w:top w:val="nil"/>
              <w:left w:val="nil"/>
              <w:bottom w:val="single" w:sz="4" w:space="0" w:color="auto"/>
              <w:right w:val="single" w:sz="4" w:space="0" w:color="auto"/>
            </w:tcBorders>
            <w:shd w:val="clear" w:color="auto" w:fill="C6EFCE"/>
            <w:noWrap/>
            <w:vAlign w:val="center"/>
          </w:tcPr>
          <w:p w14:paraId="5378E0B3" w14:textId="77777777" w:rsidR="00C972CB" w:rsidRDefault="002457F6">
            <w:pPr>
              <w:pStyle w:val="P68B1DB1-Normal12"/>
              <w:jc w:val="center"/>
              <w:rPr>
                <w:noProof/>
              </w:rPr>
            </w:pPr>
            <w:r>
              <w:rPr>
                <w:noProof/>
              </w:rPr>
              <w:t>Reforma: Vietējā un reģionālā līmeņa fiskālās sistēmas reforma</w:t>
            </w:r>
          </w:p>
        </w:tc>
        <w:tc>
          <w:tcPr>
            <w:tcW w:w="1380" w:type="dxa"/>
            <w:tcBorders>
              <w:top w:val="nil"/>
              <w:left w:val="nil"/>
              <w:bottom w:val="single" w:sz="4" w:space="0" w:color="auto"/>
              <w:right w:val="single" w:sz="4" w:space="0" w:color="auto"/>
            </w:tcBorders>
            <w:shd w:val="clear" w:color="auto" w:fill="C6EFCE"/>
            <w:noWrap/>
            <w:vAlign w:val="center"/>
          </w:tcPr>
          <w:p w14:paraId="5F512238" w14:textId="77777777" w:rsidR="00C972CB" w:rsidRDefault="002457F6">
            <w:pPr>
              <w:pStyle w:val="P68B1DB1-Normal12"/>
              <w:jc w:val="center"/>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469AAD76" w14:textId="77777777" w:rsidR="00C972CB" w:rsidRDefault="002457F6">
            <w:pPr>
              <w:pStyle w:val="P68B1DB1-Normal12"/>
              <w:rPr>
                <w:noProof/>
              </w:rPr>
            </w:pPr>
            <w:r>
              <w:rPr>
                <w:noProof/>
              </w:rPr>
              <w:t xml:space="preserve">Primāro un sekundāro tiesību aktu stāšanās spēkā, lai </w:t>
            </w:r>
            <w:r>
              <w:rPr>
                <w:noProof/>
              </w:rPr>
              <w:t>īstenotu reģionālo fiskālo federālismu</w:t>
            </w:r>
          </w:p>
        </w:tc>
      </w:tr>
      <w:tr w:rsidR="00C972CB" w14:paraId="3C0240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BF35BA" w14:textId="77777777" w:rsidR="00C972CB" w:rsidRDefault="002457F6">
            <w:pPr>
              <w:pStyle w:val="P68B1DB1-Normal12"/>
              <w:jc w:val="center"/>
              <w:rPr>
                <w:noProof/>
              </w:rPr>
            </w:pPr>
            <w:r>
              <w:rPr>
                <w:noProof/>
              </w:rPr>
              <w:t>M3C2–6</w:t>
            </w:r>
          </w:p>
        </w:tc>
        <w:tc>
          <w:tcPr>
            <w:tcW w:w="3195" w:type="dxa"/>
            <w:tcBorders>
              <w:top w:val="nil"/>
              <w:left w:val="nil"/>
              <w:bottom w:val="single" w:sz="4" w:space="0" w:color="auto"/>
              <w:right w:val="single" w:sz="4" w:space="0" w:color="auto"/>
            </w:tcBorders>
            <w:shd w:val="clear" w:color="auto" w:fill="C6EFCE"/>
            <w:noWrap/>
            <w:vAlign w:val="center"/>
          </w:tcPr>
          <w:p w14:paraId="497CE61B" w14:textId="77777777" w:rsidR="00C972CB" w:rsidRDefault="002457F6">
            <w:pPr>
              <w:pStyle w:val="P68B1DB1-Normal12"/>
              <w:jc w:val="center"/>
              <w:rPr>
                <w:noProof/>
              </w:rPr>
            </w:pPr>
            <w:r>
              <w:rPr>
                <w:noProof/>
              </w:rPr>
              <w:t>Ieguldījums 2.2.: Gaisa satiksmes pārvaldības digitalizācija</w:t>
            </w:r>
          </w:p>
        </w:tc>
        <w:tc>
          <w:tcPr>
            <w:tcW w:w="1380" w:type="dxa"/>
            <w:tcBorders>
              <w:top w:val="nil"/>
              <w:left w:val="nil"/>
              <w:bottom w:val="single" w:sz="4" w:space="0" w:color="auto"/>
              <w:right w:val="single" w:sz="4" w:space="0" w:color="auto"/>
            </w:tcBorders>
            <w:shd w:val="clear" w:color="auto" w:fill="C6EFCE"/>
            <w:noWrap/>
            <w:vAlign w:val="center"/>
          </w:tcPr>
          <w:p w14:paraId="579462DD" w14:textId="77777777" w:rsidR="00C972CB" w:rsidRDefault="002457F6">
            <w:pPr>
              <w:pStyle w:val="P68B1DB1-Normal12"/>
              <w:jc w:val="center"/>
              <w:rPr>
                <w:noProof/>
              </w:rPr>
            </w:pPr>
            <w:r>
              <w:rPr>
                <w:noProof/>
              </w:rPr>
              <w:t xml:space="preserve">Mērķa </w:t>
            </w:r>
          </w:p>
        </w:tc>
        <w:tc>
          <w:tcPr>
            <w:tcW w:w="4035" w:type="dxa"/>
            <w:tcBorders>
              <w:top w:val="nil"/>
              <w:left w:val="nil"/>
              <w:bottom w:val="single" w:sz="4" w:space="0" w:color="auto"/>
              <w:right w:val="single" w:sz="4" w:space="0" w:color="auto"/>
            </w:tcBorders>
            <w:shd w:val="clear" w:color="auto" w:fill="C6EFCE"/>
            <w:noWrap/>
            <w:vAlign w:val="center"/>
          </w:tcPr>
          <w:p w14:paraId="72A195F1" w14:textId="77777777" w:rsidR="00C972CB" w:rsidRDefault="002457F6">
            <w:pPr>
              <w:pStyle w:val="P68B1DB1-Normal12"/>
              <w:rPr>
                <w:noProof/>
              </w:rPr>
            </w:pPr>
            <w:r>
              <w:rPr>
                <w:noProof/>
              </w:rPr>
              <w:t>Gaisa satiksmes pārvaldības digitalizācija: jaunu rīku darbības uzsākšana</w:t>
            </w:r>
          </w:p>
        </w:tc>
      </w:tr>
      <w:tr w:rsidR="00C972CB" w14:paraId="1AB76C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90080" w14:textId="77777777" w:rsidR="00C972CB" w:rsidRDefault="002457F6">
            <w:pPr>
              <w:pStyle w:val="P68B1DB1-Normal12"/>
              <w:jc w:val="center"/>
              <w:rPr>
                <w:noProof/>
              </w:rPr>
            </w:pPr>
            <w:r>
              <w:rPr>
                <w:noProof/>
              </w:rPr>
              <w:t xml:space="preserve">M5C1–11 </w:t>
            </w:r>
          </w:p>
        </w:tc>
        <w:tc>
          <w:tcPr>
            <w:tcW w:w="3195" w:type="dxa"/>
            <w:tcBorders>
              <w:top w:val="nil"/>
              <w:left w:val="nil"/>
              <w:bottom w:val="single" w:sz="4" w:space="0" w:color="auto"/>
              <w:right w:val="single" w:sz="4" w:space="0" w:color="auto"/>
            </w:tcBorders>
            <w:shd w:val="clear" w:color="auto" w:fill="C6EFCE"/>
            <w:noWrap/>
            <w:vAlign w:val="center"/>
          </w:tcPr>
          <w:p w14:paraId="6614F06F" w14:textId="77777777" w:rsidR="00C972CB" w:rsidRDefault="002457F6">
            <w:pPr>
              <w:pStyle w:val="P68B1DB1-Normal12"/>
              <w:jc w:val="center"/>
              <w:rPr>
                <w:noProof/>
              </w:rPr>
            </w:pPr>
            <w:r>
              <w:rPr>
                <w:noProof/>
              </w:rPr>
              <w:t xml:space="preserve">Reforma — nedeklarēts darbs </w:t>
            </w:r>
          </w:p>
        </w:tc>
        <w:tc>
          <w:tcPr>
            <w:tcW w:w="1380" w:type="dxa"/>
            <w:tcBorders>
              <w:top w:val="nil"/>
              <w:left w:val="nil"/>
              <w:bottom w:val="single" w:sz="4" w:space="0" w:color="auto"/>
              <w:right w:val="single" w:sz="4" w:space="0" w:color="auto"/>
            </w:tcBorders>
            <w:shd w:val="clear" w:color="auto" w:fill="C6EFCE"/>
            <w:noWrap/>
            <w:vAlign w:val="center"/>
          </w:tcPr>
          <w:p w14:paraId="4C58CC88"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5AB6111" w14:textId="77777777" w:rsidR="00C972CB" w:rsidRDefault="002457F6">
            <w:pPr>
              <w:pStyle w:val="P68B1DB1-Normal12"/>
              <w:rPr>
                <w:noProof/>
              </w:rPr>
            </w:pPr>
            <w:r>
              <w:rPr>
                <w:noProof/>
              </w:rPr>
              <w:t xml:space="preserve">Mazāks nedeklarēta </w:t>
            </w:r>
            <w:r>
              <w:rPr>
                <w:noProof/>
              </w:rPr>
              <w:t>darba biežums</w:t>
            </w:r>
          </w:p>
        </w:tc>
      </w:tr>
      <w:tr w:rsidR="00C972CB" w14:paraId="73CB1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CEC005" w14:textId="77777777" w:rsidR="00C972CB" w:rsidRDefault="002457F6">
            <w:pPr>
              <w:pStyle w:val="P68B1DB1-Normal12"/>
              <w:jc w:val="center"/>
              <w:rPr>
                <w:noProof/>
              </w:rPr>
            </w:pPr>
            <w:r>
              <w:rPr>
                <w:noProof/>
              </w:rPr>
              <w:t>M5C2–6</w:t>
            </w:r>
          </w:p>
        </w:tc>
        <w:tc>
          <w:tcPr>
            <w:tcW w:w="3195" w:type="dxa"/>
            <w:tcBorders>
              <w:top w:val="nil"/>
              <w:left w:val="nil"/>
              <w:bottom w:val="single" w:sz="4" w:space="0" w:color="auto"/>
              <w:right w:val="single" w:sz="4" w:space="0" w:color="auto"/>
            </w:tcBorders>
            <w:shd w:val="clear" w:color="auto" w:fill="C6EFCE"/>
            <w:noWrap/>
            <w:vAlign w:val="center"/>
          </w:tcPr>
          <w:p w14:paraId="5BA93264" w14:textId="77777777" w:rsidR="00C972CB" w:rsidRDefault="002457F6">
            <w:pPr>
              <w:pStyle w:val="P68B1DB1-Normal12"/>
              <w:jc w:val="center"/>
              <w:rPr>
                <w:noProof/>
              </w:rPr>
            </w:pPr>
            <w:r>
              <w:rPr>
                <w:noProof/>
              </w:rPr>
              <w:t>Ieguldījums 1 — Atbalsts neaizsargātām personām un institucionalizācijas novēršana</w:t>
            </w:r>
          </w:p>
        </w:tc>
        <w:tc>
          <w:tcPr>
            <w:tcW w:w="1380" w:type="dxa"/>
            <w:tcBorders>
              <w:top w:val="nil"/>
              <w:left w:val="nil"/>
              <w:bottom w:val="single" w:sz="4" w:space="0" w:color="auto"/>
              <w:right w:val="single" w:sz="4" w:space="0" w:color="auto"/>
            </w:tcBorders>
            <w:shd w:val="clear" w:color="auto" w:fill="C6EFCE"/>
            <w:noWrap/>
            <w:vAlign w:val="center"/>
          </w:tcPr>
          <w:p w14:paraId="04FF1779"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49343B13" w14:textId="77777777" w:rsidR="00C972CB" w:rsidRDefault="002457F6">
            <w:pPr>
              <w:pStyle w:val="P68B1DB1-Normal12"/>
              <w:rPr>
                <w:noProof/>
              </w:rPr>
            </w:pPr>
            <w:r>
              <w:rPr>
                <w:noProof/>
              </w:rPr>
              <w:t xml:space="preserve">Sociālie rajoni sasniedz vismaz vienu no šādiem rezultātiem: atbalsts vecākiem, ii) vecāka gadagājuma cilvēku autonomija, iii) mājas pakalpojumi </w:t>
            </w:r>
            <w:r>
              <w:rPr>
                <w:noProof/>
              </w:rPr>
              <w:t>veciem cilvēkiem vai iv) sociālie darbinieki, lai novērstu izdegšanu</w:t>
            </w:r>
          </w:p>
        </w:tc>
      </w:tr>
      <w:tr w:rsidR="00C972CB" w14:paraId="1FC598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704380" w14:textId="77777777" w:rsidR="00C972CB" w:rsidRDefault="002457F6">
            <w:pPr>
              <w:pStyle w:val="P68B1DB1-Normal12"/>
              <w:jc w:val="center"/>
              <w:rPr>
                <w:noProof/>
              </w:rPr>
            </w:pPr>
            <w:r>
              <w:rPr>
                <w:noProof/>
              </w:rPr>
              <w:t>M5C2–8</w:t>
            </w:r>
          </w:p>
        </w:tc>
        <w:tc>
          <w:tcPr>
            <w:tcW w:w="3195" w:type="dxa"/>
            <w:tcBorders>
              <w:top w:val="nil"/>
              <w:left w:val="nil"/>
              <w:bottom w:val="single" w:sz="4" w:space="0" w:color="auto"/>
              <w:right w:val="single" w:sz="4" w:space="0" w:color="auto"/>
            </w:tcBorders>
            <w:shd w:val="clear" w:color="auto" w:fill="C6EFCE"/>
            <w:noWrap/>
            <w:vAlign w:val="center"/>
          </w:tcPr>
          <w:p w14:paraId="7DDA62A2" w14:textId="77777777" w:rsidR="00C972CB" w:rsidRDefault="002457F6">
            <w:pPr>
              <w:pStyle w:val="P68B1DB1-Normal12"/>
              <w:jc w:val="center"/>
              <w:rPr>
                <w:noProof/>
              </w:rPr>
            </w:pPr>
            <w:r>
              <w:rPr>
                <w:noProof/>
              </w:rPr>
              <w:t>Ieguldījums. Personu ar invaliditāti autonomijas modeļi</w:t>
            </w:r>
          </w:p>
        </w:tc>
        <w:tc>
          <w:tcPr>
            <w:tcW w:w="1380" w:type="dxa"/>
            <w:tcBorders>
              <w:top w:val="nil"/>
              <w:left w:val="nil"/>
              <w:bottom w:val="single" w:sz="4" w:space="0" w:color="auto"/>
              <w:right w:val="single" w:sz="4" w:space="0" w:color="auto"/>
            </w:tcBorders>
            <w:shd w:val="clear" w:color="auto" w:fill="C6EFCE"/>
            <w:noWrap/>
            <w:vAlign w:val="center"/>
          </w:tcPr>
          <w:p w14:paraId="3E06D896"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27AFD686" w14:textId="77777777" w:rsidR="00C972CB" w:rsidRDefault="002457F6">
            <w:pPr>
              <w:pStyle w:val="P68B1DB1-Normal12"/>
              <w:rPr>
                <w:noProof/>
              </w:rPr>
            </w:pPr>
            <w:r>
              <w:rPr>
                <w:noProof/>
              </w:rPr>
              <w:t>Invalīdi ir saņēmuši mājas telpas atjaunošanu un/vai IKT ierīču nodrošināšanu. Pakalpojumus papildina apmācība par di</w:t>
            </w:r>
            <w:r>
              <w:rPr>
                <w:noProof/>
              </w:rPr>
              <w:t>gitālajām prasmēm.</w:t>
            </w:r>
          </w:p>
        </w:tc>
      </w:tr>
      <w:tr w:rsidR="00C972CB" w14:paraId="293221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89FDBD" w14:textId="77777777" w:rsidR="00C972CB" w:rsidRDefault="002457F6">
            <w:pPr>
              <w:pStyle w:val="P68B1DB1-Normal12"/>
              <w:jc w:val="center"/>
              <w:rPr>
                <w:noProof/>
              </w:rPr>
            </w:pPr>
            <w:r>
              <w:rPr>
                <w:noProof/>
              </w:rPr>
              <w:t>M5C2–10</w:t>
            </w:r>
          </w:p>
        </w:tc>
        <w:tc>
          <w:tcPr>
            <w:tcW w:w="3195" w:type="dxa"/>
            <w:tcBorders>
              <w:top w:val="nil"/>
              <w:left w:val="nil"/>
              <w:bottom w:val="single" w:sz="4" w:space="0" w:color="auto"/>
              <w:right w:val="single" w:sz="4" w:space="0" w:color="auto"/>
            </w:tcBorders>
            <w:shd w:val="clear" w:color="auto" w:fill="C6EFCE"/>
            <w:noWrap/>
            <w:vAlign w:val="center"/>
          </w:tcPr>
          <w:p w14:paraId="1AD83CD7" w14:textId="77777777" w:rsidR="00C972CB" w:rsidRDefault="002457F6">
            <w:pPr>
              <w:pStyle w:val="P68B1DB1-Normal12"/>
              <w:jc w:val="center"/>
              <w:rPr>
                <w:noProof/>
              </w:rPr>
            </w:pPr>
            <w:r>
              <w:rPr>
                <w:noProof/>
              </w:rPr>
              <w:t>Ieguldījums — Mājokļu pirmās un pēcsta stacijas</w:t>
            </w:r>
          </w:p>
        </w:tc>
        <w:tc>
          <w:tcPr>
            <w:tcW w:w="1380" w:type="dxa"/>
            <w:tcBorders>
              <w:top w:val="nil"/>
              <w:left w:val="nil"/>
              <w:bottom w:val="single" w:sz="4" w:space="0" w:color="auto"/>
              <w:right w:val="single" w:sz="4" w:space="0" w:color="auto"/>
            </w:tcBorders>
            <w:shd w:val="clear" w:color="auto" w:fill="C6EFCE"/>
            <w:noWrap/>
            <w:vAlign w:val="center"/>
          </w:tcPr>
          <w:p w14:paraId="74A2BD46"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224416F9" w14:textId="77777777" w:rsidR="00C972CB" w:rsidRDefault="002457F6">
            <w:pPr>
              <w:pStyle w:val="P68B1DB1-Normal12"/>
              <w:rPr>
                <w:noProof/>
              </w:rPr>
            </w:pPr>
            <w:r>
              <w:rPr>
                <w:noProof/>
              </w:rPr>
              <w:t>Cilvēki, kuri dzīvo smagas materiālās nenodrošinātības apstākļos un kurus vismaz sešus mēnešus ir uzņēmušies atbildīgie projekti “Mājokļi vispirms” un “Pasta stacijas”</w:t>
            </w:r>
          </w:p>
        </w:tc>
      </w:tr>
      <w:tr w:rsidR="00C972CB" w14:paraId="26568C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43C8AA" w14:textId="77777777" w:rsidR="00C972CB" w:rsidRDefault="002457F6">
            <w:pPr>
              <w:pStyle w:val="P68B1DB1-Normal12"/>
              <w:jc w:val="center"/>
              <w:rPr>
                <w:noProof/>
              </w:rPr>
            </w:pPr>
            <w:r>
              <w:rPr>
                <w:noProof/>
              </w:rPr>
              <w:t>M7–33</w:t>
            </w:r>
          </w:p>
        </w:tc>
        <w:tc>
          <w:tcPr>
            <w:tcW w:w="3195" w:type="dxa"/>
            <w:tcBorders>
              <w:top w:val="nil"/>
              <w:left w:val="nil"/>
              <w:bottom w:val="single" w:sz="4" w:space="0" w:color="auto"/>
              <w:right w:val="single" w:sz="4" w:space="0" w:color="auto"/>
            </w:tcBorders>
            <w:shd w:val="clear" w:color="auto" w:fill="C6EFCE"/>
            <w:noWrap/>
            <w:vAlign w:val="center"/>
          </w:tcPr>
          <w:p w14:paraId="5A75E62B" w14:textId="77777777" w:rsidR="00C972CB" w:rsidRDefault="002457F6">
            <w:pPr>
              <w:pStyle w:val="P68B1DB1-Normal12"/>
              <w:rPr>
                <w:noProof/>
              </w:rPr>
            </w:pPr>
            <w:r>
              <w:rPr>
                <w:noProof/>
              </w:rPr>
              <w:t>Ieguldījums. Dotāciju shēma starptautiskas, rūpnieciskas un pētniecības un izstrādes vadošās lomas attīstīšanai elektrisko autobusu jomā</w:t>
            </w:r>
          </w:p>
        </w:tc>
        <w:tc>
          <w:tcPr>
            <w:tcW w:w="1380" w:type="dxa"/>
            <w:tcBorders>
              <w:top w:val="nil"/>
              <w:left w:val="nil"/>
              <w:bottom w:val="single" w:sz="4" w:space="0" w:color="auto"/>
              <w:right w:val="single" w:sz="4" w:space="0" w:color="auto"/>
            </w:tcBorders>
            <w:shd w:val="clear" w:color="auto" w:fill="C6EFCE"/>
            <w:noWrap/>
            <w:vAlign w:val="center"/>
          </w:tcPr>
          <w:p w14:paraId="780BD33E"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78B3D746" w14:textId="77777777" w:rsidR="00C972CB" w:rsidRDefault="002457F6">
            <w:pPr>
              <w:pStyle w:val="P68B1DB1-Normal12"/>
              <w:rPr>
                <w:noProof/>
              </w:rPr>
            </w:pPr>
            <w:r>
              <w:rPr>
                <w:noProof/>
              </w:rPr>
              <w:t>Ar galīgajiem saņēmējiem parakstītie juridiskie nolīgumi</w:t>
            </w:r>
          </w:p>
        </w:tc>
      </w:tr>
      <w:tr w:rsidR="00C972CB" w14:paraId="573F2A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476653" w14:textId="77777777" w:rsidR="00C972CB" w:rsidRDefault="002457F6">
            <w:pPr>
              <w:pStyle w:val="P68B1DB1-Normal12"/>
              <w:jc w:val="center"/>
              <w:rPr>
                <w:noProof/>
              </w:rPr>
            </w:pPr>
            <w:r>
              <w:rPr>
                <w:noProof/>
              </w:rPr>
              <w:t>M3C2–12</w:t>
            </w:r>
          </w:p>
        </w:tc>
        <w:tc>
          <w:tcPr>
            <w:tcW w:w="3195" w:type="dxa"/>
            <w:tcBorders>
              <w:top w:val="nil"/>
              <w:left w:val="nil"/>
              <w:bottom w:val="single" w:sz="4" w:space="0" w:color="auto"/>
              <w:right w:val="single" w:sz="4" w:space="0" w:color="auto"/>
            </w:tcBorders>
            <w:shd w:val="clear" w:color="auto" w:fill="C6EFCE"/>
            <w:noWrap/>
            <w:vAlign w:val="center"/>
          </w:tcPr>
          <w:p w14:paraId="0B2D6050" w14:textId="77777777" w:rsidR="00C972CB" w:rsidRDefault="002457F6">
            <w:pPr>
              <w:pStyle w:val="P68B1DB1-Normal12"/>
              <w:jc w:val="center"/>
              <w:rPr>
                <w:noProof/>
              </w:rPr>
            </w:pPr>
            <w:r>
              <w:rPr>
                <w:noProof/>
              </w:rPr>
              <w:t xml:space="preserve">Ieguldījums 9: Aukstā gludināšana </w:t>
            </w:r>
          </w:p>
        </w:tc>
        <w:tc>
          <w:tcPr>
            <w:tcW w:w="1380" w:type="dxa"/>
            <w:tcBorders>
              <w:top w:val="nil"/>
              <w:left w:val="nil"/>
              <w:bottom w:val="single" w:sz="4" w:space="0" w:color="auto"/>
              <w:right w:val="single" w:sz="4" w:space="0" w:color="auto"/>
            </w:tcBorders>
            <w:shd w:val="clear" w:color="auto" w:fill="C6EFCE"/>
            <w:noWrap/>
            <w:vAlign w:val="center"/>
          </w:tcPr>
          <w:p w14:paraId="66D48E97" w14:textId="77777777" w:rsidR="00C972CB" w:rsidRDefault="002457F6">
            <w:pPr>
              <w:pStyle w:val="P68B1DB1-Normal12"/>
              <w:jc w:val="center"/>
              <w:rPr>
                <w:noProof/>
              </w:rPr>
            </w:pPr>
            <w:r>
              <w:rPr>
                <w:noProof/>
              </w:rPr>
              <w:t xml:space="preserve">Mērķa </w:t>
            </w:r>
          </w:p>
        </w:tc>
        <w:tc>
          <w:tcPr>
            <w:tcW w:w="4035" w:type="dxa"/>
            <w:tcBorders>
              <w:top w:val="nil"/>
              <w:left w:val="nil"/>
              <w:bottom w:val="single" w:sz="4" w:space="0" w:color="auto"/>
              <w:right w:val="single" w:sz="4" w:space="0" w:color="auto"/>
            </w:tcBorders>
            <w:shd w:val="clear" w:color="auto" w:fill="C6EFCE"/>
            <w:noWrap/>
            <w:vAlign w:val="center"/>
          </w:tcPr>
          <w:p w14:paraId="036F132C" w14:textId="77777777" w:rsidR="00C972CB" w:rsidRDefault="002457F6">
            <w:pPr>
              <w:pStyle w:val="P68B1DB1-Normal12"/>
              <w:rPr>
                <w:noProof/>
              </w:rPr>
            </w:pPr>
            <w:r>
              <w:rPr>
                <w:noProof/>
              </w:rPr>
              <w:t xml:space="preserve">Aukstās gludināšanas infrastruktūras ekspluatācijas uzsākšana. </w:t>
            </w:r>
          </w:p>
        </w:tc>
      </w:tr>
      <w:tr w:rsidR="00C972CB" w14:paraId="21630E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DB906" w14:textId="77777777" w:rsidR="00C972CB" w:rsidRDefault="002457F6">
            <w:pPr>
              <w:pStyle w:val="P68B1DB1-Normal12"/>
              <w:jc w:val="center"/>
              <w:rPr>
                <w:noProof/>
              </w:rPr>
            </w:pPr>
            <w:r>
              <w:rPr>
                <w:noProof/>
              </w:rPr>
              <w:t>M1C1–26</w:t>
            </w:r>
          </w:p>
        </w:tc>
        <w:tc>
          <w:tcPr>
            <w:tcW w:w="3195" w:type="dxa"/>
            <w:tcBorders>
              <w:top w:val="nil"/>
              <w:left w:val="nil"/>
              <w:bottom w:val="single" w:sz="4" w:space="0" w:color="auto"/>
              <w:right w:val="single" w:sz="4" w:space="0" w:color="auto"/>
            </w:tcBorders>
            <w:shd w:val="clear" w:color="auto" w:fill="C6EFCE"/>
            <w:noWrap/>
            <w:vAlign w:val="center"/>
          </w:tcPr>
          <w:p w14:paraId="33EFF5C5" w14:textId="77777777" w:rsidR="00C972CB" w:rsidRDefault="002457F6">
            <w:pPr>
              <w:pStyle w:val="P68B1DB1-Normal12"/>
              <w:jc w:val="center"/>
              <w:rPr>
                <w:noProof/>
              </w:rPr>
            </w:pPr>
            <w:r>
              <w:rPr>
                <w:noProof/>
              </w:rPr>
              <w:t>Ieguldījums 1.1: Digitālā infrastruktūra</w:t>
            </w:r>
          </w:p>
        </w:tc>
        <w:tc>
          <w:tcPr>
            <w:tcW w:w="1380" w:type="dxa"/>
            <w:tcBorders>
              <w:top w:val="nil"/>
              <w:left w:val="nil"/>
              <w:bottom w:val="single" w:sz="4" w:space="0" w:color="auto"/>
              <w:right w:val="single" w:sz="4" w:space="0" w:color="auto"/>
            </w:tcBorders>
            <w:shd w:val="clear" w:color="auto" w:fill="C6EFCE"/>
            <w:noWrap/>
            <w:vAlign w:val="center"/>
          </w:tcPr>
          <w:p w14:paraId="17B45133"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7B9BC1B4" w14:textId="77777777" w:rsidR="00C972CB" w:rsidRDefault="002457F6">
            <w:pPr>
              <w:pStyle w:val="P68B1DB1-Normal12"/>
              <w:rPr>
                <w:noProof/>
              </w:rPr>
            </w:pPr>
            <w:r>
              <w:rPr>
                <w:noProof/>
              </w:rPr>
              <w:t>Migrācija uz Polo Strategico Nazionale T2</w:t>
            </w:r>
          </w:p>
        </w:tc>
      </w:tr>
      <w:tr w:rsidR="00C972CB" w14:paraId="35DC91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8C49E" w14:textId="77777777" w:rsidR="00C972CB" w:rsidRDefault="002457F6">
            <w:pPr>
              <w:pStyle w:val="P68B1DB1-Normal12"/>
              <w:jc w:val="center"/>
              <w:rPr>
                <w:noProof/>
              </w:rPr>
            </w:pPr>
            <w:r>
              <w:rPr>
                <w:noProof/>
              </w:rPr>
              <w:t>M1C1–27</w:t>
            </w:r>
          </w:p>
        </w:tc>
        <w:tc>
          <w:tcPr>
            <w:tcW w:w="3195" w:type="dxa"/>
            <w:tcBorders>
              <w:top w:val="nil"/>
              <w:left w:val="nil"/>
              <w:bottom w:val="single" w:sz="4" w:space="0" w:color="auto"/>
              <w:right w:val="single" w:sz="4" w:space="0" w:color="auto"/>
            </w:tcBorders>
            <w:shd w:val="clear" w:color="auto" w:fill="C6EFCE"/>
            <w:noWrap/>
            <w:vAlign w:val="center"/>
          </w:tcPr>
          <w:p w14:paraId="4CDBD370" w14:textId="77777777" w:rsidR="00C972CB" w:rsidRDefault="002457F6">
            <w:pPr>
              <w:pStyle w:val="P68B1DB1-Normal12"/>
              <w:jc w:val="center"/>
              <w:rPr>
                <w:noProof/>
              </w:rPr>
            </w:pPr>
            <w:r>
              <w:rPr>
                <w:noProof/>
              </w:rPr>
              <w:t>Ieguldījums 1.3.1.: Valsts digitālo datu platforma</w:t>
            </w:r>
          </w:p>
        </w:tc>
        <w:tc>
          <w:tcPr>
            <w:tcW w:w="1380" w:type="dxa"/>
            <w:tcBorders>
              <w:top w:val="nil"/>
              <w:left w:val="nil"/>
              <w:bottom w:val="single" w:sz="4" w:space="0" w:color="auto"/>
              <w:right w:val="single" w:sz="4" w:space="0" w:color="auto"/>
            </w:tcBorders>
            <w:shd w:val="clear" w:color="auto" w:fill="C6EFCE"/>
            <w:noWrap/>
            <w:vAlign w:val="center"/>
          </w:tcPr>
          <w:p w14:paraId="284B5B36"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6DF6F331" w14:textId="77777777" w:rsidR="00C972CB" w:rsidRDefault="002457F6">
            <w:pPr>
              <w:pStyle w:val="P68B1DB1-Normal12"/>
              <w:rPr>
                <w:noProof/>
              </w:rPr>
            </w:pPr>
            <w:r>
              <w:rPr>
                <w:noProof/>
              </w:rPr>
              <w:t>API valsts digitālo datu pla</w:t>
            </w:r>
            <w:r>
              <w:rPr>
                <w:noProof/>
              </w:rPr>
              <w:t>tformā T2</w:t>
            </w:r>
          </w:p>
        </w:tc>
      </w:tr>
      <w:tr w:rsidR="00C972CB" w14:paraId="7F621F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6132A" w14:textId="77777777" w:rsidR="00C972CB" w:rsidRDefault="002457F6">
            <w:pPr>
              <w:pStyle w:val="P68B1DB1-Normal12"/>
              <w:jc w:val="center"/>
              <w:rPr>
                <w:noProof/>
              </w:rPr>
            </w:pPr>
            <w:r>
              <w:rPr>
                <w:noProof/>
              </w:rPr>
              <w:t>M1C1–28</w:t>
            </w:r>
          </w:p>
        </w:tc>
        <w:tc>
          <w:tcPr>
            <w:tcW w:w="3195" w:type="dxa"/>
            <w:tcBorders>
              <w:top w:val="nil"/>
              <w:left w:val="nil"/>
              <w:bottom w:val="single" w:sz="4" w:space="0" w:color="auto"/>
              <w:right w:val="single" w:sz="4" w:space="0" w:color="auto"/>
            </w:tcBorders>
            <w:shd w:val="clear" w:color="auto" w:fill="C6EFCE"/>
            <w:noWrap/>
            <w:vAlign w:val="center"/>
          </w:tcPr>
          <w:p w14:paraId="090A11DF" w14:textId="77777777" w:rsidR="00C972CB" w:rsidRDefault="002457F6">
            <w:pPr>
              <w:pStyle w:val="P68B1DB1-Normal12"/>
              <w:jc w:val="center"/>
              <w:rPr>
                <w:noProof/>
              </w:rPr>
            </w:pPr>
            <w:r>
              <w:rPr>
                <w:noProof/>
              </w:rPr>
              <w:t>Ieguldījums 1.7.2.: Digitālo veicināšanas pakalpojumu tīkls</w:t>
            </w:r>
          </w:p>
        </w:tc>
        <w:tc>
          <w:tcPr>
            <w:tcW w:w="1380" w:type="dxa"/>
            <w:tcBorders>
              <w:top w:val="nil"/>
              <w:left w:val="nil"/>
              <w:bottom w:val="single" w:sz="4" w:space="0" w:color="auto"/>
              <w:right w:val="single" w:sz="4" w:space="0" w:color="auto"/>
            </w:tcBorders>
            <w:shd w:val="clear" w:color="auto" w:fill="C6EFCE"/>
            <w:noWrap/>
            <w:vAlign w:val="center"/>
          </w:tcPr>
          <w:p w14:paraId="625C42CB"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87B5B16" w14:textId="77777777" w:rsidR="00C972CB" w:rsidRDefault="002457F6">
            <w:pPr>
              <w:pStyle w:val="P68B1DB1-Normal12"/>
              <w:rPr>
                <w:noProof/>
              </w:rPr>
            </w:pPr>
            <w:r>
              <w:rPr>
                <w:noProof/>
              </w:rPr>
              <w:t>To iedzīvotāju skaits, kuri piedalās jaunās digitālās izglītības un/vai veicināšanas iniciatīvās, ko nodrošina digitālās veicināšanas centri</w:t>
            </w:r>
          </w:p>
        </w:tc>
      </w:tr>
      <w:tr w:rsidR="00C972CB" w14:paraId="157CE0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670585" w14:textId="77777777" w:rsidR="00C972CB" w:rsidRDefault="002457F6">
            <w:pPr>
              <w:pStyle w:val="P68B1DB1-Normal12"/>
              <w:jc w:val="center"/>
              <w:rPr>
                <w:noProof/>
              </w:rPr>
            </w:pPr>
            <w:r>
              <w:rPr>
                <w:noProof/>
              </w:rPr>
              <w:t>M1C1–45</w:t>
            </w:r>
          </w:p>
        </w:tc>
        <w:tc>
          <w:tcPr>
            <w:tcW w:w="3195" w:type="dxa"/>
            <w:tcBorders>
              <w:top w:val="nil"/>
              <w:left w:val="nil"/>
              <w:bottom w:val="single" w:sz="4" w:space="0" w:color="auto"/>
              <w:right w:val="single" w:sz="4" w:space="0" w:color="auto"/>
            </w:tcBorders>
            <w:shd w:val="clear" w:color="auto" w:fill="C6EFCE"/>
            <w:noWrap/>
            <w:vAlign w:val="center"/>
          </w:tcPr>
          <w:p w14:paraId="754BA3F1" w14:textId="77777777" w:rsidR="00C972CB" w:rsidRDefault="002457F6">
            <w:pPr>
              <w:pStyle w:val="P68B1DB1-Normal12"/>
              <w:jc w:val="center"/>
              <w:rPr>
                <w:noProof/>
              </w:rPr>
            </w:pPr>
            <w:r>
              <w:rPr>
                <w:noProof/>
              </w:rPr>
              <w:t xml:space="preserve">Un 1.5. reforma: </w:t>
            </w:r>
            <w:r>
              <w:rPr>
                <w:noProof/>
              </w:rPr>
              <w:t>Civiltiesību un krimināltiesību reforma</w:t>
            </w:r>
          </w:p>
        </w:tc>
        <w:tc>
          <w:tcPr>
            <w:tcW w:w="1380" w:type="dxa"/>
            <w:tcBorders>
              <w:top w:val="nil"/>
              <w:left w:val="nil"/>
              <w:bottom w:val="single" w:sz="4" w:space="0" w:color="auto"/>
              <w:right w:val="single" w:sz="4" w:space="0" w:color="auto"/>
            </w:tcBorders>
            <w:shd w:val="clear" w:color="auto" w:fill="C6EFCE"/>
            <w:noWrap/>
            <w:vAlign w:val="center"/>
          </w:tcPr>
          <w:p w14:paraId="71DD52A7"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52B8C57B" w14:textId="77777777" w:rsidR="00C972CB" w:rsidRDefault="002457F6">
            <w:pPr>
              <w:pStyle w:val="P68B1DB1-Normal12"/>
              <w:rPr>
                <w:noProof/>
              </w:rPr>
            </w:pPr>
            <w:r>
              <w:rPr>
                <w:noProof/>
              </w:rPr>
              <w:t>Civilprocesa ilguma samazināšana</w:t>
            </w:r>
          </w:p>
        </w:tc>
      </w:tr>
      <w:tr w:rsidR="00C972CB" w14:paraId="43CD13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BA2F73" w14:textId="77777777" w:rsidR="00C972CB" w:rsidRDefault="002457F6">
            <w:pPr>
              <w:pStyle w:val="P68B1DB1-Normal12"/>
              <w:jc w:val="center"/>
              <w:rPr>
                <w:noProof/>
              </w:rPr>
            </w:pPr>
            <w:r>
              <w:rPr>
                <w:noProof/>
              </w:rPr>
              <w:t>M1C1–46</w:t>
            </w:r>
          </w:p>
        </w:tc>
        <w:tc>
          <w:tcPr>
            <w:tcW w:w="3195" w:type="dxa"/>
            <w:tcBorders>
              <w:top w:val="nil"/>
              <w:left w:val="nil"/>
              <w:bottom w:val="single" w:sz="4" w:space="0" w:color="auto"/>
              <w:right w:val="single" w:sz="4" w:space="0" w:color="auto"/>
            </w:tcBorders>
            <w:shd w:val="clear" w:color="auto" w:fill="C6EFCE"/>
            <w:noWrap/>
            <w:vAlign w:val="center"/>
          </w:tcPr>
          <w:p w14:paraId="6BBB5306" w14:textId="77777777" w:rsidR="00C972CB" w:rsidRDefault="002457F6">
            <w:pPr>
              <w:pStyle w:val="P68B1DB1-Normal12"/>
              <w:jc w:val="center"/>
              <w:rPr>
                <w:noProof/>
              </w:rPr>
            </w:pPr>
            <w:r>
              <w:rPr>
                <w:noProof/>
              </w:rPr>
              <w:t>Un 1.5. reforma: Civiltiesību un krimināltiesību reforma</w:t>
            </w:r>
          </w:p>
        </w:tc>
        <w:tc>
          <w:tcPr>
            <w:tcW w:w="1380" w:type="dxa"/>
            <w:tcBorders>
              <w:top w:val="nil"/>
              <w:left w:val="nil"/>
              <w:bottom w:val="single" w:sz="4" w:space="0" w:color="auto"/>
              <w:right w:val="single" w:sz="4" w:space="0" w:color="auto"/>
            </w:tcBorders>
            <w:shd w:val="clear" w:color="auto" w:fill="C6EFCE"/>
            <w:noWrap/>
            <w:vAlign w:val="center"/>
          </w:tcPr>
          <w:p w14:paraId="0C6CFDF3"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4C5714FD" w14:textId="77777777" w:rsidR="00C972CB" w:rsidRDefault="002457F6">
            <w:pPr>
              <w:pStyle w:val="P68B1DB1-Normal12"/>
              <w:rPr>
                <w:noProof/>
              </w:rPr>
            </w:pPr>
            <w:r>
              <w:rPr>
                <w:noProof/>
              </w:rPr>
              <w:t>Kriminālprocesa ilguma samazināšana</w:t>
            </w:r>
          </w:p>
        </w:tc>
      </w:tr>
      <w:tr w:rsidR="00C972CB" w14:paraId="7D7B1E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6EEA3" w14:textId="77777777" w:rsidR="00C972CB" w:rsidRDefault="002457F6">
            <w:pPr>
              <w:pStyle w:val="P68B1DB1-Normal12"/>
              <w:jc w:val="center"/>
              <w:rPr>
                <w:noProof/>
              </w:rPr>
            </w:pPr>
            <w:r>
              <w:rPr>
                <w:noProof/>
              </w:rPr>
              <w:t>M1C1–47</w:t>
            </w:r>
          </w:p>
        </w:tc>
        <w:tc>
          <w:tcPr>
            <w:tcW w:w="3195" w:type="dxa"/>
            <w:tcBorders>
              <w:top w:val="nil"/>
              <w:left w:val="nil"/>
              <w:bottom w:val="single" w:sz="4" w:space="0" w:color="auto"/>
              <w:right w:val="single" w:sz="4" w:space="0" w:color="auto"/>
            </w:tcBorders>
            <w:shd w:val="clear" w:color="auto" w:fill="C6EFCE"/>
            <w:noWrap/>
            <w:vAlign w:val="center"/>
          </w:tcPr>
          <w:p w14:paraId="60DDABE5" w14:textId="77777777" w:rsidR="00C972CB" w:rsidRDefault="002457F6">
            <w:pPr>
              <w:pStyle w:val="P68B1DB1-Normal12"/>
              <w:jc w:val="center"/>
              <w:rPr>
                <w:noProof/>
              </w:rPr>
            </w:pPr>
            <w:r>
              <w:rPr>
                <w:noProof/>
              </w:rPr>
              <w:t>Reforma: Civiltiesību reforma</w:t>
            </w:r>
          </w:p>
        </w:tc>
        <w:tc>
          <w:tcPr>
            <w:tcW w:w="1380" w:type="dxa"/>
            <w:tcBorders>
              <w:top w:val="nil"/>
              <w:left w:val="nil"/>
              <w:bottom w:val="single" w:sz="4" w:space="0" w:color="auto"/>
              <w:right w:val="single" w:sz="4" w:space="0" w:color="auto"/>
            </w:tcBorders>
            <w:shd w:val="clear" w:color="auto" w:fill="C6EFCE"/>
            <w:noWrap/>
            <w:vAlign w:val="center"/>
          </w:tcPr>
          <w:p w14:paraId="33185160"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46F699E7" w14:textId="77777777" w:rsidR="00C972CB" w:rsidRDefault="002457F6">
            <w:pPr>
              <w:pStyle w:val="P68B1DB1-Normal12"/>
              <w:rPr>
                <w:noProof/>
              </w:rPr>
            </w:pPr>
            <w:r>
              <w:rPr>
                <w:noProof/>
              </w:rPr>
              <w:t>Neizskatīto lietu skaita</w:t>
            </w:r>
            <w:r>
              <w:rPr>
                <w:noProof/>
              </w:rPr>
              <w:t xml:space="preserve"> samazināšana parastajās civiltiesās (pirmā instance)</w:t>
            </w:r>
          </w:p>
        </w:tc>
      </w:tr>
      <w:tr w:rsidR="00C972CB" w14:paraId="06A5F4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4BA1A0" w14:textId="77777777" w:rsidR="00C972CB" w:rsidRDefault="002457F6">
            <w:pPr>
              <w:pStyle w:val="P68B1DB1-Normal12"/>
              <w:jc w:val="center"/>
              <w:rPr>
                <w:noProof/>
              </w:rPr>
            </w:pPr>
            <w:r>
              <w:rPr>
                <w:noProof/>
              </w:rPr>
              <w:t>M1C1–48</w:t>
            </w:r>
          </w:p>
        </w:tc>
        <w:tc>
          <w:tcPr>
            <w:tcW w:w="3195" w:type="dxa"/>
            <w:tcBorders>
              <w:top w:val="nil"/>
              <w:left w:val="nil"/>
              <w:bottom w:val="single" w:sz="4" w:space="0" w:color="auto"/>
              <w:right w:val="single" w:sz="4" w:space="0" w:color="auto"/>
            </w:tcBorders>
            <w:shd w:val="clear" w:color="auto" w:fill="C6EFCE"/>
            <w:noWrap/>
            <w:vAlign w:val="center"/>
          </w:tcPr>
          <w:p w14:paraId="2B84698B" w14:textId="77777777" w:rsidR="00C972CB" w:rsidRDefault="002457F6">
            <w:pPr>
              <w:pStyle w:val="P68B1DB1-Normal12"/>
              <w:jc w:val="center"/>
              <w:rPr>
                <w:noProof/>
              </w:rPr>
            </w:pPr>
            <w:r>
              <w:rPr>
                <w:noProof/>
              </w:rPr>
              <w:t>Reforma: Civiltiesību reforma</w:t>
            </w:r>
          </w:p>
        </w:tc>
        <w:tc>
          <w:tcPr>
            <w:tcW w:w="1380" w:type="dxa"/>
            <w:tcBorders>
              <w:top w:val="nil"/>
              <w:left w:val="nil"/>
              <w:bottom w:val="single" w:sz="4" w:space="0" w:color="auto"/>
              <w:right w:val="single" w:sz="4" w:space="0" w:color="auto"/>
            </w:tcBorders>
            <w:shd w:val="clear" w:color="auto" w:fill="C6EFCE"/>
            <w:noWrap/>
            <w:vAlign w:val="center"/>
          </w:tcPr>
          <w:p w14:paraId="11D1BB10"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360205D1" w14:textId="77777777" w:rsidR="00C972CB" w:rsidRDefault="002457F6">
            <w:pPr>
              <w:pStyle w:val="P68B1DB1-Normal12"/>
              <w:rPr>
                <w:noProof/>
              </w:rPr>
            </w:pPr>
            <w:r>
              <w:rPr>
                <w:noProof/>
              </w:rPr>
              <w:t>Neizskatīto lietu skaita samazināšana apelācijas tiesā (otrā instance)</w:t>
            </w:r>
          </w:p>
        </w:tc>
      </w:tr>
      <w:tr w:rsidR="00C972CB" w14:paraId="018732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AE0A96" w14:textId="77777777" w:rsidR="00C972CB" w:rsidRDefault="002457F6">
            <w:pPr>
              <w:pStyle w:val="P68B1DB1-Normal12"/>
              <w:jc w:val="center"/>
              <w:rPr>
                <w:noProof/>
              </w:rPr>
            </w:pPr>
            <w:r>
              <w:rPr>
                <w:noProof/>
              </w:rPr>
              <w:t>M1C1–49</w:t>
            </w:r>
          </w:p>
        </w:tc>
        <w:tc>
          <w:tcPr>
            <w:tcW w:w="3195" w:type="dxa"/>
            <w:tcBorders>
              <w:top w:val="nil"/>
              <w:left w:val="nil"/>
              <w:bottom w:val="single" w:sz="4" w:space="0" w:color="auto"/>
              <w:right w:val="single" w:sz="4" w:space="0" w:color="auto"/>
            </w:tcBorders>
            <w:shd w:val="clear" w:color="auto" w:fill="C6EFCE"/>
            <w:noWrap/>
            <w:vAlign w:val="center"/>
          </w:tcPr>
          <w:p w14:paraId="5AD8DE5A" w14:textId="77777777" w:rsidR="00C972CB" w:rsidRDefault="002457F6">
            <w:pPr>
              <w:pStyle w:val="P68B1DB1-Normal12"/>
              <w:jc w:val="center"/>
              <w:rPr>
                <w:noProof/>
              </w:rPr>
            </w:pPr>
            <w:r>
              <w:rPr>
                <w:noProof/>
              </w:rPr>
              <w:t>Ieguldījums 1.8: Administratīvo tiesu darbā pieņemšanas procedūras</w:t>
            </w:r>
          </w:p>
        </w:tc>
        <w:tc>
          <w:tcPr>
            <w:tcW w:w="1380" w:type="dxa"/>
            <w:tcBorders>
              <w:top w:val="nil"/>
              <w:left w:val="nil"/>
              <w:bottom w:val="single" w:sz="4" w:space="0" w:color="auto"/>
              <w:right w:val="single" w:sz="4" w:space="0" w:color="auto"/>
            </w:tcBorders>
            <w:shd w:val="clear" w:color="auto" w:fill="C6EFCE"/>
            <w:noWrap/>
            <w:vAlign w:val="center"/>
          </w:tcPr>
          <w:p w14:paraId="4CD715EF"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72715999" w14:textId="77777777" w:rsidR="00C972CB" w:rsidRDefault="002457F6">
            <w:pPr>
              <w:pStyle w:val="P68B1DB1-Normal12"/>
              <w:rPr>
                <w:noProof/>
              </w:rPr>
            </w:pPr>
            <w:r>
              <w:rPr>
                <w:noProof/>
              </w:rPr>
              <w:t>Administratīvo reģionālo tiesu neizskatīto lietu skaita samazināšana (pirmā instance)</w:t>
            </w:r>
          </w:p>
        </w:tc>
      </w:tr>
      <w:tr w:rsidR="00C972CB" w14:paraId="02D871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A46704" w14:textId="77777777" w:rsidR="00C972CB" w:rsidRDefault="002457F6">
            <w:pPr>
              <w:pStyle w:val="P68B1DB1-Normal12"/>
              <w:jc w:val="center"/>
              <w:rPr>
                <w:noProof/>
              </w:rPr>
            </w:pPr>
            <w:r>
              <w:rPr>
                <w:noProof/>
              </w:rPr>
              <w:t>M1C1–50</w:t>
            </w:r>
          </w:p>
        </w:tc>
        <w:tc>
          <w:tcPr>
            <w:tcW w:w="3195" w:type="dxa"/>
            <w:tcBorders>
              <w:top w:val="nil"/>
              <w:left w:val="nil"/>
              <w:bottom w:val="single" w:sz="4" w:space="0" w:color="auto"/>
              <w:right w:val="single" w:sz="4" w:space="0" w:color="auto"/>
            </w:tcBorders>
            <w:shd w:val="clear" w:color="auto" w:fill="C6EFCE"/>
            <w:noWrap/>
            <w:vAlign w:val="center"/>
          </w:tcPr>
          <w:p w14:paraId="5010CBA3" w14:textId="77777777" w:rsidR="00C972CB" w:rsidRDefault="002457F6">
            <w:pPr>
              <w:pStyle w:val="P68B1DB1-Normal12"/>
              <w:jc w:val="center"/>
              <w:rPr>
                <w:noProof/>
              </w:rPr>
            </w:pPr>
            <w:r>
              <w:rPr>
                <w:noProof/>
              </w:rPr>
              <w:t>Ieguldījums 1.8: Administratīvo tiesu darbā pieņemšanas procedūras</w:t>
            </w:r>
          </w:p>
        </w:tc>
        <w:tc>
          <w:tcPr>
            <w:tcW w:w="1380" w:type="dxa"/>
            <w:tcBorders>
              <w:top w:val="nil"/>
              <w:left w:val="nil"/>
              <w:bottom w:val="single" w:sz="4" w:space="0" w:color="auto"/>
              <w:right w:val="single" w:sz="4" w:space="0" w:color="auto"/>
            </w:tcBorders>
            <w:shd w:val="clear" w:color="auto" w:fill="C6EFCE"/>
            <w:noWrap/>
            <w:vAlign w:val="center"/>
          </w:tcPr>
          <w:p w14:paraId="2F610096"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37604233" w14:textId="77777777" w:rsidR="00C972CB" w:rsidRDefault="002457F6">
            <w:pPr>
              <w:pStyle w:val="P68B1DB1-Normal12"/>
              <w:rPr>
                <w:noProof/>
              </w:rPr>
            </w:pPr>
            <w:r>
              <w:rPr>
                <w:noProof/>
              </w:rPr>
              <w:t>Neizskatīto lietu skaita samazināšana Valsts padomē</w:t>
            </w:r>
          </w:p>
        </w:tc>
      </w:tr>
      <w:tr w:rsidR="00C972CB" w14:paraId="49BCAB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946B12" w14:textId="77777777" w:rsidR="00C972CB" w:rsidRDefault="002457F6">
            <w:pPr>
              <w:pStyle w:val="P68B1DB1-Normal12"/>
              <w:jc w:val="center"/>
              <w:rPr>
                <w:noProof/>
              </w:rPr>
            </w:pPr>
            <w:r>
              <w:rPr>
                <w:noProof/>
              </w:rPr>
              <w:t>M1C1–63</w:t>
            </w:r>
          </w:p>
        </w:tc>
        <w:tc>
          <w:tcPr>
            <w:tcW w:w="3195" w:type="dxa"/>
            <w:tcBorders>
              <w:top w:val="nil"/>
              <w:left w:val="nil"/>
              <w:bottom w:val="single" w:sz="4" w:space="0" w:color="auto"/>
              <w:right w:val="single" w:sz="4" w:space="0" w:color="auto"/>
            </w:tcBorders>
            <w:shd w:val="clear" w:color="auto" w:fill="C6EFCE"/>
            <w:noWrap/>
            <w:vAlign w:val="center"/>
          </w:tcPr>
          <w:p w14:paraId="0CDC7832" w14:textId="77777777" w:rsidR="00C972CB" w:rsidRDefault="002457F6">
            <w:pPr>
              <w:pStyle w:val="P68B1DB1-Normal12"/>
              <w:jc w:val="center"/>
              <w:rPr>
                <w:noProof/>
              </w:rPr>
            </w:pPr>
            <w:r>
              <w:rPr>
                <w:noProof/>
              </w:rPr>
              <w:t>Reforma: Valsts pārvaldes r</w:t>
            </w:r>
            <w:r>
              <w:rPr>
                <w:noProof/>
              </w:rPr>
              <w:t>eforma</w:t>
            </w:r>
          </w:p>
        </w:tc>
        <w:tc>
          <w:tcPr>
            <w:tcW w:w="1380" w:type="dxa"/>
            <w:tcBorders>
              <w:top w:val="nil"/>
              <w:left w:val="nil"/>
              <w:bottom w:val="single" w:sz="4" w:space="0" w:color="auto"/>
              <w:right w:val="single" w:sz="4" w:space="0" w:color="auto"/>
            </w:tcBorders>
            <w:shd w:val="clear" w:color="auto" w:fill="C6EFCE"/>
            <w:noWrap/>
            <w:vAlign w:val="center"/>
          </w:tcPr>
          <w:p w14:paraId="00FBDACD" w14:textId="77777777" w:rsidR="00C972CB" w:rsidRDefault="002457F6">
            <w:pPr>
              <w:pStyle w:val="P68B1DB1-Normal12"/>
              <w:jc w:val="center"/>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5905ACA2" w14:textId="77777777" w:rsidR="00C972CB" w:rsidRDefault="002457F6">
            <w:pPr>
              <w:pStyle w:val="P68B1DB1-Normal12"/>
              <w:rPr>
                <w:noProof/>
              </w:rPr>
            </w:pPr>
            <w:r>
              <w:rPr>
                <w:noProof/>
              </w:rPr>
              <w:t>Pabeigt vienkāršošanu un izveidot visu vienkāršoto procedūru un atbilstošo administratīvo režīmu repozitoriju ar pilnu juridisko spēku visā valsts teritorijā.</w:t>
            </w:r>
          </w:p>
        </w:tc>
      </w:tr>
      <w:tr w:rsidR="00C972CB" w14:paraId="52F7BA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1015B3" w14:textId="77777777" w:rsidR="00C972CB" w:rsidRDefault="002457F6">
            <w:pPr>
              <w:pStyle w:val="P68B1DB1-Normal12"/>
              <w:jc w:val="center"/>
              <w:rPr>
                <w:noProof/>
              </w:rPr>
            </w:pPr>
            <w:r>
              <w:rPr>
                <w:noProof/>
              </w:rPr>
              <w:t>M1C1–64</w:t>
            </w:r>
          </w:p>
        </w:tc>
        <w:tc>
          <w:tcPr>
            <w:tcW w:w="3195" w:type="dxa"/>
            <w:tcBorders>
              <w:top w:val="nil"/>
              <w:left w:val="nil"/>
              <w:bottom w:val="single" w:sz="4" w:space="0" w:color="auto"/>
              <w:right w:val="single" w:sz="4" w:space="0" w:color="auto"/>
            </w:tcBorders>
            <w:shd w:val="clear" w:color="auto" w:fill="C6EFCE"/>
            <w:noWrap/>
            <w:vAlign w:val="center"/>
          </w:tcPr>
          <w:p w14:paraId="121D5D4E" w14:textId="77777777" w:rsidR="00C972CB" w:rsidRDefault="002457F6">
            <w:pPr>
              <w:pStyle w:val="P68B1DB1-Normal12"/>
              <w:jc w:val="center"/>
              <w:rPr>
                <w:noProof/>
              </w:rPr>
            </w:pPr>
            <w:r>
              <w:rPr>
                <w:noProof/>
              </w:rPr>
              <w:t xml:space="preserve">Ieguldījums 1.9: Sniegt tehnisko palīdzību un stiprināt spēju </w:t>
            </w:r>
            <w:r>
              <w:rPr>
                <w:noProof/>
              </w:rPr>
              <w:t>veidošanu Itālijas atveseļošanas un noturības plāna īstenošanai</w:t>
            </w:r>
          </w:p>
        </w:tc>
        <w:tc>
          <w:tcPr>
            <w:tcW w:w="1380" w:type="dxa"/>
            <w:tcBorders>
              <w:top w:val="nil"/>
              <w:left w:val="nil"/>
              <w:bottom w:val="single" w:sz="4" w:space="0" w:color="auto"/>
              <w:right w:val="single" w:sz="4" w:space="0" w:color="auto"/>
            </w:tcBorders>
            <w:shd w:val="clear" w:color="auto" w:fill="C6EFCE"/>
            <w:noWrap/>
            <w:vAlign w:val="center"/>
          </w:tcPr>
          <w:p w14:paraId="0B9134AF"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5C9ECBA7" w14:textId="77777777" w:rsidR="00C972CB" w:rsidRDefault="002457F6">
            <w:pPr>
              <w:pStyle w:val="P68B1DB1-Normal12"/>
              <w:rPr>
                <w:noProof/>
              </w:rPr>
            </w:pPr>
            <w:r>
              <w:rPr>
                <w:noProof/>
              </w:rPr>
              <w:t>Izglītība un apmācība</w:t>
            </w:r>
          </w:p>
        </w:tc>
      </w:tr>
      <w:tr w:rsidR="00C972CB" w14:paraId="1B1AF7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C280F5" w14:textId="77777777" w:rsidR="00C972CB" w:rsidRDefault="002457F6">
            <w:pPr>
              <w:pStyle w:val="P68B1DB1-Normal12"/>
              <w:jc w:val="center"/>
              <w:rPr>
                <w:noProof/>
              </w:rPr>
            </w:pPr>
            <w:r>
              <w:rPr>
                <w:noProof/>
              </w:rPr>
              <w:t>M1C1–65</w:t>
            </w:r>
          </w:p>
        </w:tc>
        <w:tc>
          <w:tcPr>
            <w:tcW w:w="3195" w:type="dxa"/>
            <w:tcBorders>
              <w:top w:val="nil"/>
              <w:left w:val="nil"/>
              <w:bottom w:val="single" w:sz="4" w:space="0" w:color="auto"/>
              <w:right w:val="single" w:sz="4" w:space="0" w:color="auto"/>
            </w:tcBorders>
            <w:shd w:val="clear" w:color="auto" w:fill="C6EFCE"/>
            <w:noWrap/>
            <w:vAlign w:val="center"/>
          </w:tcPr>
          <w:p w14:paraId="34D9EA42" w14:textId="77777777" w:rsidR="00C972CB" w:rsidRDefault="002457F6">
            <w:pPr>
              <w:pStyle w:val="P68B1DB1-Normal12"/>
              <w:jc w:val="center"/>
              <w:rPr>
                <w:noProof/>
              </w:rPr>
            </w:pPr>
            <w:r>
              <w:rPr>
                <w:noProof/>
              </w:rPr>
              <w:t>Ieguldījums 1.9: Sniegt tehnisko palīdzību un stiprināt spēju veidošanu Itālijas atveseļošanas un noturības plāna īstenošanai</w:t>
            </w:r>
          </w:p>
        </w:tc>
        <w:tc>
          <w:tcPr>
            <w:tcW w:w="1380" w:type="dxa"/>
            <w:tcBorders>
              <w:top w:val="nil"/>
              <w:left w:val="nil"/>
              <w:bottom w:val="single" w:sz="4" w:space="0" w:color="auto"/>
              <w:right w:val="single" w:sz="4" w:space="0" w:color="auto"/>
            </w:tcBorders>
            <w:shd w:val="clear" w:color="auto" w:fill="C6EFCE"/>
            <w:noWrap/>
            <w:vAlign w:val="center"/>
          </w:tcPr>
          <w:p w14:paraId="26FCA2BF"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44FC38C7" w14:textId="77777777" w:rsidR="00C972CB" w:rsidRDefault="002457F6">
            <w:pPr>
              <w:pStyle w:val="P68B1DB1-Normal12"/>
              <w:rPr>
                <w:noProof/>
              </w:rPr>
            </w:pPr>
            <w:r>
              <w:rPr>
                <w:noProof/>
              </w:rPr>
              <w:t>Izglītība un apmācība</w:t>
            </w:r>
          </w:p>
        </w:tc>
      </w:tr>
      <w:tr w:rsidR="00C972CB" w14:paraId="17E1BC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1B402" w14:textId="77777777" w:rsidR="00C972CB" w:rsidRDefault="002457F6">
            <w:pPr>
              <w:pStyle w:val="P68B1DB1-Normal12"/>
              <w:jc w:val="center"/>
              <w:rPr>
                <w:noProof/>
              </w:rPr>
            </w:pPr>
            <w:r>
              <w:rPr>
                <w:noProof/>
              </w:rPr>
              <w:t>M1C1–66</w:t>
            </w:r>
          </w:p>
        </w:tc>
        <w:tc>
          <w:tcPr>
            <w:tcW w:w="3195" w:type="dxa"/>
            <w:tcBorders>
              <w:top w:val="nil"/>
              <w:left w:val="nil"/>
              <w:bottom w:val="single" w:sz="4" w:space="0" w:color="auto"/>
              <w:right w:val="single" w:sz="4" w:space="0" w:color="auto"/>
            </w:tcBorders>
            <w:shd w:val="clear" w:color="auto" w:fill="C6EFCE"/>
            <w:noWrap/>
            <w:vAlign w:val="center"/>
          </w:tcPr>
          <w:p w14:paraId="14B39429" w14:textId="77777777" w:rsidR="00C972CB" w:rsidRDefault="002457F6">
            <w:pPr>
              <w:pStyle w:val="P68B1DB1-Normal12"/>
              <w:jc w:val="center"/>
              <w:rPr>
                <w:noProof/>
              </w:rPr>
            </w:pPr>
            <w:r>
              <w:rPr>
                <w:noProof/>
              </w:rPr>
              <w:t>Ieguldījums 1.9: Sniegt tehnisko palīdzību un stiprināt spēju veidošanu Itālijas atveseļošanas un noturības plāna īstenošanai</w:t>
            </w:r>
          </w:p>
        </w:tc>
        <w:tc>
          <w:tcPr>
            <w:tcW w:w="1380" w:type="dxa"/>
            <w:tcBorders>
              <w:top w:val="nil"/>
              <w:left w:val="nil"/>
              <w:bottom w:val="single" w:sz="4" w:space="0" w:color="auto"/>
              <w:right w:val="single" w:sz="4" w:space="0" w:color="auto"/>
            </w:tcBorders>
            <w:shd w:val="clear" w:color="auto" w:fill="C6EFCE"/>
            <w:noWrap/>
            <w:vAlign w:val="center"/>
          </w:tcPr>
          <w:p w14:paraId="48479DDE"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7E803798" w14:textId="77777777" w:rsidR="00C972CB" w:rsidRDefault="002457F6">
            <w:pPr>
              <w:pStyle w:val="P68B1DB1-Normal12"/>
              <w:rPr>
                <w:noProof/>
              </w:rPr>
            </w:pPr>
            <w:r>
              <w:rPr>
                <w:noProof/>
              </w:rPr>
              <w:t>Izglītība un apmācība</w:t>
            </w:r>
          </w:p>
        </w:tc>
      </w:tr>
      <w:tr w:rsidR="00C972CB" w14:paraId="2B6BAC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00C596" w14:textId="77777777" w:rsidR="00C972CB" w:rsidRDefault="002457F6">
            <w:pPr>
              <w:pStyle w:val="P68B1DB1-Normal12"/>
              <w:jc w:val="center"/>
              <w:rPr>
                <w:noProof/>
              </w:rPr>
            </w:pPr>
            <w:r>
              <w:rPr>
                <w:noProof/>
              </w:rPr>
              <w:t>M1C1–67</w:t>
            </w:r>
          </w:p>
        </w:tc>
        <w:tc>
          <w:tcPr>
            <w:tcW w:w="3195" w:type="dxa"/>
            <w:tcBorders>
              <w:top w:val="nil"/>
              <w:left w:val="nil"/>
              <w:bottom w:val="single" w:sz="4" w:space="0" w:color="auto"/>
              <w:right w:val="single" w:sz="4" w:space="0" w:color="auto"/>
            </w:tcBorders>
            <w:shd w:val="clear" w:color="auto" w:fill="C6EFCE"/>
            <w:noWrap/>
            <w:vAlign w:val="center"/>
          </w:tcPr>
          <w:p w14:paraId="1AA8E482" w14:textId="77777777" w:rsidR="00C972CB" w:rsidRDefault="002457F6">
            <w:pPr>
              <w:pStyle w:val="P68B1DB1-Normal12"/>
              <w:jc w:val="center"/>
              <w:rPr>
                <w:noProof/>
              </w:rPr>
            </w:pPr>
            <w:r>
              <w:rPr>
                <w:noProof/>
              </w:rPr>
              <w:t xml:space="preserve">Ieguldījums 1.9: Sniegt tehnisko palīdzību un stiprināt spēju veidošanu Itālijas </w:t>
            </w:r>
            <w:r>
              <w:rPr>
                <w:noProof/>
              </w:rPr>
              <w:t>atveseļošanas un noturības plāna īstenošanai</w:t>
            </w:r>
          </w:p>
        </w:tc>
        <w:tc>
          <w:tcPr>
            <w:tcW w:w="1380" w:type="dxa"/>
            <w:tcBorders>
              <w:top w:val="nil"/>
              <w:left w:val="nil"/>
              <w:bottom w:val="single" w:sz="4" w:space="0" w:color="auto"/>
              <w:right w:val="single" w:sz="4" w:space="0" w:color="auto"/>
            </w:tcBorders>
            <w:shd w:val="clear" w:color="auto" w:fill="C6EFCE"/>
            <w:noWrap/>
            <w:vAlign w:val="center"/>
          </w:tcPr>
          <w:p w14:paraId="5C5320F9"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7C24D0D0" w14:textId="77777777" w:rsidR="00C972CB" w:rsidRDefault="002457F6">
            <w:pPr>
              <w:pStyle w:val="P68B1DB1-Normal12"/>
              <w:rPr>
                <w:noProof/>
              </w:rPr>
            </w:pPr>
            <w:r>
              <w:rPr>
                <w:noProof/>
              </w:rPr>
              <w:t>Izglītība un apmācība</w:t>
            </w:r>
          </w:p>
        </w:tc>
      </w:tr>
      <w:tr w:rsidR="00C972CB" w14:paraId="33F58E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B37B1B" w14:textId="77777777" w:rsidR="00C972CB" w:rsidRDefault="002457F6">
            <w:pPr>
              <w:pStyle w:val="P68B1DB1-Normal12"/>
              <w:jc w:val="center"/>
              <w:rPr>
                <w:noProof/>
              </w:rPr>
            </w:pPr>
            <w:r>
              <w:rPr>
                <w:noProof/>
              </w:rPr>
              <w:t>M1C1–118</w:t>
            </w:r>
          </w:p>
        </w:tc>
        <w:tc>
          <w:tcPr>
            <w:tcW w:w="3195" w:type="dxa"/>
            <w:tcBorders>
              <w:top w:val="nil"/>
              <w:left w:val="nil"/>
              <w:bottom w:val="single" w:sz="4" w:space="0" w:color="auto"/>
              <w:right w:val="single" w:sz="4" w:space="0" w:color="auto"/>
            </w:tcBorders>
            <w:shd w:val="clear" w:color="auto" w:fill="C6EFCE"/>
            <w:noWrap/>
            <w:vAlign w:val="center"/>
          </w:tcPr>
          <w:p w14:paraId="6C86B098" w14:textId="77777777" w:rsidR="00C972CB" w:rsidRDefault="002457F6">
            <w:pPr>
              <w:pStyle w:val="P68B1DB1-Normal12"/>
              <w:jc w:val="center"/>
              <w:rPr>
                <w:noProof/>
              </w:rPr>
            </w:pPr>
            <w:r>
              <w:rPr>
                <w:noProof/>
              </w:rPr>
              <w:t>Reforma Nr. 1.15: Publiskās uzskaites noteikumu reforma</w:t>
            </w:r>
          </w:p>
        </w:tc>
        <w:tc>
          <w:tcPr>
            <w:tcW w:w="1380" w:type="dxa"/>
            <w:tcBorders>
              <w:top w:val="nil"/>
              <w:left w:val="nil"/>
              <w:bottom w:val="single" w:sz="4" w:space="0" w:color="auto"/>
              <w:right w:val="single" w:sz="4" w:space="0" w:color="auto"/>
            </w:tcBorders>
            <w:shd w:val="clear" w:color="auto" w:fill="C6EFCE"/>
            <w:noWrap/>
            <w:vAlign w:val="center"/>
          </w:tcPr>
          <w:p w14:paraId="0631A5BE" w14:textId="77777777" w:rsidR="00C972CB" w:rsidRDefault="002457F6">
            <w:pPr>
              <w:pStyle w:val="P68B1DB1-Normal12"/>
              <w:jc w:val="center"/>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39B01A81" w14:textId="4771F2DD" w:rsidR="00C972CB" w:rsidRDefault="002457F6">
            <w:pPr>
              <w:pStyle w:val="P68B1DB1-Normal12"/>
              <w:rPr>
                <w:noProof/>
              </w:rPr>
            </w:pPr>
            <w:r>
              <w:rPr>
                <w:noProof/>
              </w:rPr>
              <w:t>Stājas spēkā uzkrājumu reforma, kas aptver vismaz 90 % no visa publiskā sektora.</w:t>
            </w:r>
          </w:p>
        </w:tc>
      </w:tr>
      <w:tr w:rsidR="00C972CB" w14:paraId="7E3FE3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2AABF" w14:textId="77777777" w:rsidR="00C972CB" w:rsidRDefault="002457F6">
            <w:pPr>
              <w:pStyle w:val="P68B1DB1-Normal12"/>
              <w:jc w:val="center"/>
              <w:rPr>
                <w:noProof/>
              </w:rPr>
            </w:pPr>
            <w:r>
              <w:rPr>
                <w:noProof/>
              </w:rPr>
              <w:t>M1C1–121</w:t>
            </w:r>
          </w:p>
        </w:tc>
        <w:tc>
          <w:tcPr>
            <w:tcW w:w="3195" w:type="dxa"/>
            <w:tcBorders>
              <w:top w:val="nil"/>
              <w:left w:val="nil"/>
              <w:bottom w:val="single" w:sz="4" w:space="0" w:color="auto"/>
              <w:right w:val="single" w:sz="4" w:space="0" w:color="auto"/>
            </w:tcBorders>
            <w:shd w:val="clear" w:color="auto" w:fill="C6EFCE"/>
            <w:noWrap/>
            <w:vAlign w:val="center"/>
          </w:tcPr>
          <w:p w14:paraId="5A3D46FD" w14:textId="77777777" w:rsidR="00C972CB" w:rsidRDefault="002457F6">
            <w:pPr>
              <w:pStyle w:val="P68B1DB1-Normal12"/>
              <w:jc w:val="center"/>
              <w:rPr>
                <w:noProof/>
              </w:rPr>
            </w:pPr>
            <w:r>
              <w:rPr>
                <w:noProof/>
              </w:rPr>
              <w:t>Reforma:</w:t>
            </w:r>
            <w:r>
              <w:rPr>
                <w:noProof/>
              </w:rPr>
              <w:t xml:space="preserve"> Nodokļu administrācijas reforma</w:t>
            </w:r>
          </w:p>
        </w:tc>
        <w:tc>
          <w:tcPr>
            <w:tcW w:w="1380" w:type="dxa"/>
            <w:tcBorders>
              <w:top w:val="nil"/>
              <w:left w:val="nil"/>
              <w:bottom w:val="single" w:sz="4" w:space="0" w:color="auto"/>
              <w:right w:val="single" w:sz="4" w:space="0" w:color="auto"/>
            </w:tcBorders>
            <w:shd w:val="clear" w:color="auto" w:fill="C6EFCE"/>
            <w:noWrap/>
            <w:vAlign w:val="center"/>
          </w:tcPr>
          <w:p w14:paraId="7BD93D6F"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5816D03F" w14:textId="77777777" w:rsidR="00C972CB" w:rsidRDefault="002457F6">
            <w:pPr>
              <w:pStyle w:val="P68B1DB1-Normal12"/>
              <w:rPr>
                <w:noProof/>
              </w:rPr>
            </w:pPr>
            <w:r>
              <w:rPr>
                <w:noProof/>
              </w:rPr>
              <w:t>Nodokļu nemaksāšanas samazināšana, kā noteikts rādītājā “izvairīšanās iespējamība”</w:t>
            </w:r>
          </w:p>
        </w:tc>
      </w:tr>
      <w:tr w:rsidR="00C972CB" w14:paraId="6C5472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FD3B8" w14:textId="77777777" w:rsidR="00C972CB" w:rsidRDefault="002457F6">
            <w:pPr>
              <w:pStyle w:val="P68B1DB1-Normal12"/>
              <w:jc w:val="center"/>
              <w:rPr>
                <w:noProof/>
              </w:rPr>
            </w:pPr>
            <w:r>
              <w:rPr>
                <w:noProof/>
              </w:rPr>
              <w:t>M1C1–122</w:t>
            </w:r>
          </w:p>
        </w:tc>
        <w:tc>
          <w:tcPr>
            <w:tcW w:w="3195" w:type="dxa"/>
            <w:tcBorders>
              <w:top w:val="nil"/>
              <w:left w:val="nil"/>
              <w:bottom w:val="single" w:sz="4" w:space="0" w:color="auto"/>
              <w:right w:val="single" w:sz="4" w:space="0" w:color="auto"/>
            </w:tcBorders>
            <w:shd w:val="clear" w:color="auto" w:fill="C6EFCE"/>
            <w:noWrap/>
            <w:vAlign w:val="center"/>
          </w:tcPr>
          <w:p w14:paraId="1E3A3DF2" w14:textId="77777777" w:rsidR="00C972CB" w:rsidRDefault="002457F6">
            <w:pPr>
              <w:pStyle w:val="P68B1DB1-Normal12"/>
              <w:jc w:val="center"/>
              <w:rPr>
                <w:noProof/>
              </w:rPr>
            </w:pPr>
            <w:r>
              <w:rPr>
                <w:noProof/>
              </w:rPr>
              <w:t>Reforma Nr. 1.13: Izdevumu pārskatīšanas sistēmas reforma</w:t>
            </w:r>
          </w:p>
        </w:tc>
        <w:tc>
          <w:tcPr>
            <w:tcW w:w="1380" w:type="dxa"/>
            <w:tcBorders>
              <w:top w:val="nil"/>
              <w:left w:val="nil"/>
              <w:bottom w:val="single" w:sz="4" w:space="0" w:color="auto"/>
              <w:right w:val="single" w:sz="4" w:space="0" w:color="auto"/>
            </w:tcBorders>
            <w:shd w:val="clear" w:color="auto" w:fill="C6EFCE"/>
            <w:noWrap/>
            <w:vAlign w:val="center"/>
          </w:tcPr>
          <w:p w14:paraId="3B672962" w14:textId="77777777" w:rsidR="00C972CB" w:rsidRDefault="002457F6">
            <w:pPr>
              <w:pStyle w:val="P68B1DB1-Normal12"/>
              <w:jc w:val="center"/>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7FAB5E7A" w14:textId="77777777" w:rsidR="00C972CB" w:rsidRDefault="002457F6">
            <w:pPr>
              <w:pStyle w:val="P68B1DB1-Normal12"/>
              <w:rPr>
                <w:noProof/>
              </w:rPr>
            </w:pPr>
            <w:r>
              <w:rPr>
                <w:noProof/>
              </w:rPr>
              <w:t>Pabeigt ikgadējo izdevumu pārskatīšanu 2025. gad</w:t>
            </w:r>
            <w:r>
              <w:rPr>
                <w:noProof/>
              </w:rPr>
              <w:t>am, atsaucoties uz 2022., 2023. un 2024. gadam nosprausto ietaupījumu mērķi 2025. gadam.</w:t>
            </w:r>
          </w:p>
        </w:tc>
      </w:tr>
      <w:tr w:rsidR="00C972CB" w14:paraId="69F151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095F5" w14:textId="77777777" w:rsidR="00C972CB" w:rsidRDefault="002457F6">
            <w:pPr>
              <w:pStyle w:val="P68B1DB1-Normal12"/>
              <w:jc w:val="center"/>
              <w:rPr>
                <w:noProof/>
              </w:rPr>
            </w:pPr>
            <w:r>
              <w:rPr>
                <w:noProof/>
              </w:rPr>
              <w:t>M1C3–3</w:t>
            </w:r>
          </w:p>
        </w:tc>
        <w:tc>
          <w:tcPr>
            <w:tcW w:w="3195" w:type="dxa"/>
            <w:tcBorders>
              <w:top w:val="nil"/>
              <w:left w:val="nil"/>
              <w:bottom w:val="single" w:sz="4" w:space="0" w:color="auto"/>
              <w:right w:val="single" w:sz="4" w:space="0" w:color="auto"/>
            </w:tcBorders>
            <w:shd w:val="clear" w:color="auto" w:fill="C6EFCE"/>
            <w:noWrap/>
            <w:vAlign w:val="center"/>
          </w:tcPr>
          <w:p w14:paraId="5775D090" w14:textId="77777777" w:rsidR="00C972CB" w:rsidRDefault="002457F6">
            <w:pPr>
              <w:pStyle w:val="P68B1DB1-Normal12"/>
              <w:jc w:val="center"/>
              <w:rPr>
                <w:noProof/>
              </w:rPr>
            </w:pPr>
            <w:r>
              <w:rPr>
                <w:noProof/>
              </w:rPr>
              <w:t>Ieguldījumi — Fizisko un kognitīvo šķēršļu likvidēšana muzejos, bibliotēkās un arhīvos, lai nodrošinātu plašāku piekļuvi kultūrai un līdzdalību tajā</w:t>
            </w:r>
          </w:p>
        </w:tc>
        <w:tc>
          <w:tcPr>
            <w:tcW w:w="1380" w:type="dxa"/>
            <w:tcBorders>
              <w:top w:val="nil"/>
              <w:left w:val="nil"/>
              <w:bottom w:val="single" w:sz="4" w:space="0" w:color="auto"/>
              <w:right w:val="single" w:sz="4" w:space="0" w:color="auto"/>
            </w:tcBorders>
            <w:shd w:val="clear" w:color="auto" w:fill="C6EFCE"/>
            <w:noWrap/>
            <w:vAlign w:val="center"/>
          </w:tcPr>
          <w:p w14:paraId="5DCF0831"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6A7A1E82" w14:textId="77777777" w:rsidR="00C972CB" w:rsidRDefault="002457F6">
            <w:pPr>
              <w:pStyle w:val="P68B1DB1-Normal12"/>
              <w:rPr>
                <w:noProof/>
              </w:rPr>
            </w:pPr>
            <w:r>
              <w:rPr>
                <w:noProof/>
              </w:rPr>
              <w:t>Pasākumi fiziskās un kognitīvās pieejamības uzlabošanai kultūras vietās</w:t>
            </w:r>
          </w:p>
        </w:tc>
      </w:tr>
      <w:tr w:rsidR="00C972CB" w14:paraId="090D93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A588" w14:textId="77777777" w:rsidR="00C972CB" w:rsidRDefault="002457F6">
            <w:pPr>
              <w:pStyle w:val="P68B1DB1-Normal12"/>
              <w:jc w:val="center"/>
              <w:rPr>
                <w:noProof/>
              </w:rPr>
            </w:pPr>
            <w:r>
              <w:rPr>
                <w:noProof/>
              </w:rPr>
              <w:t>M2C1–8</w:t>
            </w:r>
          </w:p>
        </w:tc>
        <w:tc>
          <w:tcPr>
            <w:tcW w:w="3195" w:type="dxa"/>
            <w:tcBorders>
              <w:top w:val="nil"/>
              <w:left w:val="nil"/>
              <w:bottom w:val="single" w:sz="4" w:space="0" w:color="auto"/>
              <w:right w:val="single" w:sz="4" w:space="0" w:color="auto"/>
            </w:tcBorders>
            <w:shd w:val="clear" w:color="auto" w:fill="C6EFCE"/>
            <w:noWrap/>
            <w:vAlign w:val="center"/>
          </w:tcPr>
          <w:p w14:paraId="772438FB" w14:textId="77777777" w:rsidR="00C972CB" w:rsidRDefault="002457F6">
            <w:pPr>
              <w:pStyle w:val="P68B1DB1-Normal12"/>
              <w:jc w:val="center"/>
              <w:rPr>
                <w:noProof/>
              </w:rPr>
            </w:pPr>
            <w:r>
              <w:rPr>
                <w:noProof/>
              </w:rPr>
              <w:t>Ieguldījums 2.3. Inovācija un mehanizācija lauksaimniecības un pārtikas nozarē</w:t>
            </w:r>
          </w:p>
        </w:tc>
        <w:tc>
          <w:tcPr>
            <w:tcW w:w="1380" w:type="dxa"/>
            <w:tcBorders>
              <w:top w:val="nil"/>
              <w:left w:val="nil"/>
              <w:bottom w:val="single" w:sz="4" w:space="0" w:color="auto"/>
              <w:right w:val="single" w:sz="4" w:space="0" w:color="auto"/>
            </w:tcBorders>
            <w:shd w:val="clear" w:color="auto" w:fill="C6EFCE"/>
            <w:noWrap/>
            <w:vAlign w:val="center"/>
          </w:tcPr>
          <w:p w14:paraId="43AAE893"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EA91EC1" w14:textId="77777777" w:rsidR="00C972CB" w:rsidRDefault="002457F6">
            <w:pPr>
              <w:pStyle w:val="P68B1DB1-Normal12"/>
              <w:rPr>
                <w:noProof/>
              </w:rPr>
            </w:pPr>
            <w:r>
              <w:rPr>
                <w:noProof/>
              </w:rPr>
              <w:t>Atbalsts investīcijām inovācijā aprites ekonomikā un bioekonomikā</w:t>
            </w:r>
          </w:p>
        </w:tc>
      </w:tr>
      <w:tr w:rsidR="00C972CB" w14:paraId="11B75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D8CBDC" w14:textId="77777777" w:rsidR="00C972CB" w:rsidRDefault="002457F6">
            <w:pPr>
              <w:pStyle w:val="P68B1DB1-Normal12"/>
              <w:jc w:val="center"/>
              <w:rPr>
                <w:noProof/>
              </w:rPr>
            </w:pPr>
            <w:r>
              <w:rPr>
                <w:noProof/>
              </w:rPr>
              <w:t>M2C1–9</w:t>
            </w:r>
          </w:p>
        </w:tc>
        <w:tc>
          <w:tcPr>
            <w:tcW w:w="3195" w:type="dxa"/>
            <w:tcBorders>
              <w:top w:val="nil"/>
              <w:left w:val="nil"/>
              <w:bottom w:val="single" w:sz="4" w:space="0" w:color="auto"/>
              <w:right w:val="single" w:sz="4" w:space="0" w:color="auto"/>
            </w:tcBorders>
            <w:shd w:val="clear" w:color="auto" w:fill="C6EFCE"/>
            <w:noWrap/>
            <w:vAlign w:val="center"/>
          </w:tcPr>
          <w:p w14:paraId="60119D6C" w14:textId="77777777" w:rsidR="00C972CB" w:rsidRDefault="002457F6">
            <w:pPr>
              <w:pStyle w:val="P68B1DB1-Normal12"/>
              <w:jc w:val="center"/>
              <w:rPr>
                <w:noProof/>
              </w:rPr>
            </w:pPr>
            <w:r>
              <w:rPr>
                <w:noProof/>
              </w:rPr>
              <w:t>Ieguldījums 2.2.:</w:t>
            </w:r>
            <w:r>
              <w:rPr>
                <w:noProof/>
              </w:rPr>
              <w:t xml:space="preserve"> AGRI-solārais parks</w:t>
            </w:r>
          </w:p>
        </w:tc>
        <w:tc>
          <w:tcPr>
            <w:tcW w:w="1380" w:type="dxa"/>
            <w:tcBorders>
              <w:top w:val="nil"/>
              <w:left w:val="nil"/>
              <w:bottom w:val="single" w:sz="4" w:space="0" w:color="auto"/>
              <w:right w:val="single" w:sz="4" w:space="0" w:color="auto"/>
            </w:tcBorders>
            <w:shd w:val="clear" w:color="auto" w:fill="C6EFCE"/>
            <w:noWrap/>
            <w:vAlign w:val="center"/>
          </w:tcPr>
          <w:p w14:paraId="1ED124A8"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58781480" w14:textId="77777777" w:rsidR="00C972CB" w:rsidRDefault="002457F6">
            <w:pPr>
              <w:pStyle w:val="P68B1DB1-Normal12"/>
              <w:rPr>
                <w:noProof/>
              </w:rPr>
            </w:pPr>
            <w:r>
              <w:rPr>
                <w:noProof/>
              </w:rPr>
              <w:t>Elektroenerģijas ražošana no AGRI</w:t>
            </w:r>
          </w:p>
        </w:tc>
      </w:tr>
      <w:tr w:rsidR="00C972CB" w14:paraId="315A0A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2042" w14:textId="77777777" w:rsidR="00C972CB" w:rsidRDefault="002457F6">
            <w:pPr>
              <w:pStyle w:val="P68B1DB1-Normal12"/>
              <w:jc w:val="center"/>
              <w:rPr>
                <w:noProof/>
              </w:rPr>
            </w:pPr>
            <w:r>
              <w:rPr>
                <w:noProof/>
              </w:rPr>
              <w:t>M2C1–10</w:t>
            </w:r>
          </w:p>
        </w:tc>
        <w:tc>
          <w:tcPr>
            <w:tcW w:w="3195" w:type="dxa"/>
            <w:tcBorders>
              <w:top w:val="nil"/>
              <w:left w:val="nil"/>
              <w:bottom w:val="single" w:sz="4" w:space="0" w:color="auto"/>
              <w:right w:val="single" w:sz="4" w:space="0" w:color="auto"/>
            </w:tcBorders>
            <w:shd w:val="clear" w:color="auto" w:fill="C6EFCE"/>
            <w:noWrap/>
            <w:vAlign w:val="center"/>
          </w:tcPr>
          <w:p w14:paraId="66FA58B8" w14:textId="77777777" w:rsidR="00C972CB" w:rsidRDefault="002457F6">
            <w:pPr>
              <w:pStyle w:val="P68B1DB1-Normal12"/>
              <w:jc w:val="center"/>
              <w:rPr>
                <w:noProof/>
              </w:rPr>
            </w:pPr>
            <w:r>
              <w:rPr>
                <w:noProof/>
              </w:rPr>
              <w:t>Ieguldījums 2.1.: Loģistikas plāns lauksaimniecības pārtikas, zvejniecības un akvakultūras, mežsaimniecības, puķkopības un stādaudzētavu nozarēm</w:t>
            </w:r>
          </w:p>
        </w:tc>
        <w:tc>
          <w:tcPr>
            <w:tcW w:w="1380" w:type="dxa"/>
            <w:tcBorders>
              <w:top w:val="nil"/>
              <w:left w:val="nil"/>
              <w:bottom w:val="single" w:sz="4" w:space="0" w:color="auto"/>
              <w:right w:val="single" w:sz="4" w:space="0" w:color="auto"/>
            </w:tcBorders>
            <w:shd w:val="clear" w:color="auto" w:fill="C6EFCE"/>
            <w:noWrap/>
            <w:vAlign w:val="center"/>
          </w:tcPr>
          <w:p w14:paraId="2D2A7565"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50E66268" w14:textId="77777777" w:rsidR="00C972CB" w:rsidRDefault="002457F6">
            <w:pPr>
              <w:pStyle w:val="P68B1DB1-Normal12"/>
              <w:rPr>
                <w:noProof/>
              </w:rPr>
            </w:pPr>
            <w:r>
              <w:rPr>
                <w:noProof/>
              </w:rPr>
              <w:t xml:space="preserve">Intervences pasākumi, kuru mērķis </w:t>
            </w:r>
            <w:r>
              <w:rPr>
                <w:noProof/>
              </w:rPr>
              <w:t>ir uzlabot loģistiku lauksaimniecības pārtikas, zvejniecības un akvakultūras, mežsaimniecības, puķkopības un stādaudzētavu nozarēs</w:t>
            </w:r>
          </w:p>
        </w:tc>
      </w:tr>
      <w:tr w:rsidR="00C972CB" w14:paraId="64A412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0C83C" w14:textId="77777777" w:rsidR="00C972CB" w:rsidRDefault="002457F6">
            <w:pPr>
              <w:pStyle w:val="P68B1DB1-Normal12"/>
              <w:jc w:val="center"/>
              <w:rPr>
                <w:noProof/>
              </w:rPr>
            </w:pPr>
            <w:r>
              <w:rPr>
                <w:noProof/>
              </w:rPr>
              <w:t>M2C1–12</w:t>
            </w:r>
          </w:p>
        </w:tc>
        <w:tc>
          <w:tcPr>
            <w:tcW w:w="3195" w:type="dxa"/>
            <w:tcBorders>
              <w:top w:val="nil"/>
              <w:left w:val="nil"/>
              <w:bottom w:val="single" w:sz="4" w:space="0" w:color="auto"/>
              <w:right w:val="single" w:sz="4" w:space="0" w:color="auto"/>
            </w:tcBorders>
            <w:shd w:val="clear" w:color="auto" w:fill="C6EFCE"/>
            <w:noWrap/>
            <w:vAlign w:val="center"/>
          </w:tcPr>
          <w:p w14:paraId="29EE85DB" w14:textId="77777777" w:rsidR="00C972CB" w:rsidRDefault="002457F6">
            <w:pPr>
              <w:pStyle w:val="P68B1DB1-Normal12"/>
              <w:jc w:val="center"/>
              <w:rPr>
                <w:noProof/>
              </w:rPr>
            </w:pPr>
            <w:r>
              <w:rPr>
                <w:noProof/>
              </w:rPr>
              <w:t>Ieguldījums 3.3. Kultūra un informētība par vides jautājumiem un problēmām</w:t>
            </w:r>
          </w:p>
        </w:tc>
        <w:tc>
          <w:tcPr>
            <w:tcW w:w="1380" w:type="dxa"/>
            <w:tcBorders>
              <w:top w:val="nil"/>
              <w:left w:val="nil"/>
              <w:bottom w:val="single" w:sz="4" w:space="0" w:color="auto"/>
              <w:right w:val="single" w:sz="4" w:space="0" w:color="auto"/>
            </w:tcBorders>
            <w:shd w:val="clear" w:color="auto" w:fill="C6EFCE"/>
            <w:noWrap/>
            <w:vAlign w:val="center"/>
          </w:tcPr>
          <w:p w14:paraId="3E91F727"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0C36FC9" w14:textId="77777777" w:rsidR="00C972CB" w:rsidRDefault="002457F6">
            <w:pPr>
              <w:pStyle w:val="P68B1DB1-Normal12"/>
              <w:rPr>
                <w:noProof/>
              </w:rPr>
            </w:pPr>
            <w:r>
              <w:rPr>
                <w:noProof/>
              </w:rPr>
              <w:t>Audiovizuālie materiāli par vidisko</w:t>
            </w:r>
            <w:r>
              <w:rPr>
                <w:noProof/>
              </w:rPr>
              <w:t xml:space="preserve"> pārkārtošanos</w:t>
            </w:r>
          </w:p>
        </w:tc>
      </w:tr>
      <w:tr w:rsidR="00C972CB" w14:paraId="0422E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AEB67" w14:textId="77777777" w:rsidR="00C972CB" w:rsidRDefault="002457F6">
            <w:pPr>
              <w:pStyle w:val="P68B1DB1-Normal12"/>
              <w:jc w:val="center"/>
              <w:rPr>
                <w:noProof/>
              </w:rPr>
            </w:pPr>
            <w:r>
              <w:rPr>
                <w:noProof/>
              </w:rPr>
              <w:t>M2C2–23</w:t>
            </w:r>
          </w:p>
        </w:tc>
        <w:tc>
          <w:tcPr>
            <w:tcW w:w="3195" w:type="dxa"/>
            <w:tcBorders>
              <w:top w:val="nil"/>
              <w:left w:val="nil"/>
              <w:bottom w:val="single" w:sz="4" w:space="0" w:color="auto"/>
              <w:right w:val="single" w:sz="4" w:space="0" w:color="auto"/>
            </w:tcBorders>
            <w:shd w:val="clear" w:color="auto" w:fill="C6EFCE"/>
            <w:noWrap/>
            <w:vAlign w:val="center"/>
          </w:tcPr>
          <w:p w14:paraId="71D58F9A" w14:textId="77777777" w:rsidR="00C972CB" w:rsidRDefault="002457F6">
            <w:pPr>
              <w:pStyle w:val="P68B1DB1-Normal12"/>
              <w:jc w:val="center"/>
              <w:rPr>
                <w:noProof/>
              </w:rPr>
            </w:pPr>
            <w:r>
              <w:rPr>
                <w:noProof/>
              </w:rPr>
              <w:t>Ieguldījums 4.1. Ieguldījumi vidi saudzējošā mobilitātē (Nacionālais cikla ceļa plāns)</w:t>
            </w:r>
          </w:p>
        </w:tc>
        <w:tc>
          <w:tcPr>
            <w:tcW w:w="1380" w:type="dxa"/>
            <w:tcBorders>
              <w:top w:val="nil"/>
              <w:left w:val="nil"/>
              <w:bottom w:val="single" w:sz="4" w:space="0" w:color="auto"/>
              <w:right w:val="single" w:sz="4" w:space="0" w:color="auto"/>
            </w:tcBorders>
            <w:shd w:val="clear" w:color="auto" w:fill="C6EFCE"/>
            <w:noWrap/>
            <w:vAlign w:val="center"/>
          </w:tcPr>
          <w:p w14:paraId="28F30833"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E8E4CBF" w14:textId="77777777" w:rsidR="00C972CB" w:rsidRDefault="002457F6">
            <w:pPr>
              <w:pStyle w:val="P68B1DB1-Normal12"/>
              <w:rPr>
                <w:noProof/>
              </w:rPr>
            </w:pPr>
            <w:r>
              <w:rPr>
                <w:noProof/>
              </w:rPr>
              <w:t>Veloceliņi T2</w:t>
            </w:r>
          </w:p>
        </w:tc>
      </w:tr>
      <w:tr w:rsidR="00C972CB" w14:paraId="7404B2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46DC12" w14:textId="77777777" w:rsidR="00C972CB" w:rsidRDefault="002457F6">
            <w:pPr>
              <w:pStyle w:val="P68B1DB1-Normal12"/>
              <w:jc w:val="center"/>
              <w:rPr>
                <w:noProof/>
              </w:rPr>
            </w:pPr>
            <w:r>
              <w:rPr>
                <w:noProof/>
              </w:rPr>
              <w:t>M4C1–18</w:t>
            </w:r>
          </w:p>
        </w:tc>
        <w:tc>
          <w:tcPr>
            <w:tcW w:w="3195" w:type="dxa"/>
            <w:tcBorders>
              <w:top w:val="nil"/>
              <w:left w:val="nil"/>
              <w:bottom w:val="single" w:sz="4" w:space="0" w:color="auto"/>
              <w:right w:val="single" w:sz="4" w:space="0" w:color="auto"/>
            </w:tcBorders>
            <w:shd w:val="clear" w:color="auto" w:fill="C6EFCE"/>
            <w:noWrap/>
            <w:vAlign w:val="center"/>
          </w:tcPr>
          <w:p w14:paraId="3E758617" w14:textId="77777777" w:rsidR="00C972CB" w:rsidRDefault="002457F6">
            <w:pPr>
              <w:pStyle w:val="P68B1DB1-Normal12"/>
              <w:jc w:val="center"/>
              <w:rPr>
                <w:noProof/>
              </w:rPr>
            </w:pPr>
            <w:r>
              <w:rPr>
                <w:noProof/>
              </w:rPr>
              <w:t>Ieguldījums 1.1: Bērnudārzu un pirmsskolas izglītības un aprūpes pakalpojumu plāns</w:t>
            </w:r>
          </w:p>
        </w:tc>
        <w:tc>
          <w:tcPr>
            <w:tcW w:w="1380" w:type="dxa"/>
            <w:tcBorders>
              <w:top w:val="nil"/>
              <w:left w:val="nil"/>
              <w:bottom w:val="single" w:sz="4" w:space="0" w:color="auto"/>
              <w:right w:val="single" w:sz="4" w:space="0" w:color="auto"/>
            </w:tcBorders>
            <w:shd w:val="clear" w:color="auto" w:fill="C6EFCE"/>
            <w:noWrap/>
            <w:vAlign w:val="center"/>
          </w:tcPr>
          <w:p w14:paraId="3DA5FB3E"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23A46007" w14:textId="77777777" w:rsidR="00C972CB" w:rsidRDefault="002457F6">
            <w:pPr>
              <w:pStyle w:val="P68B1DB1-Normal12"/>
              <w:rPr>
                <w:noProof/>
              </w:rPr>
            </w:pPr>
            <w:r>
              <w:rPr>
                <w:noProof/>
              </w:rPr>
              <w:t xml:space="preserve">Jaunas vietas, kas </w:t>
            </w:r>
            <w:r>
              <w:rPr>
                <w:noProof/>
              </w:rPr>
              <w:t>aktivizētas izglītības un agrīnās pirmsskolas aprūpes pakalpojumiem (no nulles līdz sešiem gadiem)</w:t>
            </w:r>
          </w:p>
        </w:tc>
      </w:tr>
      <w:tr w:rsidR="00C972CB" w14:paraId="4B7DA0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4916A" w14:textId="77777777" w:rsidR="00C972CB" w:rsidRDefault="002457F6">
            <w:pPr>
              <w:pStyle w:val="P68B1DB1-Normal12"/>
              <w:jc w:val="center"/>
              <w:rPr>
                <w:noProof/>
              </w:rPr>
            </w:pPr>
            <w:r>
              <w:rPr>
                <w:noProof/>
              </w:rPr>
              <w:t>M4C1–21</w:t>
            </w:r>
          </w:p>
        </w:tc>
        <w:tc>
          <w:tcPr>
            <w:tcW w:w="3195" w:type="dxa"/>
            <w:tcBorders>
              <w:top w:val="nil"/>
              <w:left w:val="nil"/>
              <w:bottom w:val="single" w:sz="4" w:space="0" w:color="auto"/>
              <w:right w:val="single" w:sz="4" w:space="0" w:color="auto"/>
            </w:tcBorders>
            <w:shd w:val="clear" w:color="auto" w:fill="C6EFCE"/>
            <w:noWrap/>
            <w:vAlign w:val="center"/>
          </w:tcPr>
          <w:p w14:paraId="288B76D6" w14:textId="77777777" w:rsidR="00C972CB" w:rsidRDefault="002457F6">
            <w:pPr>
              <w:pStyle w:val="P68B1DB1-Normal12"/>
              <w:jc w:val="center"/>
              <w:rPr>
                <w:noProof/>
              </w:rPr>
            </w:pPr>
            <w:r>
              <w:rPr>
                <w:noProof/>
              </w:rPr>
              <w:t>Ieguldījums 1.2: Pilna laika pagarināšanas plāns</w:t>
            </w:r>
          </w:p>
        </w:tc>
        <w:tc>
          <w:tcPr>
            <w:tcW w:w="1380" w:type="dxa"/>
            <w:tcBorders>
              <w:top w:val="nil"/>
              <w:left w:val="nil"/>
              <w:bottom w:val="single" w:sz="4" w:space="0" w:color="auto"/>
              <w:right w:val="single" w:sz="4" w:space="0" w:color="auto"/>
            </w:tcBorders>
            <w:shd w:val="clear" w:color="auto" w:fill="C6EFCE"/>
            <w:noWrap/>
            <w:vAlign w:val="center"/>
          </w:tcPr>
          <w:p w14:paraId="095AB5CE"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77FD4CF1" w14:textId="77777777" w:rsidR="00C972CB" w:rsidRDefault="002457F6">
            <w:pPr>
              <w:pStyle w:val="P68B1DB1-Normal47"/>
              <w:rPr>
                <w:noProof/>
              </w:rPr>
            </w:pPr>
            <w:r>
              <w:rPr>
                <w:noProof/>
              </w:rPr>
              <w:t>Struktūras skolēnu uzņemšanai pēc skolas laika</w:t>
            </w:r>
          </w:p>
        </w:tc>
      </w:tr>
      <w:tr w:rsidR="00C972CB" w14:paraId="688E35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BDE0E" w14:textId="77777777" w:rsidR="00C972CB" w:rsidRDefault="002457F6">
            <w:pPr>
              <w:pStyle w:val="P68B1DB1-Normal12"/>
              <w:jc w:val="center"/>
              <w:rPr>
                <w:noProof/>
              </w:rPr>
            </w:pPr>
            <w:r>
              <w:rPr>
                <w:noProof/>
              </w:rPr>
              <w:t>M4C1–22</w:t>
            </w:r>
          </w:p>
        </w:tc>
        <w:tc>
          <w:tcPr>
            <w:tcW w:w="3195" w:type="dxa"/>
            <w:tcBorders>
              <w:top w:val="nil"/>
              <w:left w:val="nil"/>
              <w:bottom w:val="single" w:sz="4" w:space="0" w:color="auto"/>
              <w:right w:val="single" w:sz="4" w:space="0" w:color="auto"/>
            </w:tcBorders>
            <w:shd w:val="clear" w:color="auto" w:fill="C6EFCE"/>
            <w:noWrap/>
            <w:vAlign w:val="center"/>
          </w:tcPr>
          <w:p w14:paraId="69D29ACC" w14:textId="77777777" w:rsidR="00C972CB" w:rsidRDefault="002457F6">
            <w:pPr>
              <w:pStyle w:val="P68B1DB1-Normal12"/>
              <w:jc w:val="center"/>
              <w:rPr>
                <w:noProof/>
              </w:rPr>
            </w:pPr>
            <w:r>
              <w:rPr>
                <w:noProof/>
              </w:rPr>
              <w:t xml:space="preserve">Ieguldījums 1.3. Skolu sporta </w:t>
            </w:r>
            <w:r>
              <w:rPr>
                <w:noProof/>
              </w:rPr>
              <w:t>infrastruktūras stiprināšanas plāns</w:t>
            </w:r>
          </w:p>
        </w:tc>
        <w:tc>
          <w:tcPr>
            <w:tcW w:w="1380" w:type="dxa"/>
            <w:tcBorders>
              <w:top w:val="nil"/>
              <w:left w:val="nil"/>
              <w:bottom w:val="single" w:sz="4" w:space="0" w:color="auto"/>
              <w:right w:val="single" w:sz="4" w:space="0" w:color="auto"/>
            </w:tcBorders>
            <w:shd w:val="clear" w:color="auto" w:fill="C6EFCE"/>
            <w:noWrap/>
            <w:vAlign w:val="center"/>
          </w:tcPr>
          <w:p w14:paraId="4F896A89"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65C8EF38" w14:textId="77777777" w:rsidR="00C972CB" w:rsidRDefault="002457F6">
            <w:pPr>
              <w:pStyle w:val="P68B1DB1-Normal12"/>
              <w:rPr>
                <w:noProof/>
              </w:rPr>
            </w:pPr>
            <w:r>
              <w:rPr>
                <w:noProof/>
              </w:rPr>
              <w:t>Izbūvēti vai renovēti Sqm tiek izmantoti kā sporta zāles vai sporta objekti</w:t>
            </w:r>
          </w:p>
        </w:tc>
      </w:tr>
      <w:tr w:rsidR="00C972CB" w14:paraId="6AFC5A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9F8B6A" w14:textId="77777777" w:rsidR="00C972CB" w:rsidRDefault="002457F6">
            <w:pPr>
              <w:pStyle w:val="P68B1DB1-Normal12"/>
              <w:jc w:val="center"/>
              <w:rPr>
                <w:noProof/>
              </w:rPr>
            </w:pPr>
            <w:r>
              <w:rPr>
                <w:noProof/>
              </w:rPr>
              <w:t>M4C1–23</w:t>
            </w:r>
          </w:p>
        </w:tc>
        <w:tc>
          <w:tcPr>
            <w:tcW w:w="3195" w:type="dxa"/>
            <w:tcBorders>
              <w:top w:val="nil"/>
              <w:left w:val="nil"/>
              <w:bottom w:val="single" w:sz="4" w:space="0" w:color="auto"/>
              <w:right w:val="single" w:sz="4" w:space="0" w:color="auto"/>
            </w:tcBorders>
            <w:shd w:val="clear" w:color="auto" w:fill="C6EFCE"/>
            <w:noWrap/>
            <w:vAlign w:val="center"/>
          </w:tcPr>
          <w:p w14:paraId="2DB41D14" w14:textId="77777777" w:rsidR="00C972CB" w:rsidRDefault="002457F6">
            <w:pPr>
              <w:pStyle w:val="P68B1DB1-Normal12"/>
              <w:jc w:val="center"/>
              <w:rPr>
                <w:noProof/>
              </w:rPr>
            </w:pPr>
            <w:r>
              <w:rPr>
                <w:noProof/>
              </w:rPr>
              <w:t xml:space="preserve">Ieguldījums 3.4. Mācīšana un padziļinātas universitātes prasmes </w:t>
            </w:r>
          </w:p>
        </w:tc>
        <w:tc>
          <w:tcPr>
            <w:tcW w:w="1380" w:type="dxa"/>
            <w:tcBorders>
              <w:top w:val="nil"/>
              <w:left w:val="nil"/>
              <w:bottom w:val="single" w:sz="4" w:space="0" w:color="auto"/>
              <w:right w:val="single" w:sz="4" w:space="0" w:color="auto"/>
            </w:tcBorders>
            <w:shd w:val="clear" w:color="auto" w:fill="C6EFCE"/>
            <w:noWrap/>
            <w:vAlign w:val="center"/>
          </w:tcPr>
          <w:p w14:paraId="71CC4B40"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456FBEED" w14:textId="77777777" w:rsidR="00C972CB" w:rsidRDefault="002457F6">
            <w:pPr>
              <w:pStyle w:val="P68B1DB1-Normal12"/>
              <w:rPr>
                <w:noProof/>
              </w:rPr>
            </w:pPr>
            <w:r>
              <w:rPr>
                <w:noProof/>
              </w:rPr>
              <w:t>Jaunas doktorantūras studijas, kas piešķirtas uz trim gadi</w:t>
            </w:r>
            <w:r>
              <w:rPr>
                <w:noProof/>
              </w:rPr>
              <w:t xml:space="preserve">em digitālās un vidiskās pārkārtošanās programmās  </w:t>
            </w:r>
          </w:p>
        </w:tc>
      </w:tr>
      <w:tr w:rsidR="00C972CB" w14:paraId="6B7A35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289027" w14:textId="77777777" w:rsidR="00C972CB" w:rsidRDefault="002457F6">
            <w:pPr>
              <w:pStyle w:val="P68B1DB1-Normal12"/>
              <w:jc w:val="center"/>
              <w:rPr>
                <w:noProof/>
              </w:rPr>
            </w:pPr>
            <w:r>
              <w:rPr>
                <w:noProof/>
              </w:rPr>
              <w:t>M4C1–23 bis</w:t>
            </w:r>
          </w:p>
        </w:tc>
        <w:tc>
          <w:tcPr>
            <w:tcW w:w="3195" w:type="dxa"/>
            <w:tcBorders>
              <w:top w:val="nil"/>
              <w:left w:val="nil"/>
              <w:bottom w:val="single" w:sz="4" w:space="0" w:color="auto"/>
              <w:right w:val="single" w:sz="4" w:space="0" w:color="auto"/>
            </w:tcBorders>
            <w:shd w:val="clear" w:color="auto" w:fill="C6EFCE"/>
            <w:noWrap/>
            <w:vAlign w:val="center"/>
          </w:tcPr>
          <w:p w14:paraId="252F1617" w14:textId="77777777" w:rsidR="00C972CB" w:rsidRDefault="002457F6">
            <w:pPr>
              <w:pStyle w:val="P68B1DB1-Normal12"/>
              <w:jc w:val="center"/>
              <w:rPr>
                <w:noProof/>
              </w:rPr>
            </w:pPr>
            <w:r>
              <w:rPr>
                <w:noProof/>
              </w:rPr>
              <w:t xml:space="preserve">Ieguldījums 3.4. Mācīšana un padziļinātas universitātes prasmes </w:t>
            </w:r>
          </w:p>
        </w:tc>
        <w:tc>
          <w:tcPr>
            <w:tcW w:w="1380" w:type="dxa"/>
            <w:tcBorders>
              <w:top w:val="nil"/>
              <w:left w:val="nil"/>
              <w:bottom w:val="single" w:sz="4" w:space="0" w:color="auto"/>
              <w:right w:val="single" w:sz="4" w:space="0" w:color="auto"/>
            </w:tcBorders>
            <w:shd w:val="clear" w:color="auto" w:fill="C6EFCE"/>
            <w:noWrap/>
            <w:vAlign w:val="center"/>
          </w:tcPr>
          <w:p w14:paraId="1A6F35D1" w14:textId="77777777" w:rsidR="00C972CB" w:rsidRDefault="002457F6">
            <w:pPr>
              <w:pStyle w:val="P68B1DB1-Normal12"/>
              <w:jc w:val="center"/>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37705503" w14:textId="77777777" w:rsidR="00C972CB" w:rsidRDefault="002457F6">
            <w:pPr>
              <w:pStyle w:val="P68B1DB1-Normal12"/>
              <w:rPr>
                <w:noProof/>
              </w:rPr>
            </w:pPr>
            <w:r>
              <w:rPr>
                <w:noProof/>
              </w:rPr>
              <w:t>Apakšpasākumu par mācīšanu un augstākām universitātes prasmēm īstenošanas pabeigšana</w:t>
            </w:r>
          </w:p>
        </w:tc>
      </w:tr>
      <w:tr w:rsidR="00C972CB" w14:paraId="374F0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71876D" w14:textId="77777777" w:rsidR="00C972CB" w:rsidRDefault="002457F6">
            <w:pPr>
              <w:pStyle w:val="P68B1DB1-Normal12"/>
              <w:jc w:val="center"/>
              <w:rPr>
                <w:noProof/>
              </w:rPr>
            </w:pPr>
            <w:r>
              <w:rPr>
                <w:noProof/>
              </w:rPr>
              <w:t>M4C1–24</w:t>
            </w:r>
          </w:p>
        </w:tc>
        <w:tc>
          <w:tcPr>
            <w:tcW w:w="3195" w:type="dxa"/>
            <w:tcBorders>
              <w:top w:val="nil"/>
              <w:left w:val="nil"/>
              <w:bottom w:val="single" w:sz="4" w:space="0" w:color="auto"/>
              <w:right w:val="single" w:sz="4" w:space="0" w:color="auto"/>
            </w:tcBorders>
            <w:shd w:val="clear" w:color="auto" w:fill="C6EFCE"/>
            <w:noWrap/>
            <w:vAlign w:val="center"/>
          </w:tcPr>
          <w:p w14:paraId="00652B28" w14:textId="77777777" w:rsidR="00C972CB" w:rsidRDefault="002457F6">
            <w:pPr>
              <w:pStyle w:val="P68B1DB1-Normal12"/>
              <w:jc w:val="center"/>
              <w:rPr>
                <w:noProof/>
              </w:rPr>
            </w:pPr>
            <w:r>
              <w:rPr>
                <w:noProof/>
              </w:rPr>
              <w:t xml:space="preserve">Ieguldījums </w:t>
            </w:r>
            <w:r>
              <w:rPr>
                <w:noProof/>
              </w:rPr>
              <w:t>1.6. Aktīva orientācija pārejā no skolas uz augstskolu.</w:t>
            </w:r>
          </w:p>
        </w:tc>
        <w:tc>
          <w:tcPr>
            <w:tcW w:w="1380" w:type="dxa"/>
            <w:tcBorders>
              <w:top w:val="nil"/>
              <w:left w:val="nil"/>
              <w:bottom w:val="single" w:sz="4" w:space="0" w:color="auto"/>
              <w:right w:val="single" w:sz="4" w:space="0" w:color="auto"/>
            </w:tcBorders>
            <w:shd w:val="clear" w:color="auto" w:fill="C6EFCE"/>
            <w:noWrap/>
            <w:vAlign w:val="center"/>
          </w:tcPr>
          <w:p w14:paraId="443546BE"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4AE7BD1E" w14:textId="77777777" w:rsidR="00C972CB" w:rsidRDefault="002457F6">
            <w:pPr>
              <w:pStyle w:val="P68B1DB1-Normal12"/>
              <w:rPr>
                <w:noProof/>
              </w:rPr>
            </w:pPr>
            <w:r>
              <w:rPr>
                <w:noProof/>
              </w:rPr>
              <w:t>Skolēni, kas apguvuši pārejas kursus no skolas uz augstskolu</w:t>
            </w:r>
          </w:p>
        </w:tc>
      </w:tr>
      <w:tr w:rsidR="00C972CB" w14:paraId="372AE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785C07" w14:textId="77777777" w:rsidR="00C972CB" w:rsidRDefault="002457F6">
            <w:pPr>
              <w:pStyle w:val="P68B1DB1-Normal12"/>
              <w:jc w:val="center"/>
              <w:rPr>
                <w:noProof/>
              </w:rPr>
            </w:pPr>
            <w:r>
              <w:rPr>
                <w:noProof/>
              </w:rPr>
              <w:t>M4C1–25</w:t>
            </w:r>
          </w:p>
        </w:tc>
        <w:tc>
          <w:tcPr>
            <w:tcW w:w="3195" w:type="dxa"/>
            <w:tcBorders>
              <w:top w:val="nil"/>
              <w:left w:val="nil"/>
              <w:bottom w:val="single" w:sz="4" w:space="0" w:color="auto"/>
              <w:right w:val="single" w:sz="4" w:space="0" w:color="auto"/>
            </w:tcBorders>
            <w:shd w:val="clear" w:color="auto" w:fill="C6EFCE"/>
            <w:noWrap/>
            <w:vAlign w:val="center"/>
          </w:tcPr>
          <w:p w14:paraId="3D6F68C9" w14:textId="77777777" w:rsidR="00C972CB" w:rsidRDefault="002457F6">
            <w:pPr>
              <w:pStyle w:val="P68B1DB1-Normal12"/>
              <w:jc w:val="center"/>
              <w:rPr>
                <w:noProof/>
              </w:rPr>
            </w:pPr>
            <w:r>
              <w:rPr>
                <w:noProof/>
              </w:rPr>
              <w:t>Ieguldījums 1.4.: Ārkārtas intervence, kuras mērķis ir samazināt teritoriālās atšķirības vidusskolas I un II ciklos un novēr</w:t>
            </w:r>
            <w:r>
              <w:rPr>
                <w:noProof/>
              </w:rPr>
              <w:t>st mācību priekšlaicīgu pārtraukšanu</w:t>
            </w:r>
          </w:p>
        </w:tc>
        <w:tc>
          <w:tcPr>
            <w:tcW w:w="1380" w:type="dxa"/>
            <w:tcBorders>
              <w:top w:val="nil"/>
              <w:left w:val="nil"/>
              <w:bottom w:val="single" w:sz="4" w:space="0" w:color="auto"/>
              <w:right w:val="single" w:sz="4" w:space="0" w:color="auto"/>
            </w:tcBorders>
            <w:shd w:val="clear" w:color="auto" w:fill="C6EFCE"/>
            <w:noWrap/>
            <w:vAlign w:val="center"/>
          </w:tcPr>
          <w:p w14:paraId="7613C4C0"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6F7002DE" w14:textId="77777777" w:rsidR="00C972CB" w:rsidRDefault="002457F6">
            <w:pPr>
              <w:pStyle w:val="P68B1DB1-Normal12"/>
              <w:rPr>
                <w:noProof/>
              </w:rPr>
            </w:pPr>
            <w:r>
              <w:rPr>
                <w:noProof/>
              </w:rPr>
              <w:t>Vidējā izglītībā priekšlaicīgi pametušo rādītāju atšķirība</w:t>
            </w:r>
          </w:p>
        </w:tc>
      </w:tr>
      <w:tr w:rsidR="00C972CB" w14:paraId="22AF60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15EA43" w14:textId="77777777" w:rsidR="00C972CB" w:rsidRDefault="002457F6">
            <w:pPr>
              <w:pStyle w:val="P68B1DB1-Normal12"/>
              <w:jc w:val="center"/>
              <w:rPr>
                <w:noProof/>
              </w:rPr>
            </w:pPr>
            <w:r>
              <w:rPr>
                <w:noProof/>
              </w:rPr>
              <w:t>M4C1–26</w:t>
            </w:r>
          </w:p>
        </w:tc>
        <w:tc>
          <w:tcPr>
            <w:tcW w:w="3195" w:type="dxa"/>
            <w:tcBorders>
              <w:top w:val="nil"/>
              <w:left w:val="nil"/>
              <w:bottom w:val="single" w:sz="4" w:space="0" w:color="auto"/>
              <w:right w:val="single" w:sz="4" w:space="0" w:color="auto"/>
            </w:tcBorders>
            <w:shd w:val="clear" w:color="auto" w:fill="C6EFCE"/>
            <w:noWrap/>
            <w:vAlign w:val="center"/>
          </w:tcPr>
          <w:p w14:paraId="57C8B925" w14:textId="77777777" w:rsidR="00C972CB" w:rsidRDefault="002457F6">
            <w:pPr>
              <w:pStyle w:val="P68B1DB1-Normal12"/>
              <w:jc w:val="center"/>
              <w:rPr>
                <w:noProof/>
              </w:rPr>
            </w:pPr>
            <w:r>
              <w:rPr>
                <w:noProof/>
              </w:rPr>
              <w:t>Ieguldījums 3.3. Skolu ēku drošība un strukturālas rehabilitācijas plāns</w:t>
            </w:r>
          </w:p>
        </w:tc>
        <w:tc>
          <w:tcPr>
            <w:tcW w:w="1380" w:type="dxa"/>
            <w:tcBorders>
              <w:top w:val="nil"/>
              <w:left w:val="nil"/>
              <w:bottom w:val="single" w:sz="4" w:space="0" w:color="auto"/>
              <w:right w:val="single" w:sz="4" w:space="0" w:color="auto"/>
            </w:tcBorders>
            <w:shd w:val="clear" w:color="auto" w:fill="C6EFCE"/>
            <w:noWrap/>
            <w:vAlign w:val="center"/>
          </w:tcPr>
          <w:p w14:paraId="4A73B21B"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5384A4B4" w14:textId="77777777" w:rsidR="00C972CB" w:rsidRDefault="002457F6">
            <w:pPr>
              <w:pStyle w:val="P68B1DB1-Normal12"/>
              <w:rPr>
                <w:noProof/>
              </w:rPr>
            </w:pPr>
            <w:r>
              <w:rPr>
                <w:noProof/>
              </w:rPr>
              <w:t>Renovēto skolu ēku platība</w:t>
            </w:r>
          </w:p>
        </w:tc>
      </w:tr>
      <w:tr w:rsidR="00C972CB" w14:paraId="0B80DA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B1F7D" w14:textId="77777777" w:rsidR="00C972CB" w:rsidRDefault="002457F6">
            <w:pPr>
              <w:pStyle w:val="P68B1DB1-Normal12"/>
              <w:jc w:val="center"/>
              <w:rPr>
                <w:noProof/>
              </w:rPr>
            </w:pPr>
            <w:r>
              <w:rPr>
                <w:noProof/>
              </w:rPr>
              <w:t>M5C1–7bis</w:t>
            </w:r>
          </w:p>
        </w:tc>
        <w:tc>
          <w:tcPr>
            <w:tcW w:w="3195" w:type="dxa"/>
            <w:tcBorders>
              <w:top w:val="nil"/>
              <w:left w:val="nil"/>
              <w:bottom w:val="single" w:sz="4" w:space="0" w:color="auto"/>
              <w:right w:val="single" w:sz="4" w:space="0" w:color="auto"/>
            </w:tcBorders>
            <w:shd w:val="clear" w:color="auto" w:fill="C6EFCE"/>
            <w:noWrap/>
            <w:vAlign w:val="center"/>
          </w:tcPr>
          <w:p w14:paraId="5493C2D2" w14:textId="77777777" w:rsidR="00C972CB" w:rsidRDefault="002457F6">
            <w:pPr>
              <w:pStyle w:val="P68B1DB1-Normal12"/>
              <w:jc w:val="center"/>
              <w:rPr>
                <w:noProof/>
              </w:rPr>
            </w:pPr>
            <w:r>
              <w:rPr>
                <w:noProof/>
              </w:rPr>
              <w:t xml:space="preserve">Ieguldījums 1 — Valsts nodarbinātības dienestu (VND) stiprināšana </w:t>
            </w:r>
          </w:p>
        </w:tc>
        <w:tc>
          <w:tcPr>
            <w:tcW w:w="1380" w:type="dxa"/>
            <w:tcBorders>
              <w:top w:val="nil"/>
              <w:left w:val="nil"/>
              <w:bottom w:val="single" w:sz="4" w:space="0" w:color="auto"/>
              <w:right w:val="single" w:sz="4" w:space="0" w:color="auto"/>
            </w:tcBorders>
            <w:shd w:val="clear" w:color="auto" w:fill="C6EFCE"/>
            <w:noWrap/>
            <w:vAlign w:val="center"/>
          </w:tcPr>
          <w:p w14:paraId="43A5C5E9"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49A64A65" w14:textId="77777777" w:rsidR="00C972CB" w:rsidRDefault="002457F6">
            <w:pPr>
              <w:pStyle w:val="P68B1DB1-Normal12"/>
              <w:rPr>
                <w:noProof/>
              </w:rPr>
            </w:pPr>
            <w:r>
              <w:rPr>
                <w:noProof/>
              </w:rPr>
              <w:t>Valstu nodarbinātības dienesti (VND) ir pabeiguši stiprināšanas plānā paredzētos pasākumus</w:t>
            </w:r>
          </w:p>
        </w:tc>
      </w:tr>
      <w:tr w:rsidR="00C972CB" w14:paraId="13F30A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58FF6A" w14:textId="77777777" w:rsidR="00C972CB" w:rsidRDefault="002457F6">
            <w:pPr>
              <w:pStyle w:val="P68B1DB1-Normal12"/>
              <w:jc w:val="center"/>
              <w:rPr>
                <w:noProof/>
              </w:rPr>
            </w:pPr>
            <w:r>
              <w:rPr>
                <w:noProof/>
              </w:rPr>
              <w:t xml:space="preserve">M5C1–13 </w:t>
            </w:r>
          </w:p>
        </w:tc>
        <w:tc>
          <w:tcPr>
            <w:tcW w:w="3195" w:type="dxa"/>
            <w:tcBorders>
              <w:top w:val="nil"/>
              <w:left w:val="nil"/>
              <w:bottom w:val="single" w:sz="4" w:space="0" w:color="auto"/>
              <w:right w:val="single" w:sz="4" w:space="0" w:color="auto"/>
            </w:tcBorders>
            <w:shd w:val="clear" w:color="auto" w:fill="C6EFCE"/>
            <w:noWrap/>
            <w:vAlign w:val="center"/>
          </w:tcPr>
          <w:p w14:paraId="164B6904" w14:textId="77777777" w:rsidR="00C972CB" w:rsidRDefault="002457F6">
            <w:pPr>
              <w:pStyle w:val="P68B1DB1-Normal12"/>
              <w:jc w:val="center"/>
              <w:rPr>
                <w:noProof/>
              </w:rPr>
            </w:pPr>
            <w:r>
              <w:rPr>
                <w:noProof/>
              </w:rPr>
              <w:t>Ieguldījums — Dzimumu līdztiesības sertifikācijas sistēma</w:t>
            </w:r>
          </w:p>
        </w:tc>
        <w:tc>
          <w:tcPr>
            <w:tcW w:w="1380" w:type="dxa"/>
            <w:tcBorders>
              <w:top w:val="nil"/>
              <w:left w:val="nil"/>
              <w:bottom w:val="single" w:sz="4" w:space="0" w:color="auto"/>
              <w:right w:val="single" w:sz="4" w:space="0" w:color="auto"/>
            </w:tcBorders>
            <w:shd w:val="clear" w:color="auto" w:fill="C6EFCE"/>
            <w:noWrap/>
            <w:vAlign w:val="center"/>
          </w:tcPr>
          <w:p w14:paraId="66087A52"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6E497AA5" w14:textId="77777777" w:rsidR="00C972CB" w:rsidRDefault="002457F6">
            <w:pPr>
              <w:pStyle w:val="P68B1DB1-Normal12"/>
              <w:rPr>
                <w:noProof/>
              </w:rPr>
            </w:pPr>
            <w:r>
              <w:rPr>
                <w:noProof/>
              </w:rPr>
              <w:t xml:space="preserve">Uzņēmumi ir </w:t>
            </w:r>
            <w:r>
              <w:rPr>
                <w:noProof/>
              </w:rPr>
              <w:t>saņēmuši dzimumu līdztiesības sertifikātu</w:t>
            </w:r>
          </w:p>
        </w:tc>
      </w:tr>
      <w:tr w:rsidR="00C972CB" w14:paraId="464676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E67C08" w14:textId="77777777" w:rsidR="00C972CB" w:rsidRDefault="002457F6">
            <w:pPr>
              <w:pStyle w:val="P68B1DB1-Normal12"/>
              <w:jc w:val="center"/>
              <w:rPr>
                <w:noProof/>
              </w:rPr>
            </w:pPr>
            <w:r>
              <w:rPr>
                <w:noProof/>
              </w:rPr>
              <w:t>M5C1–14</w:t>
            </w:r>
          </w:p>
        </w:tc>
        <w:tc>
          <w:tcPr>
            <w:tcW w:w="3195" w:type="dxa"/>
            <w:tcBorders>
              <w:top w:val="nil"/>
              <w:left w:val="nil"/>
              <w:bottom w:val="single" w:sz="4" w:space="0" w:color="auto"/>
              <w:right w:val="single" w:sz="4" w:space="0" w:color="auto"/>
            </w:tcBorders>
            <w:shd w:val="clear" w:color="auto" w:fill="C6EFCE"/>
            <w:noWrap/>
            <w:vAlign w:val="center"/>
          </w:tcPr>
          <w:p w14:paraId="3E312D33" w14:textId="77777777" w:rsidR="00C972CB" w:rsidRDefault="002457F6">
            <w:pPr>
              <w:pStyle w:val="P68B1DB1-Normal12"/>
              <w:jc w:val="center"/>
              <w:rPr>
                <w:noProof/>
              </w:rPr>
            </w:pPr>
            <w:r>
              <w:rPr>
                <w:noProof/>
              </w:rPr>
              <w:t>Ieguldījums — Dzimumu līdztiesības sertifikācijas sistēma</w:t>
            </w:r>
          </w:p>
        </w:tc>
        <w:tc>
          <w:tcPr>
            <w:tcW w:w="1380" w:type="dxa"/>
            <w:tcBorders>
              <w:top w:val="nil"/>
              <w:left w:val="nil"/>
              <w:bottom w:val="single" w:sz="4" w:space="0" w:color="auto"/>
              <w:right w:val="single" w:sz="4" w:space="0" w:color="auto"/>
            </w:tcBorders>
            <w:shd w:val="clear" w:color="auto" w:fill="C6EFCE"/>
            <w:noWrap/>
            <w:vAlign w:val="center"/>
          </w:tcPr>
          <w:p w14:paraId="7F9FE5C0"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343DE9FE" w14:textId="77777777" w:rsidR="00C972CB" w:rsidRDefault="002457F6">
            <w:pPr>
              <w:pStyle w:val="P68B1DB1-Normal12"/>
              <w:rPr>
                <w:noProof/>
              </w:rPr>
            </w:pPr>
            <w:r>
              <w:rPr>
                <w:noProof/>
              </w:rPr>
              <w:t>Ar tehnisko palīdzību atbalstītie uzņēmumi ir saņēmuši dzimumu līdztiesības sertifikātu</w:t>
            </w:r>
          </w:p>
        </w:tc>
      </w:tr>
      <w:tr w:rsidR="00C972CB" w14:paraId="3F111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9C71C" w14:textId="77777777" w:rsidR="00C972CB" w:rsidRDefault="002457F6">
            <w:pPr>
              <w:pStyle w:val="P68B1DB1-Normal12"/>
              <w:jc w:val="center"/>
              <w:rPr>
                <w:noProof/>
              </w:rPr>
            </w:pPr>
            <w:r>
              <w:rPr>
                <w:noProof/>
              </w:rPr>
              <w:t>M5C1–16</w:t>
            </w:r>
          </w:p>
        </w:tc>
        <w:tc>
          <w:tcPr>
            <w:tcW w:w="3195" w:type="dxa"/>
            <w:tcBorders>
              <w:top w:val="nil"/>
              <w:left w:val="nil"/>
              <w:bottom w:val="single" w:sz="4" w:space="0" w:color="auto"/>
              <w:right w:val="single" w:sz="4" w:space="0" w:color="auto"/>
            </w:tcBorders>
            <w:shd w:val="clear" w:color="auto" w:fill="C6EFCE"/>
            <w:noWrap/>
            <w:vAlign w:val="center"/>
          </w:tcPr>
          <w:p w14:paraId="61684F11" w14:textId="77777777" w:rsidR="00C972CB" w:rsidRDefault="002457F6">
            <w:pPr>
              <w:pStyle w:val="P68B1DB1-Normal12"/>
              <w:jc w:val="center"/>
              <w:rPr>
                <w:noProof/>
              </w:rPr>
            </w:pPr>
            <w:r>
              <w:rPr>
                <w:noProof/>
              </w:rPr>
              <w:t>Ieguldījums 4 — Universālais civildienests</w:t>
            </w:r>
          </w:p>
        </w:tc>
        <w:tc>
          <w:tcPr>
            <w:tcW w:w="1380" w:type="dxa"/>
            <w:tcBorders>
              <w:top w:val="nil"/>
              <w:left w:val="nil"/>
              <w:bottom w:val="single" w:sz="4" w:space="0" w:color="auto"/>
              <w:right w:val="single" w:sz="4" w:space="0" w:color="auto"/>
            </w:tcBorders>
            <w:shd w:val="clear" w:color="auto" w:fill="C6EFCE"/>
            <w:noWrap/>
            <w:vAlign w:val="center"/>
          </w:tcPr>
          <w:p w14:paraId="79AE2D78"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2A133CD2" w14:textId="77777777" w:rsidR="00C972CB" w:rsidRDefault="002457F6">
            <w:pPr>
              <w:pStyle w:val="P68B1DB1-Normal12"/>
              <w:rPr>
                <w:noProof/>
              </w:rPr>
            </w:pPr>
            <w:r>
              <w:rPr>
                <w:noProof/>
              </w:rPr>
              <w:t>Cilvēki ir piedalījušies vispārējā civildienesta programmā un saņēmuši attiecīgu sertifikātu četru gadu laikposmā no 2021. līdz 2024. gadam</w:t>
            </w:r>
          </w:p>
        </w:tc>
      </w:tr>
      <w:tr w:rsidR="00C972CB" w14:paraId="090E2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CF3FE8" w14:textId="77777777" w:rsidR="00C972CB" w:rsidRDefault="002457F6">
            <w:pPr>
              <w:pStyle w:val="P68B1DB1-Normal12"/>
              <w:jc w:val="center"/>
              <w:rPr>
                <w:noProof/>
              </w:rPr>
            </w:pPr>
            <w:r>
              <w:rPr>
                <w:noProof/>
              </w:rPr>
              <w:t>M5C3–4</w:t>
            </w:r>
          </w:p>
        </w:tc>
        <w:tc>
          <w:tcPr>
            <w:tcW w:w="3195" w:type="dxa"/>
            <w:tcBorders>
              <w:top w:val="nil"/>
              <w:left w:val="nil"/>
              <w:bottom w:val="single" w:sz="4" w:space="0" w:color="auto"/>
              <w:right w:val="single" w:sz="4" w:space="0" w:color="auto"/>
            </w:tcBorders>
            <w:shd w:val="clear" w:color="auto" w:fill="C6EFCE"/>
            <w:noWrap/>
            <w:vAlign w:val="center"/>
          </w:tcPr>
          <w:p w14:paraId="05D36C98" w14:textId="77777777" w:rsidR="00C972CB" w:rsidRDefault="002457F6">
            <w:pPr>
              <w:pStyle w:val="P68B1DB1-Normal12"/>
              <w:jc w:val="center"/>
              <w:rPr>
                <w:noProof/>
              </w:rPr>
            </w:pPr>
            <w:r>
              <w:rPr>
                <w:noProof/>
              </w:rPr>
              <w:t>Ieguldījums Nr. 2: Teritoriālā tuvumā esošās veselības aprūpes iestādes</w:t>
            </w:r>
          </w:p>
        </w:tc>
        <w:tc>
          <w:tcPr>
            <w:tcW w:w="1380" w:type="dxa"/>
            <w:tcBorders>
              <w:top w:val="nil"/>
              <w:left w:val="nil"/>
              <w:bottom w:val="single" w:sz="4" w:space="0" w:color="auto"/>
              <w:right w:val="single" w:sz="4" w:space="0" w:color="auto"/>
            </w:tcBorders>
            <w:shd w:val="clear" w:color="auto" w:fill="C6EFCE"/>
            <w:noWrap/>
            <w:vAlign w:val="center"/>
          </w:tcPr>
          <w:p w14:paraId="1AF9B75F"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78FC7B2B" w14:textId="77777777" w:rsidR="00C972CB" w:rsidRDefault="002457F6">
            <w:pPr>
              <w:pStyle w:val="P68B1DB1-Normal12"/>
              <w:rPr>
                <w:noProof/>
              </w:rPr>
            </w:pPr>
            <w:r>
              <w:rPr>
                <w:noProof/>
              </w:rPr>
              <w:t xml:space="preserve">Atbalsts lauku aptiekām </w:t>
            </w:r>
            <w:r>
              <w:rPr>
                <w:noProof/>
              </w:rPr>
              <w:t>pašvaldībās, ciematos vai apdzīvotās vietās, kurās ir mazāk nekā 5000 iedzīvotāju (otrā partija)</w:t>
            </w:r>
          </w:p>
        </w:tc>
      </w:tr>
      <w:tr w:rsidR="00C972CB" w14:paraId="0828AE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2DAF0C" w14:textId="77777777" w:rsidR="00C972CB" w:rsidRDefault="002457F6">
            <w:pPr>
              <w:pStyle w:val="P68B1DB1-Normal12"/>
              <w:jc w:val="center"/>
              <w:rPr>
                <w:noProof/>
              </w:rPr>
            </w:pPr>
            <w:r>
              <w:rPr>
                <w:noProof/>
              </w:rPr>
              <w:t>M5C3–9</w:t>
            </w:r>
          </w:p>
        </w:tc>
        <w:tc>
          <w:tcPr>
            <w:tcW w:w="3195" w:type="dxa"/>
            <w:tcBorders>
              <w:top w:val="nil"/>
              <w:left w:val="nil"/>
              <w:bottom w:val="single" w:sz="4" w:space="0" w:color="auto"/>
              <w:right w:val="single" w:sz="4" w:space="0" w:color="auto"/>
            </w:tcBorders>
            <w:shd w:val="clear" w:color="auto" w:fill="C6EFCE"/>
            <w:noWrap/>
            <w:vAlign w:val="center"/>
          </w:tcPr>
          <w:p w14:paraId="39A16615" w14:textId="77777777" w:rsidR="00C972CB" w:rsidRDefault="002457F6">
            <w:pPr>
              <w:pStyle w:val="P68B1DB1-Normal12"/>
              <w:jc w:val="center"/>
              <w:rPr>
                <w:noProof/>
              </w:rPr>
            </w:pPr>
            <w:r>
              <w:rPr>
                <w:noProof/>
              </w:rPr>
              <w:t>Ieguldījums1.3: Strukturēti sociālizglītības pasākumi cīņai pret izglītības nabadzību dienvidos, atbalstot trešo sektoru</w:t>
            </w:r>
          </w:p>
        </w:tc>
        <w:tc>
          <w:tcPr>
            <w:tcW w:w="1380" w:type="dxa"/>
            <w:tcBorders>
              <w:top w:val="nil"/>
              <w:left w:val="nil"/>
              <w:bottom w:val="single" w:sz="4" w:space="0" w:color="auto"/>
              <w:right w:val="single" w:sz="4" w:space="0" w:color="auto"/>
            </w:tcBorders>
            <w:shd w:val="clear" w:color="auto" w:fill="C6EFCE"/>
            <w:noWrap/>
            <w:vAlign w:val="center"/>
          </w:tcPr>
          <w:p w14:paraId="7FD5FDE1"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4F79A12A" w14:textId="77777777" w:rsidR="00C972CB" w:rsidRDefault="002457F6">
            <w:pPr>
              <w:pStyle w:val="P68B1DB1-Normal12"/>
              <w:rPr>
                <w:noProof/>
              </w:rPr>
            </w:pPr>
            <w:r>
              <w:rPr>
                <w:noProof/>
              </w:rPr>
              <w:t>Izglītības atbalsts nepi</w:t>
            </w:r>
            <w:r>
              <w:rPr>
                <w:noProof/>
              </w:rPr>
              <w:t>lngadīgajiem (otrā sērija)</w:t>
            </w:r>
          </w:p>
        </w:tc>
      </w:tr>
      <w:tr w:rsidR="00C972CB" w14:paraId="6CB756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CDD483" w14:textId="77777777" w:rsidR="00C972CB" w:rsidRDefault="002457F6">
            <w:pPr>
              <w:pStyle w:val="P68B1DB1-Normal12"/>
              <w:jc w:val="center"/>
              <w:rPr>
                <w:noProof/>
              </w:rPr>
            </w:pPr>
            <w:r>
              <w:rPr>
                <w:noProof/>
              </w:rPr>
              <w:t>M7–11</w:t>
            </w:r>
          </w:p>
        </w:tc>
        <w:tc>
          <w:tcPr>
            <w:tcW w:w="3195" w:type="dxa"/>
            <w:tcBorders>
              <w:top w:val="nil"/>
              <w:left w:val="nil"/>
              <w:bottom w:val="single" w:sz="4" w:space="0" w:color="auto"/>
              <w:right w:val="single" w:sz="4" w:space="0" w:color="auto"/>
            </w:tcBorders>
            <w:shd w:val="clear" w:color="auto" w:fill="C6EFCE"/>
            <w:noWrap/>
            <w:vAlign w:val="center"/>
          </w:tcPr>
          <w:p w14:paraId="425E6CB2" w14:textId="77777777" w:rsidR="00C972CB" w:rsidRDefault="002457F6">
            <w:pPr>
              <w:pStyle w:val="P68B1DB1-Normal12"/>
              <w:rPr>
                <w:noProof/>
              </w:rPr>
            </w:pPr>
            <w:r>
              <w:rPr>
                <w:noProof/>
              </w:rPr>
              <w:t>Ieguldījums: Izvēršanas pasākums: Viedo tīklu stiprināšana</w:t>
            </w:r>
          </w:p>
        </w:tc>
        <w:tc>
          <w:tcPr>
            <w:tcW w:w="1380" w:type="dxa"/>
            <w:tcBorders>
              <w:top w:val="nil"/>
              <w:left w:val="nil"/>
              <w:bottom w:val="single" w:sz="4" w:space="0" w:color="auto"/>
              <w:right w:val="single" w:sz="4" w:space="0" w:color="auto"/>
            </w:tcBorders>
            <w:shd w:val="clear" w:color="auto" w:fill="C6EFCE"/>
            <w:noWrap/>
            <w:vAlign w:val="center"/>
          </w:tcPr>
          <w:p w14:paraId="3B7CD0F7"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3E696793" w14:textId="77777777" w:rsidR="00C972CB" w:rsidRDefault="002457F6">
            <w:pPr>
              <w:pStyle w:val="P68B1DB1-Normal12"/>
              <w:rPr>
                <w:noProof/>
              </w:rPr>
            </w:pPr>
            <w:r>
              <w:rPr>
                <w:noProof/>
              </w:rPr>
              <w:t>Viedtīkli — enerģijas patēriņa elektrifikācija</w:t>
            </w:r>
          </w:p>
        </w:tc>
      </w:tr>
      <w:tr w:rsidR="00C972CB" w14:paraId="3ECF9F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6D4741" w14:textId="77777777" w:rsidR="00C972CB" w:rsidRDefault="002457F6">
            <w:pPr>
              <w:pStyle w:val="P68B1DB1-Normal12"/>
              <w:jc w:val="center"/>
              <w:rPr>
                <w:noProof/>
              </w:rPr>
            </w:pPr>
            <w:r>
              <w:rPr>
                <w:noProof/>
              </w:rPr>
              <w:t>M7–12</w:t>
            </w:r>
          </w:p>
        </w:tc>
        <w:tc>
          <w:tcPr>
            <w:tcW w:w="3195" w:type="dxa"/>
            <w:tcBorders>
              <w:top w:val="nil"/>
              <w:left w:val="nil"/>
              <w:bottom w:val="single" w:sz="4" w:space="0" w:color="auto"/>
              <w:right w:val="single" w:sz="4" w:space="0" w:color="auto"/>
            </w:tcBorders>
            <w:shd w:val="clear" w:color="auto" w:fill="C6EFCE"/>
            <w:noWrap/>
            <w:vAlign w:val="center"/>
          </w:tcPr>
          <w:p w14:paraId="0B535F4F" w14:textId="77777777" w:rsidR="00C972CB" w:rsidRDefault="002457F6">
            <w:pPr>
              <w:pStyle w:val="P68B1DB1-Normal12"/>
              <w:rPr>
                <w:noProof/>
              </w:rPr>
            </w:pPr>
            <w:r>
              <w:rPr>
                <w:noProof/>
              </w:rPr>
              <w:t>Ieguldījums Nr. 2: Izvēršanas pasākums: Pasākumi elektrotīkla noturības palielināšanai</w:t>
            </w:r>
          </w:p>
        </w:tc>
        <w:tc>
          <w:tcPr>
            <w:tcW w:w="1380" w:type="dxa"/>
            <w:tcBorders>
              <w:top w:val="nil"/>
              <w:left w:val="nil"/>
              <w:bottom w:val="single" w:sz="4" w:space="0" w:color="auto"/>
              <w:right w:val="single" w:sz="4" w:space="0" w:color="auto"/>
            </w:tcBorders>
            <w:shd w:val="clear" w:color="auto" w:fill="C6EFCE"/>
            <w:noWrap/>
            <w:vAlign w:val="center"/>
          </w:tcPr>
          <w:p w14:paraId="187C133F"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6AFB1E8B" w14:textId="77777777" w:rsidR="00C972CB" w:rsidRDefault="002457F6">
            <w:pPr>
              <w:pStyle w:val="P68B1DB1-Normal12"/>
              <w:rPr>
                <w:noProof/>
              </w:rPr>
            </w:pPr>
            <w:r>
              <w:rPr>
                <w:noProof/>
              </w:rPr>
              <w:t>Palielināt</w:t>
            </w:r>
            <w:r>
              <w:rPr>
                <w:noProof/>
              </w:rPr>
              <w:t xml:space="preserve"> elektroenerģijas sistēmas tīkla noturību</w:t>
            </w:r>
          </w:p>
        </w:tc>
      </w:tr>
      <w:tr w:rsidR="00C972CB" w14:paraId="3CE58A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1060E" w14:textId="77777777" w:rsidR="00C972CB" w:rsidRDefault="002457F6">
            <w:pPr>
              <w:pStyle w:val="P68B1DB1-Normal12"/>
              <w:jc w:val="center"/>
              <w:rPr>
                <w:noProof/>
              </w:rPr>
            </w:pPr>
            <w:r>
              <w:rPr>
                <w:noProof/>
              </w:rPr>
              <w:t>M7–13</w:t>
            </w:r>
          </w:p>
        </w:tc>
        <w:tc>
          <w:tcPr>
            <w:tcW w:w="3195" w:type="dxa"/>
            <w:tcBorders>
              <w:top w:val="nil"/>
              <w:left w:val="nil"/>
              <w:bottom w:val="single" w:sz="4" w:space="0" w:color="auto"/>
              <w:right w:val="single" w:sz="4" w:space="0" w:color="auto"/>
            </w:tcBorders>
            <w:shd w:val="clear" w:color="auto" w:fill="C6EFCE"/>
            <w:noWrap/>
            <w:vAlign w:val="center"/>
          </w:tcPr>
          <w:p w14:paraId="13F21012" w14:textId="77777777" w:rsidR="00C972CB" w:rsidRDefault="002457F6">
            <w:pPr>
              <w:pStyle w:val="P68B1DB1-Normal12"/>
              <w:rPr>
                <w:noProof/>
              </w:rPr>
            </w:pPr>
            <w:r>
              <w:rPr>
                <w:noProof/>
              </w:rPr>
              <w:t>Ieguldījums 3: Izvēršanas pasākums: Ūdeņraža ražošana degradētās teritorijās (Ūdeņraža ielejās)</w:t>
            </w:r>
          </w:p>
        </w:tc>
        <w:tc>
          <w:tcPr>
            <w:tcW w:w="1380" w:type="dxa"/>
            <w:tcBorders>
              <w:top w:val="nil"/>
              <w:left w:val="nil"/>
              <w:bottom w:val="single" w:sz="4" w:space="0" w:color="auto"/>
              <w:right w:val="single" w:sz="4" w:space="0" w:color="auto"/>
            </w:tcBorders>
            <w:shd w:val="clear" w:color="auto" w:fill="C6EFCE"/>
            <w:noWrap/>
            <w:vAlign w:val="center"/>
          </w:tcPr>
          <w:p w14:paraId="485F32DE"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72F4E8F" w14:textId="77777777" w:rsidR="00C972CB" w:rsidRDefault="002457F6">
            <w:pPr>
              <w:pStyle w:val="P68B1DB1-Normal12"/>
              <w:rPr>
                <w:noProof/>
              </w:rPr>
            </w:pPr>
            <w:r>
              <w:rPr>
                <w:noProof/>
              </w:rPr>
              <w:t>Ūdeņraža ražošanas projektu pabeigšana rūpniecības apgabalos</w:t>
            </w:r>
          </w:p>
        </w:tc>
      </w:tr>
      <w:tr w:rsidR="00C972CB" w14:paraId="00D878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34129" w14:textId="77777777" w:rsidR="00C972CB" w:rsidRDefault="002457F6">
            <w:pPr>
              <w:pStyle w:val="P68B1DB1-Normal12"/>
              <w:jc w:val="center"/>
              <w:rPr>
                <w:noProof/>
              </w:rPr>
            </w:pPr>
            <w:r>
              <w:rPr>
                <w:noProof/>
              </w:rPr>
              <w:t>M7–15</w:t>
            </w:r>
          </w:p>
        </w:tc>
        <w:tc>
          <w:tcPr>
            <w:tcW w:w="3195" w:type="dxa"/>
            <w:tcBorders>
              <w:top w:val="nil"/>
              <w:left w:val="nil"/>
              <w:bottom w:val="single" w:sz="4" w:space="0" w:color="auto"/>
              <w:right w:val="single" w:sz="4" w:space="0" w:color="auto"/>
            </w:tcBorders>
            <w:shd w:val="clear" w:color="auto" w:fill="C6EFCE"/>
            <w:noWrap/>
            <w:vAlign w:val="center"/>
          </w:tcPr>
          <w:p w14:paraId="10E7AE78" w14:textId="77777777" w:rsidR="00C972CB" w:rsidRDefault="002457F6">
            <w:pPr>
              <w:pStyle w:val="P68B1DB1-Normal12"/>
              <w:rPr>
                <w:noProof/>
              </w:rPr>
            </w:pPr>
            <w:r>
              <w:rPr>
                <w:noProof/>
              </w:rPr>
              <w:t>Ieguldījums Nr. 4: Tirēnu savienojums</w:t>
            </w:r>
          </w:p>
        </w:tc>
        <w:tc>
          <w:tcPr>
            <w:tcW w:w="1380" w:type="dxa"/>
            <w:tcBorders>
              <w:top w:val="nil"/>
              <w:left w:val="nil"/>
              <w:bottom w:val="single" w:sz="4" w:space="0" w:color="auto"/>
              <w:right w:val="single" w:sz="4" w:space="0" w:color="auto"/>
            </w:tcBorders>
            <w:shd w:val="clear" w:color="auto" w:fill="C6EFCE"/>
            <w:noWrap/>
            <w:vAlign w:val="center"/>
          </w:tcPr>
          <w:p w14:paraId="231CECA4"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27AF0827" w14:textId="77777777" w:rsidR="00C972CB" w:rsidRDefault="002457F6">
            <w:pPr>
              <w:pStyle w:val="P68B1DB1-Normal12"/>
              <w:rPr>
                <w:noProof/>
              </w:rPr>
            </w:pPr>
            <w:r>
              <w:rPr>
                <w:noProof/>
              </w:rPr>
              <w:t>Uzstādīts 514 km kabelis</w:t>
            </w:r>
          </w:p>
        </w:tc>
      </w:tr>
      <w:tr w:rsidR="00C972CB" w14:paraId="4D68AD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A5696F" w14:textId="77777777" w:rsidR="00C972CB" w:rsidRDefault="002457F6">
            <w:pPr>
              <w:pStyle w:val="P68B1DB1-Normal12"/>
              <w:jc w:val="center"/>
              <w:rPr>
                <w:noProof/>
              </w:rPr>
            </w:pPr>
            <w:r>
              <w:rPr>
                <w:noProof/>
              </w:rPr>
              <w:t>M7–17</w:t>
            </w:r>
          </w:p>
        </w:tc>
        <w:tc>
          <w:tcPr>
            <w:tcW w:w="3195" w:type="dxa"/>
            <w:tcBorders>
              <w:top w:val="nil"/>
              <w:left w:val="nil"/>
              <w:bottom w:val="single" w:sz="4" w:space="0" w:color="auto"/>
              <w:right w:val="single" w:sz="4" w:space="0" w:color="auto"/>
            </w:tcBorders>
            <w:shd w:val="clear" w:color="auto" w:fill="C6EFCE"/>
            <w:noWrap/>
            <w:vAlign w:val="center"/>
          </w:tcPr>
          <w:p w14:paraId="63CA88A9" w14:textId="77777777" w:rsidR="00C972CB" w:rsidRDefault="002457F6">
            <w:pPr>
              <w:pStyle w:val="P68B1DB1-Normal12"/>
              <w:rPr>
                <w:noProof/>
              </w:rPr>
            </w:pPr>
            <w:r>
              <w:rPr>
                <w:noProof/>
              </w:rPr>
              <w:t>Ieguldījums Nr. 5: SA.CO.I.3</w:t>
            </w:r>
          </w:p>
        </w:tc>
        <w:tc>
          <w:tcPr>
            <w:tcW w:w="1380" w:type="dxa"/>
            <w:tcBorders>
              <w:top w:val="nil"/>
              <w:left w:val="nil"/>
              <w:bottom w:val="single" w:sz="4" w:space="0" w:color="auto"/>
              <w:right w:val="single" w:sz="4" w:space="0" w:color="auto"/>
            </w:tcBorders>
            <w:shd w:val="clear" w:color="auto" w:fill="C6EFCE"/>
            <w:noWrap/>
            <w:vAlign w:val="center"/>
          </w:tcPr>
          <w:p w14:paraId="6BE9AFB8" w14:textId="77777777" w:rsidR="00C972CB" w:rsidRDefault="002457F6">
            <w:pPr>
              <w:pStyle w:val="P68B1DB1-Normal12"/>
              <w:jc w:val="center"/>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7F0712C9" w14:textId="77777777" w:rsidR="00C972CB" w:rsidRDefault="002457F6">
            <w:pPr>
              <w:pStyle w:val="P68B1DB1-Normal12"/>
              <w:rPr>
                <w:noProof/>
              </w:rPr>
            </w:pPr>
            <w:r>
              <w:rPr>
                <w:noProof/>
              </w:rPr>
              <w:t>Pārbūves staciju čaumalu pabeigšana Sardīnijā (Codrongianos) un Toskānā (Suvereto)</w:t>
            </w:r>
          </w:p>
        </w:tc>
      </w:tr>
      <w:tr w:rsidR="00C972CB" w14:paraId="3E43F4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D1BA36" w14:textId="77777777" w:rsidR="00C972CB" w:rsidRDefault="002457F6">
            <w:pPr>
              <w:pStyle w:val="P68B1DB1-Normal12"/>
              <w:jc w:val="center"/>
              <w:rPr>
                <w:noProof/>
              </w:rPr>
            </w:pPr>
            <w:r>
              <w:rPr>
                <w:noProof/>
              </w:rPr>
              <w:t>M7–19</w:t>
            </w:r>
          </w:p>
        </w:tc>
        <w:tc>
          <w:tcPr>
            <w:tcW w:w="3195" w:type="dxa"/>
            <w:tcBorders>
              <w:top w:val="nil"/>
              <w:left w:val="nil"/>
              <w:bottom w:val="single" w:sz="4" w:space="0" w:color="auto"/>
              <w:right w:val="single" w:sz="4" w:space="0" w:color="auto"/>
            </w:tcBorders>
            <w:shd w:val="clear" w:color="auto" w:fill="C6EFCE"/>
            <w:noWrap/>
            <w:vAlign w:val="center"/>
          </w:tcPr>
          <w:p w14:paraId="5FE18960" w14:textId="77777777" w:rsidR="00C972CB" w:rsidRDefault="002457F6">
            <w:pPr>
              <w:pStyle w:val="P68B1DB1-Normal12"/>
              <w:rPr>
                <w:noProof/>
              </w:rPr>
            </w:pPr>
            <w:r>
              <w:rPr>
                <w:noProof/>
              </w:rPr>
              <w:t xml:space="preserve">Ieguldījums 6: Pārrobežu elektroenerģijas starpsavienojumu projekti starp </w:t>
            </w:r>
            <w:r>
              <w:rPr>
                <w:noProof/>
              </w:rPr>
              <w:t>Itāliju un kaimiņvalstīm</w:t>
            </w:r>
          </w:p>
        </w:tc>
        <w:tc>
          <w:tcPr>
            <w:tcW w:w="1380" w:type="dxa"/>
            <w:tcBorders>
              <w:top w:val="nil"/>
              <w:left w:val="nil"/>
              <w:bottom w:val="single" w:sz="4" w:space="0" w:color="auto"/>
              <w:right w:val="single" w:sz="4" w:space="0" w:color="auto"/>
            </w:tcBorders>
            <w:shd w:val="clear" w:color="auto" w:fill="C6EFCE"/>
            <w:noWrap/>
            <w:vAlign w:val="center"/>
          </w:tcPr>
          <w:p w14:paraId="6A6006F5"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0F7D21B" w14:textId="77777777" w:rsidR="00C972CB" w:rsidRDefault="002457F6">
            <w:pPr>
              <w:pStyle w:val="P68B1DB1-Normal12"/>
              <w:rPr>
                <w:noProof/>
              </w:rPr>
            </w:pPr>
            <w:r>
              <w:rPr>
                <w:noProof/>
              </w:rPr>
              <w:t>Starpsavienojuma nominālās jaudas pieaugums starp Itāliju un Austriju starpsavienojuma pabeigšanas rezultātā</w:t>
            </w:r>
          </w:p>
        </w:tc>
      </w:tr>
      <w:tr w:rsidR="00C972CB" w14:paraId="5DBD0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172A5E" w14:textId="77777777" w:rsidR="00C972CB" w:rsidRDefault="002457F6">
            <w:pPr>
              <w:pStyle w:val="P68B1DB1-Normal12"/>
              <w:jc w:val="center"/>
              <w:rPr>
                <w:noProof/>
              </w:rPr>
            </w:pPr>
            <w:r>
              <w:rPr>
                <w:noProof/>
              </w:rPr>
              <w:t>M7–22</w:t>
            </w:r>
          </w:p>
        </w:tc>
        <w:tc>
          <w:tcPr>
            <w:tcW w:w="3195" w:type="dxa"/>
            <w:tcBorders>
              <w:top w:val="nil"/>
              <w:left w:val="nil"/>
              <w:bottom w:val="single" w:sz="4" w:space="0" w:color="auto"/>
              <w:right w:val="single" w:sz="4" w:space="0" w:color="auto"/>
            </w:tcBorders>
            <w:shd w:val="clear" w:color="auto" w:fill="C6EFCE"/>
            <w:noWrap/>
            <w:vAlign w:val="center"/>
          </w:tcPr>
          <w:p w14:paraId="23C14565" w14:textId="77777777" w:rsidR="00C972CB" w:rsidRDefault="002457F6">
            <w:pPr>
              <w:pStyle w:val="P68B1DB1-Normal12"/>
              <w:rPr>
                <w:noProof/>
              </w:rPr>
            </w:pPr>
            <w:r>
              <w:rPr>
                <w:noProof/>
              </w:rPr>
              <w:t>Ieguldījums 7: Viedais nacionālais pārvades tīkls</w:t>
            </w:r>
          </w:p>
        </w:tc>
        <w:tc>
          <w:tcPr>
            <w:tcW w:w="1380" w:type="dxa"/>
            <w:tcBorders>
              <w:top w:val="nil"/>
              <w:left w:val="nil"/>
              <w:bottom w:val="single" w:sz="4" w:space="0" w:color="auto"/>
              <w:right w:val="single" w:sz="4" w:space="0" w:color="auto"/>
            </w:tcBorders>
            <w:shd w:val="clear" w:color="auto" w:fill="C6EFCE"/>
            <w:noWrap/>
            <w:vAlign w:val="center"/>
          </w:tcPr>
          <w:p w14:paraId="48900716"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586CB733" w14:textId="77777777" w:rsidR="00C972CB" w:rsidRDefault="002457F6">
            <w:pPr>
              <w:pStyle w:val="P68B1DB1-Normal12"/>
              <w:rPr>
                <w:noProof/>
              </w:rPr>
            </w:pPr>
            <w:r>
              <w:rPr>
                <w:noProof/>
              </w:rPr>
              <w:t xml:space="preserve">5G aprīkojuma vai IKT arhitektūras uzstādīšana </w:t>
            </w:r>
            <w:r>
              <w:rPr>
                <w:noProof/>
              </w:rPr>
              <w:t>stacijās</w:t>
            </w:r>
          </w:p>
        </w:tc>
      </w:tr>
      <w:tr w:rsidR="00C972CB" w14:paraId="16AA2A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04CDD2" w14:textId="77777777" w:rsidR="00C972CB" w:rsidRDefault="002457F6">
            <w:pPr>
              <w:pStyle w:val="P68B1DB1-Normal12"/>
              <w:jc w:val="center"/>
              <w:rPr>
                <w:noProof/>
              </w:rPr>
            </w:pPr>
            <w:r>
              <w:rPr>
                <w:noProof/>
              </w:rPr>
              <w:t>M7–23</w:t>
            </w:r>
          </w:p>
        </w:tc>
        <w:tc>
          <w:tcPr>
            <w:tcW w:w="3195" w:type="dxa"/>
            <w:tcBorders>
              <w:top w:val="nil"/>
              <w:left w:val="nil"/>
              <w:bottom w:val="single" w:sz="4" w:space="0" w:color="auto"/>
              <w:right w:val="single" w:sz="4" w:space="0" w:color="auto"/>
            </w:tcBorders>
            <w:shd w:val="clear" w:color="auto" w:fill="C6EFCE"/>
            <w:noWrap/>
            <w:vAlign w:val="center"/>
          </w:tcPr>
          <w:p w14:paraId="4E58B8FF" w14:textId="77777777" w:rsidR="00C972CB" w:rsidRDefault="002457F6">
            <w:pPr>
              <w:pStyle w:val="P68B1DB1-Normal12"/>
              <w:rPr>
                <w:noProof/>
              </w:rPr>
            </w:pPr>
            <w:r>
              <w:rPr>
                <w:noProof/>
              </w:rPr>
              <w:t>Ieguldījums 7: Viedais nacionālais pārvades tīkls</w:t>
            </w:r>
          </w:p>
        </w:tc>
        <w:tc>
          <w:tcPr>
            <w:tcW w:w="1380" w:type="dxa"/>
            <w:tcBorders>
              <w:top w:val="nil"/>
              <w:left w:val="nil"/>
              <w:bottom w:val="single" w:sz="4" w:space="0" w:color="auto"/>
              <w:right w:val="single" w:sz="4" w:space="0" w:color="auto"/>
            </w:tcBorders>
            <w:shd w:val="clear" w:color="auto" w:fill="C6EFCE"/>
            <w:noWrap/>
            <w:vAlign w:val="center"/>
          </w:tcPr>
          <w:p w14:paraId="3CBDE1F5"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5B924D3E" w14:textId="77777777" w:rsidR="00C972CB" w:rsidRDefault="002457F6">
            <w:pPr>
              <w:pStyle w:val="P68B1DB1-Normal12"/>
              <w:rPr>
                <w:noProof/>
              </w:rPr>
            </w:pPr>
            <w:r>
              <w:rPr>
                <w:noProof/>
              </w:rPr>
              <w:t>Jauna tīkla pārvaldības un kontroles sistēma</w:t>
            </w:r>
          </w:p>
        </w:tc>
      </w:tr>
      <w:tr w:rsidR="00C972CB" w14:paraId="34EE21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0D458" w14:textId="77777777" w:rsidR="00C972CB" w:rsidRDefault="002457F6">
            <w:pPr>
              <w:pStyle w:val="P68B1DB1-Normal12"/>
              <w:jc w:val="center"/>
              <w:rPr>
                <w:noProof/>
              </w:rPr>
            </w:pPr>
            <w:r>
              <w:rPr>
                <w:noProof/>
              </w:rPr>
              <w:t>M7–24</w:t>
            </w:r>
          </w:p>
        </w:tc>
        <w:tc>
          <w:tcPr>
            <w:tcW w:w="3195" w:type="dxa"/>
            <w:tcBorders>
              <w:top w:val="nil"/>
              <w:left w:val="nil"/>
              <w:bottom w:val="single" w:sz="4" w:space="0" w:color="auto"/>
              <w:right w:val="single" w:sz="4" w:space="0" w:color="auto"/>
            </w:tcBorders>
            <w:shd w:val="clear" w:color="auto" w:fill="C6EFCE"/>
            <w:noWrap/>
            <w:vAlign w:val="center"/>
          </w:tcPr>
          <w:p w14:paraId="1B7EFF33" w14:textId="77777777" w:rsidR="00C972CB" w:rsidRDefault="002457F6">
            <w:pPr>
              <w:pStyle w:val="P68B1DB1-Normal12"/>
              <w:rPr>
                <w:noProof/>
              </w:rPr>
            </w:pPr>
            <w:r>
              <w:rPr>
                <w:noProof/>
              </w:rPr>
              <w:t>Ieguldījums 7: Viedais nacionālais pārvades tīkls</w:t>
            </w:r>
          </w:p>
        </w:tc>
        <w:tc>
          <w:tcPr>
            <w:tcW w:w="1380" w:type="dxa"/>
            <w:tcBorders>
              <w:top w:val="nil"/>
              <w:left w:val="nil"/>
              <w:bottom w:val="single" w:sz="4" w:space="0" w:color="auto"/>
              <w:right w:val="single" w:sz="4" w:space="0" w:color="auto"/>
            </w:tcBorders>
            <w:shd w:val="clear" w:color="auto" w:fill="C6EFCE"/>
            <w:noWrap/>
            <w:vAlign w:val="center"/>
          </w:tcPr>
          <w:p w14:paraId="72110916" w14:textId="77777777" w:rsidR="00C972CB" w:rsidRDefault="002457F6">
            <w:pPr>
              <w:pStyle w:val="P68B1DB1-Normal12"/>
              <w:jc w:val="center"/>
              <w:rPr>
                <w:noProof/>
              </w:rPr>
            </w:pPr>
            <w:r>
              <w:rPr>
                <w:noProof/>
              </w:rPr>
              <w:t xml:space="preserve">Mērķa </w:t>
            </w:r>
          </w:p>
        </w:tc>
        <w:tc>
          <w:tcPr>
            <w:tcW w:w="4035" w:type="dxa"/>
            <w:tcBorders>
              <w:top w:val="nil"/>
              <w:left w:val="nil"/>
              <w:bottom w:val="single" w:sz="4" w:space="0" w:color="auto"/>
              <w:right w:val="single" w:sz="4" w:space="0" w:color="auto"/>
            </w:tcBorders>
            <w:shd w:val="clear" w:color="auto" w:fill="C6EFCE"/>
            <w:noWrap/>
            <w:vAlign w:val="center"/>
          </w:tcPr>
          <w:p w14:paraId="12968EBA" w14:textId="77777777" w:rsidR="00C972CB" w:rsidRDefault="002457F6">
            <w:pPr>
              <w:pStyle w:val="P68B1DB1-Normal12"/>
              <w:rPr>
                <w:noProof/>
              </w:rPr>
            </w:pPr>
            <w:r>
              <w:rPr>
                <w:noProof/>
              </w:rPr>
              <w:t>Rūpnieciskais lietu internets</w:t>
            </w:r>
          </w:p>
        </w:tc>
      </w:tr>
      <w:tr w:rsidR="00C972CB" w14:paraId="4C9996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E907C" w14:textId="77777777" w:rsidR="00C972CB" w:rsidRDefault="002457F6">
            <w:pPr>
              <w:pStyle w:val="P68B1DB1-Normal12"/>
              <w:jc w:val="center"/>
              <w:rPr>
                <w:noProof/>
              </w:rPr>
            </w:pPr>
            <w:r>
              <w:rPr>
                <w:noProof/>
              </w:rPr>
              <w:t>M7–27</w:t>
            </w:r>
          </w:p>
        </w:tc>
        <w:tc>
          <w:tcPr>
            <w:tcW w:w="3195" w:type="dxa"/>
            <w:tcBorders>
              <w:top w:val="nil"/>
              <w:left w:val="nil"/>
              <w:bottom w:val="single" w:sz="4" w:space="0" w:color="auto"/>
              <w:right w:val="single" w:sz="4" w:space="0" w:color="auto"/>
            </w:tcBorders>
            <w:shd w:val="clear" w:color="auto" w:fill="C6EFCE"/>
            <w:noWrap/>
            <w:vAlign w:val="center"/>
          </w:tcPr>
          <w:p w14:paraId="48799EAB" w14:textId="77777777" w:rsidR="00C972CB" w:rsidRDefault="002457F6">
            <w:pPr>
              <w:pStyle w:val="P68B1DB1-Normal12"/>
              <w:rPr>
                <w:noProof/>
              </w:rPr>
            </w:pPr>
            <w:r>
              <w:rPr>
                <w:noProof/>
              </w:rPr>
              <w:t xml:space="preserve">Ieguldījums 10: Ilgtspējīga, apritīga </w:t>
            </w:r>
            <w:r>
              <w:rPr>
                <w:noProof/>
              </w:rPr>
              <w:t>un droša kritiski svarīgo izejvielu piegāde</w:t>
            </w:r>
          </w:p>
        </w:tc>
        <w:tc>
          <w:tcPr>
            <w:tcW w:w="1380" w:type="dxa"/>
            <w:tcBorders>
              <w:top w:val="nil"/>
              <w:left w:val="nil"/>
              <w:bottom w:val="single" w:sz="4" w:space="0" w:color="auto"/>
              <w:right w:val="single" w:sz="4" w:space="0" w:color="auto"/>
            </w:tcBorders>
            <w:shd w:val="clear" w:color="auto" w:fill="C6EFCE"/>
            <w:noWrap/>
            <w:vAlign w:val="center"/>
          </w:tcPr>
          <w:p w14:paraId="7CC8D3BE" w14:textId="77777777" w:rsidR="00C972CB" w:rsidRDefault="002457F6">
            <w:pPr>
              <w:pStyle w:val="P68B1DB1-Normal12"/>
              <w:jc w:val="center"/>
              <w:rPr>
                <w:noProof/>
              </w:rPr>
            </w:pPr>
            <w:r>
              <w:rPr>
                <w:noProof/>
              </w:rPr>
              <w:t xml:space="preserve">Mērķa </w:t>
            </w:r>
          </w:p>
        </w:tc>
        <w:tc>
          <w:tcPr>
            <w:tcW w:w="4035" w:type="dxa"/>
            <w:tcBorders>
              <w:top w:val="nil"/>
              <w:left w:val="nil"/>
              <w:bottom w:val="single" w:sz="4" w:space="0" w:color="auto"/>
              <w:right w:val="single" w:sz="4" w:space="0" w:color="auto"/>
            </w:tcBorders>
            <w:shd w:val="clear" w:color="auto" w:fill="C6EFCE"/>
            <w:noWrap/>
            <w:vAlign w:val="center"/>
          </w:tcPr>
          <w:p w14:paraId="3F70271F" w14:textId="77777777" w:rsidR="00C972CB" w:rsidRDefault="002457F6">
            <w:pPr>
              <w:pStyle w:val="P68B1DB1-Normal12"/>
              <w:rPr>
                <w:noProof/>
              </w:rPr>
            </w:pPr>
            <w:r>
              <w:rPr>
                <w:noProof/>
              </w:rPr>
              <w:t>Pētniecības un izstrādes projektu pabeigšana ekodizaina un pilsētvides ieguves jomā, lai nodrošinātu kritiski svarīgu izejvielu ilgtspējīgu, apritīgu un drošu piegādi</w:t>
            </w:r>
          </w:p>
        </w:tc>
      </w:tr>
      <w:tr w:rsidR="00C972CB" w14:paraId="71F29F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F9A3A" w14:textId="77777777" w:rsidR="00C972CB" w:rsidRDefault="002457F6">
            <w:pPr>
              <w:pStyle w:val="P68B1DB1-Normal12"/>
              <w:jc w:val="center"/>
              <w:rPr>
                <w:noProof/>
              </w:rPr>
            </w:pPr>
            <w:r>
              <w:rPr>
                <w:noProof/>
              </w:rPr>
              <w:t>M7–28</w:t>
            </w:r>
          </w:p>
        </w:tc>
        <w:tc>
          <w:tcPr>
            <w:tcW w:w="3195" w:type="dxa"/>
            <w:tcBorders>
              <w:top w:val="nil"/>
              <w:left w:val="nil"/>
              <w:bottom w:val="single" w:sz="4" w:space="0" w:color="auto"/>
              <w:right w:val="single" w:sz="4" w:space="0" w:color="auto"/>
            </w:tcBorders>
            <w:shd w:val="clear" w:color="auto" w:fill="C6EFCE"/>
            <w:noWrap/>
            <w:vAlign w:val="center"/>
          </w:tcPr>
          <w:p w14:paraId="120C6948" w14:textId="77777777" w:rsidR="00C972CB" w:rsidRDefault="002457F6">
            <w:pPr>
              <w:pStyle w:val="P68B1DB1-Normal12"/>
              <w:rPr>
                <w:noProof/>
              </w:rPr>
            </w:pPr>
            <w:r>
              <w:rPr>
                <w:noProof/>
              </w:rPr>
              <w:t>Ieguldījums 10: Ilgtspējīga, ap</w:t>
            </w:r>
            <w:r>
              <w:rPr>
                <w:noProof/>
              </w:rPr>
              <w:t>ritīga un droša kritiski svarīgo izejvielu piegāde</w:t>
            </w:r>
          </w:p>
        </w:tc>
        <w:tc>
          <w:tcPr>
            <w:tcW w:w="1380" w:type="dxa"/>
            <w:tcBorders>
              <w:top w:val="nil"/>
              <w:left w:val="nil"/>
              <w:bottom w:val="single" w:sz="4" w:space="0" w:color="auto"/>
              <w:right w:val="single" w:sz="4" w:space="0" w:color="auto"/>
            </w:tcBorders>
            <w:shd w:val="clear" w:color="auto" w:fill="C6EFCE"/>
            <w:noWrap/>
            <w:vAlign w:val="center"/>
          </w:tcPr>
          <w:p w14:paraId="012FAA34"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1CA14577" w14:textId="77777777" w:rsidR="00C972CB" w:rsidRDefault="002457F6">
            <w:pPr>
              <w:pStyle w:val="P68B1DB1-Normal12"/>
              <w:rPr>
                <w:noProof/>
              </w:rPr>
            </w:pPr>
            <w:r>
              <w:rPr>
                <w:noProof/>
              </w:rPr>
              <w:t>To laboratoriju iekārtas, kas pieder Pilsētvides ieguves un ekodizaina tehnoloģiskajam centram</w:t>
            </w:r>
          </w:p>
        </w:tc>
      </w:tr>
      <w:tr w:rsidR="00C972CB" w14:paraId="449B57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BA8C0" w14:textId="77777777" w:rsidR="00C972CB" w:rsidRDefault="002457F6">
            <w:pPr>
              <w:pStyle w:val="P68B1DB1-Normal12"/>
              <w:jc w:val="center"/>
              <w:rPr>
                <w:noProof/>
              </w:rPr>
            </w:pPr>
            <w:r>
              <w:rPr>
                <w:noProof/>
              </w:rPr>
              <w:t>M7–29</w:t>
            </w:r>
          </w:p>
        </w:tc>
        <w:tc>
          <w:tcPr>
            <w:tcW w:w="3195" w:type="dxa"/>
            <w:tcBorders>
              <w:top w:val="nil"/>
              <w:left w:val="nil"/>
              <w:bottom w:val="single" w:sz="4" w:space="0" w:color="auto"/>
              <w:right w:val="single" w:sz="4" w:space="0" w:color="auto"/>
            </w:tcBorders>
            <w:shd w:val="clear" w:color="auto" w:fill="C6EFCE"/>
            <w:noWrap/>
            <w:vAlign w:val="center"/>
          </w:tcPr>
          <w:p w14:paraId="3715777C" w14:textId="77777777" w:rsidR="00C972CB" w:rsidRDefault="002457F6">
            <w:pPr>
              <w:pStyle w:val="P68B1DB1-Normal12"/>
              <w:rPr>
                <w:noProof/>
              </w:rPr>
            </w:pPr>
            <w:r>
              <w:rPr>
                <w:noProof/>
              </w:rPr>
              <w:t>Ieguldījums 9: Izvēršanas pasākums: Sniegt tehnisko palīdzību un stiprināt spēju veidošanu Itālij</w:t>
            </w:r>
            <w:r>
              <w:rPr>
                <w:noProof/>
              </w:rPr>
              <w:t>as atveseļošanas un noturības plāna īstenošanai</w:t>
            </w:r>
          </w:p>
        </w:tc>
        <w:tc>
          <w:tcPr>
            <w:tcW w:w="1380" w:type="dxa"/>
            <w:tcBorders>
              <w:top w:val="nil"/>
              <w:left w:val="nil"/>
              <w:bottom w:val="single" w:sz="4" w:space="0" w:color="auto"/>
              <w:right w:val="single" w:sz="4" w:space="0" w:color="auto"/>
            </w:tcBorders>
            <w:shd w:val="clear" w:color="auto" w:fill="C6EFCE"/>
            <w:noWrap/>
            <w:vAlign w:val="center"/>
          </w:tcPr>
          <w:p w14:paraId="4D95B08E"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2A30FA1" w14:textId="77777777" w:rsidR="00C972CB" w:rsidRDefault="002457F6">
            <w:pPr>
              <w:pStyle w:val="P68B1DB1-Normal12"/>
              <w:rPr>
                <w:noProof/>
              </w:rPr>
            </w:pPr>
            <w:r>
              <w:rPr>
                <w:noProof/>
              </w:rPr>
              <w:t>Izglītība un apmācība</w:t>
            </w:r>
          </w:p>
        </w:tc>
      </w:tr>
      <w:tr w:rsidR="00C972CB" w14:paraId="402136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3C716" w14:textId="77777777" w:rsidR="00C972CB" w:rsidRDefault="002457F6">
            <w:pPr>
              <w:pStyle w:val="P68B1DB1-Normal12"/>
              <w:jc w:val="center"/>
              <w:rPr>
                <w:noProof/>
              </w:rPr>
            </w:pPr>
            <w:r>
              <w:rPr>
                <w:noProof/>
              </w:rPr>
              <w:t>M7–31</w:t>
            </w:r>
          </w:p>
        </w:tc>
        <w:tc>
          <w:tcPr>
            <w:tcW w:w="3195" w:type="dxa"/>
            <w:tcBorders>
              <w:top w:val="nil"/>
              <w:left w:val="nil"/>
              <w:bottom w:val="single" w:sz="4" w:space="0" w:color="auto"/>
              <w:right w:val="single" w:sz="4" w:space="0" w:color="auto"/>
            </w:tcBorders>
            <w:shd w:val="clear" w:color="auto" w:fill="C6EFCE"/>
            <w:noWrap/>
            <w:vAlign w:val="center"/>
          </w:tcPr>
          <w:p w14:paraId="72A94CDD" w14:textId="77777777" w:rsidR="00C972CB" w:rsidRDefault="002457F6">
            <w:pPr>
              <w:pStyle w:val="P68B1DB1-Normal12"/>
              <w:rPr>
                <w:noProof/>
              </w:rPr>
            </w:pPr>
            <w:r>
              <w:rPr>
                <w:noProof/>
              </w:rPr>
              <w:t>Ieguldījums 11:  Reģionālā sabiedriskā transporta dzelzceļa parka stiprināšana ar bezemisiju vilcieniem un universālo pakalpojumu</w:t>
            </w:r>
          </w:p>
        </w:tc>
        <w:tc>
          <w:tcPr>
            <w:tcW w:w="1380" w:type="dxa"/>
            <w:tcBorders>
              <w:top w:val="nil"/>
              <w:left w:val="nil"/>
              <w:bottom w:val="single" w:sz="4" w:space="0" w:color="auto"/>
              <w:right w:val="single" w:sz="4" w:space="0" w:color="auto"/>
            </w:tcBorders>
            <w:shd w:val="clear" w:color="auto" w:fill="C6EFCE"/>
            <w:noWrap/>
            <w:vAlign w:val="center"/>
          </w:tcPr>
          <w:p w14:paraId="63F6AB20"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090FD9BF" w14:textId="77777777" w:rsidR="00C972CB" w:rsidRDefault="002457F6">
            <w:pPr>
              <w:pStyle w:val="P68B1DB1-Normal12"/>
              <w:rPr>
                <w:noProof/>
              </w:rPr>
            </w:pPr>
            <w:r>
              <w:rPr>
                <w:noProof/>
              </w:rPr>
              <w:t xml:space="preserve">Bezemisiju vilcienu skaits un pārvadājumu skaits universālajam pakalpojumam </w:t>
            </w:r>
          </w:p>
        </w:tc>
      </w:tr>
      <w:tr w:rsidR="00C972CB" w14:paraId="4ED8F3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282241" w14:textId="77777777" w:rsidR="00C972CB" w:rsidRDefault="002457F6">
            <w:pPr>
              <w:pStyle w:val="P68B1DB1-Normal12"/>
              <w:jc w:val="center"/>
              <w:rPr>
                <w:noProof/>
              </w:rPr>
            </w:pPr>
            <w:r>
              <w:rPr>
                <w:noProof/>
              </w:rPr>
              <w:t>M7–34</w:t>
            </w:r>
          </w:p>
        </w:tc>
        <w:tc>
          <w:tcPr>
            <w:tcW w:w="3195" w:type="dxa"/>
            <w:tcBorders>
              <w:top w:val="nil"/>
              <w:left w:val="nil"/>
              <w:bottom w:val="single" w:sz="4" w:space="0" w:color="auto"/>
              <w:right w:val="single" w:sz="4" w:space="0" w:color="auto"/>
            </w:tcBorders>
            <w:shd w:val="clear" w:color="auto" w:fill="C6EFCE"/>
            <w:noWrap/>
            <w:vAlign w:val="center"/>
          </w:tcPr>
          <w:p w14:paraId="7FB70382" w14:textId="77777777" w:rsidR="00C972CB" w:rsidRDefault="002457F6">
            <w:pPr>
              <w:pStyle w:val="P68B1DB1-Normal12"/>
              <w:rPr>
                <w:noProof/>
              </w:rPr>
            </w:pPr>
            <w:r>
              <w:rPr>
                <w:noProof/>
              </w:rPr>
              <w:t>Ieguldījums. Dotāciju shēma starptautiskas, rūpnieciskas un pētniecības un izstrādes vadošās lomas attīstīšanai elektrisko autobusu jomā</w:t>
            </w:r>
          </w:p>
        </w:tc>
        <w:tc>
          <w:tcPr>
            <w:tcW w:w="1380" w:type="dxa"/>
            <w:tcBorders>
              <w:top w:val="nil"/>
              <w:left w:val="nil"/>
              <w:bottom w:val="single" w:sz="4" w:space="0" w:color="auto"/>
              <w:right w:val="single" w:sz="4" w:space="0" w:color="auto"/>
            </w:tcBorders>
            <w:shd w:val="clear" w:color="auto" w:fill="C6EFCE"/>
            <w:noWrap/>
            <w:vAlign w:val="center"/>
          </w:tcPr>
          <w:p w14:paraId="2B0E81A6" w14:textId="77777777" w:rsidR="00C972CB" w:rsidRDefault="002457F6">
            <w:pPr>
              <w:pStyle w:val="P68B1DB1-Normal12"/>
              <w:jc w:val="center"/>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669074AD" w14:textId="77777777" w:rsidR="00C972CB" w:rsidRDefault="002457F6">
            <w:pPr>
              <w:pStyle w:val="P68B1DB1-Normal12"/>
              <w:rPr>
                <w:noProof/>
              </w:rPr>
            </w:pPr>
            <w:r>
              <w:rPr>
                <w:noProof/>
              </w:rPr>
              <w:t>Ministrija ir pab</w:t>
            </w:r>
            <w:r>
              <w:rPr>
                <w:noProof/>
              </w:rPr>
              <w:t>eigusi ieguldījumu</w:t>
            </w:r>
          </w:p>
        </w:tc>
      </w:tr>
      <w:tr w:rsidR="00C972CB" w14:paraId="03AF93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64437" w14:textId="77777777" w:rsidR="00C972CB" w:rsidRDefault="002457F6">
            <w:pPr>
              <w:pStyle w:val="P68B1DB1-Normal12"/>
              <w:jc w:val="center"/>
              <w:rPr>
                <w:noProof/>
              </w:rPr>
            </w:pPr>
            <w:r>
              <w:rPr>
                <w:noProof/>
              </w:rPr>
              <w:t>M1C2–14ter</w:t>
            </w:r>
          </w:p>
        </w:tc>
        <w:tc>
          <w:tcPr>
            <w:tcW w:w="3195" w:type="dxa"/>
            <w:tcBorders>
              <w:top w:val="nil"/>
              <w:left w:val="nil"/>
              <w:bottom w:val="single" w:sz="4" w:space="0" w:color="auto"/>
              <w:right w:val="single" w:sz="4" w:space="0" w:color="auto"/>
            </w:tcBorders>
            <w:shd w:val="clear" w:color="auto" w:fill="C6EFCE"/>
            <w:noWrap/>
            <w:vAlign w:val="center"/>
          </w:tcPr>
          <w:p w14:paraId="2F73FA0D" w14:textId="77777777" w:rsidR="00C972CB" w:rsidRDefault="002457F6">
            <w:pPr>
              <w:pStyle w:val="P68B1DB1-Normal12"/>
              <w:jc w:val="center"/>
              <w:rPr>
                <w:noProof/>
              </w:rPr>
            </w:pPr>
            <w:r>
              <w:rPr>
                <w:noProof/>
              </w:rPr>
              <w:t>Reforma. uzņēmumu stimulu racionalizācija un vienkāršošana.</w:t>
            </w:r>
          </w:p>
        </w:tc>
        <w:tc>
          <w:tcPr>
            <w:tcW w:w="1380" w:type="dxa"/>
            <w:tcBorders>
              <w:top w:val="nil"/>
              <w:left w:val="nil"/>
              <w:bottom w:val="single" w:sz="4" w:space="0" w:color="auto"/>
              <w:right w:val="single" w:sz="4" w:space="0" w:color="auto"/>
            </w:tcBorders>
            <w:shd w:val="clear" w:color="auto" w:fill="C6EFCE"/>
            <w:noWrap/>
            <w:vAlign w:val="center"/>
          </w:tcPr>
          <w:p w14:paraId="0F4C992C" w14:textId="77777777" w:rsidR="00C972CB" w:rsidRDefault="002457F6">
            <w:pPr>
              <w:pStyle w:val="P68B1DB1-Normal12"/>
              <w:jc w:val="center"/>
              <w:rPr>
                <w:noProof/>
              </w:rPr>
            </w:pPr>
            <w:r>
              <w:rPr>
                <w:noProof/>
              </w:rPr>
              <w:t xml:space="preserve">Starpposma mērķis </w:t>
            </w:r>
          </w:p>
        </w:tc>
        <w:tc>
          <w:tcPr>
            <w:tcW w:w="4035" w:type="dxa"/>
            <w:tcBorders>
              <w:top w:val="nil"/>
              <w:left w:val="nil"/>
              <w:bottom w:val="single" w:sz="4" w:space="0" w:color="auto"/>
              <w:right w:val="single" w:sz="4" w:space="0" w:color="auto"/>
            </w:tcBorders>
            <w:shd w:val="clear" w:color="auto" w:fill="C6EFCE"/>
            <w:noWrap/>
            <w:vAlign w:val="center"/>
          </w:tcPr>
          <w:p w14:paraId="089CD54D" w14:textId="77777777" w:rsidR="00C972CB" w:rsidRDefault="002457F6">
            <w:pPr>
              <w:pStyle w:val="P68B1DB1-Normal12"/>
              <w:rPr>
                <w:noProof/>
              </w:rPr>
            </w:pPr>
            <w:r>
              <w:rPr>
                <w:noProof/>
              </w:rPr>
              <w:t>Primāro tiesību aktu stāšanās spēkā attiecībā uz stingru stimulu racionalizāciju</w:t>
            </w:r>
          </w:p>
        </w:tc>
      </w:tr>
      <w:tr w:rsidR="00C972CB" w14:paraId="7F31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C645D1" w14:textId="77777777" w:rsidR="00C972CB" w:rsidRDefault="002457F6">
            <w:pPr>
              <w:pStyle w:val="P68B1DB1-Normal12"/>
              <w:jc w:val="center"/>
              <w:rPr>
                <w:noProof/>
              </w:rPr>
            </w:pPr>
            <w:r>
              <w:rPr>
                <w:noProof/>
              </w:rPr>
              <w:t>M4C1–15 ter</w:t>
            </w:r>
          </w:p>
        </w:tc>
        <w:tc>
          <w:tcPr>
            <w:tcW w:w="3195" w:type="dxa"/>
            <w:tcBorders>
              <w:top w:val="nil"/>
              <w:left w:val="nil"/>
              <w:bottom w:val="single" w:sz="4" w:space="0" w:color="auto"/>
              <w:right w:val="single" w:sz="4" w:space="0" w:color="auto"/>
            </w:tcBorders>
            <w:shd w:val="clear" w:color="auto" w:fill="C6EFCE"/>
            <w:noWrap/>
            <w:vAlign w:val="center"/>
          </w:tcPr>
          <w:p w14:paraId="2E711FB2" w14:textId="77777777" w:rsidR="00C972CB" w:rsidRDefault="002457F6">
            <w:pPr>
              <w:pStyle w:val="P68B1DB1-Normal12"/>
              <w:jc w:val="center"/>
              <w:rPr>
                <w:noProof/>
              </w:rPr>
            </w:pPr>
            <w:r>
              <w:rPr>
                <w:noProof/>
              </w:rPr>
              <w:t>Reforma. Skolotāju pieņemšana darbā</w:t>
            </w:r>
          </w:p>
        </w:tc>
        <w:tc>
          <w:tcPr>
            <w:tcW w:w="1380" w:type="dxa"/>
            <w:tcBorders>
              <w:top w:val="nil"/>
              <w:left w:val="nil"/>
              <w:bottom w:val="single" w:sz="4" w:space="0" w:color="auto"/>
              <w:right w:val="single" w:sz="4" w:space="0" w:color="auto"/>
            </w:tcBorders>
            <w:shd w:val="clear" w:color="auto" w:fill="C6EFCE"/>
            <w:noWrap/>
            <w:vAlign w:val="center"/>
          </w:tcPr>
          <w:p w14:paraId="44D9AF0E" w14:textId="77777777" w:rsidR="00C972CB" w:rsidRDefault="002457F6">
            <w:pPr>
              <w:pStyle w:val="P68B1DB1-Normal12"/>
              <w:jc w:val="center"/>
              <w:rPr>
                <w:noProof/>
              </w:rPr>
            </w:pPr>
            <w:r>
              <w:rPr>
                <w:noProof/>
              </w:rPr>
              <w:t>Mērķa</w:t>
            </w:r>
          </w:p>
        </w:tc>
        <w:tc>
          <w:tcPr>
            <w:tcW w:w="4035" w:type="dxa"/>
            <w:tcBorders>
              <w:top w:val="nil"/>
              <w:left w:val="nil"/>
              <w:bottom w:val="single" w:sz="4" w:space="0" w:color="auto"/>
              <w:right w:val="single" w:sz="4" w:space="0" w:color="auto"/>
            </w:tcBorders>
            <w:shd w:val="clear" w:color="auto" w:fill="C6EFCE"/>
            <w:noWrap/>
            <w:vAlign w:val="center"/>
          </w:tcPr>
          <w:p w14:paraId="6E1D9030" w14:textId="77777777" w:rsidR="00C972CB" w:rsidRDefault="002457F6">
            <w:pPr>
              <w:pStyle w:val="P68B1DB1-Normal12"/>
              <w:rPr>
                <w:noProof/>
              </w:rPr>
            </w:pPr>
            <w:r>
              <w:rPr>
                <w:noProof/>
              </w:rPr>
              <w:t>Kandidāti,</w:t>
            </w:r>
            <w:r>
              <w:rPr>
                <w:noProof/>
              </w:rPr>
              <w:t xml:space="preserve"> kas sekmīgi nokārtojuši publisko konkursu, lai kļūtu par skolotājiem saskaņā ar reformēto darbā pieņemšanas sistēmu.</w:t>
            </w:r>
          </w:p>
        </w:tc>
      </w:tr>
      <w:tr w:rsidR="00C972CB" w14:paraId="41AEA91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580E" w14:textId="77777777" w:rsidR="00C972CB" w:rsidRDefault="00C972C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F92CCF4" w14:textId="77777777" w:rsidR="00C972CB" w:rsidRDefault="00C972CB">
            <w:pPr>
              <w:rPr>
                <w:noProof/>
                <w:color w:val="006100"/>
                <w:sz w:val="20"/>
              </w:rPr>
            </w:pPr>
          </w:p>
        </w:tc>
        <w:tc>
          <w:tcPr>
            <w:tcW w:w="1380" w:type="dxa"/>
            <w:tcBorders>
              <w:top w:val="single" w:sz="4" w:space="0" w:color="auto"/>
              <w:left w:val="nil"/>
              <w:bottom w:val="single" w:sz="4" w:space="0" w:color="auto"/>
              <w:right w:val="single" w:sz="4" w:space="0" w:color="auto"/>
            </w:tcBorders>
            <w:shd w:val="clear" w:color="auto" w:fill="C6EFCE"/>
            <w:noWrap/>
            <w:vAlign w:val="bottom"/>
          </w:tcPr>
          <w:p w14:paraId="4DCD8B80" w14:textId="77777777" w:rsidR="00C972CB" w:rsidRDefault="002457F6">
            <w:pPr>
              <w:pStyle w:val="P68B1DB1-Normal12"/>
              <w:rPr>
                <w:noProof/>
              </w:rPr>
            </w:pPr>
            <w:r>
              <w:rPr>
                <w:noProof/>
              </w:rPr>
              <w:t>Maksājuma summa</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616D85B0" w14:textId="7E36A48C" w:rsidR="00C972CB" w:rsidRDefault="002457F6">
            <w:pPr>
              <w:pStyle w:val="P68B1DB1-Normal46"/>
              <w:rPr>
                <w:noProof/>
              </w:rPr>
            </w:pPr>
            <w:r>
              <w:rPr>
                <w:noProof/>
              </w:rPr>
              <w:t>12</w:t>
            </w:r>
            <w:r>
              <w:rPr>
                <w:noProof/>
              </w:rPr>
              <w:t> </w:t>
            </w:r>
            <w:r>
              <w:rPr>
                <w:noProof/>
              </w:rPr>
              <w:t>836</w:t>
            </w:r>
            <w:r>
              <w:rPr>
                <w:noProof/>
              </w:rPr>
              <w:t> </w:t>
            </w:r>
            <w:r>
              <w:rPr>
                <w:noProof/>
              </w:rPr>
              <w:t>600</w:t>
            </w:r>
            <w:r>
              <w:rPr>
                <w:noProof/>
              </w:rPr>
              <w:t> </w:t>
            </w:r>
            <w:r>
              <w:rPr>
                <w:noProof/>
              </w:rPr>
              <w:t>146</w:t>
            </w:r>
            <w:r>
              <w:rPr>
                <w:noProof/>
              </w:rPr>
              <w:t> </w:t>
            </w:r>
            <w:r>
              <w:rPr>
                <w:noProof/>
              </w:rPr>
              <w:t>EUR</w:t>
            </w:r>
          </w:p>
        </w:tc>
      </w:tr>
    </w:tbl>
    <w:p w14:paraId="2A4840BE" w14:textId="77777777" w:rsidR="00C972CB" w:rsidRDefault="00C972CB">
      <w:pPr>
        <w:spacing w:before="120" w:after="120"/>
        <w:jc w:val="both"/>
        <w:rPr>
          <w:rFonts w:eastAsia="Calibri"/>
          <w:noProof/>
        </w:rPr>
      </w:pPr>
    </w:p>
    <w:p w14:paraId="1CE5E1DD" w14:textId="2ACF9498" w:rsidR="00C972CB" w:rsidRDefault="002457F6">
      <w:pPr>
        <w:pStyle w:val="P68B1DB1-NumPar143"/>
        <w:numPr>
          <w:ilvl w:val="0"/>
          <w:numId w:val="141"/>
        </w:numPr>
        <w:rPr>
          <w:noProof/>
        </w:rPr>
      </w:pPr>
      <w:r>
        <w:rPr>
          <w:noProof/>
        </w:rPr>
        <w:t>Aizdevuma atbalsts</w:t>
      </w:r>
    </w:p>
    <w:p w14:paraId="09EC44B6" w14:textId="78BB40FD" w:rsidR="00C972CB" w:rsidRDefault="002457F6">
      <w:pPr>
        <w:pStyle w:val="Text1"/>
        <w:rPr>
          <w:noProof/>
        </w:rPr>
      </w:pPr>
      <w:r>
        <w:rPr>
          <w:noProof/>
        </w:rPr>
        <w:t>Maksājumus, kas minēti 3. panta 2. punktā, organizē šādi:</w:t>
      </w:r>
    </w:p>
    <w:p w14:paraId="29023A3B" w14:textId="78A037B0" w:rsidR="00C972CB" w:rsidRDefault="002457F6">
      <w:pPr>
        <w:pStyle w:val="P68B1DB1-Normal44"/>
        <w:numPr>
          <w:ilvl w:val="1"/>
          <w:numId w:val="6"/>
        </w:numPr>
        <w:spacing w:before="120" w:after="120"/>
        <w:jc w:val="both"/>
        <w:rPr>
          <w:noProof/>
        </w:rPr>
      </w:pPr>
      <w:r>
        <w:rPr>
          <w:noProof/>
        </w:rPr>
        <w:t>Pirmā daļa (aizdevuma</w:t>
      </w:r>
      <w:r>
        <w:rPr>
          <w:noProof/>
        </w:rPr>
        <w:t xml:space="preserve"> atbalsts):</w:t>
      </w:r>
    </w:p>
    <w:tbl>
      <w:tblPr>
        <w:tblW w:w="10038" w:type="dxa"/>
        <w:tblInd w:w="113" w:type="dxa"/>
        <w:tblLook w:val="04A0" w:firstRow="1" w:lastRow="0" w:firstColumn="1" w:lastColumn="0" w:noHBand="0" w:noVBand="1"/>
      </w:tblPr>
      <w:tblGrid>
        <w:gridCol w:w="1413"/>
        <w:gridCol w:w="3195"/>
        <w:gridCol w:w="1983"/>
        <w:gridCol w:w="3975"/>
      </w:tblGrid>
      <w:tr w:rsidR="00C972CB" w14:paraId="5526EC6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12D14A" w14:textId="77777777" w:rsidR="00C972CB" w:rsidRDefault="002457F6">
            <w:pPr>
              <w:pStyle w:val="P68B1DB1-Normal45"/>
              <w:jc w:val="center"/>
              <w:rPr>
                <w:noProof/>
              </w:rPr>
            </w:pPr>
            <w:r>
              <w:rPr>
                <w:noProof/>
              </w:rPr>
              <w:t>Kārtas numurs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F3C1B2" w14:textId="77777777" w:rsidR="00C972CB" w:rsidRDefault="002457F6">
            <w:pPr>
              <w:pStyle w:val="P68B1DB1-Normal45"/>
              <w:jc w:val="center"/>
              <w:rPr>
                <w:noProof/>
              </w:rPr>
            </w:pPr>
            <w:r>
              <w:rPr>
                <w:noProof/>
              </w:rPr>
              <w:t>Pasākums (reforma vai investīcija)</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5AC440" w14:textId="77777777" w:rsidR="00C972CB" w:rsidRDefault="002457F6">
            <w:pPr>
              <w:pStyle w:val="P68B1DB1-Normal45"/>
              <w:jc w:val="center"/>
              <w:rPr>
                <w:noProof/>
              </w:rPr>
            </w:pPr>
            <w:r>
              <w:rPr>
                <w:noProof/>
              </w:rPr>
              <w:t>Atskaites punkts/mērķrādītājs</w:t>
            </w:r>
          </w:p>
        </w:tc>
        <w:tc>
          <w:tcPr>
            <w:tcW w:w="39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6278506" w14:textId="77777777" w:rsidR="00C972CB" w:rsidRDefault="002457F6">
            <w:pPr>
              <w:pStyle w:val="P68B1DB1-Normal45"/>
              <w:jc w:val="center"/>
              <w:rPr>
                <w:noProof/>
              </w:rPr>
            </w:pPr>
            <w:r>
              <w:rPr>
                <w:noProof/>
              </w:rPr>
              <w:t>Uzvārds</w:t>
            </w:r>
          </w:p>
        </w:tc>
      </w:tr>
      <w:tr w:rsidR="00C972CB" w14:paraId="6E16958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1471DBA" w14:textId="77777777" w:rsidR="00C972CB" w:rsidRDefault="00C972C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304C5644" w14:textId="77777777" w:rsidR="00C972CB" w:rsidRDefault="00C972CB">
            <w:pPr>
              <w:rPr>
                <w:b/>
                <w:noProof/>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7B96458B" w14:textId="77777777" w:rsidR="00C972CB" w:rsidRDefault="00C972CB">
            <w:pPr>
              <w:rPr>
                <w:b/>
                <w:noProof/>
              </w:rPr>
            </w:pPr>
          </w:p>
        </w:tc>
        <w:tc>
          <w:tcPr>
            <w:tcW w:w="3975" w:type="dxa"/>
            <w:vMerge/>
            <w:tcBorders>
              <w:top w:val="single" w:sz="4" w:space="0" w:color="auto"/>
              <w:left w:val="single" w:sz="4" w:space="0" w:color="auto"/>
              <w:bottom w:val="single" w:sz="4" w:space="0" w:color="auto"/>
              <w:right w:val="single" w:sz="4" w:space="0" w:color="auto"/>
            </w:tcBorders>
            <w:vAlign w:val="center"/>
            <w:hideMark/>
          </w:tcPr>
          <w:p w14:paraId="4EF6D357" w14:textId="77777777" w:rsidR="00C972CB" w:rsidRDefault="00C972CB">
            <w:pPr>
              <w:rPr>
                <w:b/>
                <w:noProof/>
              </w:rPr>
            </w:pPr>
          </w:p>
        </w:tc>
      </w:tr>
      <w:tr w:rsidR="00C972CB" w14:paraId="315F912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375F1" w14:textId="77777777" w:rsidR="00C972CB" w:rsidRDefault="002457F6">
            <w:pPr>
              <w:pStyle w:val="P68B1DB1-Normal12"/>
              <w:rPr>
                <w:noProof/>
              </w:rPr>
            </w:pPr>
            <w:r>
              <w:rPr>
                <w:noProof/>
              </w:rPr>
              <w:t>M4C2–10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F80A25A" w14:textId="77777777" w:rsidR="00C972CB" w:rsidRDefault="002457F6">
            <w:pPr>
              <w:pStyle w:val="P68B1DB1-Normal12"/>
              <w:rPr>
                <w:noProof/>
              </w:rPr>
            </w:pPr>
            <w:r>
              <w:rPr>
                <w:noProof/>
              </w:rPr>
              <w:t>Ieguldījums 2.1.: IPCEI</w:t>
            </w:r>
          </w:p>
        </w:tc>
        <w:tc>
          <w:tcPr>
            <w:tcW w:w="1455" w:type="dxa"/>
            <w:tcBorders>
              <w:top w:val="single" w:sz="4" w:space="0" w:color="auto"/>
              <w:left w:val="nil"/>
              <w:bottom w:val="single" w:sz="4" w:space="0" w:color="auto"/>
              <w:right w:val="single" w:sz="4" w:space="0" w:color="auto"/>
            </w:tcBorders>
            <w:shd w:val="clear" w:color="auto" w:fill="C6EFCE"/>
            <w:noWrap/>
            <w:vAlign w:val="center"/>
          </w:tcPr>
          <w:p w14:paraId="74E11DA6" w14:textId="77777777" w:rsidR="00C972CB" w:rsidRDefault="002457F6">
            <w:pPr>
              <w:pStyle w:val="P68B1DB1-Normal12"/>
              <w:rPr>
                <w:noProof/>
              </w:rPr>
            </w:pPr>
            <w:r>
              <w:rPr>
                <w:noProof/>
              </w:rPr>
              <w:t>Starpposma mērķis</w:t>
            </w:r>
          </w:p>
        </w:tc>
        <w:tc>
          <w:tcPr>
            <w:tcW w:w="3975" w:type="dxa"/>
            <w:tcBorders>
              <w:top w:val="single" w:sz="4" w:space="0" w:color="auto"/>
              <w:left w:val="nil"/>
              <w:bottom w:val="single" w:sz="4" w:space="0" w:color="auto"/>
              <w:right w:val="single" w:sz="4" w:space="0" w:color="auto"/>
            </w:tcBorders>
            <w:shd w:val="clear" w:color="auto" w:fill="C6EFCE"/>
            <w:noWrap/>
            <w:vAlign w:val="center"/>
          </w:tcPr>
          <w:p w14:paraId="7B3B6A07" w14:textId="77777777" w:rsidR="00C972CB" w:rsidRDefault="002457F6">
            <w:pPr>
              <w:pStyle w:val="P68B1DB1-Normal12"/>
              <w:jc w:val="center"/>
              <w:rPr>
                <w:noProof/>
              </w:rPr>
            </w:pPr>
            <w:r>
              <w:rPr>
                <w:noProof/>
              </w:rPr>
              <w:t xml:space="preserve">Uzaicinājums izteikt ieinteresētību par valstu projektu, tostarp IPCEI mikroelektronikas projektu, </w:t>
            </w:r>
            <w:r>
              <w:rPr>
                <w:noProof/>
              </w:rPr>
              <w:t>identificēšanu</w:t>
            </w:r>
          </w:p>
        </w:tc>
      </w:tr>
      <w:tr w:rsidR="00C972CB" w14:paraId="57E294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5002FF" w14:textId="77777777" w:rsidR="00C972CB" w:rsidRDefault="002457F6">
            <w:pPr>
              <w:pStyle w:val="P68B1DB1-Normal12"/>
              <w:rPr>
                <w:noProof/>
              </w:rPr>
            </w:pPr>
            <w:r>
              <w:rPr>
                <w:noProof/>
              </w:rPr>
              <w:t>M1C2–26</w:t>
            </w:r>
          </w:p>
        </w:tc>
        <w:tc>
          <w:tcPr>
            <w:tcW w:w="3195" w:type="dxa"/>
            <w:tcBorders>
              <w:top w:val="nil"/>
              <w:left w:val="nil"/>
              <w:bottom w:val="single" w:sz="4" w:space="0" w:color="auto"/>
              <w:right w:val="single" w:sz="4" w:space="0" w:color="auto"/>
            </w:tcBorders>
            <w:shd w:val="clear" w:color="auto" w:fill="C6EFCE"/>
            <w:noWrap/>
            <w:vAlign w:val="center"/>
          </w:tcPr>
          <w:p w14:paraId="2A8FC036" w14:textId="77777777" w:rsidR="00C972CB" w:rsidRDefault="002457F6">
            <w:pPr>
              <w:pStyle w:val="P68B1DB1-Normal12"/>
              <w:rPr>
                <w:noProof/>
              </w:rPr>
            </w:pPr>
            <w:r>
              <w:rPr>
                <w:noProof/>
              </w:rPr>
              <w:t>Ieguldījums 5.1.: SIMEST pārvaldītā fonda 394/81 refinansēšana un pārveidošana</w:t>
            </w:r>
          </w:p>
        </w:tc>
        <w:tc>
          <w:tcPr>
            <w:tcW w:w="1455" w:type="dxa"/>
            <w:tcBorders>
              <w:top w:val="nil"/>
              <w:left w:val="nil"/>
              <w:bottom w:val="single" w:sz="4" w:space="0" w:color="auto"/>
              <w:right w:val="single" w:sz="4" w:space="0" w:color="auto"/>
            </w:tcBorders>
            <w:shd w:val="clear" w:color="auto" w:fill="C6EFCE"/>
            <w:noWrap/>
            <w:vAlign w:val="center"/>
          </w:tcPr>
          <w:p w14:paraId="67CDADB5"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588DEDA4" w14:textId="77777777" w:rsidR="00C972CB" w:rsidRDefault="002457F6">
            <w:pPr>
              <w:pStyle w:val="P68B1DB1-Normal12"/>
              <w:jc w:val="center"/>
              <w:rPr>
                <w:noProof/>
              </w:rPr>
            </w:pPr>
            <w:r>
              <w:rPr>
                <w:noProof/>
              </w:rPr>
              <w:t>Fonda 394/81 atkārtota finansējuma stāšanās spēkā un ieguldījumu politikas pieņemšana</w:t>
            </w:r>
          </w:p>
        </w:tc>
      </w:tr>
      <w:tr w:rsidR="00C972CB" w14:paraId="260310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5C70C0" w14:textId="77777777" w:rsidR="00C972CB" w:rsidRDefault="002457F6">
            <w:pPr>
              <w:pStyle w:val="P68B1DB1-Normal12"/>
              <w:rPr>
                <w:noProof/>
              </w:rPr>
            </w:pPr>
            <w:r>
              <w:rPr>
                <w:noProof/>
              </w:rPr>
              <w:t>M2C1–14</w:t>
            </w:r>
          </w:p>
        </w:tc>
        <w:tc>
          <w:tcPr>
            <w:tcW w:w="3195" w:type="dxa"/>
            <w:tcBorders>
              <w:top w:val="nil"/>
              <w:left w:val="nil"/>
              <w:bottom w:val="single" w:sz="4" w:space="0" w:color="auto"/>
              <w:right w:val="single" w:sz="4" w:space="0" w:color="auto"/>
            </w:tcBorders>
            <w:shd w:val="clear" w:color="auto" w:fill="C6EFCE"/>
            <w:noWrap/>
            <w:vAlign w:val="center"/>
          </w:tcPr>
          <w:p w14:paraId="375E31C5" w14:textId="77777777" w:rsidR="00C972CB" w:rsidRDefault="002457F6">
            <w:pPr>
              <w:pStyle w:val="P68B1DB1-Normal12"/>
              <w:rPr>
                <w:noProof/>
              </w:rPr>
            </w:pPr>
            <w:r>
              <w:rPr>
                <w:noProof/>
              </w:rPr>
              <w:t xml:space="preserve">Ieguldījums 1.1 — Jaunu atkritumu </w:t>
            </w:r>
            <w:r>
              <w:rPr>
                <w:noProof/>
              </w:rPr>
              <w:t>apsaimniekošanas iekārtu ieviešana un esošo iekārtu modernizācija; Investīcijas 1.2 — Aprites ekonomikas pamatprojekti</w:t>
            </w:r>
          </w:p>
        </w:tc>
        <w:tc>
          <w:tcPr>
            <w:tcW w:w="1455" w:type="dxa"/>
            <w:tcBorders>
              <w:top w:val="nil"/>
              <w:left w:val="nil"/>
              <w:bottom w:val="single" w:sz="4" w:space="0" w:color="auto"/>
              <w:right w:val="single" w:sz="4" w:space="0" w:color="auto"/>
            </w:tcBorders>
            <w:shd w:val="clear" w:color="auto" w:fill="C6EFCE"/>
            <w:noWrap/>
            <w:vAlign w:val="center"/>
          </w:tcPr>
          <w:p w14:paraId="33A81900"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52D3E4F3" w14:textId="77777777" w:rsidR="00C972CB" w:rsidRDefault="002457F6">
            <w:pPr>
              <w:pStyle w:val="P68B1DB1-Normal12"/>
              <w:jc w:val="center"/>
              <w:rPr>
                <w:noProof/>
              </w:rPr>
            </w:pPr>
            <w:r>
              <w:rPr>
                <w:noProof/>
              </w:rPr>
              <w:t>Ministra dekrēta stāšanās spēkā.</w:t>
            </w:r>
          </w:p>
        </w:tc>
      </w:tr>
      <w:tr w:rsidR="00C972CB" w14:paraId="6793F6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AA351D" w14:textId="77777777" w:rsidR="00C972CB" w:rsidRDefault="002457F6">
            <w:pPr>
              <w:pStyle w:val="P68B1DB1-Normal12"/>
              <w:rPr>
                <w:noProof/>
              </w:rPr>
            </w:pPr>
            <w:r>
              <w:rPr>
                <w:noProof/>
              </w:rPr>
              <w:t>M2C4–8</w:t>
            </w:r>
          </w:p>
        </w:tc>
        <w:tc>
          <w:tcPr>
            <w:tcW w:w="3195" w:type="dxa"/>
            <w:tcBorders>
              <w:top w:val="nil"/>
              <w:left w:val="nil"/>
              <w:bottom w:val="single" w:sz="4" w:space="0" w:color="auto"/>
              <w:right w:val="single" w:sz="4" w:space="0" w:color="auto"/>
            </w:tcBorders>
            <w:shd w:val="clear" w:color="auto" w:fill="C6EFCE"/>
            <w:noWrap/>
            <w:vAlign w:val="center"/>
          </w:tcPr>
          <w:p w14:paraId="42C48309" w14:textId="77777777" w:rsidR="00C972CB" w:rsidRDefault="002457F6">
            <w:pPr>
              <w:pStyle w:val="P68B1DB1-Normal12"/>
              <w:rPr>
                <w:noProof/>
              </w:rPr>
            </w:pPr>
            <w:r>
              <w:rPr>
                <w:noProof/>
              </w:rPr>
              <w:t>Ieguldījums 1.1. Progresīvas un integrētas uzraudzības un prognozēšanas sistēm</w:t>
            </w:r>
            <w:r>
              <w:rPr>
                <w:noProof/>
              </w:rPr>
              <w:t>as ieviešana</w:t>
            </w:r>
          </w:p>
        </w:tc>
        <w:tc>
          <w:tcPr>
            <w:tcW w:w="1455" w:type="dxa"/>
            <w:tcBorders>
              <w:top w:val="nil"/>
              <w:left w:val="nil"/>
              <w:bottom w:val="single" w:sz="4" w:space="0" w:color="auto"/>
              <w:right w:val="single" w:sz="4" w:space="0" w:color="auto"/>
            </w:tcBorders>
            <w:shd w:val="clear" w:color="auto" w:fill="C6EFCE"/>
            <w:noWrap/>
            <w:vAlign w:val="center"/>
          </w:tcPr>
          <w:p w14:paraId="07E3C085"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475D7666" w14:textId="77777777" w:rsidR="00C972CB" w:rsidRDefault="002457F6">
            <w:pPr>
              <w:pStyle w:val="P68B1DB1-Normal12"/>
              <w:jc w:val="center"/>
              <w:rPr>
                <w:noProof/>
              </w:rPr>
            </w:pPr>
            <w:r>
              <w:rPr>
                <w:noProof/>
              </w:rPr>
              <w:t xml:space="preserve">Darbības plāns uzlabotai un integrētai monitoringa un prognozēšanas sistēmai hidroloģisko risku identificēšanai </w:t>
            </w:r>
          </w:p>
        </w:tc>
      </w:tr>
      <w:tr w:rsidR="00C972CB" w14:paraId="4D27EF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71F432" w14:textId="77777777" w:rsidR="00C972CB" w:rsidRDefault="002457F6">
            <w:pPr>
              <w:pStyle w:val="P68B1DB1-Normal12"/>
              <w:rPr>
                <w:noProof/>
              </w:rPr>
            </w:pPr>
            <w:r>
              <w:rPr>
                <w:noProof/>
              </w:rPr>
              <w:t>M5C1–17</w:t>
            </w:r>
          </w:p>
        </w:tc>
        <w:tc>
          <w:tcPr>
            <w:tcW w:w="3195" w:type="dxa"/>
            <w:tcBorders>
              <w:top w:val="nil"/>
              <w:left w:val="nil"/>
              <w:bottom w:val="single" w:sz="4" w:space="0" w:color="auto"/>
              <w:right w:val="single" w:sz="4" w:space="0" w:color="auto"/>
            </w:tcBorders>
            <w:shd w:val="clear" w:color="auto" w:fill="C6EFCE"/>
            <w:noWrap/>
            <w:vAlign w:val="center"/>
          </w:tcPr>
          <w:p w14:paraId="58B1E453" w14:textId="77777777" w:rsidR="00C972CB" w:rsidRDefault="002457F6">
            <w:pPr>
              <w:pStyle w:val="P68B1DB1-Normal12"/>
              <w:rPr>
                <w:noProof/>
              </w:rPr>
            </w:pPr>
            <w:r>
              <w:rPr>
                <w:noProof/>
              </w:rPr>
              <w:t>Ieguldījums Nr. 5 — Sieviešu uzņēmumu izveide</w:t>
            </w:r>
          </w:p>
        </w:tc>
        <w:tc>
          <w:tcPr>
            <w:tcW w:w="1455" w:type="dxa"/>
            <w:tcBorders>
              <w:top w:val="nil"/>
              <w:left w:val="nil"/>
              <w:bottom w:val="single" w:sz="4" w:space="0" w:color="auto"/>
              <w:right w:val="single" w:sz="4" w:space="0" w:color="auto"/>
            </w:tcBorders>
            <w:shd w:val="clear" w:color="auto" w:fill="C6EFCE"/>
            <w:noWrap/>
            <w:vAlign w:val="center"/>
          </w:tcPr>
          <w:p w14:paraId="3B912CE7"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4B747136" w14:textId="77777777" w:rsidR="00C972CB" w:rsidRDefault="002457F6">
            <w:pPr>
              <w:pStyle w:val="P68B1DB1-Normal12"/>
              <w:jc w:val="center"/>
              <w:rPr>
                <w:noProof/>
              </w:rPr>
            </w:pPr>
            <w:r>
              <w:rPr>
                <w:noProof/>
              </w:rPr>
              <w:t xml:space="preserve">Fonds sieviešu uzņēmējdarbības </w:t>
            </w:r>
            <w:r>
              <w:rPr>
                <w:noProof/>
              </w:rPr>
              <w:t>atbalstam ir pieņemts</w:t>
            </w:r>
          </w:p>
        </w:tc>
      </w:tr>
      <w:tr w:rsidR="00C972CB" w14:paraId="0B487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1D99EA" w14:textId="77777777" w:rsidR="00C972CB" w:rsidRDefault="002457F6">
            <w:pPr>
              <w:pStyle w:val="P68B1DB1-Normal12"/>
              <w:rPr>
                <w:noProof/>
              </w:rPr>
            </w:pPr>
            <w:r>
              <w:rPr>
                <w:noProof/>
              </w:rPr>
              <w:t>M1C2–27</w:t>
            </w:r>
          </w:p>
        </w:tc>
        <w:tc>
          <w:tcPr>
            <w:tcW w:w="3195" w:type="dxa"/>
            <w:tcBorders>
              <w:top w:val="nil"/>
              <w:left w:val="nil"/>
              <w:bottom w:val="single" w:sz="4" w:space="0" w:color="auto"/>
              <w:right w:val="single" w:sz="4" w:space="0" w:color="auto"/>
            </w:tcBorders>
            <w:shd w:val="clear" w:color="auto" w:fill="C6EFCE"/>
            <w:noWrap/>
            <w:vAlign w:val="center"/>
          </w:tcPr>
          <w:p w14:paraId="5AA6677E" w14:textId="77777777" w:rsidR="00C972CB" w:rsidRDefault="002457F6">
            <w:pPr>
              <w:pStyle w:val="P68B1DB1-Normal12"/>
              <w:rPr>
                <w:noProof/>
              </w:rPr>
            </w:pPr>
            <w:r>
              <w:rPr>
                <w:noProof/>
              </w:rPr>
              <w:t>Ieguldījums 5.1.: SIMEST pārvaldītā fonda 394/81 refinansēšana un pārveidošana</w:t>
            </w:r>
          </w:p>
        </w:tc>
        <w:tc>
          <w:tcPr>
            <w:tcW w:w="1455" w:type="dxa"/>
            <w:tcBorders>
              <w:top w:val="nil"/>
              <w:left w:val="nil"/>
              <w:bottom w:val="single" w:sz="4" w:space="0" w:color="auto"/>
              <w:right w:val="single" w:sz="4" w:space="0" w:color="auto"/>
            </w:tcBorders>
            <w:shd w:val="clear" w:color="auto" w:fill="C6EFCE"/>
            <w:noWrap/>
            <w:vAlign w:val="center"/>
          </w:tcPr>
          <w:p w14:paraId="3CDD4389" w14:textId="77777777" w:rsidR="00C972CB" w:rsidRDefault="002457F6">
            <w:pPr>
              <w:pStyle w:val="P68B1DB1-Normal12"/>
              <w:rPr>
                <w:noProof/>
              </w:rPr>
            </w:pPr>
            <w:r>
              <w:rPr>
                <w:noProof/>
              </w:rPr>
              <w:t>Mērķa</w:t>
            </w:r>
          </w:p>
        </w:tc>
        <w:tc>
          <w:tcPr>
            <w:tcW w:w="3975" w:type="dxa"/>
            <w:tcBorders>
              <w:top w:val="nil"/>
              <w:left w:val="nil"/>
              <w:bottom w:val="single" w:sz="4" w:space="0" w:color="auto"/>
              <w:right w:val="single" w:sz="4" w:space="0" w:color="auto"/>
            </w:tcBorders>
            <w:shd w:val="clear" w:color="auto" w:fill="C6EFCE"/>
            <w:noWrap/>
            <w:vAlign w:val="center"/>
          </w:tcPr>
          <w:p w14:paraId="0F74B4CA" w14:textId="77777777" w:rsidR="00C972CB" w:rsidRDefault="002457F6">
            <w:pPr>
              <w:pStyle w:val="P68B1DB1-Normal12"/>
              <w:jc w:val="center"/>
              <w:rPr>
                <w:noProof/>
              </w:rPr>
            </w:pPr>
            <w:r>
              <w:rPr>
                <w:noProof/>
              </w:rPr>
              <w:t>MVU, kas saņēmuši atbalstu no fonda 394/81</w:t>
            </w:r>
          </w:p>
        </w:tc>
      </w:tr>
      <w:tr w:rsidR="00C972CB" w14:paraId="2667F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2192EE" w14:textId="77777777" w:rsidR="00C972CB" w:rsidRDefault="002457F6">
            <w:pPr>
              <w:pStyle w:val="P68B1DB1-Normal12"/>
              <w:rPr>
                <w:noProof/>
              </w:rPr>
            </w:pPr>
            <w:r>
              <w:rPr>
                <w:noProof/>
              </w:rPr>
              <w:t>M1C3–22.</w:t>
            </w:r>
          </w:p>
        </w:tc>
        <w:tc>
          <w:tcPr>
            <w:tcW w:w="3195" w:type="dxa"/>
            <w:tcBorders>
              <w:top w:val="nil"/>
              <w:left w:val="nil"/>
              <w:bottom w:val="single" w:sz="4" w:space="0" w:color="auto"/>
              <w:right w:val="single" w:sz="4" w:space="0" w:color="auto"/>
            </w:tcBorders>
            <w:shd w:val="clear" w:color="auto" w:fill="C6EFCE"/>
            <w:noWrap/>
            <w:vAlign w:val="center"/>
          </w:tcPr>
          <w:p w14:paraId="240EBC4F" w14:textId="77777777" w:rsidR="00C972CB" w:rsidRDefault="002457F6">
            <w:pPr>
              <w:pStyle w:val="P68B1DB1-Normal12"/>
              <w:rPr>
                <w:noProof/>
              </w:rPr>
            </w:pPr>
            <w:r>
              <w:rPr>
                <w:noProof/>
              </w:rPr>
              <w:t xml:space="preserve">Ieguldījums. Fonds tūrisma uzņēmumu konkurētspējai </w:t>
            </w:r>
          </w:p>
        </w:tc>
        <w:tc>
          <w:tcPr>
            <w:tcW w:w="1455" w:type="dxa"/>
            <w:tcBorders>
              <w:top w:val="nil"/>
              <w:left w:val="nil"/>
              <w:bottom w:val="single" w:sz="4" w:space="0" w:color="auto"/>
              <w:right w:val="single" w:sz="4" w:space="0" w:color="auto"/>
            </w:tcBorders>
            <w:shd w:val="clear" w:color="auto" w:fill="C6EFCE"/>
            <w:noWrap/>
            <w:vAlign w:val="center"/>
          </w:tcPr>
          <w:p w14:paraId="645AE250"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0DA8F912" w14:textId="77777777" w:rsidR="00C972CB" w:rsidRDefault="002457F6">
            <w:pPr>
              <w:pStyle w:val="P68B1DB1-Normal12"/>
              <w:jc w:val="center"/>
              <w:rPr>
                <w:noProof/>
              </w:rPr>
            </w:pPr>
            <w:r>
              <w:rPr>
                <w:noProof/>
              </w:rPr>
              <w:t>Ieguldījumu polit</w:t>
            </w:r>
            <w:r>
              <w:rPr>
                <w:noProof/>
              </w:rPr>
              <w:t xml:space="preserve">ika attiecībā uz: Eiropas Investīciju bankas tematiskais fonds;  </w:t>
            </w:r>
          </w:p>
        </w:tc>
      </w:tr>
      <w:tr w:rsidR="00C972CB" w14:paraId="572D79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A85353" w14:textId="77777777" w:rsidR="00C972CB" w:rsidRDefault="002457F6">
            <w:pPr>
              <w:pStyle w:val="P68B1DB1-Normal12"/>
              <w:rPr>
                <w:noProof/>
              </w:rPr>
            </w:pPr>
            <w:r>
              <w:rPr>
                <w:noProof/>
              </w:rPr>
              <w:t>M1C3–23</w:t>
            </w:r>
          </w:p>
        </w:tc>
        <w:tc>
          <w:tcPr>
            <w:tcW w:w="3195" w:type="dxa"/>
            <w:tcBorders>
              <w:top w:val="nil"/>
              <w:left w:val="nil"/>
              <w:bottom w:val="single" w:sz="4" w:space="0" w:color="auto"/>
              <w:right w:val="single" w:sz="4" w:space="0" w:color="auto"/>
            </w:tcBorders>
            <w:shd w:val="clear" w:color="auto" w:fill="C6EFCE"/>
            <w:noWrap/>
            <w:vAlign w:val="center"/>
          </w:tcPr>
          <w:p w14:paraId="60918E36" w14:textId="77777777" w:rsidR="00C972CB" w:rsidRDefault="002457F6">
            <w:pPr>
              <w:pStyle w:val="P68B1DB1-Normal12"/>
              <w:rPr>
                <w:noProof/>
              </w:rPr>
            </w:pPr>
            <w:r>
              <w:rPr>
                <w:noProof/>
              </w:rPr>
              <w:t xml:space="preserve">Ieguldījums 4.2.:  Fondi tūrisma uzņēmumu konkurētspējai </w:t>
            </w:r>
          </w:p>
        </w:tc>
        <w:tc>
          <w:tcPr>
            <w:tcW w:w="1455" w:type="dxa"/>
            <w:tcBorders>
              <w:top w:val="nil"/>
              <w:left w:val="nil"/>
              <w:bottom w:val="single" w:sz="4" w:space="0" w:color="auto"/>
              <w:right w:val="single" w:sz="4" w:space="0" w:color="auto"/>
            </w:tcBorders>
            <w:shd w:val="clear" w:color="auto" w:fill="C6EFCE"/>
            <w:noWrap/>
            <w:vAlign w:val="center"/>
          </w:tcPr>
          <w:p w14:paraId="4B099F95"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4B3BFB88" w14:textId="77777777" w:rsidR="00C972CB" w:rsidRDefault="002457F6">
            <w:pPr>
              <w:pStyle w:val="P68B1DB1-Normal12"/>
              <w:jc w:val="center"/>
              <w:rPr>
                <w:noProof/>
              </w:rPr>
            </w:pPr>
            <w:r>
              <w:rPr>
                <w:noProof/>
              </w:rPr>
              <w:t xml:space="preserve">Valsts tūrisma fonda ieguldījumu politika, </w:t>
            </w:r>
          </w:p>
        </w:tc>
      </w:tr>
      <w:tr w:rsidR="00C972CB" w14:paraId="53BC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9C2A2E" w14:textId="77777777" w:rsidR="00C972CB" w:rsidRDefault="002457F6">
            <w:pPr>
              <w:pStyle w:val="P68B1DB1-Normal12"/>
              <w:rPr>
                <w:noProof/>
              </w:rPr>
            </w:pPr>
            <w:r>
              <w:rPr>
                <w:noProof/>
              </w:rPr>
              <w:t>M1C3–24</w:t>
            </w:r>
          </w:p>
        </w:tc>
        <w:tc>
          <w:tcPr>
            <w:tcW w:w="3195" w:type="dxa"/>
            <w:tcBorders>
              <w:top w:val="nil"/>
              <w:left w:val="nil"/>
              <w:bottom w:val="single" w:sz="4" w:space="0" w:color="auto"/>
              <w:right w:val="single" w:sz="4" w:space="0" w:color="auto"/>
            </w:tcBorders>
            <w:shd w:val="clear" w:color="auto" w:fill="C6EFCE"/>
            <w:noWrap/>
            <w:vAlign w:val="center"/>
          </w:tcPr>
          <w:p w14:paraId="300ADD09" w14:textId="77777777" w:rsidR="00C972CB" w:rsidRDefault="002457F6">
            <w:pPr>
              <w:pStyle w:val="P68B1DB1-Normal12"/>
              <w:rPr>
                <w:noProof/>
              </w:rPr>
            </w:pPr>
            <w:r>
              <w:rPr>
                <w:noProof/>
              </w:rPr>
              <w:t xml:space="preserve">Ieguldījums. Tūrisma uzņēmumu konkurētspējas fondi </w:t>
            </w:r>
          </w:p>
        </w:tc>
        <w:tc>
          <w:tcPr>
            <w:tcW w:w="1455" w:type="dxa"/>
            <w:tcBorders>
              <w:top w:val="nil"/>
              <w:left w:val="nil"/>
              <w:bottom w:val="single" w:sz="4" w:space="0" w:color="auto"/>
              <w:right w:val="single" w:sz="4" w:space="0" w:color="auto"/>
            </w:tcBorders>
            <w:shd w:val="clear" w:color="auto" w:fill="C6EFCE"/>
            <w:noWrap/>
            <w:vAlign w:val="center"/>
          </w:tcPr>
          <w:p w14:paraId="2BCE7032"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29B30469" w14:textId="77777777" w:rsidR="00C972CB" w:rsidRDefault="002457F6">
            <w:pPr>
              <w:pStyle w:val="P68B1DB1-Normal12"/>
              <w:jc w:val="center"/>
              <w:rPr>
                <w:noProof/>
              </w:rPr>
            </w:pPr>
            <w:r>
              <w:rPr>
                <w:noProof/>
              </w:rPr>
              <w:t>Ieguldījumu politika attiecībā uz: MVU garantiju fonds,</w:t>
            </w:r>
          </w:p>
        </w:tc>
      </w:tr>
      <w:tr w:rsidR="00C972CB" w14:paraId="157098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D9B7E9" w14:textId="77777777" w:rsidR="00C972CB" w:rsidRDefault="002457F6">
            <w:pPr>
              <w:pStyle w:val="P68B1DB1-Normal12"/>
              <w:rPr>
                <w:noProof/>
              </w:rPr>
            </w:pPr>
            <w:r>
              <w:rPr>
                <w:noProof/>
              </w:rPr>
              <w:t>M1C3–25</w:t>
            </w:r>
          </w:p>
        </w:tc>
        <w:tc>
          <w:tcPr>
            <w:tcW w:w="3195" w:type="dxa"/>
            <w:tcBorders>
              <w:top w:val="nil"/>
              <w:left w:val="nil"/>
              <w:bottom w:val="single" w:sz="4" w:space="0" w:color="auto"/>
              <w:right w:val="single" w:sz="4" w:space="0" w:color="auto"/>
            </w:tcBorders>
            <w:shd w:val="clear" w:color="auto" w:fill="C6EFCE"/>
            <w:noWrap/>
            <w:vAlign w:val="center"/>
          </w:tcPr>
          <w:p w14:paraId="0B7121E4" w14:textId="77777777" w:rsidR="00C972CB" w:rsidRDefault="002457F6">
            <w:pPr>
              <w:pStyle w:val="P68B1DB1-Normal12"/>
              <w:rPr>
                <w:noProof/>
              </w:rPr>
            </w:pPr>
            <w:r>
              <w:rPr>
                <w:noProof/>
              </w:rPr>
              <w:t xml:space="preserve">Ieguldījums 4.2.:  Fondi tūrisma uzņēmumu konkurētspējai </w:t>
            </w:r>
          </w:p>
        </w:tc>
        <w:tc>
          <w:tcPr>
            <w:tcW w:w="1455" w:type="dxa"/>
            <w:tcBorders>
              <w:top w:val="nil"/>
              <w:left w:val="nil"/>
              <w:bottom w:val="single" w:sz="4" w:space="0" w:color="auto"/>
              <w:right w:val="single" w:sz="4" w:space="0" w:color="auto"/>
            </w:tcBorders>
            <w:shd w:val="clear" w:color="auto" w:fill="C6EFCE"/>
            <w:noWrap/>
            <w:vAlign w:val="center"/>
          </w:tcPr>
          <w:p w14:paraId="0E2DDCCE"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107C8E6D" w14:textId="77777777" w:rsidR="00C972CB" w:rsidRDefault="002457F6">
            <w:pPr>
              <w:pStyle w:val="P68B1DB1-Normal12"/>
              <w:jc w:val="center"/>
              <w:rPr>
                <w:noProof/>
              </w:rPr>
            </w:pPr>
            <w:r>
              <w:rPr>
                <w:noProof/>
              </w:rPr>
              <w:t xml:space="preserve">Fondo Rotativo ieguldījumu politika </w:t>
            </w:r>
          </w:p>
        </w:tc>
      </w:tr>
      <w:tr w:rsidR="00C972CB" w14:paraId="2C99BF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B82E" w14:textId="77777777" w:rsidR="00C972CB" w:rsidRDefault="002457F6">
            <w:pPr>
              <w:pStyle w:val="P68B1DB1-Normal12"/>
              <w:rPr>
                <w:noProof/>
              </w:rPr>
            </w:pPr>
            <w:r>
              <w:rPr>
                <w:noProof/>
              </w:rPr>
              <w:t>M1C3–26</w:t>
            </w:r>
          </w:p>
        </w:tc>
        <w:tc>
          <w:tcPr>
            <w:tcW w:w="3195" w:type="dxa"/>
            <w:tcBorders>
              <w:top w:val="nil"/>
              <w:left w:val="nil"/>
              <w:bottom w:val="single" w:sz="4" w:space="0" w:color="auto"/>
              <w:right w:val="single" w:sz="4" w:space="0" w:color="auto"/>
            </w:tcBorders>
            <w:shd w:val="clear" w:color="auto" w:fill="C6EFCE"/>
            <w:noWrap/>
            <w:vAlign w:val="center"/>
          </w:tcPr>
          <w:p w14:paraId="0C518EC3" w14:textId="77777777" w:rsidR="00C972CB" w:rsidRDefault="002457F6">
            <w:pPr>
              <w:pStyle w:val="P68B1DB1-Normal12"/>
              <w:rPr>
                <w:noProof/>
              </w:rPr>
            </w:pPr>
            <w:r>
              <w:rPr>
                <w:noProof/>
              </w:rPr>
              <w:t xml:space="preserve">Ieguldījums 4.2.:  Fondi tūrisma uzņēmumu konkurētspējai </w:t>
            </w:r>
          </w:p>
        </w:tc>
        <w:tc>
          <w:tcPr>
            <w:tcW w:w="1455" w:type="dxa"/>
            <w:tcBorders>
              <w:top w:val="nil"/>
              <w:left w:val="nil"/>
              <w:bottom w:val="single" w:sz="4" w:space="0" w:color="auto"/>
              <w:right w:val="single" w:sz="4" w:space="0" w:color="auto"/>
            </w:tcBorders>
            <w:shd w:val="clear" w:color="auto" w:fill="C6EFCE"/>
            <w:noWrap/>
            <w:vAlign w:val="center"/>
          </w:tcPr>
          <w:p w14:paraId="2FDE7E58"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05A1D5F5" w14:textId="77777777" w:rsidR="00C972CB" w:rsidRDefault="002457F6">
            <w:pPr>
              <w:pStyle w:val="P68B1DB1-Normal12"/>
              <w:jc w:val="center"/>
              <w:rPr>
                <w:noProof/>
              </w:rPr>
            </w:pPr>
            <w:r>
              <w:rPr>
                <w:noProof/>
              </w:rPr>
              <w:t>Īstenošanas dekrēta par nodokļu kredītu izmitināšanas vietu atjaunošanai stāšanās spēkā.</w:t>
            </w:r>
          </w:p>
        </w:tc>
      </w:tr>
      <w:tr w:rsidR="00C972CB" w14:paraId="08A9102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4B7470" w14:textId="77777777" w:rsidR="00C972CB" w:rsidRDefault="002457F6">
            <w:pPr>
              <w:pStyle w:val="P68B1DB1-Normal12"/>
              <w:rPr>
                <w:noProof/>
              </w:rPr>
            </w:pPr>
            <w:r>
              <w:rPr>
                <w:noProof/>
              </w:rPr>
              <w:t>M2C4–7</w:t>
            </w:r>
          </w:p>
        </w:tc>
        <w:tc>
          <w:tcPr>
            <w:tcW w:w="3195" w:type="dxa"/>
            <w:tcBorders>
              <w:top w:val="nil"/>
              <w:left w:val="nil"/>
              <w:bottom w:val="single" w:sz="4" w:space="0" w:color="auto"/>
              <w:right w:val="single" w:sz="4" w:space="0" w:color="auto"/>
            </w:tcBorders>
            <w:shd w:val="clear" w:color="auto" w:fill="C6EFCE"/>
            <w:noWrap/>
            <w:vAlign w:val="center"/>
          </w:tcPr>
          <w:p w14:paraId="66BEB345" w14:textId="77777777" w:rsidR="00C972CB" w:rsidRDefault="002457F6">
            <w:pPr>
              <w:pStyle w:val="P68B1DB1-Normal12"/>
              <w:rPr>
                <w:noProof/>
              </w:rPr>
            </w:pPr>
            <w:r>
              <w:rPr>
                <w:noProof/>
              </w:rPr>
              <w:t>Reforma. Gaisa piesārņojuma kontroles valsts programmu pieņemšana</w:t>
            </w:r>
          </w:p>
        </w:tc>
        <w:tc>
          <w:tcPr>
            <w:tcW w:w="1455" w:type="dxa"/>
            <w:tcBorders>
              <w:top w:val="nil"/>
              <w:left w:val="nil"/>
              <w:bottom w:val="single" w:sz="4" w:space="0" w:color="auto"/>
              <w:right w:val="single" w:sz="4" w:space="0" w:color="auto"/>
            </w:tcBorders>
            <w:shd w:val="clear" w:color="auto" w:fill="C6EFCE"/>
            <w:noWrap/>
            <w:vAlign w:val="center"/>
          </w:tcPr>
          <w:p w14:paraId="3CF03BF4"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6738C9F8" w14:textId="77777777" w:rsidR="00C972CB" w:rsidRDefault="002457F6">
            <w:pPr>
              <w:pStyle w:val="P68B1DB1-Normal12"/>
              <w:jc w:val="center"/>
              <w:rPr>
                <w:noProof/>
              </w:rPr>
            </w:pPr>
            <w:r>
              <w:rPr>
                <w:noProof/>
              </w:rPr>
              <w:t>Valsts gaisa piesārņojuma kontroles programmas stāšanās spēkā</w:t>
            </w:r>
          </w:p>
        </w:tc>
      </w:tr>
      <w:tr w:rsidR="00C972CB" w14:paraId="6C33D5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C7E14" w14:textId="77777777" w:rsidR="00C972CB" w:rsidRDefault="002457F6">
            <w:pPr>
              <w:pStyle w:val="P68B1DB1-Normal12"/>
              <w:rPr>
                <w:noProof/>
              </w:rPr>
            </w:pPr>
            <w:r>
              <w:rPr>
                <w:noProof/>
              </w:rPr>
              <w:t>M2C4–12</w:t>
            </w:r>
          </w:p>
        </w:tc>
        <w:tc>
          <w:tcPr>
            <w:tcW w:w="3195" w:type="dxa"/>
            <w:tcBorders>
              <w:top w:val="nil"/>
              <w:left w:val="nil"/>
              <w:bottom w:val="single" w:sz="4" w:space="0" w:color="auto"/>
              <w:right w:val="single" w:sz="4" w:space="0" w:color="auto"/>
            </w:tcBorders>
            <w:shd w:val="clear" w:color="auto" w:fill="C6EFCE"/>
            <w:noWrap/>
            <w:vAlign w:val="center"/>
          </w:tcPr>
          <w:p w14:paraId="1DDDB908" w14:textId="77777777" w:rsidR="00C972CB" w:rsidRDefault="002457F6">
            <w:pPr>
              <w:pStyle w:val="P68B1DB1-Normal12"/>
              <w:rPr>
                <w:noProof/>
              </w:rPr>
            </w:pPr>
            <w:r>
              <w:rPr>
                <w:noProof/>
              </w:rPr>
              <w:t>Ieguldījums 2.1.b. Pasākumi plūdu un hidroģeoloģiskā riska mazināšanai</w:t>
            </w:r>
          </w:p>
        </w:tc>
        <w:tc>
          <w:tcPr>
            <w:tcW w:w="1455" w:type="dxa"/>
            <w:tcBorders>
              <w:top w:val="nil"/>
              <w:left w:val="nil"/>
              <w:bottom w:val="single" w:sz="4" w:space="0" w:color="auto"/>
              <w:right w:val="single" w:sz="4" w:space="0" w:color="auto"/>
            </w:tcBorders>
            <w:shd w:val="clear" w:color="auto" w:fill="C6EFCE"/>
            <w:noWrap/>
            <w:vAlign w:val="center"/>
          </w:tcPr>
          <w:p w14:paraId="5E1033BB"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2E9D863E" w14:textId="77777777" w:rsidR="00C972CB" w:rsidRDefault="002457F6">
            <w:pPr>
              <w:pStyle w:val="P68B1DB1-Normal12"/>
              <w:jc w:val="center"/>
              <w:rPr>
                <w:noProof/>
              </w:rPr>
            </w:pPr>
            <w:r>
              <w:rPr>
                <w:noProof/>
              </w:rPr>
              <w:t xml:space="preserve">Stājas spēkā pārskatītais tiesiskais regulējums attiecībā uz pasākumiem plūdu un </w:t>
            </w:r>
            <w:r>
              <w:rPr>
                <w:noProof/>
              </w:rPr>
              <w:t>hidroģeoloģisko risku novēršanai</w:t>
            </w:r>
          </w:p>
        </w:tc>
      </w:tr>
      <w:tr w:rsidR="00C972CB" w14:paraId="3AE882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A266A" w14:textId="77777777" w:rsidR="00C972CB" w:rsidRDefault="002457F6">
            <w:pPr>
              <w:pStyle w:val="P68B1DB1-Normal12"/>
              <w:rPr>
                <w:noProof/>
              </w:rPr>
            </w:pPr>
            <w:r>
              <w:rPr>
                <w:noProof/>
              </w:rPr>
              <w:t>M2C4–18</w:t>
            </w:r>
          </w:p>
        </w:tc>
        <w:tc>
          <w:tcPr>
            <w:tcW w:w="3195" w:type="dxa"/>
            <w:tcBorders>
              <w:top w:val="nil"/>
              <w:left w:val="nil"/>
              <w:bottom w:val="single" w:sz="4" w:space="0" w:color="auto"/>
              <w:right w:val="single" w:sz="4" w:space="0" w:color="auto"/>
            </w:tcBorders>
            <w:shd w:val="clear" w:color="auto" w:fill="C6EFCE"/>
            <w:noWrap/>
            <w:vAlign w:val="center"/>
          </w:tcPr>
          <w:p w14:paraId="1DF082B5" w14:textId="77777777" w:rsidR="00C972CB" w:rsidRDefault="002457F6">
            <w:pPr>
              <w:pStyle w:val="P68B1DB1-Normal12"/>
              <w:rPr>
                <w:noProof/>
              </w:rPr>
            </w:pPr>
            <w:r>
              <w:rPr>
                <w:noProof/>
              </w:rPr>
              <w:t>Investīcijas. 3.1: Pilsētu un piepilsētu mežu aizsardzība un uzlabošana</w:t>
            </w:r>
          </w:p>
        </w:tc>
        <w:tc>
          <w:tcPr>
            <w:tcW w:w="1455" w:type="dxa"/>
            <w:tcBorders>
              <w:top w:val="nil"/>
              <w:left w:val="nil"/>
              <w:bottom w:val="single" w:sz="4" w:space="0" w:color="auto"/>
              <w:right w:val="single" w:sz="4" w:space="0" w:color="auto"/>
            </w:tcBorders>
            <w:shd w:val="clear" w:color="auto" w:fill="C6EFCE"/>
            <w:noWrap/>
            <w:vAlign w:val="center"/>
          </w:tcPr>
          <w:p w14:paraId="2ED31732"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732DB0E7" w14:textId="77777777" w:rsidR="00C972CB" w:rsidRDefault="002457F6">
            <w:pPr>
              <w:pStyle w:val="P68B1DB1-Normal12"/>
              <w:jc w:val="center"/>
              <w:rPr>
                <w:noProof/>
              </w:rPr>
            </w:pPr>
            <w:r>
              <w:rPr>
                <w:noProof/>
              </w:rPr>
              <w:t xml:space="preserve">Pārskatīto juridisko izmaiņu stāšanās spēkā attiecībā uz pilsētu un piepilsētu zaļo zonu aizsardzību un valorizāciju </w:t>
            </w:r>
          </w:p>
        </w:tc>
      </w:tr>
      <w:tr w:rsidR="00C972CB" w14:paraId="6F3BFD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940E0" w14:textId="77777777" w:rsidR="00C972CB" w:rsidRDefault="002457F6">
            <w:pPr>
              <w:pStyle w:val="P68B1DB1-Normal12"/>
              <w:rPr>
                <w:noProof/>
              </w:rPr>
            </w:pPr>
            <w:r>
              <w:rPr>
                <w:noProof/>
              </w:rPr>
              <w:t>M3C1–</w:t>
            </w:r>
            <w:r>
              <w:rPr>
                <w:noProof/>
              </w:rPr>
              <w:t>1</w:t>
            </w:r>
          </w:p>
        </w:tc>
        <w:tc>
          <w:tcPr>
            <w:tcW w:w="3195" w:type="dxa"/>
            <w:tcBorders>
              <w:top w:val="nil"/>
              <w:left w:val="nil"/>
              <w:bottom w:val="single" w:sz="4" w:space="0" w:color="auto"/>
              <w:right w:val="single" w:sz="4" w:space="0" w:color="auto"/>
            </w:tcBorders>
            <w:shd w:val="clear" w:color="auto" w:fill="C6EFCE"/>
            <w:noWrap/>
            <w:vAlign w:val="center"/>
          </w:tcPr>
          <w:p w14:paraId="036A7CB0" w14:textId="77777777" w:rsidR="00C972CB" w:rsidRDefault="002457F6">
            <w:pPr>
              <w:pStyle w:val="P68B1DB1-Normal12"/>
              <w:rPr>
                <w:noProof/>
              </w:rPr>
            </w:pPr>
            <w:r>
              <w:rPr>
                <w:noProof/>
              </w:rPr>
              <w:t>Reforma. Nolīguma starp MIT un RFI apstiprināšanas procesa paātrināšana</w:t>
            </w:r>
          </w:p>
        </w:tc>
        <w:tc>
          <w:tcPr>
            <w:tcW w:w="1455" w:type="dxa"/>
            <w:tcBorders>
              <w:top w:val="nil"/>
              <w:left w:val="nil"/>
              <w:bottom w:val="single" w:sz="4" w:space="0" w:color="auto"/>
              <w:right w:val="single" w:sz="4" w:space="0" w:color="auto"/>
            </w:tcBorders>
            <w:shd w:val="clear" w:color="auto" w:fill="C6EFCE"/>
            <w:noWrap/>
            <w:vAlign w:val="center"/>
          </w:tcPr>
          <w:p w14:paraId="273E1EF7"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1536B7F5" w14:textId="77777777" w:rsidR="00C972CB" w:rsidRDefault="002457F6">
            <w:pPr>
              <w:pStyle w:val="P68B1DB1-Normal12"/>
              <w:jc w:val="center"/>
              <w:rPr>
                <w:noProof/>
              </w:rPr>
            </w:pPr>
            <w:r>
              <w:rPr>
                <w:noProof/>
              </w:rPr>
              <w:t>Stājas spēkā tiesību akta grozījums par Contratti di Programma (CdP) apstiprināšanas procesu</w:t>
            </w:r>
          </w:p>
        </w:tc>
      </w:tr>
      <w:tr w:rsidR="00C972CB" w14:paraId="1F3B73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82C774" w14:textId="77777777" w:rsidR="00C972CB" w:rsidRDefault="002457F6">
            <w:pPr>
              <w:pStyle w:val="P68B1DB1-Normal12"/>
              <w:rPr>
                <w:noProof/>
              </w:rPr>
            </w:pPr>
            <w:r>
              <w:rPr>
                <w:noProof/>
              </w:rPr>
              <w:t>M3C1–2</w:t>
            </w:r>
          </w:p>
        </w:tc>
        <w:tc>
          <w:tcPr>
            <w:tcW w:w="3195" w:type="dxa"/>
            <w:tcBorders>
              <w:top w:val="nil"/>
              <w:left w:val="nil"/>
              <w:bottom w:val="single" w:sz="4" w:space="0" w:color="auto"/>
              <w:right w:val="single" w:sz="4" w:space="0" w:color="auto"/>
            </w:tcBorders>
            <w:shd w:val="clear" w:color="auto" w:fill="C6EFCE"/>
            <w:noWrap/>
            <w:vAlign w:val="center"/>
          </w:tcPr>
          <w:p w14:paraId="132A8E2D" w14:textId="77777777" w:rsidR="00C972CB" w:rsidRDefault="002457F6">
            <w:pPr>
              <w:pStyle w:val="P68B1DB1-Normal12"/>
              <w:rPr>
                <w:noProof/>
              </w:rPr>
            </w:pPr>
            <w:r>
              <w:rPr>
                <w:noProof/>
              </w:rPr>
              <w:t>Reforma. Projektu apstiprināšanas procesa paātrināšana</w:t>
            </w:r>
          </w:p>
        </w:tc>
        <w:tc>
          <w:tcPr>
            <w:tcW w:w="1455" w:type="dxa"/>
            <w:tcBorders>
              <w:top w:val="nil"/>
              <w:left w:val="nil"/>
              <w:bottom w:val="single" w:sz="4" w:space="0" w:color="auto"/>
              <w:right w:val="single" w:sz="4" w:space="0" w:color="auto"/>
            </w:tcBorders>
            <w:shd w:val="clear" w:color="auto" w:fill="C6EFCE"/>
            <w:noWrap/>
            <w:vAlign w:val="center"/>
          </w:tcPr>
          <w:p w14:paraId="629D1083"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3E8F6C53" w14:textId="77777777" w:rsidR="00C972CB" w:rsidRDefault="002457F6">
            <w:pPr>
              <w:pStyle w:val="P68B1DB1-Normal12"/>
              <w:jc w:val="center"/>
              <w:rPr>
                <w:noProof/>
              </w:rPr>
            </w:pPr>
            <w:r>
              <w:rPr>
                <w:noProof/>
              </w:rPr>
              <w:t>Tādu regulatīvu izmaiņu stāšanās spēkā, kas samazina atļauju piešķiršanas laiku projektiem no 11 līdz sešiem mēnešiem</w:t>
            </w:r>
          </w:p>
        </w:tc>
      </w:tr>
      <w:tr w:rsidR="00C972CB" w14:paraId="1DDC09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D8923E" w14:textId="77777777" w:rsidR="00C972CB" w:rsidRDefault="002457F6">
            <w:pPr>
              <w:pStyle w:val="P68B1DB1-Normal12"/>
              <w:rPr>
                <w:noProof/>
              </w:rPr>
            </w:pPr>
            <w:r>
              <w:rPr>
                <w:noProof/>
              </w:rPr>
              <w:t>M3C1–21</w:t>
            </w:r>
          </w:p>
        </w:tc>
        <w:tc>
          <w:tcPr>
            <w:tcW w:w="3195" w:type="dxa"/>
            <w:tcBorders>
              <w:top w:val="nil"/>
              <w:left w:val="nil"/>
              <w:bottom w:val="single" w:sz="4" w:space="0" w:color="auto"/>
              <w:right w:val="single" w:sz="4" w:space="0" w:color="auto"/>
            </w:tcBorders>
            <w:shd w:val="clear" w:color="auto" w:fill="C6EFCE"/>
            <w:noWrap/>
            <w:vAlign w:val="center"/>
          </w:tcPr>
          <w:p w14:paraId="7D6F2DC2" w14:textId="77777777" w:rsidR="00C972CB" w:rsidRDefault="002457F6">
            <w:pPr>
              <w:pStyle w:val="P68B1DB1-Normal12"/>
              <w:rPr>
                <w:noProof/>
              </w:rPr>
            </w:pPr>
            <w:r>
              <w:rPr>
                <w:noProof/>
              </w:rPr>
              <w:t>Reforma — nesen pieņemtā “Dekrēta vienkāršošana” (kas pārveidots par 2020. gada 11. septembra Likumu Nr. 120) ī</w:t>
            </w:r>
            <w:r>
              <w:rPr>
                <w:noProof/>
              </w:rPr>
              <w:t>stenošana, izdodot dekrētu par “Vadlīniju par risku klasifikāciju un pārvaldību, drošības novērtēšanu un esošo tiltu uzraudzību” pieņemšanu</w:t>
            </w:r>
          </w:p>
        </w:tc>
        <w:tc>
          <w:tcPr>
            <w:tcW w:w="1455" w:type="dxa"/>
            <w:tcBorders>
              <w:top w:val="nil"/>
              <w:left w:val="nil"/>
              <w:bottom w:val="single" w:sz="4" w:space="0" w:color="auto"/>
              <w:right w:val="single" w:sz="4" w:space="0" w:color="auto"/>
            </w:tcBorders>
            <w:shd w:val="clear" w:color="auto" w:fill="C6EFCE"/>
            <w:noWrap/>
            <w:vAlign w:val="center"/>
          </w:tcPr>
          <w:p w14:paraId="2D3B787E"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5D8A4DEB" w14:textId="77777777" w:rsidR="00C972CB" w:rsidRDefault="002457F6">
            <w:pPr>
              <w:pStyle w:val="P68B1DB1-Normal12"/>
              <w:jc w:val="center"/>
              <w:rPr>
                <w:noProof/>
              </w:rPr>
            </w:pPr>
            <w:r>
              <w:rPr>
                <w:noProof/>
              </w:rPr>
              <w:t>Stājas spēkā “risku klasifikācijas un pārvaldības, drošības novērtēšanas un esošo tiltu uzraudzība</w:t>
            </w:r>
            <w:r>
              <w:rPr>
                <w:noProof/>
              </w:rPr>
              <w:t>s pamatnostādnes”</w:t>
            </w:r>
          </w:p>
        </w:tc>
      </w:tr>
      <w:tr w:rsidR="00C972CB" w14:paraId="34ACB6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6AC75" w14:textId="77777777" w:rsidR="00C972CB" w:rsidRDefault="002457F6">
            <w:pPr>
              <w:pStyle w:val="P68B1DB1-Normal12"/>
              <w:rPr>
                <w:noProof/>
              </w:rPr>
            </w:pPr>
            <w:r>
              <w:rPr>
                <w:noProof/>
              </w:rPr>
              <w:t>M3C1–22</w:t>
            </w:r>
          </w:p>
        </w:tc>
        <w:tc>
          <w:tcPr>
            <w:tcW w:w="3195" w:type="dxa"/>
            <w:tcBorders>
              <w:top w:val="nil"/>
              <w:left w:val="nil"/>
              <w:bottom w:val="single" w:sz="4" w:space="0" w:color="auto"/>
              <w:right w:val="single" w:sz="4" w:space="0" w:color="auto"/>
            </w:tcBorders>
            <w:shd w:val="clear" w:color="auto" w:fill="C6EFCE"/>
            <w:noWrap/>
            <w:vAlign w:val="center"/>
          </w:tcPr>
          <w:p w14:paraId="06F2B643" w14:textId="77777777" w:rsidR="00C972CB" w:rsidRDefault="002457F6">
            <w:pPr>
              <w:pStyle w:val="P68B1DB1-Normal12"/>
              <w:rPr>
                <w:noProof/>
              </w:rPr>
            </w:pPr>
            <w:r>
              <w:rPr>
                <w:noProof/>
              </w:rPr>
              <w:t>Reforma — tiltu īpašuma un cauruduktu nodošana no zemākā līmeņa sarindojuma ceļiem uz augstāka ranga ceļiem</w:t>
            </w:r>
          </w:p>
        </w:tc>
        <w:tc>
          <w:tcPr>
            <w:tcW w:w="1455" w:type="dxa"/>
            <w:tcBorders>
              <w:top w:val="nil"/>
              <w:left w:val="nil"/>
              <w:bottom w:val="single" w:sz="4" w:space="0" w:color="auto"/>
              <w:right w:val="single" w:sz="4" w:space="0" w:color="auto"/>
            </w:tcBorders>
            <w:shd w:val="clear" w:color="auto" w:fill="C6EFCE"/>
            <w:noWrap/>
            <w:vAlign w:val="center"/>
          </w:tcPr>
          <w:p w14:paraId="2846CCD5"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3F2CCC77" w14:textId="77777777" w:rsidR="00C972CB" w:rsidRDefault="002457F6">
            <w:pPr>
              <w:pStyle w:val="P68B1DB1-Normal12"/>
              <w:jc w:val="center"/>
              <w:rPr>
                <w:noProof/>
              </w:rPr>
            </w:pPr>
            <w:r>
              <w:rPr>
                <w:noProof/>
              </w:rPr>
              <w:t xml:space="preserve">Nodot tiltu, viaduktu un pārbrauktuvju īpašumtiesības no zemāka līmeņa sarindojuma ceļiem uz augstāka </w:t>
            </w:r>
            <w:r>
              <w:rPr>
                <w:noProof/>
              </w:rPr>
              <w:t>ranga ceļiem (automaģistrāles un galvenie valsts autoceļi)</w:t>
            </w:r>
          </w:p>
        </w:tc>
      </w:tr>
      <w:tr w:rsidR="00C972CB" w14:paraId="42D69B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EF2621" w14:textId="77777777" w:rsidR="00C972CB" w:rsidRDefault="002457F6">
            <w:pPr>
              <w:pStyle w:val="P68B1DB1-Normal12"/>
              <w:rPr>
                <w:noProof/>
              </w:rPr>
            </w:pPr>
            <w:r>
              <w:rPr>
                <w:noProof/>
              </w:rPr>
              <w:t>M4C1–27</w:t>
            </w:r>
          </w:p>
        </w:tc>
        <w:tc>
          <w:tcPr>
            <w:tcW w:w="3195" w:type="dxa"/>
            <w:tcBorders>
              <w:top w:val="nil"/>
              <w:left w:val="nil"/>
              <w:bottom w:val="single" w:sz="4" w:space="0" w:color="auto"/>
              <w:right w:val="single" w:sz="4" w:space="0" w:color="auto"/>
            </w:tcBorders>
            <w:shd w:val="clear" w:color="auto" w:fill="C6EFCE"/>
            <w:noWrap/>
            <w:vAlign w:val="center"/>
          </w:tcPr>
          <w:p w14:paraId="51969987" w14:textId="77777777" w:rsidR="00C972CB" w:rsidRDefault="002457F6">
            <w:pPr>
              <w:pStyle w:val="P68B1DB1-Normal12"/>
              <w:rPr>
                <w:noProof/>
              </w:rPr>
            </w:pPr>
            <w:r>
              <w:rPr>
                <w:noProof/>
              </w:rPr>
              <w:t>Reforma. Studentu mājokļu regulējuma reforma un ieguldījumi studentu mājokļos</w:t>
            </w:r>
          </w:p>
        </w:tc>
        <w:tc>
          <w:tcPr>
            <w:tcW w:w="1455" w:type="dxa"/>
            <w:tcBorders>
              <w:top w:val="nil"/>
              <w:left w:val="nil"/>
              <w:bottom w:val="single" w:sz="4" w:space="0" w:color="auto"/>
              <w:right w:val="single" w:sz="4" w:space="0" w:color="auto"/>
            </w:tcBorders>
            <w:shd w:val="clear" w:color="auto" w:fill="C6EFCE"/>
            <w:noWrap/>
            <w:vAlign w:val="center"/>
          </w:tcPr>
          <w:p w14:paraId="198CAC35"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44B730C4" w14:textId="77777777" w:rsidR="00C972CB" w:rsidRDefault="002457F6">
            <w:pPr>
              <w:pStyle w:val="P68B1DB1-Normal12"/>
              <w:jc w:val="center"/>
              <w:rPr>
                <w:noProof/>
              </w:rPr>
            </w:pPr>
            <w:r>
              <w:rPr>
                <w:noProof/>
              </w:rPr>
              <w:t>Stājas spēkā tiesību akti, lai grozītu pašreizējos noteikumus par studentu mājokli.</w:t>
            </w:r>
          </w:p>
        </w:tc>
      </w:tr>
      <w:tr w:rsidR="00C972CB" w14:paraId="14CCCB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8D34D" w14:textId="77777777" w:rsidR="00C972CB" w:rsidRDefault="002457F6">
            <w:pPr>
              <w:pStyle w:val="P68B1DB1-Normal12"/>
              <w:rPr>
                <w:noProof/>
              </w:rPr>
            </w:pPr>
            <w:r>
              <w:rPr>
                <w:noProof/>
              </w:rPr>
              <w:t>M5C3–10</w:t>
            </w:r>
          </w:p>
        </w:tc>
        <w:tc>
          <w:tcPr>
            <w:tcW w:w="3195" w:type="dxa"/>
            <w:tcBorders>
              <w:top w:val="nil"/>
              <w:left w:val="nil"/>
              <w:bottom w:val="single" w:sz="4" w:space="0" w:color="auto"/>
              <w:right w:val="single" w:sz="4" w:space="0" w:color="auto"/>
            </w:tcBorders>
            <w:shd w:val="clear" w:color="auto" w:fill="C6EFCE"/>
            <w:noWrap/>
            <w:vAlign w:val="center"/>
          </w:tcPr>
          <w:p w14:paraId="3F3F02A5" w14:textId="77777777" w:rsidR="00C972CB" w:rsidRDefault="002457F6">
            <w:pPr>
              <w:pStyle w:val="P68B1DB1-Normal12"/>
              <w:rPr>
                <w:noProof/>
              </w:rPr>
            </w:pPr>
            <w:r>
              <w:rPr>
                <w:noProof/>
              </w:rPr>
              <w:t>Reforma1: Procedūru vienkāršošana un komisāra stiprināšana speciālajās ekonomiskajās zonās</w:t>
            </w:r>
          </w:p>
        </w:tc>
        <w:tc>
          <w:tcPr>
            <w:tcW w:w="1455" w:type="dxa"/>
            <w:tcBorders>
              <w:top w:val="nil"/>
              <w:left w:val="nil"/>
              <w:bottom w:val="single" w:sz="4" w:space="0" w:color="auto"/>
              <w:right w:val="single" w:sz="4" w:space="0" w:color="auto"/>
            </w:tcBorders>
            <w:shd w:val="clear" w:color="auto" w:fill="C6EFCE"/>
            <w:noWrap/>
            <w:vAlign w:val="center"/>
          </w:tcPr>
          <w:p w14:paraId="6F554D54"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3684841B" w14:textId="77777777" w:rsidR="00C972CB" w:rsidRDefault="002457F6">
            <w:pPr>
              <w:pStyle w:val="P68B1DB1-Normal12"/>
              <w:jc w:val="center"/>
              <w:rPr>
                <w:noProof/>
              </w:rPr>
            </w:pPr>
            <w:r>
              <w:rPr>
                <w:noProof/>
              </w:rPr>
              <w:t>Regulas stāšanās spēkā, lai vienkārši noteiktu procedūras un stiprinātu komisāra lomu īpašajās ekonomiskajās zonās</w:t>
            </w:r>
          </w:p>
        </w:tc>
      </w:tr>
      <w:tr w:rsidR="00C972CB" w14:paraId="78923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A1F4B" w14:textId="77777777" w:rsidR="00C972CB" w:rsidRDefault="002457F6">
            <w:pPr>
              <w:pStyle w:val="P68B1DB1-Normal12"/>
              <w:rPr>
                <w:noProof/>
              </w:rPr>
            </w:pPr>
            <w:r>
              <w:rPr>
                <w:noProof/>
              </w:rPr>
              <w:t>M5C3–11</w:t>
            </w:r>
          </w:p>
        </w:tc>
        <w:tc>
          <w:tcPr>
            <w:tcW w:w="3195" w:type="dxa"/>
            <w:tcBorders>
              <w:top w:val="nil"/>
              <w:left w:val="nil"/>
              <w:bottom w:val="single" w:sz="4" w:space="0" w:color="auto"/>
              <w:right w:val="single" w:sz="4" w:space="0" w:color="auto"/>
            </w:tcBorders>
            <w:shd w:val="clear" w:color="auto" w:fill="C6EFCE"/>
            <w:noWrap/>
            <w:vAlign w:val="center"/>
          </w:tcPr>
          <w:p w14:paraId="0C7F3AC5" w14:textId="77777777" w:rsidR="00C972CB" w:rsidRDefault="002457F6">
            <w:pPr>
              <w:pStyle w:val="P68B1DB1-Normal12"/>
              <w:rPr>
                <w:noProof/>
              </w:rPr>
            </w:pPr>
            <w:r>
              <w:rPr>
                <w:noProof/>
              </w:rPr>
              <w:t xml:space="preserve">Ieguldījums 1.4.: Ieguldījumi infrastruktūrā speciālajā ekonomiskajā zonā </w:t>
            </w:r>
          </w:p>
        </w:tc>
        <w:tc>
          <w:tcPr>
            <w:tcW w:w="1455" w:type="dxa"/>
            <w:tcBorders>
              <w:top w:val="nil"/>
              <w:left w:val="nil"/>
              <w:bottom w:val="single" w:sz="4" w:space="0" w:color="auto"/>
              <w:right w:val="single" w:sz="4" w:space="0" w:color="auto"/>
            </w:tcBorders>
            <w:shd w:val="clear" w:color="auto" w:fill="C6EFCE"/>
            <w:noWrap/>
            <w:vAlign w:val="center"/>
          </w:tcPr>
          <w:p w14:paraId="07FE45BA" w14:textId="77777777" w:rsidR="00C972CB" w:rsidRDefault="002457F6">
            <w:pPr>
              <w:pStyle w:val="P68B1DB1-Normal12"/>
              <w:rPr>
                <w:noProof/>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40C59FDA" w14:textId="77777777" w:rsidR="00C972CB" w:rsidRDefault="002457F6">
            <w:pPr>
              <w:pStyle w:val="P68B1DB1-Normal12"/>
              <w:jc w:val="center"/>
              <w:rPr>
                <w:noProof/>
              </w:rPr>
            </w:pPr>
            <w:r>
              <w:rPr>
                <w:noProof/>
              </w:rPr>
              <w:t>Stājas spēkā ministrijas dekrēti, ar kuriem apstiprina darbības plānus visām astoņām speciālajām ekonomiskajām zonām</w:t>
            </w:r>
          </w:p>
        </w:tc>
      </w:tr>
      <w:tr w:rsidR="00C972CB" w14:paraId="75681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AC0C6C" w14:textId="77777777" w:rsidR="00C972CB" w:rsidRDefault="002457F6">
            <w:pPr>
              <w:pStyle w:val="P68B1DB1-Normal12"/>
              <w:rPr>
                <w:noProof/>
              </w:rPr>
            </w:pPr>
            <w:r>
              <w:rPr>
                <w:noProof/>
              </w:rPr>
              <w:t>M6C2–4</w:t>
            </w:r>
          </w:p>
        </w:tc>
        <w:tc>
          <w:tcPr>
            <w:tcW w:w="3195" w:type="dxa"/>
            <w:tcBorders>
              <w:top w:val="nil"/>
              <w:left w:val="nil"/>
              <w:bottom w:val="single" w:sz="4" w:space="0" w:color="auto"/>
              <w:right w:val="single" w:sz="4" w:space="0" w:color="auto"/>
            </w:tcBorders>
            <w:shd w:val="clear" w:color="auto" w:fill="C6EFCE"/>
            <w:noWrap/>
            <w:vAlign w:val="center"/>
          </w:tcPr>
          <w:p w14:paraId="0F65448F" w14:textId="77777777" w:rsidR="00C972CB" w:rsidRDefault="002457F6">
            <w:pPr>
              <w:pStyle w:val="P68B1DB1-Normal48"/>
              <w:rPr>
                <w:noProof/>
                <w:color w:val="006100"/>
              </w:rPr>
            </w:pPr>
            <w:r>
              <w:rPr>
                <w:noProof/>
              </w:rPr>
              <w:t>Ieguldījums 1.1: Slimnīcu tehnoloģiskā</w:t>
            </w:r>
            <w:r>
              <w:rPr>
                <w:noProof/>
              </w:rPr>
              <w:t xml:space="preserve"> aprīkojuma digitālā atjaunināšana</w:t>
            </w:r>
          </w:p>
        </w:tc>
        <w:tc>
          <w:tcPr>
            <w:tcW w:w="1455" w:type="dxa"/>
            <w:tcBorders>
              <w:top w:val="nil"/>
              <w:left w:val="nil"/>
              <w:bottom w:val="single" w:sz="4" w:space="0" w:color="auto"/>
              <w:right w:val="single" w:sz="4" w:space="0" w:color="auto"/>
            </w:tcBorders>
            <w:shd w:val="clear" w:color="auto" w:fill="C6EFCE"/>
            <w:noWrap/>
            <w:vAlign w:val="center"/>
          </w:tcPr>
          <w:p w14:paraId="3B03D3B4" w14:textId="77777777" w:rsidR="00C972CB" w:rsidRDefault="002457F6">
            <w:pPr>
              <w:pStyle w:val="P68B1DB1-Normal48"/>
              <w:rPr>
                <w:noProof/>
                <w:color w:val="006100"/>
              </w:rPr>
            </w:pPr>
            <w:r>
              <w:rPr>
                <w:noProof/>
              </w:rPr>
              <w:t>Starpposma mērķis</w:t>
            </w:r>
          </w:p>
        </w:tc>
        <w:tc>
          <w:tcPr>
            <w:tcW w:w="3975" w:type="dxa"/>
            <w:tcBorders>
              <w:top w:val="nil"/>
              <w:left w:val="nil"/>
              <w:bottom w:val="single" w:sz="4" w:space="0" w:color="auto"/>
              <w:right w:val="single" w:sz="4" w:space="0" w:color="auto"/>
            </w:tcBorders>
            <w:shd w:val="clear" w:color="auto" w:fill="C6EFCE"/>
            <w:noWrap/>
            <w:vAlign w:val="center"/>
          </w:tcPr>
          <w:p w14:paraId="1CDD6B3F" w14:textId="77777777" w:rsidR="00C972CB" w:rsidRDefault="002457F6">
            <w:pPr>
              <w:pStyle w:val="P68B1DB1-Normal48"/>
              <w:jc w:val="center"/>
              <w:rPr>
                <w:noProof/>
              </w:rPr>
            </w:pPr>
            <w:r>
              <w:rPr>
                <w:noProof/>
              </w:rPr>
              <w:t>Veselības ministrijas/Itālijas reģionu ministrijas apstiprināts reorganizācijas plāns</w:t>
            </w:r>
          </w:p>
        </w:tc>
      </w:tr>
      <w:tr w:rsidR="00C972CB" w14:paraId="5081195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F95A11" w14:textId="77777777" w:rsidR="00C972CB" w:rsidRDefault="00C972C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5D010E46" w14:textId="77777777" w:rsidR="00C972CB" w:rsidRDefault="00C972CB">
            <w:pPr>
              <w:rPr>
                <w:noProof/>
                <w:color w:val="006100"/>
                <w:sz w:val="20"/>
              </w:rPr>
            </w:pPr>
          </w:p>
        </w:tc>
        <w:tc>
          <w:tcPr>
            <w:tcW w:w="1455" w:type="dxa"/>
            <w:tcBorders>
              <w:top w:val="single" w:sz="4" w:space="0" w:color="auto"/>
              <w:left w:val="nil"/>
              <w:bottom w:val="single" w:sz="4" w:space="0" w:color="auto"/>
              <w:right w:val="single" w:sz="4" w:space="0" w:color="auto"/>
            </w:tcBorders>
            <w:shd w:val="clear" w:color="auto" w:fill="C6EFCE"/>
            <w:noWrap/>
            <w:vAlign w:val="bottom"/>
          </w:tcPr>
          <w:p w14:paraId="0C8D73F1" w14:textId="77777777" w:rsidR="00C972CB" w:rsidRDefault="002457F6">
            <w:pPr>
              <w:pStyle w:val="P68B1DB1-Normal12"/>
              <w:rPr>
                <w:noProof/>
              </w:rPr>
            </w:pPr>
            <w:r>
              <w:rPr>
                <w:noProof/>
              </w:rPr>
              <w:t>Maksājuma summa</w:t>
            </w:r>
          </w:p>
        </w:tc>
        <w:tc>
          <w:tcPr>
            <w:tcW w:w="3975" w:type="dxa"/>
            <w:tcBorders>
              <w:top w:val="single" w:sz="4" w:space="0" w:color="auto"/>
              <w:left w:val="nil"/>
              <w:bottom w:val="single" w:sz="4" w:space="0" w:color="auto"/>
              <w:right w:val="single" w:sz="4" w:space="0" w:color="auto"/>
            </w:tcBorders>
            <w:shd w:val="clear" w:color="auto" w:fill="C6EFCE"/>
            <w:noWrap/>
            <w:vAlign w:val="bottom"/>
          </w:tcPr>
          <w:p w14:paraId="29A5963B" w14:textId="5BF24E3C" w:rsidR="00C972CB" w:rsidRDefault="002457F6">
            <w:pPr>
              <w:pStyle w:val="P68B1DB1-Normal46"/>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5580BDCD" w14:textId="7C565BD2" w:rsidR="00C972CB" w:rsidRDefault="002457F6">
      <w:pPr>
        <w:pStyle w:val="P68B1DB1-Normal44"/>
        <w:numPr>
          <w:ilvl w:val="1"/>
          <w:numId w:val="6"/>
        </w:numPr>
        <w:spacing w:before="120" w:after="120"/>
        <w:jc w:val="both"/>
        <w:rPr>
          <w:noProof/>
        </w:rPr>
      </w:pPr>
      <w:r>
        <w:rPr>
          <w:noProof/>
        </w:rPr>
        <w:t>Otrais ieguldījums (aizdevuma atbalsts):</w:t>
      </w:r>
    </w:p>
    <w:tbl>
      <w:tblPr>
        <w:tblW w:w="10096" w:type="dxa"/>
        <w:tblInd w:w="113" w:type="dxa"/>
        <w:tblLook w:val="04A0" w:firstRow="1" w:lastRow="0" w:firstColumn="1" w:lastColumn="0" w:noHBand="0" w:noVBand="1"/>
      </w:tblPr>
      <w:tblGrid>
        <w:gridCol w:w="1413"/>
        <w:gridCol w:w="3195"/>
        <w:gridCol w:w="1983"/>
        <w:gridCol w:w="4035"/>
      </w:tblGrid>
      <w:tr w:rsidR="00C972CB" w14:paraId="2B67401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82C480" w14:textId="77777777" w:rsidR="00C972CB" w:rsidRDefault="002457F6">
            <w:pPr>
              <w:pStyle w:val="P68B1DB1-Normal45"/>
              <w:jc w:val="center"/>
              <w:rPr>
                <w:noProof/>
              </w:rPr>
            </w:pPr>
            <w:r>
              <w:rPr>
                <w:noProof/>
              </w:rPr>
              <w:t>Kārtas numurs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B941D0" w14:textId="77777777" w:rsidR="00C972CB" w:rsidRDefault="002457F6">
            <w:pPr>
              <w:pStyle w:val="P68B1DB1-Normal45"/>
              <w:jc w:val="center"/>
              <w:rPr>
                <w:noProof/>
              </w:rPr>
            </w:pPr>
            <w:r>
              <w:rPr>
                <w:noProof/>
              </w:rPr>
              <w:t xml:space="preserve">Pasākums (reforma vai </w:t>
            </w:r>
            <w:r>
              <w:rPr>
                <w:noProof/>
              </w:rPr>
              <w:t>investīcija)</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1E7DD6" w14:textId="77777777" w:rsidR="00C972CB" w:rsidRDefault="002457F6">
            <w:pPr>
              <w:pStyle w:val="P68B1DB1-Normal45"/>
              <w:jc w:val="center"/>
              <w:rPr>
                <w:noProof/>
              </w:rPr>
            </w:pPr>
            <w:r>
              <w:rPr>
                <w:noProof/>
              </w:rPr>
              <w:t>Atskaites punkts/mērķrādītājs</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CE5A33" w14:textId="77777777" w:rsidR="00C972CB" w:rsidRDefault="002457F6">
            <w:pPr>
              <w:pStyle w:val="P68B1DB1-Normal45"/>
              <w:jc w:val="center"/>
              <w:rPr>
                <w:noProof/>
              </w:rPr>
            </w:pPr>
            <w:r>
              <w:rPr>
                <w:noProof/>
              </w:rPr>
              <w:t>Uzvārds</w:t>
            </w:r>
          </w:p>
        </w:tc>
      </w:tr>
      <w:tr w:rsidR="00C972CB" w14:paraId="7BD35D9E"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312FCBD" w14:textId="77777777" w:rsidR="00C972CB" w:rsidRDefault="00C972C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7A76A996" w14:textId="77777777" w:rsidR="00C972CB" w:rsidRDefault="00C972CB">
            <w:pPr>
              <w:rPr>
                <w:b/>
                <w:noProof/>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3554D1E9" w14:textId="77777777" w:rsidR="00C972CB" w:rsidRDefault="00C972CB">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12059936" w14:textId="77777777" w:rsidR="00C972CB" w:rsidRDefault="00C972CB">
            <w:pPr>
              <w:rPr>
                <w:b/>
                <w:noProof/>
              </w:rPr>
            </w:pPr>
          </w:p>
        </w:tc>
      </w:tr>
      <w:tr w:rsidR="00C972CB" w14:paraId="3F51A56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B6EA8" w14:textId="77777777" w:rsidR="00C972CB" w:rsidRDefault="002457F6">
            <w:pPr>
              <w:pStyle w:val="P68B1DB1-Normal12"/>
              <w:rPr>
                <w:noProof/>
              </w:rPr>
            </w:pPr>
            <w:r>
              <w:rPr>
                <w:noProof/>
              </w:rPr>
              <w:t>M1C2–28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911167" w14:textId="77777777" w:rsidR="00C972CB" w:rsidRDefault="002457F6">
            <w:pPr>
              <w:pStyle w:val="P68B1DB1-Normal12"/>
              <w:rPr>
                <w:noProof/>
              </w:rPr>
            </w:pPr>
            <w:r>
              <w:rPr>
                <w:noProof/>
              </w:rPr>
              <w:t>Ieguldījums 5.2.: Piegādes ķēžu konkurētspēja un noturība</w:t>
            </w:r>
          </w:p>
        </w:tc>
        <w:tc>
          <w:tcPr>
            <w:tcW w:w="1453" w:type="dxa"/>
            <w:tcBorders>
              <w:top w:val="single" w:sz="4" w:space="0" w:color="auto"/>
              <w:left w:val="nil"/>
              <w:bottom w:val="single" w:sz="4" w:space="0" w:color="auto"/>
              <w:right w:val="single" w:sz="4" w:space="0" w:color="auto"/>
            </w:tcBorders>
            <w:shd w:val="clear" w:color="auto" w:fill="C6EFCE"/>
            <w:noWrap/>
            <w:vAlign w:val="center"/>
          </w:tcPr>
          <w:p w14:paraId="4B556553" w14:textId="77777777" w:rsidR="00C972CB" w:rsidRDefault="002457F6">
            <w:pPr>
              <w:pStyle w:val="P68B1DB1-Normal12"/>
              <w:rPr>
                <w:noProof/>
              </w:rPr>
            </w:pPr>
            <w:r>
              <w:rPr>
                <w:noProof/>
              </w:rPr>
              <w:t>Starpposma mērķis</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261CF0E1" w14:textId="77777777" w:rsidR="00C972CB" w:rsidRDefault="002457F6">
            <w:pPr>
              <w:pStyle w:val="P68B1DB1-Normal12"/>
              <w:jc w:val="center"/>
              <w:rPr>
                <w:noProof/>
              </w:rPr>
            </w:pPr>
            <w:r>
              <w:rPr>
                <w:noProof/>
              </w:rPr>
              <w:t>Stājas spēkā dekrēts, kas ietver attīstības līgumu ieguldījumu politiku</w:t>
            </w:r>
          </w:p>
        </w:tc>
      </w:tr>
      <w:tr w:rsidR="00C972CB" w14:paraId="569A96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434D11" w14:textId="77777777" w:rsidR="00C972CB" w:rsidRDefault="002457F6">
            <w:pPr>
              <w:pStyle w:val="P68B1DB1-Normal12"/>
              <w:rPr>
                <w:noProof/>
              </w:rPr>
            </w:pPr>
            <w:r>
              <w:rPr>
                <w:noProof/>
              </w:rPr>
              <w:t>M2C4–27</w:t>
            </w:r>
          </w:p>
        </w:tc>
        <w:tc>
          <w:tcPr>
            <w:tcW w:w="3195" w:type="dxa"/>
            <w:tcBorders>
              <w:top w:val="nil"/>
              <w:left w:val="nil"/>
              <w:bottom w:val="single" w:sz="4" w:space="0" w:color="auto"/>
              <w:right w:val="single" w:sz="4" w:space="0" w:color="auto"/>
            </w:tcBorders>
            <w:shd w:val="clear" w:color="auto" w:fill="C6EFCE"/>
            <w:noWrap/>
            <w:vAlign w:val="center"/>
          </w:tcPr>
          <w:p w14:paraId="42F04730" w14:textId="77777777" w:rsidR="00C972CB" w:rsidRDefault="002457F6">
            <w:pPr>
              <w:pStyle w:val="P68B1DB1-Normal12"/>
              <w:rPr>
                <w:noProof/>
              </w:rPr>
            </w:pPr>
            <w:r>
              <w:rPr>
                <w:noProof/>
              </w:rPr>
              <w:t xml:space="preserve">Reforma. Tiesību aktu </w:t>
            </w:r>
            <w:r>
              <w:rPr>
                <w:noProof/>
              </w:rPr>
              <w:t>vienkāršošana un pārvaldības stiprināšana, lai īstenotu ieguldījumus ūdensapgādes infrastruktūrās</w:t>
            </w:r>
          </w:p>
        </w:tc>
        <w:tc>
          <w:tcPr>
            <w:tcW w:w="1453" w:type="dxa"/>
            <w:tcBorders>
              <w:top w:val="nil"/>
              <w:left w:val="nil"/>
              <w:bottom w:val="single" w:sz="4" w:space="0" w:color="auto"/>
              <w:right w:val="single" w:sz="4" w:space="0" w:color="auto"/>
            </w:tcBorders>
            <w:shd w:val="clear" w:color="auto" w:fill="C6EFCE"/>
            <w:noWrap/>
            <w:vAlign w:val="center"/>
          </w:tcPr>
          <w:p w14:paraId="16E7D741"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573991C8" w14:textId="77777777" w:rsidR="00C972CB" w:rsidRDefault="002457F6">
            <w:pPr>
              <w:pStyle w:val="P68B1DB1-Normal12"/>
              <w:jc w:val="center"/>
              <w:rPr>
                <w:noProof/>
              </w:rPr>
            </w:pPr>
            <w:r>
              <w:rPr>
                <w:noProof/>
              </w:rPr>
              <w:t>Stājas spēkā tiesību aktu vienkāršošana attiecībā uz intervences pasākumiem primārajā ūdensapgādes infrastruktūrā, lai nodrošinātu ūdensapgā</w:t>
            </w:r>
            <w:r>
              <w:rPr>
                <w:noProof/>
              </w:rPr>
              <w:t xml:space="preserve">des drošību </w:t>
            </w:r>
          </w:p>
        </w:tc>
      </w:tr>
      <w:tr w:rsidR="00C972CB" w14:paraId="186072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80F5A0" w14:textId="77777777" w:rsidR="00C972CB" w:rsidRDefault="002457F6">
            <w:pPr>
              <w:pStyle w:val="P68B1DB1-Normal12"/>
              <w:rPr>
                <w:noProof/>
              </w:rPr>
            </w:pPr>
            <w:r>
              <w:rPr>
                <w:noProof/>
              </w:rPr>
              <w:t>M5C2–11</w:t>
            </w:r>
          </w:p>
        </w:tc>
        <w:tc>
          <w:tcPr>
            <w:tcW w:w="3195" w:type="dxa"/>
            <w:tcBorders>
              <w:top w:val="nil"/>
              <w:left w:val="nil"/>
              <w:bottom w:val="single" w:sz="4" w:space="0" w:color="auto"/>
              <w:right w:val="single" w:sz="4" w:space="0" w:color="auto"/>
            </w:tcBorders>
            <w:shd w:val="clear" w:color="auto" w:fill="C6EFCE"/>
            <w:noWrap/>
            <w:vAlign w:val="center"/>
          </w:tcPr>
          <w:p w14:paraId="055BBF77" w14:textId="77777777" w:rsidR="00C972CB" w:rsidRDefault="002457F6">
            <w:pPr>
              <w:pStyle w:val="P68B1DB1-Normal12"/>
              <w:rPr>
                <w:noProof/>
              </w:rPr>
            </w:pPr>
            <w:r>
              <w:rPr>
                <w:noProof/>
              </w:rPr>
              <w:t>Ieguldījums. Ieguldījumi pilsētvides atjaunošanas projektos, kuru mērķis ir mazināt marginalizācijas un sociālās degradācijas situācijas</w:t>
            </w:r>
          </w:p>
        </w:tc>
        <w:tc>
          <w:tcPr>
            <w:tcW w:w="1453" w:type="dxa"/>
            <w:tcBorders>
              <w:top w:val="nil"/>
              <w:left w:val="nil"/>
              <w:bottom w:val="single" w:sz="4" w:space="0" w:color="auto"/>
              <w:right w:val="single" w:sz="4" w:space="0" w:color="auto"/>
            </w:tcBorders>
            <w:shd w:val="clear" w:color="auto" w:fill="C6EFCE"/>
            <w:noWrap/>
            <w:vAlign w:val="center"/>
          </w:tcPr>
          <w:p w14:paraId="2BCCDE85"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6D81672F" w14:textId="77777777" w:rsidR="00C972CB" w:rsidRDefault="002457F6">
            <w:pPr>
              <w:pStyle w:val="P68B1DB1-Normal12"/>
              <w:jc w:val="center"/>
              <w:rPr>
                <w:noProof/>
              </w:rPr>
            </w:pPr>
            <w:r>
              <w:rPr>
                <w:noProof/>
              </w:rPr>
              <w:t xml:space="preserve">Visu publiskā iepirkuma līgumu slēgšanas tiesību piešķiršana investīcijām </w:t>
            </w:r>
            <w:r>
              <w:rPr>
                <w:noProof/>
              </w:rPr>
              <w:t>pilsētvides atjaunošanā, lai mazinātu marginalizācijas un sociālās degradācijas situācijas, ar projektiem, kas atbilst ANM mērķiem, tostarp principam “nenodarīt būtisku kaitējumu”</w:t>
            </w:r>
          </w:p>
        </w:tc>
      </w:tr>
      <w:tr w:rsidR="00C972CB" w14:paraId="71D65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0B1A86" w14:textId="77777777" w:rsidR="00C972CB" w:rsidRDefault="002457F6">
            <w:pPr>
              <w:pStyle w:val="P68B1DB1-Normal12"/>
              <w:rPr>
                <w:noProof/>
              </w:rPr>
            </w:pPr>
            <w:r>
              <w:rPr>
                <w:noProof/>
              </w:rPr>
              <w:t>M5C2–15</w:t>
            </w:r>
          </w:p>
        </w:tc>
        <w:tc>
          <w:tcPr>
            <w:tcW w:w="3195" w:type="dxa"/>
            <w:tcBorders>
              <w:top w:val="nil"/>
              <w:left w:val="nil"/>
              <w:bottom w:val="single" w:sz="4" w:space="0" w:color="auto"/>
              <w:right w:val="single" w:sz="4" w:space="0" w:color="auto"/>
            </w:tcBorders>
            <w:shd w:val="clear" w:color="auto" w:fill="C6EFCE"/>
            <w:noWrap/>
            <w:vAlign w:val="center"/>
          </w:tcPr>
          <w:p w14:paraId="10055F66" w14:textId="77777777" w:rsidR="00C972CB" w:rsidRDefault="002457F6">
            <w:pPr>
              <w:pStyle w:val="P68B1DB1-Normal12"/>
              <w:rPr>
                <w:noProof/>
              </w:rPr>
            </w:pPr>
            <w:r>
              <w:rPr>
                <w:noProof/>
              </w:rPr>
              <w:t>Ieguldījums Nr. 5 — Pilsētu integrētie plāni — Nelikumīgu apmetņu p</w:t>
            </w:r>
            <w:r>
              <w:rPr>
                <w:noProof/>
              </w:rPr>
              <w:t>ārvarēšana, lai cīnītos pret darbaspēka ekspluatāciju lauksaimniecībā</w:t>
            </w:r>
          </w:p>
        </w:tc>
        <w:tc>
          <w:tcPr>
            <w:tcW w:w="1453" w:type="dxa"/>
            <w:tcBorders>
              <w:top w:val="nil"/>
              <w:left w:val="nil"/>
              <w:bottom w:val="single" w:sz="4" w:space="0" w:color="auto"/>
              <w:right w:val="single" w:sz="4" w:space="0" w:color="auto"/>
            </w:tcBorders>
            <w:shd w:val="clear" w:color="auto" w:fill="C6EFCE"/>
            <w:noWrap/>
            <w:vAlign w:val="center"/>
          </w:tcPr>
          <w:p w14:paraId="392981EE"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086A51F2" w14:textId="77777777" w:rsidR="00C972CB" w:rsidRDefault="002457F6">
            <w:pPr>
              <w:pStyle w:val="P68B1DB1-Normal12"/>
              <w:jc w:val="center"/>
              <w:rPr>
                <w:noProof/>
              </w:rPr>
            </w:pPr>
            <w:r>
              <w:rPr>
                <w:noProof/>
              </w:rPr>
              <w:t xml:space="preserve">Ar “Tavolo di contrasto sfruttamento lavorativo in agricoltura” pieņemto ministrijas dekrētu, ar ko nosaka nelikumīgu apmetņu kartēšanu, stājas spēkā, un tiek pieņemts </w:t>
            </w:r>
            <w:r>
              <w:rPr>
                <w:noProof/>
              </w:rPr>
              <w:t>ministrijas dekrēts par resursu piešķiršanu.</w:t>
            </w:r>
          </w:p>
        </w:tc>
      </w:tr>
      <w:tr w:rsidR="00C972CB" w14:paraId="46A839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40FFBF" w14:textId="77777777" w:rsidR="00C972CB" w:rsidRDefault="002457F6">
            <w:pPr>
              <w:pStyle w:val="P68B1DB1-Normal12"/>
              <w:rPr>
                <w:noProof/>
              </w:rPr>
            </w:pPr>
            <w:r>
              <w:rPr>
                <w:noProof/>
              </w:rPr>
              <w:t>M5C2–19</w:t>
            </w:r>
          </w:p>
        </w:tc>
        <w:tc>
          <w:tcPr>
            <w:tcW w:w="3195" w:type="dxa"/>
            <w:tcBorders>
              <w:top w:val="nil"/>
              <w:left w:val="nil"/>
              <w:bottom w:val="single" w:sz="4" w:space="0" w:color="auto"/>
              <w:right w:val="single" w:sz="4" w:space="0" w:color="auto"/>
            </w:tcBorders>
            <w:shd w:val="clear" w:color="auto" w:fill="C6EFCE"/>
            <w:noWrap/>
            <w:vAlign w:val="center"/>
          </w:tcPr>
          <w:p w14:paraId="46A01089" w14:textId="77777777" w:rsidR="00C972CB" w:rsidRDefault="002457F6">
            <w:pPr>
              <w:pStyle w:val="P68B1DB1-Normal12"/>
              <w:rPr>
                <w:noProof/>
              </w:rPr>
            </w:pPr>
            <w:r>
              <w:rPr>
                <w:noProof/>
              </w:rPr>
              <w:t>Ieguldījums — Inovācijas programma mājokļu kvalitātei</w:t>
            </w:r>
          </w:p>
        </w:tc>
        <w:tc>
          <w:tcPr>
            <w:tcW w:w="1453" w:type="dxa"/>
            <w:tcBorders>
              <w:top w:val="nil"/>
              <w:left w:val="nil"/>
              <w:bottom w:val="single" w:sz="4" w:space="0" w:color="auto"/>
              <w:right w:val="single" w:sz="4" w:space="0" w:color="auto"/>
            </w:tcBorders>
            <w:shd w:val="clear" w:color="auto" w:fill="C6EFCE"/>
            <w:noWrap/>
            <w:vAlign w:val="center"/>
          </w:tcPr>
          <w:p w14:paraId="05A742EC"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7CBF0177" w14:textId="77777777" w:rsidR="00C972CB" w:rsidRDefault="002457F6">
            <w:pPr>
              <w:pStyle w:val="P68B1DB1-Normal12"/>
              <w:jc w:val="center"/>
              <w:rPr>
                <w:noProof/>
              </w:rPr>
            </w:pPr>
            <w:r>
              <w:rPr>
                <w:noProof/>
              </w:rPr>
              <w:t xml:space="preserve">Reģioni un autonomās provinces (tostarp pašvaldības un/vai lielpilsētas, kas atrodas šajās teritorijās) parakstīja nolīgumus par </w:t>
            </w:r>
            <w:r>
              <w:rPr>
                <w:noProof/>
              </w:rPr>
              <w:t>sociālo mājokļu atjaunošanu un palielināšanu</w:t>
            </w:r>
          </w:p>
        </w:tc>
      </w:tr>
      <w:tr w:rsidR="00C972CB" w14:paraId="6E1B6C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A3727D" w14:textId="77777777" w:rsidR="00C972CB" w:rsidRDefault="002457F6">
            <w:pPr>
              <w:pStyle w:val="P68B1DB1-Normal12"/>
              <w:rPr>
                <w:noProof/>
              </w:rPr>
            </w:pPr>
            <w:r>
              <w:rPr>
                <w:noProof/>
              </w:rPr>
              <w:t>M1C2–16</w:t>
            </w:r>
          </w:p>
        </w:tc>
        <w:tc>
          <w:tcPr>
            <w:tcW w:w="3195" w:type="dxa"/>
            <w:tcBorders>
              <w:top w:val="nil"/>
              <w:left w:val="nil"/>
              <w:bottom w:val="single" w:sz="4" w:space="0" w:color="auto"/>
              <w:right w:val="single" w:sz="4" w:space="0" w:color="auto"/>
            </w:tcBorders>
            <w:shd w:val="clear" w:color="auto" w:fill="C6EFCE"/>
            <w:noWrap/>
            <w:vAlign w:val="center"/>
          </w:tcPr>
          <w:p w14:paraId="1F6BE94C" w14:textId="77777777" w:rsidR="00C972CB" w:rsidRDefault="002457F6">
            <w:pPr>
              <w:pStyle w:val="P68B1DB1-Normal12"/>
              <w:rPr>
                <w:noProof/>
              </w:rPr>
            </w:pPr>
            <w:r>
              <w:rPr>
                <w:noProof/>
              </w:rPr>
              <w:t>Ieguldījums 3: Ātrā interneta savienojumi (platjosla un 5G)</w:t>
            </w:r>
          </w:p>
        </w:tc>
        <w:tc>
          <w:tcPr>
            <w:tcW w:w="1453" w:type="dxa"/>
            <w:tcBorders>
              <w:top w:val="nil"/>
              <w:left w:val="nil"/>
              <w:bottom w:val="single" w:sz="4" w:space="0" w:color="auto"/>
              <w:right w:val="single" w:sz="4" w:space="0" w:color="auto"/>
            </w:tcBorders>
            <w:shd w:val="clear" w:color="auto" w:fill="C6EFCE"/>
            <w:noWrap/>
            <w:vAlign w:val="center"/>
          </w:tcPr>
          <w:p w14:paraId="09E1D1D1"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373B0429" w14:textId="77777777" w:rsidR="00C972CB" w:rsidRDefault="002457F6">
            <w:pPr>
              <w:pStyle w:val="P68B1DB1-Normal12"/>
              <w:jc w:val="center"/>
              <w:rPr>
                <w:noProof/>
              </w:rPr>
            </w:pPr>
            <w:r>
              <w:rPr>
                <w:noProof/>
              </w:rPr>
              <w:t>Visu publiskā iepirkuma līgumu slēgšanas tiesību piešķiršana ātrākiem pieslēguma projektiem</w:t>
            </w:r>
          </w:p>
        </w:tc>
      </w:tr>
      <w:tr w:rsidR="00C972CB" w14:paraId="71D9E9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BF2D5" w14:textId="77777777" w:rsidR="00C972CB" w:rsidRDefault="002457F6">
            <w:pPr>
              <w:pStyle w:val="P68B1DB1-Normal12"/>
              <w:rPr>
                <w:noProof/>
              </w:rPr>
            </w:pPr>
            <w:r>
              <w:rPr>
                <w:noProof/>
              </w:rPr>
              <w:t>M1C3–12</w:t>
            </w:r>
          </w:p>
        </w:tc>
        <w:tc>
          <w:tcPr>
            <w:tcW w:w="3195" w:type="dxa"/>
            <w:tcBorders>
              <w:top w:val="nil"/>
              <w:left w:val="nil"/>
              <w:bottom w:val="single" w:sz="4" w:space="0" w:color="auto"/>
              <w:right w:val="single" w:sz="4" w:space="0" w:color="auto"/>
            </w:tcBorders>
            <w:shd w:val="clear" w:color="auto" w:fill="C6EFCE"/>
            <w:noWrap/>
            <w:vAlign w:val="center"/>
          </w:tcPr>
          <w:p w14:paraId="243FAFD2" w14:textId="77777777" w:rsidR="00C972CB" w:rsidRDefault="002457F6">
            <w:pPr>
              <w:pStyle w:val="P68B1DB1-Normal12"/>
              <w:rPr>
                <w:noProof/>
              </w:rPr>
            </w:pPr>
            <w:r>
              <w:rPr>
                <w:noProof/>
              </w:rPr>
              <w:t>Ieguldījums 2.1. — Mazu</w:t>
            </w:r>
            <w:r>
              <w:rPr>
                <w:noProof/>
              </w:rPr>
              <w:t xml:space="preserve"> vēsturisku pilsētu pievilcība</w:t>
            </w:r>
          </w:p>
        </w:tc>
        <w:tc>
          <w:tcPr>
            <w:tcW w:w="1453" w:type="dxa"/>
            <w:tcBorders>
              <w:top w:val="nil"/>
              <w:left w:val="nil"/>
              <w:bottom w:val="single" w:sz="4" w:space="0" w:color="auto"/>
              <w:right w:val="single" w:sz="4" w:space="0" w:color="auto"/>
            </w:tcBorders>
            <w:shd w:val="clear" w:color="auto" w:fill="C6EFCE"/>
            <w:noWrap/>
            <w:vAlign w:val="center"/>
          </w:tcPr>
          <w:p w14:paraId="3A48C7FB"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152CC6F9" w14:textId="77777777" w:rsidR="00C972CB" w:rsidRDefault="002457F6">
            <w:pPr>
              <w:pStyle w:val="P68B1DB1-Normal12"/>
              <w:jc w:val="center"/>
              <w:rPr>
                <w:noProof/>
              </w:rPr>
            </w:pPr>
            <w:r>
              <w:rPr>
                <w:noProof/>
              </w:rPr>
              <w:t xml:space="preserve">Stājas spēkā Kultūras ministrijas dekrēts par resursu piešķiršanu pašvaldībām mazo vēsturisko pilsētu pievilcības veicināšanai  </w:t>
            </w:r>
          </w:p>
        </w:tc>
      </w:tr>
      <w:tr w:rsidR="00C972CB" w14:paraId="6E9AB5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D89E5E" w14:textId="77777777" w:rsidR="00C972CB" w:rsidRDefault="002457F6">
            <w:pPr>
              <w:pStyle w:val="P68B1DB1-Normal12"/>
              <w:rPr>
                <w:noProof/>
              </w:rPr>
            </w:pPr>
            <w:r>
              <w:rPr>
                <w:noProof/>
              </w:rPr>
              <w:t>M1C3–13</w:t>
            </w:r>
          </w:p>
        </w:tc>
        <w:tc>
          <w:tcPr>
            <w:tcW w:w="3195" w:type="dxa"/>
            <w:tcBorders>
              <w:top w:val="nil"/>
              <w:left w:val="nil"/>
              <w:bottom w:val="single" w:sz="4" w:space="0" w:color="auto"/>
              <w:right w:val="single" w:sz="4" w:space="0" w:color="auto"/>
            </w:tcBorders>
            <w:shd w:val="clear" w:color="auto" w:fill="C6EFCE"/>
            <w:noWrap/>
            <w:vAlign w:val="center"/>
          </w:tcPr>
          <w:p w14:paraId="4440632D" w14:textId="77777777" w:rsidR="00C972CB" w:rsidRDefault="002457F6">
            <w:pPr>
              <w:pStyle w:val="P68B1DB1-Normal12"/>
              <w:rPr>
                <w:noProof/>
              </w:rPr>
            </w:pPr>
            <w:r>
              <w:rPr>
                <w:noProof/>
              </w:rPr>
              <w:t xml:space="preserve">Ieguldījums 2.2. — Lauku arhitektūras un ainavas aizsardzība un </w:t>
            </w:r>
            <w:r>
              <w:rPr>
                <w:noProof/>
              </w:rPr>
              <w:t>uzlabošana</w:t>
            </w:r>
          </w:p>
        </w:tc>
        <w:tc>
          <w:tcPr>
            <w:tcW w:w="1453" w:type="dxa"/>
            <w:tcBorders>
              <w:top w:val="nil"/>
              <w:left w:val="nil"/>
              <w:bottom w:val="single" w:sz="4" w:space="0" w:color="auto"/>
              <w:right w:val="single" w:sz="4" w:space="0" w:color="auto"/>
            </w:tcBorders>
            <w:shd w:val="clear" w:color="auto" w:fill="C6EFCE"/>
            <w:noWrap/>
            <w:vAlign w:val="center"/>
          </w:tcPr>
          <w:p w14:paraId="752985D1"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54FFA646" w14:textId="77777777" w:rsidR="00C972CB" w:rsidRDefault="002457F6">
            <w:pPr>
              <w:pStyle w:val="P68B1DB1-Normal12"/>
              <w:jc w:val="center"/>
              <w:rPr>
                <w:noProof/>
              </w:rPr>
            </w:pPr>
            <w:r>
              <w:rPr>
                <w:noProof/>
              </w:rPr>
              <w:t xml:space="preserve">Stājas spēkā Kultūras ministrijas dekrēts par resursu piešķiršanu: lauku arhitektūras un ainavas aizsardzībai un uzlabošanai </w:t>
            </w:r>
          </w:p>
        </w:tc>
      </w:tr>
      <w:tr w:rsidR="00C972CB" w14:paraId="33478F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2A3E10" w14:textId="77777777" w:rsidR="00C972CB" w:rsidRDefault="002457F6">
            <w:pPr>
              <w:pStyle w:val="P68B1DB1-Normal12"/>
              <w:rPr>
                <w:noProof/>
              </w:rPr>
            </w:pPr>
            <w:r>
              <w:rPr>
                <w:noProof/>
              </w:rPr>
              <w:t>M1C3–14</w:t>
            </w:r>
          </w:p>
        </w:tc>
        <w:tc>
          <w:tcPr>
            <w:tcW w:w="3195" w:type="dxa"/>
            <w:tcBorders>
              <w:top w:val="nil"/>
              <w:left w:val="nil"/>
              <w:bottom w:val="single" w:sz="4" w:space="0" w:color="auto"/>
              <w:right w:val="single" w:sz="4" w:space="0" w:color="auto"/>
            </w:tcBorders>
            <w:shd w:val="clear" w:color="auto" w:fill="C6EFCE"/>
            <w:noWrap/>
            <w:vAlign w:val="center"/>
          </w:tcPr>
          <w:p w14:paraId="2F9BC5A7" w14:textId="77777777" w:rsidR="00C972CB" w:rsidRDefault="002457F6">
            <w:pPr>
              <w:pStyle w:val="P68B1DB1-Normal12"/>
              <w:rPr>
                <w:noProof/>
              </w:rPr>
            </w:pPr>
            <w:r>
              <w:rPr>
                <w:noProof/>
              </w:rPr>
              <w:t>Ieguldījums. Programmas vietu, parku un vēsturisko dārzu identitātes uzlabošanai</w:t>
            </w:r>
          </w:p>
        </w:tc>
        <w:tc>
          <w:tcPr>
            <w:tcW w:w="1453" w:type="dxa"/>
            <w:tcBorders>
              <w:top w:val="nil"/>
              <w:left w:val="nil"/>
              <w:bottom w:val="single" w:sz="4" w:space="0" w:color="auto"/>
              <w:right w:val="single" w:sz="4" w:space="0" w:color="auto"/>
            </w:tcBorders>
            <w:shd w:val="clear" w:color="auto" w:fill="C6EFCE"/>
            <w:noWrap/>
            <w:vAlign w:val="center"/>
          </w:tcPr>
          <w:p w14:paraId="05FA6958" w14:textId="77777777" w:rsidR="00C972CB" w:rsidRDefault="002457F6">
            <w:pPr>
              <w:pStyle w:val="P68B1DB1-Normal12"/>
              <w:rPr>
                <w:noProof/>
              </w:rPr>
            </w:pPr>
            <w:r>
              <w:rPr>
                <w:noProof/>
              </w:rPr>
              <w:t xml:space="preserve">Starpposma </w:t>
            </w:r>
            <w:r>
              <w:rPr>
                <w:noProof/>
              </w:rPr>
              <w:t>mērķis</w:t>
            </w:r>
          </w:p>
        </w:tc>
        <w:tc>
          <w:tcPr>
            <w:tcW w:w="4035" w:type="dxa"/>
            <w:tcBorders>
              <w:top w:val="nil"/>
              <w:left w:val="nil"/>
              <w:bottom w:val="single" w:sz="4" w:space="0" w:color="auto"/>
              <w:right w:val="single" w:sz="4" w:space="0" w:color="auto"/>
            </w:tcBorders>
            <w:shd w:val="clear" w:color="auto" w:fill="C6EFCE"/>
            <w:noWrap/>
            <w:vAlign w:val="center"/>
          </w:tcPr>
          <w:p w14:paraId="72A807FE" w14:textId="77777777" w:rsidR="00C972CB" w:rsidRDefault="002457F6">
            <w:pPr>
              <w:pStyle w:val="P68B1DB1-Normal12"/>
              <w:jc w:val="center"/>
              <w:rPr>
                <w:noProof/>
              </w:rPr>
            </w:pPr>
            <w:r>
              <w:rPr>
                <w:noProof/>
              </w:rPr>
              <w:t xml:space="preserve">Stājas spēkā Kultūras ministrijas dekrēts par resursu piešķiršanu: projektiem, kuru mērķis ir uzlabot vietu, parku un vēsturisko dārzu identitāti </w:t>
            </w:r>
          </w:p>
        </w:tc>
      </w:tr>
      <w:tr w:rsidR="00C972CB" w14:paraId="3DD5FA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66DD09" w14:textId="77777777" w:rsidR="00C972CB" w:rsidRDefault="002457F6">
            <w:pPr>
              <w:pStyle w:val="P68B1DB1-Normal12"/>
              <w:rPr>
                <w:noProof/>
              </w:rPr>
            </w:pPr>
            <w:r>
              <w:rPr>
                <w:noProof/>
              </w:rPr>
              <w:t>M1C3–15</w:t>
            </w:r>
          </w:p>
        </w:tc>
        <w:tc>
          <w:tcPr>
            <w:tcW w:w="3195" w:type="dxa"/>
            <w:tcBorders>
              <w:top w:val="nil"/>
              <w:left w:val="nil"/>
              <w:bottom w:val="single" w:sz="4" w:space="0" w:color="auto"/>
              <w:right w:val="single" w:sz="4" w:space="0" w:color="auto"/>
            </w:tcBorders>
            <w:shd w:val="clear" w:color="auto" w:fill="C6EFCE"/>
            <w:noWrap/>
            <w:vAlign w:val="center"/>
          </w:tcPr>
          <w:p w14:paraId="143A949D" w14:textId="77777777" w:rsidR="00C972CB" w:rsidRDefault="002457F6">
            <w:pPr>
              <w:pStyle w:val="P68B1DB1-Normal12"/>
              <w:rPr>
                <w:noProof/>
              </w:rPr>
            </w:pPr>
            <w:r>
              <w:rPr>
                <w:noProof/>
              </w:rPr>
              <w:t>Ieguldījums. kulta vietu seismiskā drošība, FEC mantojuma un mākslas darbu patversmju atjauno</w:t>
            </w:r>
            <w:r>
              <w:rPr>
                <w:noProof/>
              </w:rPr>
              <w:t>šana</w:t>
            </w:r>
          </w:p>
        </w:tc>
        <w:tc>
          <w:tcPr>
            <w:tcW w:w="1453" w:type="dxa"/>
            <w:tcBorders>
              <w:top w:val="nil"/>
              <w:left w:val="nil"/>
              <w:bottom w:val="single" w:sz="4" w:space="0" w:color="auto"/>
              <w:right w:val="single" w:sz="4" w:space="0" w:color="auto"/>
            </w:tcBorders>
            <w:shd w:val="clear" w:color="auto" w:fill="C6EFCE"/>
            <w:noWrap/>
            <w:vAlign w:val="center"/>
          </w:tcPr>
          <w:p w14:paraId="2664058E"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6635ED1A" w14:textId="77777777" w:rsidR="00C972CB" w:rsidRDefault="002457F6">
            <w:pPr>
              <w:pStyle w:val="P68B1DB1-Normal12"/>
              <w:jc w:val="center"/>
              <w:rPr>
                <w:noProof/>
              </w:rPr>
            </w:pPr>
            <w:r>
              <w:rPr>
                <w:noProof/>
              </w:rPr>
              <w:t xml:space="preserve">Stājas spēkā Kultūras ministrijas dekrēts par resursu piešķiršanu: seismiskā drošība kulta vietā un FEC (Fondo Edifici di Culto) mantojuma atjaunošana </w:t>
            </w:r>
          </w:p>
        </w:tc>
      </w:tr>
      <w:tr w:rsidR="00C972CB" w14:paraId="27EFF9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5FF38" w14:textId="77777777" w:rsidR="00C972CB" w:rsidRDefault="002457F6">
            <w:pPr>
              <w:pStyle w:val="P68B1DB1-Normal12"/>
              <w:rPr>
                <w:noProof/>
              </w:rPr>
            </w:pPr>
            <w:r>
              <w:rPr>
                <w:noProof/>
              </w:rPr>
              <w:t>M1C3–35</w:t>
            </w:r>
          </w:p>
        </w:tc>
        <w:tc>
          <w:tcPr>
            <w:tcW w:w="3195" w:type="dxa"/>
            <w:tcBorders>
              <w:top w:val="nil"/>
              <w:left w:val="nil"/>
              <w:bottom w:val="single" w:sz="4" w:space="0" w:color="auto"/>
              <w:right w:val="single" w:sz="4" w:space="0" w:color="auto"/>
            </w:tcBorders>
            <w:shd w:val="clear" w:color="auto" w:fill="C6EFCE"/>
            <w:noWrap/>
            <w:vAlign w:val="center"/>
          </w:tcPr>
          <w:p w14:paraId="7C4CE154" w14:textId="77777777" w:rsidR="00C972CB" w:rsidRDefault="002457F6">
            <w:pPr>
              <w:pStyle w:val="P68B1DB1-Normal12"/>
              <w:rPr>
                <w:noProof/>
              </w:rPr>
            </w:pPr>
            <w:r>
              <w:rPr>
                <w:noProof/>
              </w:rPr>
              <w:t xml:space="preserve">Ieguldījumi — 4.3. “Caput Mundi-Next Generation EU” lieliem tūrisma </w:t>
            </w:r>
            <w:r>
              <w:rPr>
                <w:noProof/>
              </w:rPr>
              <w:t>pasākumiem</w:t>
            </w:r>
          </w:p>
        </w:tc>
        <w:tc>
          <w:tcPr>
            <w:tcW w:w="1453" w:type="dxa"/>
            <w:tcBorders>
              <w:top w:val="nil"/>
              <w:left w:val="nil"/>
              <w:bottom w:val="single" w:sz="4" w:space="0" w:color="auto"/>
              <w:right w:val="single" w:sz="4" w:space="0" w:color="auto"/>
            </w:tcBorders>
            <w:shd w:val="clear" w:color="auto" w:fill="C6EFCE"/>
            <w:noWrap/>
            <w:vAlign w:val="center"/>
          </w:tcPr>
          <w:p w14:paraId="2C6D597D"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7A0EE18E" w14:textId="77777777" w:rsidR="00C972CB" w:rsidRDefault="002457F6">
            <w:pPr>
              <w:pStyle w:val="P68B1DB1-Normal12"/>
              <w:jc w:val="center"/>
              <w:rPr>
                <w:noProof/>
              </w:rPr>
            </w:pPr>
            <w:r>
              <w:rPr>
                <w:noProof/>
              </w:rPr>
              <w:t>Katra nolīguma parakstīšana par sešiem projektiem starp Tūrisma ministriju un atbalsta saņēmējiem/īstenošanas struktūrām</w:t>
            </w:r>
          </w:p>
        </w:tc>
      </w:tr>
      <w:tr w:rsidR="00C972CB" w14:paraId="30B965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53BDF5" w14:textId="77777777" w:rsidR="00C972CB" w:rsidRDefault="002457F6">
            <w:pPr>
              <w:pStyle w:val="P68B1DB1-Normal12"/>
              <w:rPr>
                <w:noProof/>
              </w:rPr>
            </w:pPr>
            <w:r>
              <w:rPr>
                <w:noProof/>
              </w:rPr>
              <w:t>M2C1–13</w:t>
            </w:r>
          </w:p>
        </w:tc>
        <w:tc>
          <w:tcPr>
            <w:tcW w:w="3195" w:type="dxa"/>
            <w:tcBorders>
              <w:top w:val="nil"/>
              <w:left w:val="nil"/>
              <w:bottom w:val="single" w:sz="4" w:space="0" w:color="auto"/>
              <w:right w:val="single" w:sz="4" w:space="0" w:color="auto"/>
            </w:tcBorders>
            <w:shd w:val="clear" w:color="auto" w:fill="C6EFCE"/>
            <w:noWrap/>
            <w:vAlign w:val="center"/>
          </w:tcPr>
          <w:p w14:paraId="73AB3711" w14:textId="77777777" w:rsidR="00C972CB" w:rsidRDefault="002457F6">
            <w:pPr>
              <w:pStyle w:val="P68B1DB1-Normal12"/>
              <w:rPr>
                <w:noProof/>
              </w:rPr>
            </w:pPr>
            <w:r>
              <w:rPr>
                <w:noProof/>
              </w:rPr>
              <w:t>Reforma — Valsts atkritumu apsaimniekošanas programma</w:t>
            </w:r>
          </w:p>
        </w:tc>
        <w:tc>
          <w:tcPr>
            <w:tcW w:w="1453" w:type="dxa"/>
            <w:tcBorders>
              <w:top w:val="nil"/>
              <w:left w:val="nil"/>
              <w:bottom w:val="single" w:sz="4" w:space="0" w:color="auto"/>
              <w:right w:val="single" w:sz="4" w:space="0" w:color="auto"/>
            </w:tcBorders>
            <w:shd w:val="clear" w:color="auto" w:fill="C6EFCE"/>
            <w:noWrap/>
            <w:vAlign w:val="center"/>
          </w:tcPr>
          <w:p w14:paraId="0A6C89EE"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00F42198" w14:textId="77777777" w:rsidR="00C972CB" w:rsidRDefault="002457F6">
            <w:pPr>
              <w:pStyle w:val="P68B1DB1-Normal12"/>
              <w:jc w:val="center"/>
              <w:rPr>
                <w:noProof/>
              </w:rPr>
            </w:pPr>
            <w:r>
              <w:rPr>
                <w:noProof/>
              </w:rPr>
              <w:t xml:space="preserve">Stājas spēkā ministrijas </w:t>
            </w:r>
            <w:r>
              <w:rPr>
                <w:noProof/>
              </w:rPr>
              <w:t>dekrēts par valsts atkritumu apsaimniekošanas programmu</w:t>
            </w:r>
          </w:p>
        </w:tc>
      </w:tr>
      <w:tr w:rsidR="00C972CB" w14:paraId="6266D1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6BB948" w14:textId="77777777" w:rsidR="00C972CB" w:rsidRDefault="002457F6">
            <w:pPr>
              <w:pStyle w:val="P68B1DB1-Normal12"/>
              <w:rPr>
                <w:noProof/>
              </w:rPr>
            </w:pPr>
            <w:r>
              <w:rPr>
                <w:noProof/>
              </w:rPr>
              <w:t>M2C2–52</w:t>
            </w:r>
          </w:p>
        </w:tc>
        <w:tc>
          <w:tcPr>
            <w:tcW w:w="3195" w:type="dxa"/>
            <w:tcBorders>
              <w:top w:val="nil"/>
              <w:left w:val="nil"/>
              <w:bottom w:val="single" w:sz="4" w:space="0" w:color="auto"/>
              <w:right w:val="single" w:sz="4" w:space="0" w:color="auto"/>
            </w:tcBorders>
            <w:shd w:val="clear" w:color="auto" w:fill="C6EFCE"/>
            <w:noWrap/>
            <w:vAlign w:val="center"/>
          </w:tcPr>
          <w:p w14:paraId="66AFD223" w14:textId="77777777" w:rsidR="00C972CB" w:rsidRDefault="002457F6">
            <w:pPr>
              <w:pStyle w:val="P68B1DB1-Normal12"/>
              <w:rPr>
                <w:noProof/>
              </w:rPr>
            </w:pPr>
            <w:r>
              <w:rPr>
                <w:noProof/>
              </w:rPr>
              <w:t>Investīcija 5.2. Ūdeņradis</w:t>
            </w:r>
          </w:p>
        </w:tc>
        <w:tc>
          <w:tcPr>
            <w:tcW w:w="1453" w:type="dxa"/>
            <w:tcBorders>
              <w:top w:val="nil"/>
              <w:left w:val="nil"/>
              <w:bottom w:val="single" w:sz="4" w:space="0" w:color="auto"/>
              <w:right w:val="single" w:sz="4" w:space="0" w:color="auto"/>
            </w:tcBorders>
            <w:shd w:val="clear" w:color="auto" w:fill="C6EFCE"/>
            <w:noWrap/>
            <w:vAlign w:val="center"/>
          </w:tcPr>
          <w:p w14:paraId="021D7C1C"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402EE728" w14:textId="77777777" w:rsidR="00C972CB" w:rsidRDefault="002457F6">
            <w:pPr>
              <w:pStyle w:val="P68B1DB1-Normal12"/>
              <w:jc w:val="center"/>
              <w:rPr>
                <w:noProof/>
              </w:rPr>
            </w:pPr>
            <w:r>
              <w:rPr>
                <w:noProof/>
              </w:rPr>
              <w:t>Elektrolīzeru ražošana</w:t>
            </w:r>
          </w:p>
        </w:tc>
      </w:tr>
      <w:tr w:rsidR="00C972CB" w14:paraId="0B8C7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700486" w14:textId="77777777" w:rsidR="00C972CB" w:rsidRDefault="002457F6">
            <w:pPr>
              <w:pStyle w:val="P68B1DB1-Normal12"/>
              <w:rPr>
                <w:noProof/>
              </w:rPr>
            </w:pPr>
            <w:r>
              <w:rPr>
                <w:noProof/>
              </w:rPr>
              <w:t>M4C2–11</w:t>
            </w:r>
          </w:p>
        </w:tc>
        <w:tc>
          <w:tcPr>
            <w:tcW w:w="3195" w:type="dxa"/>
            <w:tcBorders>
              <w:top w:val="nil"/>
              <w:left w:val="nil"/>
              <w:bottom w:val="single" w:sz="4" w:space="0" w:color="auto"/>
              <w:right w:val="single" w:sz="4" w:space="0" w:color="auto"/>
            </w:tcBorders>
            <w:shd w:val="clear" w:color="auto" w:fill="C6EFCE"/>
            <w:noWrap/>
            <w:vAlign w:val="center"/>
          </w:tcPr>
          <w:p w14:paraId="6D6A3FC0" w14:textId="77777777" w:rsidR="00C972CB" w:rsidRDefault="002457F6">
            <w:pPr>
              <w:pStyle w:val="P68B1DB1-Normal12"/>
              <w:rPr>
                <w:noProof/>
              </w:rPr>
            </w:pPr>
            <w:r>
              <w:rPr>
                <w:noProof/>
              </w:rPr>
              <w:t xml:space="preserve">Ieguldījums 2.1.: IPCEI </w:t>
            </w:r>
          </w:p>
        </w:tc>
        <w:tc>
          <w:tcPr>
            <w:tcW w:w="1453" w:type="dxa"/>
            <w:tcBorders>
              <w:top w:val="nil"/>
              <w:left w:val="nil"/>
              <w:bottom w:val="single" w:sz="4" w:space="0" w:color="auto"/>
              <w:right w:val="single" w:sz="4" w:space="0" w:color="auto"/>
            </w:tcBorders>
            <w:shd w:val="clear" w:color="auto" w:fill="C6EFCE"/>
            <w:noWrap/>
            <w:vAlign w:val="center"/>
          </w:tcPr>
          <w:p w14:paraId="201C95FF" w14:textId="77777777" w:rsidR="00C972CB" w:rsidRDefault="002457F6">
            <w:pPr>
              <w:pStyle w:val="P68B1DB1-Normal12"/>
              <w:rPr>
                <w:noProof/>
              </w:rPr>
            </w:pPr>
            <w:r>
              <w:rPr>
                <w:noProof/>
              </w:rPr>
              <w:t xml:space="preserve">Starpposma mērķis </w:t>
            </w:r>
          </w:p>
        </w:tc>
        <w:tc>
          <w:tcPr>
            <w:tcW w:w="4035" w:type="dxa"/>
            <w:tcBorders>
              <w:top w:val="nil"/>
              <w:left w:val="nil"/>
              <w:bottom w:val="single" w:sz="4" w:space="0" w:color="auto"/>
              <w:right w:val="single" w:sz="4" w:space="0" w:color="auto"/>
            </w:tcBorders>
            <w:shd w:val="clear" w:color="auto" w:fill="C6EFCE"/>
            <w:noWrap/>
            <w:vAlign w:val="center"/>
          </w:tcPr>
          <w:p w14:paraId="03B32B30" w14:textId="77777777" w:rsidR="00C972CB" w:rsidRDefault="002457F6">
            <w:pPr>
              <w:pStyle w:val="P68B1DB1-Normal12"/>
              <w:jc w:val="center"/>
              <w:rPr>
                <w:noProof/>
              </w:rPr>
            </w:pPr>
            <w:r>
              <w:rPr>
                <w:noProof/>
              </w:rPr>
              <w:t xml:space="preserve">Stājas spēkā valsts tiesību akts, ar ko piešķir nepieciešamo </w:t>
            </w:r>
            <w:r>
              <w:rPr>
                <w:noProof/>
              </w:rPr>
              <w:t>finansējumu, lai sniegtu atbalstu projektu dalībniekiem.</w:t>
            </w:r>
          </w:p>
        </w:tc>
      </w:tr>
      <w:tr w:rsidR="00C972CB" w14:paraId="2A18F0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F8B8D9" w14:textId="77777777" w:rsidR="00C972CB" w:rsidRDefault="002457F6">
            <w:pPr>
              <w:pStyle w:val="P68B1DB1-Normal12"/>
              <w:rPr>
                <w:noProof/>
              </w:rPr>
            </w:pPr>
            <w:r>
              <w:rPr>
                <w:noProof/>
              </w:rPr>
              <w:t>M4C2–17</w:t>
            </w:r>
          </w:p>
        </w:tc>
        <w:tc>
          <w:tcPr>
            <w:tcW w:w="3195" w:type="dxa"/>
            <w:tcBorders>
              <w:top w:val="nil"/>
              <w:left w:val="nil"/>
              <w:bottom w:val="single" w:sz="4" w:space="0" w:color="auto"/>
              <w:right w:val="single" w:sz="4" w:space="0" w:color="auto"/>
            </w:tcBorders>
            <w:shd w:val="clear" w:color="auto" w:fill="C6EFCE"/>
            <w:noWrap/>
            <w:vAlign w:val="center"/>
          </w:tcPr>
          <w:p w14:paraId="51D831F3" w14:textId="77777777" w:rsidR="00C972CB" w:rsidRDefault="002457F6">
            <w:pPr>
              <w:pStyle w:val="P68B1DB1-Normal12"/>
              <w:rPr>
                <w:noProof/>
              </w:rPr>
            </w:pPr>
            <w:r>
              <w:rPr>
                <w:noProof/>
              </w:rPr>
              <w:t>Ieguldījums 3.1.: Fonds integrētas pētniecības un inovācijas infrastruktūru sistēmas izveidei; Ieguldījumi</w:t>
            </w:r>
          </w:p>
        </w:tc>
        <w:tc>
          <w:tcPr>
            <w:tcW w:w="1453" w:type="dxa"/>
            <w:tcBorders>
              <w:top w:val="nil"/>
              <w:left w:val="nil"/>
              <w:bottom w:val="single" w:sz="4" w:space="0" w:color="auto"/>
              <w:right w:val="single" w:sz="4" w:space="0" w:color="auto"/>
            </w:tcBorders>
            <w:shd w:val="clear" w:color="auto" w:fill="C6EFCE"/>
            <w:noWrap/>
            <w:vAlign w:val="center"/>
          </w:tcPr>
          <w:p w14:paraId="6E011E4D"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3BF466CF" w14:textId="77777777" w:rsidR="00C972CB" w:rsidRDefault="002457F6">
            <w:pPr>
              <w:pStyle w:val="P68B1DB1-Normal12"/>
              <w:jc w:val="center"/>
              <w:rPr>
                <w:noProof/>
              </w:rPr>
            </w:pPr>
            <w:r>
              <w:rPr>
                <w:noProof/>
              </w:rPr>
              <w:t>Līgumu slēgšanas tiesību piešķiršana projektiem, kas attiecas uz:</w:t>
            </w:r>
            <w:r>
              <w:rPr>
                <w:noProof/>
              </w:rPr>
              <w:t xml:space="preserve"> integrēta pētniecības un inovācijas infrastruktūru sistēma</w:t>
            </w:r>
          </w:p>
        </w:tc>
      </w:tr>
      <w:tr w:rsidR="00C972CB" w14:paraId="3CE23F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8E49E" w14:textId="77777777" w:rsidR="00C972CB" w:rsidRDefault="002457F6">
            <w:pPr>
              <w:pStyle w:val="P68B1DB1-Normal12"/>
              <w:rPr>
                <w:noProof/>
              </w:rPr>
            </w:pPr>
            <w:r>
              <w:rPr>
                <w:noProof/>
              </w:rPr>
              <w:t>M4C2–18</w:t>
            </w:r>
          </w:p>
        </w:tc>
        <w:tc>
          <w:tcPr>
            <w:tcW w:w="3195" w:type="dxa"/>
            <w:tcBorders>
              <w:top w:val="nil"/>
              <w:left w:val="nil"/>
              <w:bottom w:val="single" w:sz="4" w:space="0" w:color="auto"/>
              <w:right w:val="single" w:sz="4" w:space="0" w:color="auto"/>
            </w:tcBorders>
            <w:shd w:val="clear" w:color="auto" w:fill="C6EFCE"/>
            <w:noWrap/>
            <w:vAlign w:val="center"/>
          </w:tcPr>
          <w:p w14:paraId="4AF73EEA" w14:textId="77777777" w:rsidR="00C972CB" w:rsidRDefault="002457F6">
            <w:pPr>
              <w:pStyle w:val="P68B1DB1-Normal12"/>
              <w:rPr>
                <w:noProof/>
              </w:rPr>
            </w:pPr>
            <w:r>
              <w:rPr>
                <w:noProof/>
              </w:rPr>
              <w:t>Invesments1.5: “Ilgtspēju sekmējošu inovācijas ekosistēmu” izveide un stiprināšana, veidojot “pētniecības un izstrādes teritoriālos līderus”</w:t>
            </w:r>
          </w:p>
        </w:tc>
        <w:tc>
          <w:tcPr>
            <w:tcW w:w="1453" w:type="dxa"/>
            <w:tcBorders>
              <w:top w:val="nil"/>
              <w:left w:val="nil"/>
              <w:bottom w:val="single" w:sz="4" w:space="0" w:color="auto"/>
              <w:right w:val="single" w:sz="4" w:space="0" w:color="auto"/>
            </w:tcBorders>
            <w:shd w:val="clear" w:color="auto" w:fill="C6EFCE"/>
            <w:noWrap/>
            <w:vAlign w:val="center"/>
          </w:tcPr>
          <w:p w14:paraId="0A3575B9"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3FF1DE19" w14:textId="77777777" w:rsidR="00C972CB" w:rsidRDefault="002457F6">
            <w:pPr>
              <w:pStyle w:val="P68B1DB1-Normal12"/>
              <w:jc w:val="center"/>
              <w:rPr>
                <w:noProof/>
              </w:rPr>
            </w:pPr>
            <w:r>
              <w:rPr>
                <w:noProof/>
              </w:rPr>
              <w:t xml:space="preserve">Līgumu slēgšanas tiesību </w:t>
            </w:r>
            <w:r>
              <w:rPr>
                <w:noProof/>
              </w:rPr>
              <w:t>piešķiršana projektiem, kas saistīti ar inovācijas ekosistēmām;</w:t>
            </w:r>
          </w:p>
        </w:tc>
      </w:tr>
      <w:tr w:rsidR="00C972CB" w14:paraId="6AA04E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9D5505" w14:textId="77777777" w:rsidR="00C972CB" w:rsidRDefault="002457F6">
            <w:pPr>
              <w:pStyle w:val="P68B1DB1-Normal12"/>
              <w:rPr>
                <w:noProof/>
              </w:rPr>
            </w:pPr>
            <w:r>
              <w:rPr>
                <w:noProof/>
              </w:rPr>
              <w:t>M4C2–19</w:t>
            </w:r>
          </w:p>
        </w:tc>
        <w:tc>
          <w:tcPr>
            <w:tcW w:w="3195" w:type="dxa"/>
            <w:tcBorders>
              <w:top w:val="nil"/>
              <w:left w:val="nil"/>
              <w:bottom w:val="single" w:sz="4" w:space="0" w:color="auto"/>
              <w:right w:val="single" w:sz="4" w:space="0" w:color="auto"/>
            </w:tcBorders>
            <w:shd w:val="clear" w:color="auto" w:fill="C6EFCE"/>
            <w:noWrap/>
            <w:vAlign w:val="center"/>
          </w:tcPr>
          <w:p w14:paraId="04D36DD9" w14:textId="77777777" w:rsidR="00C972CB" w:rsidRDefault="002457F6">
            <w:pPr>
              <w:pStyle w:val="P68B1DB1-Normal12"/>
              <w:rPr>
                <w:noProof/>
              </w:rPr>
            </w:pPr>
            <w:r>
              <w:rPr>
                <w:noProof/>
              </w:rPr>
              <w:t>Ieguldījums 1.4.: Stiprināt pētniecības struktūras un atbalstīt “valstu pētniecības un izstrādes līderu” izveidi attiecībā uz dažām svarīgām pamattehnoloģijām</w:t>
            </w:r>
          </w:p>
        </w:tc>
        <w:tc>
          <w:tcPr>
            <w:tcW w:w="1453" w:type="dxa"/>
            <w:tcBorders>
              <w:top w:val="nil"/>
              <w:left w:val="nil"/>
              <w:bottom w:val="single" w:sz="4" w:space="0" w:color="auto"/>
              <w:right w:val="single" w:sz="4" w:space="0" w:color="auto"/>
            </w:tcBorders>
            <w:shd w:val="clear" w:color="auto" w:fill="C6EFCE"/>
            <w:noWrap/>
            <w:vAlign w:val="center"/>
          </w:tcPr>
          <w:p w14:paraId="3E29C6D1"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63BD277A" w14:textId="77777777" w:rsidR="00C972CB" w:rsidRDefault="002457F6">
            <w:pPr>
              <w:pStyle w:val="P68B1DB1-Normal12"/>
              <w:jc w:val="center"/>
              <w:rPr>
                <w:noProof/>
              </w:rPr>
            </w:pPr>
            <w:r>
              <w:rPr>
                <w:noProof/>
              </w:rPr>
              <w:t>Līgumu</w:t>
            </w:r>
            <w:r>
              <w:rPr>
                <w:noProof/>
              </w:rPr>
              <w:t xml:space="preserve"> slēgšanas tiesību piešķiršana projektiem, kas saistīti ar valstu vadošajiem pētniecības un izstrādes līderiem svarīgu pamattehnoloģiju jomā</w:t>
            </w:r>
          </w:p>
        </w:tc>
      </w:tr>
      <w:tr w:rsidR="00C972CB" w14:paraId="1CE328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E52DC2" w14:textId="77777777" w:rsidR="00C972CB" w:rsidRDefault="002457F6">
            <w:pPr>
              <w:pStyle w:val="P68B1DB1-Normal12"/>
              <w:rPr>
                <w:noProof/>
              </w:rPr>
            </w:pPr>
            <w:r>
              <w:rPr>
                <w:noProof/>
              </w:rPr>
              <w:t>M4C2–20</w:t>
            </w:r>
          </w:p>
        </w:tc>
        <w:tc>
          <w:tcPr>
            <w:tcW w:w="3195" w:type="dxa"/>
            <w:tcBorders>
              <w:top w:val="nil"/>
              <w:left w:val="nil"/>
              <w:bottom w:val="single" w:sz="4" w:space="0" w:color="auto"/>
              <w:right w:val="single" w:sz="4" w:space="0" w:color="auto"/>
            </w:tcBorders>
            <w:shd w:val="clear" w:color="auto" w:fill="C6EFCE"/>
            <w:noWrap/>
            <w:vAlign w:val="center"/>
          </w:tcPr>
          <w:p w14:paraId="4D193189" w14:textId="77777777" w:rsidR="00C972CB" w:rsidRDefault="002457F6">
            <w:pPr>
              <w:pStyle w:val="P68B1DB1-Normal12"/>
              <w:rPr>
                <w:noProof/>
              </w:rPr>
            </w:pPr>
            <w:r>
              <w:rPr>
                <w:noProof/>
              </w:rPr>
              <w:t>Ieguldījums 3.2.: Dibināšanas finansēšana</w:t>
            </w:r>
          </w:p>
        </w:tc>
        <w:tc>
          <w:tcPr>
            <w:tcW w:w="1453" w:type="dxa"/>
            <w:tcBorders>
              <w:top w:val="nil"/>
              <w:left w:val="nil"/>
              <w:bottom w:val="single" w:sz="4" w:space="0" w:color="auto"/>
              <w:right w:val="single" w:sz="4" w:space="0" w:color="auto"/>
            </w:tcBorders>
            <w:shd w:val="clear" w:color="auto" w:fill="C6EFCE"/>
            <w:noWrap/>
            <w:vAlign w:val="center"/>
          </w:tcPr>
          <w:p w14:paraId="5A8E283D"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1AAA9357" w14:textId="77777777" w:rsidR="00C972CB" w:rsidRDefault="002457F6">
            <w:pPr>
              <w:pStyle w:val="P68B1DB1-Normal12"/>
              <w:jc w:val="center"/>
              <w:rPr>
                <w:noProof/>
              </w:rPr>
            </w:pPr>
            <w:r>
              <w:rPr>
                <w:noProof/>
              </w:rPr>
              <w:t xml:space="preserve">Parakstīts nolīgums starp IT valdību un </w:t>
            </w:r>
            <w:r>
              <w:rPr>
                <w:noProof/>
              </w:rPr>
              <w:t>īstenošanas partneri Cassa Depositi e Prestiti (CDP), ar ko izveido finanšu instrumentu</w:t>
            </w:r>
          </w:p>
        </w:tc>
      </w:tr>
      <w:tr w:rsidR="00C972CB" w14:paraId="05C7B9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9B6369" w14:textId="77777777" w:rsidR="00C972CB" w:rsidRDefault="002457F6">
            <w:pPr>
              <w:pStyle w:val="P68B1DB1-Normal12"/>
              <w:rPr>
                <w:noProof/>
              </w:rPr>
            </w:pPr>
            <w:r>
              <w:rPr>
                <w:noProof/>
              </w:rPr>
              <w:t>M6C1–1</w:t>
            </w:r>
          </w:p>
        </w:tc>
        <w:tc>
          <w:tcPr>
            <w:tcW w:w="3195" w:type="dxa"/>
            <w:tcBorders>
              <w:top w:val="nil"/>
              <w:left w:val="nil"/>
              <w:bottom w:val="single" w:sz="4" w:space="0" w:color="auto"/>
              <w:right w:val="single" w:sz="4" w:space="0" w:color="auto"/>
            </w:tcBorders>
            <w:shd w:val="clear" w:color="auto" w:fill="C6EFCE"/>
            <w:noWrap/>
            <w:vAlign w:val="center"/>
          </w:tcPr>
          <w:p w14:paraId="51419DB1" w14:textId="77777777" w:rsidR="00C972CB" w:rsidRDefault="002457F6">
            <w:pPr>
              <w:pStyle w:val="P68B1DB1-Normal12"/>
              <w:rPr>
                <w:noProof/>
              </w:rPr>
            </w:pPr>
            <w:r>
              <w:rPr>
                <w:noProof/>
              </w:rPr>
              <w:t>Reforma:  Jauna organizatoriskā modeļa noteikšana teritoriālās veselības aprūpes palīdzības tīklam</w:t>
            </w:r>
          </w:p>
        </w:tc>
        <w:tc>
          <w:tcPr>
            <w:tcW w:w="1453" w:type="dxa"/>
            <w:tcBorders>
              <w:top w:val="nil"/>
              <w:left w:val="nil"/>
              <w:bottom w:val="single" w:sz="4" w:space="0" w:color="auto"/>
              <w:right w:val="single" w:sz="4" w:space="0" w:color="auto"/>
            </w:tcBorders>
            <w:shd w:val="clear" w:color="auto" w:fill="C6EFCE"/>
            <w:noWrap/>
            <w:vAlign w:val="center"/>
          </w:tcPr>
          <w:p w14:paraId="5D4B7461"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32BC885A" w14:textId="77777777" w:rsidR="00C972CB" w:rsidRDefault="002457F6">
            <w:pPr>
              <w:pStyle w:val="P68B1DB1-Normal12"/>
              <w:jc w:val="center"/>
              <w:rPr>
                <w:noProof/>
              </w:rPr>
            </w:pPr>
            <w:r>
              <w:rPr>
                <w:noProof/>
              </w:rPr>
              <w:t>Stājas spēkā sekundārie tiesību akti (minis</w:t>
            </w:r>
            <w:r>
              <w:rPr>
                <w:noProof/>
              </w:rPr>
              <w:t>trijas dekrēts), kas paredz veselības aprūpes organizācijas reformu.</w:t>
            </w:r>
          </w:p>
        </w:tc>
      </w:tr>
      <w:tr w:rsidR="00C972CB" w14:paraId="17C13B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2D67B8" w14:textId="77777777" w:rsidR="00C972CB" w:rsidRDefault="002457F6">
            <w:pPr>
              <w:pStyle w:val="P68B1DB1-Normal12"/>
              <w:rPr>
                <w:noProof/>
              </w:rPr>
            </w:pPr>
            <w:r>
              <w:rPr>
                <w:noProof/>
              </w:rPr>
              <w:t>M6C1–2</w:t>
            </w:r>
          </w:p>
        </w:tc>
        <w:tc>
          <w:tcPr>
            <w:tcW w:w="3195" w:type="dxa"/>
            <w:tcBorders>
              <w:top w:val="nil"/>
              <w:left w:val="nil"/>
              <w:bottom w:val="single" w:sz="4" w:space="0" w:color="auto"/>
              <w:right w:val="single" w:sz="4" w:space="0" w:color="auto"/>
            </w:tcBorders>
            <w:shd w:val="clear" w:color="auto" w:fill="C6EFCE"/>
            <w:noWrap/>
            <w:vAlign w:val="center"/>
          </w:tcPr>
          <w:p w14:paraId="1AF0D271" w14:textId="77777777" w:rsidR="00C972CB" w:rsidRDefault="002457F6">
            <w:pPr>
              <w:pStyle w:val="P68B1DB1-Normal12"/>
              <w:rPr>
                <w:noProof/>
              </w:rPr>
            </w:pPr>
            <w:r>
              <w:rPr>
                <w:noProof/>
              </w:rPr>
              <w:t>Ieguldījums 1.1: Kopienas veselības aprūpes nami, lai uzlabotu teritoriālo palīdzību veselības jomā</w:t>
            </w:r>
          </w:p>
        </w:tc>
        <w:tc>
          <w:tcPr>
            <w:tcW w:w="1453" w:type="dxa"/>
            <w:tcBorders>
              <w:top w:val="nil"/>
              <w:left w:val="nil"/>
              <w:bottom w:val="single" w:sz="4" w:space="0" w:color="auto"/>
              <w:right w:val="single" w:sz="4" w:space="0" w:color="auto"/>
            </w:tcBorders>
            <w:shd w:val="clear" w:color="auto" w:fill="C6EFCE"/>
            <w:noWrap/>
            <w:vAlign w:val="center"/>
          </w:tcPr>
          <w:p w14:paraId="23C5EF4D"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7B7A23ED" w14:textId="77777777" w:rsidR="00C972CB" w:rsidRDefault="002457F6">
            <w:pPr>
              <w:pStyle w:val="P68B1DB1-Normal12"/>
              <w:jc w:val="center"/>
              <w:rPr>
                <w:noProof/>
              </w:rPr>
            </w:pPr>
            <w:r>
              <w:rPr>
                <w:noProof/>
              </w:rPr>
              <w:t xml:space="preserve">Iestāžu attīstības līguma apstiprināšana </w:t>
            </w:r>
          </w:p>
        </w:tc>
      </w:tr>
      <w:tr w:rsidR="00C972CB" w14:paraId="02BCBE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20E9E3" w14:textId="77777777" w:rsidR="00C972CB" w:rsidRDefault="002457F6">
            <w:pPr>
              <w:pStyle w:val="P68B1DB1-Normal12"/>
              <w:rPr>
                <w:noProof/>
              </w:rPr>
            </w:pPr>
            <w:r>
              <w:rPr>
                <w:noProof/>
              </w:rPr>
              <w:t>M6C1–4</w:t>
            </w:r>
          </w:p>
        </w:tc>
        <w:tc>
          <w:tcPr>
            <w:tcW w:w="3195" w:type="dxa"/>
            <w:tcBorders>
              <w:top w:val="nil"/>
              <w:left w:val="nil"/>
              <w:bottom w:val="single" w:sz="4" w:space="0" w:color="auto"/>
              <w:right w:val="single" w:sz="4" w:space="0" w:color="auto"/>
            </w:tcBorders>
            <w:shd w:val="clear" w:color="auto" w:fill="C6EFCE"/>
            <w:noWrap/>
            <w:vAlign w:val="center"/>
          </w:tcPr>
          <w:p w14:paraId="68B99A4E" w14:textId="77777777" w:rsidR="00C972CB" w:rsidRDefault="002457F6">
            <w:pPr>
              <w:pStyle w:val="P68B1DB1-Normal12"/>
              <w:rPr>
                <w:noProof/>
              </w:rPr>
            </w:pPr>
            <w:r>
              <w:rPr>
                <w:noProof/>
              </w:rPr>
              <w:t>Ieguldījums</w:t>
            </w:r>
            <w:r>
              <w:rPr>
                <w:noProof/>
              </w:rPr>
              <w:t xml:space="preserve"> 1.2: Mājas kā pirmā aprūpes un telemedicīnas vieta</w:t>
            </w:r>
          </w:p>
        </w:tc>
        <w:tc>
          <w:tcPr>
            <w:tcW w:w="1453" w:type="dxa"/>
            <w:tcBorders>
              <w:top w:val="nil"/>
              <w:left w:val="nil"/>
              <w:bottom w:val="single" w:sz="4" w:space="0" w:color="auto"/>
              <w:right w:val="single" w:sz="4" w:space="0" w:color="auto"/>
            </w:tcBorders>
            <w:shd w:val="clear" w:color="auto" w:fill="C6EFCE"/>
            <w:noWrap/>
            <w:vAlign w:val="center"/>
          </w:tcPr>
          <w:p w14:paraId="33619175"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4115F74B" w14:textId="77777777" w:rsidR="00C972CB" w:rsidRDefault="002457F6">
            <w:pPr>
              <w:pStyle w:val="P68B1DB1-Normal12"/>
              <w:jc w:val="center"/>
              <w:rPr>
                <w:noProof/>
              </w:rPr>
            </w:pPr>
            <w:r>
              <w:rPr>
                <w:noProof/>
              </w:rPr>
              <w:t>Pamatnostādņu, kurās ietverts digitālais modelis aprūpes īstenošanai mājās, apstiprināšana</w:t>
            </w:r>
          </w:p>
        </w:tc>
      </w:tr>
      <w:tr w:rsidR="00C972CB" w14:paraId="7598F2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7CA11" w14:textId="77777777" w:rsidR="00C972CB" w:rsidRDefault="002457F6">
            <w:pPr>
              <w:pStyle w:val="P68B1DB1-Normal12"/>
              <w:rPr>
                <w:noProof/>
              </w:rPr>
            </w:pPr>
            <w:r>
              <w:rPr>
                <w:noProof/>
              </w:rPr>
              <w:t>M6C1–5</w:t>
            </w:r>
          </w:p>
        </w:tc>
        <w:tc>
          <w:tcPr>
            <w:tcW w:w="3195" w:type="dxa"/>
            <w:tcBorders>
              <w:top w:val="nil"/>
              <w:left w:val="nil"/>
              <w:bottom w:val="single" w:sz="4" w:space="0" w:color="auto"/>
              <w:right w:val="single" w:sz="4" w:space="0" w:color="auto"/>
            </w:tcBorders>
            <w:shd w:val="clear" w:color="auto" w:fill="C6EFCE"/>
            <w:noWrap/>
            <w:vAlign w:val="center"/>
          </w:tcPr>
          <w:p w14:paraId="7A6FB73B" w14:textId="77777777" w:rsidR="00C972CB" w:rsidRDefault="002457F6">
            <w:pPr>
              <w:pStyle w:val="P68B1DB1-Normal12"/>
              <w:rPr>
                <w:noProof/>
              </w:rPr>
            </w:pPr>
            <w:r>
              <w:rPr>
                <w:noProof/>
              </w:rPr>
              <w:t>Ieguldījums 1.2: Mājas kā pirmā aprūpes un telemedicīnas vieta</w:t>
            </w:r>
          </w:p>
        </w:tc>
        <w:tc>
          <w:tcPr>
            <w:tcW w:w="1453" w:type="dxa"/>
            <w:tcBorders>
              <w:top w:val="nil"/>
              <w:left w:val="nil"/>
              <w:bottom w:val="single" w:sz="4" w:space="0" w:color="auto"/>
              <w:right w:val="single" w:sz="4" w:space="0" w:color="auto"/>
            </w:tcBorders>
            <w:shd w:val="clear" w:color="auto" w:fill="C6EFCE"/>
            <w:noWrap/>
            <w:vAlign w:val="center"/>
          </w:tcPr>
          <w:p w14:paraId="2AD54719"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53155CE1" w14:textId="77777777" w:rsidR="00C972CB" w:rsidRDefault="002457F6">
            <w:pPr>
              <w:pStyle w:val="P68B1DB1-Normal12"/>
              <w:jc w:val="center"/>
              <w:rPr>
                <w:noProof/>
              </w:rPr>
            </w:pPr>
            <w:r>
              <w:rPr>
                <w:noProof/>
              </w:rPr>
              <w:t>Veselī</w:t>
            </w:r>
            <w:r>
              <w:rPr>
                <w:noProof/>
              </w:rPr>
              <w:t xml:space="preserve">bas un reģionu ministrijas apstiprināts institucionālās attīstības līgums </w:t>
            </w:r>
          </w:p>
        </w:tc>
      </w:tr>
      <w:tr w:rsidR="00C972CB" w14:paraId="75634B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E5B74" w14:textId="77777777" w:rsidR="00C972CB" w:rsidRDefault="002457F6">
            <w:pPr>
              <w:pStyle w:val="P68B1DB1-Normal12"/>
              <w:rPr>
                <w:noProof/>
              </w:rPr>
            </w:pPr>
            <w:r>
              <w:rPr>
                <w:noProof/>
              </w:rPr>
              <w:t>M6C1–10</w:t>
            </w:r>
          </w:p>
        </w:tc>
        <w:tc>
          <w:tcPr>
            <w:tcW w:w="3195" w:type="dxa"/>
            <w:tcBorders>
              <w:top w:val="nil"/>
              <w:left w:val="nil"/>
              <w:bottom w:val="single" w:sz="4" w:space="0" w:color="auto"/>
              <w:right w:val="single" w:sz="4" w:space="0" w:color="auto"/>
            </w:tcBorders>
            <w:shd w:val="clear" w:color="auto" w:fill="C6EFCE"/>
            <w:noWrap/>
            <w:vAlign w:val="center"/>
          </w:tcPr>
          <w:p w14:paraId="61271C39" w14:textId="77777777" w:rsidR="00C972CB" w:rsidRDefault="002457F6">
            <w:pPr>
              <w:pStyle w:val="P68B1DB1-Normal12"/>
              <w:rPr>
                <w:noProof/>
              </w:rPr>
            </w:pPr>
            <w:r>
              <w:rPr>
                <w:noProof/>
              </w:rPr>
              <w:t>Ieguldījums 1.3. Veselības aprūpes starpniecības un tās telpu stiprināšana (Kopienas slimnīcas)</w:t>
            </w:r>
          </w:p>
        </w:tc>
        <w:tc>
          <w:tcPr>
            <w:tcW w:w="1453" w:type="dxa"/>
            <w:tcBorders>
              <w:top w:val="nil"/>
              <w:left w:val="nil"/>
              <w:bottom w:val="single" w:sz="4" w:space="0" w:color="auto"/>
              <w:right w:val="single" w:sz="4" w:space="0" w:color="auto"/>
            </w:tcBorders>
            <w:shd w:val="clear" w:color="auto" w:fill="C6EFCE"/>
            <w:noWrap/>
            <w:vAlign w:val="center"/>
          </w:tcPr>
          <w:p w14:paraId="3472A18E" w14:textId="77777777" w:rsidR="00C972CB" w:rsidRDefault="002457F6">
            <w:pPr>
              <w:pStyle w:val="P68B1DB1-Normal12"/>
              <w:rPr>
                <w:noProof/>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2CAC9F2D" w14:textId="77777777" w:rsidR="00C972CB" w:rsidRDefault="002457F6">
            <w:pPr>
              <w:pStyle w:val="P68B1DB1-Normal12"/>
              <w:jc w:val="center"/>
              <w:rPr>
                <w:noProof/>
              </w:rPr>
            </w:pPr>
            <w:r>
              <w:rPr>
                <w:noProof/>
              </w:rPr>
              <w:t xml:space="preserve">Iestāžu attīstības līguma apstiprināšana (Contratto </w:t>
            </w:r>
            <w:r>
              <w:rPr>
                <w:noProof/>
              </w:rPr>
              <w:t>Istituzionale di Sviluppo)</w:t>
            </w:r>
          </w:p>
        </w:tc>
      </w:tr>
      <w:tr w:rsidR="00C972CB" w14:paraId="346A4C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668C5C" w14:textId="77777777" w:rsidR="00C972CB" w:rsidRDefault="002457F6">
            <w:pPr>
              <w:pStyle w:val="P68B1DB1-Normal12"/>
              <w:rPr>
                <w:noProof/>
              </w:rPr>
            </w:pPr>
            <w:r>
              <w:rPr>
                <w:noProof/>
              </w:rPr>
              <w:t>M6C2–5</w:t>
            </w:r>
          </w:p>
        </w:tc>
        <w:tc>
          <w:tcPr>
            <w:tcW w:w="3195" w:type="dxa"/>
            <w:tcBorders>
              <w:top w:val="nil"/>
              <w:left w:val="nil"/>
              <w:bottom w:val="single" w:sz="4" w:space="0" w:color="auto"/>
              <w:right w:val="single" w:sz="4" w:space="0" w:color="auto"/>
            </w:tcBorders>
            <w:shd w:val="clear" w:color="auto" w:fill="C6EFCE"/>
            <w:noWrap/>
            <w:vAlign w:val="center"/>
          </w:tcPr>
          <w:p w14:paraId="62239DD4" w14:textId="77777777" w:rsidR="00C972CB" w:rsidRDefault="002457F6">
            <w:pPr>
              <w:pStyle w:val="P68B1DB1-Normal48"/>
              <w:rPr>
                <w:noProof/>
                <w:color w:val="006100"/>
              </w:rPr>
            </w:pPr>
            <w:r>
              <w:rPr>
                <w:noProof/>
              </w:rPr>
              <w:t>Ieguldījums 1.1: Slimnīcu tehnoloģiskā aprīkojuma digitālā atjaunināšana</w:t>
            </w:r>
          </w:p>
        </w:tc>
        <w:tc>
          <w:tcPr>
            <w:tcW w:w="1453" w:type="dxa"/>
            <w:tcBorders>
              <w:top w:val="nil"/>
              <w:left w:val="nil"/>
              <w:bottom w:val="single" w:sz="4" w:space="0" w:color="auto"/>
              <w:right w:val="single" w:sz="4" w:space="0" w:color="auto"/>
            </w:tcBorders>
            <w:shd w:val="clear" w:color="auto" w:fill="C6EFCE"/>
            <w:noWrap/>
            <w:vAlign w:val="center"/>
          </w:tcPr>
          <w:p w14:paraId="0B6ACA53" w14:textId="77777777" w:rsidR="00C972CB" w:rsidRDefault="002457F6">
            <w:pPr>
              <w:pStyle w:val="P68B1DB1-Normal48"/>
              <w:rPr>
                <w:noProof/>
                <w:color w:val="006100"/>
              </w:rPr>
            </w:pPr>
            <w:r>
              <w:rPr>
                <w:noProof/>
              </w:rPr>
              <w:t>Starpposma mērķis</w:t>
            </w:r>
          </w:p>
        </w:tc>
        <w:tc>
          <w:tcPr>
            <w:tcW w:w="4035" w:type="dxa"/>
            <w:tcBorders>
              <w:top w:val="nil"/>
              <w:left w:val="nil"/>
              <w:bottom w:val="single" w:sz="4" w:space="0" w:color="auto"/>
              <w:right w:val="single" w:sz="4" w:space="0" w:color="auto"/>
            </w:tcBorders>
            <w:shd w:val="clear" w:color="auto" w:fill="C6EFCE"/>
            <w:noWrap/>
            <w:vAlign w:val="center"/>
          </w:tcPr>
          <w:p w14:paraId="1AE092BE" w14:textId="77777777" w:rsidR="00C972CB" w:rsidRDefault="002457F6">
            <w:pPr>
              <w:pStyle w:val="P68B1DB1-Normal48"/>
              <w:jc w:val="center"/>
              <w:rPr>
                <w:noProof/>
              </w:rPr>
            </w:pPr>
            <w:r>
              <w:rPr>
                <w:noProof/>
              </w:rPr>
              <w:t>Iestāžu attīstības līguma apstiprināšana</w:t>
            </w:r>
          </w:p>
        </w:tc>
      </w:tr>
      <w:tr w:rsidR="00C972CB" w14:paraId="026DA9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06B826" w14:textId="77777777" w:rsidR="00C972CB" w:rsidRDefault="00C972C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35D3733B" w14:textId="77777777" w:rsidR="00C972CB" w:rsidRDefault="00C972CB">
            <w:pPr>
              <w:rPr>
                <w:noProof/>
                <w:color w:val="006100"/>
                <w:sz w:val="20"/>
              </w:rPr>
            </w:pPr>
          </w:p>
        </w:tc>
        <w:tc>
          <w:tcPr>
            <w:tcW w:w="1453" w:type="dxa"/>
            <w:tcBorders>
              <w:top w:val="single" w:sz="4" w:space="0" w:color="auto"/>
              <w:left w:val="nil"/>
              <w:bottom w:val="single" w:sz="4" w:space="0" w:color="auto"/>
              <w:right w:val="single" w:sz="4" w:space="0" w:color="auto"/>
            </w:tcBorders>
            <w:shd w:val="clear" w:color="auto" w:fill="C6EFCE"/>
            <w:noWrap/>
            <w:vAlign w:val="bottom"/>
          </w:tcPr>
          <w:p w14:paraId="0BF867CB" w14:textId="77777777" w:rsidR="00C972CB" w:rsidRDefault="002457F6">
            <w:pPr>
              <w:pStyle w:val="P68B1DB1-Normal12"/>
              <w:rPr>
                <w:noProof/>
              </w:rPr>
            </w:pPr>
            <w:r>
              <w:rPr>
                <w:noProof/>
              </w:rPr>
              <w:t>Maksājuma summa</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53B2838D" w14:textId="41722945" w:rsidR="00C972CB" w:rsidRDefault="002457F6">
            <w:pPr>
              <w:pStyle w:val="P68B1DB1-Normal46"/>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25473B18" w14:textId="77777777" w:rsidR="00C972CB" w:rsidRDefault="00C972CB">
      <w:pPr>
        <w:spacing w:before="120" w:after="120"/>
        <w:jc w:val="both"/>
        <w:rPr>
          <w:rFonts w:eastAsia="Calibri"/>
          <w:noProof/>
        </w:rPr>
      </w:pPr>
    </w:p>
    <w:p w14:paraId="78BB3320" w14:textId="35DB9781" w:rsidR="00C972CB" w:rsidRDefault="00C972CB">
      <w:pPr>
        <w:spacing w:after="200" w:line="276" w:lineRule="auto"/>
        <w:rPr>
          <w:rFonts w:eastAsia="Calibri"/>
          <w:noProof/>
        </w:rPr>
      </w:pPr>
    </w:p>
    <w:p w14:paraId="5ED46D17" w14:textId="40A5438B" w:rsidR="00C972CB" w:rsidRDefault="002457F6">
      <w:pPr>
        <w:pStyle w:val="P68B1DB1-Normal44"/>
        <w:spacing w:after="200" w:line="276" w:lineRule="auto"/>
        <w:rPr>
          <w:noProof/>
        </w:rPr>
      </w:pPr>
      <w:r>
        <w:rPr>
          <w:noProof/>
        </w:rPr>
        <w:br w:type="page"/>
      </w:r>
    </w:p>
    <w:p w14:paraId="46FE4F8B" w14:textId="45E25ECC" w:rsidR="00C972CB" w:rsidRDefault="002457F6">
      <w:pPr>
        <w:pStyle w:val="P68B1DB1-Normal44"/>
        <w:numPr>
          <w:ilvl w:val="1"/>
          <w:numId w:val="6"/>
        </w:numPr>
        <w:spacing w:before="120" w:after="120"/>
        <w:jc w:val="both"/>
        <w:rPr>
          <w:noProof/>
        </w:rPr>
      </w:pPr>
      <w:r>
        <w:rPr>
          <w:noProof/>
        </w:rPr>
        <w:t>Trešais ieguldījums (aizdevuma atbalsts):</w:t>
      </w:r>
    </w:p>
    <w:tbl>
      <w:tblPr>
        <w:tblW w:w="101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50"/>
        <w:gridCol w:w="1983"/>
        <w:gridCol w:w="4065"/>
      </w:tblGrid>
      <w:tr w:rsidR="00C972CB" w14:paraId="065BB83B" w14:textId="77777777">
        <w:trPr>
          <w:trHeight w:val="906"/>
        </w:trPr>
        <w:tc>
          <w:tcPr>
            <w:tcW w:w="1413" w:type="dxa"/>
            <w:vMerge w:val="restart"/>
            <w:shd w:val="clear" w:color="auto" w:fill="BDD7EE"/>
            <w:vAlign w:val="center"/>
            <w:hideMark/>
          </w:tcPr>
          <w:p w14:paraId="27886142" w14:textId="77777777" w:rsidR="00C972CB" w:rsidRDefault="002457F6">
            <w:pPr>
              <w:pStyle w:val="P68B1DB1-Normal45"/>
              <w:jc w:val="center"/>
              <w:rPr>
                <w:noProof/>
              </w:rPr>
            </w:pPr>
            <w:r>
              <w:rPr>
                <w:noProof/>
              </w:rPr>
              <w:t>Kārtas numurs</w:t>
            </w:r>
          </w:p>
        </w:tc>
        <w:tc>
          <w:tcPr>
            <w:tcW w:w="3150" w:type="dxa"/>
            <w:vMerge w:val="restart"/>
            <w:shd w:val="clear" w:color="auto" w:fill="BDD7EE"/>
            <w:vAlign w:val="center"/>
            <w:hideMark/>
          </w:tcPr>
          <w:p w14:paraId="3607EE74" w14:textId="77777777" w:rsidR="00C972CB" w:rsidRDefault="002457F6">
            <w:pPr>
              <w:pStyle w:val="P68B1DB1-Normal45"/>
              <w:jc w:val="center"/>
              <w:rPr>
                <w:noProof/>
              </w:rPr>
            </w:pPr>
            <w:r>
              <w:rPr>
                <w:noProof/>
              </w:rPr>
              <w:t>Pasākums (reforma vai investīcija)</w:t>
            </w:r>
          </w:p>
        </w:tc>
        <w:tc>
          <w:tcPr>
            <w:tcW w:w="1485" w:type="dxa"/>
            <w:vMerge w:val="restart"/>
            <w:shd w:val="clear" w:color="auto" w:fill="BDD7EE"/>
            <w:vAlign w:val="center"/>
            <w:hideMark/>
          </w:tcPr>
          <w:p w14:paraId="6953AAEF" w14:textId="77777777" w:rsidR="00C972CB" w:rsidRDefault="002457F6">
            <w:pPr>
              <w:pStyle w:val="P68B1DB1-Normal45"/>
              <w:jc w:val="center"/>
              <w:rPr>
                <w:noProof/>
              </w:rPr>
            </w:pPr>
            <w:r>
              <w:rPr>
                <w:noProof/>
              </w:rPr>
              <w:t>Atskaites punkts/mērķrādītājs</w:t>
            </w:r>
          </w:p>
        </w:tc>
        <w:tc>
          <w:tcPr>
            <w:tcW w:w="4065" w:type="dxa"/>
            <w:vMerge w:val="restart"/>
            <w:shd w:val="clear" w:color="auto" w:fill="BDD7EE"/>
            <w:vAlign w:val="center"/>
            <w:hideMark/>
          </w:tcPr>
          <w:p w14:paraId="49D18803" w14:textId="77777777" w:rsidR="00C972CB" w:rsidRDefault="002457F6">
            <w:pPr>
              <w:pStyle w:val="P68B1DB1-Normal45"/>
              <w:jc w:val="center"/>
              <w:rPr>
                <w:noProof/>
              </w:rPr>
            </w:pPr>
            <w:r>
              <w:rPr>
                <w:noProof/>
              </w:rPr>
              <w:t>Uzvārds</w:t>
            </w:r>
          </w:p>
        </w:tc>
      </w:tr>
      <w:tr w:rsidR="00C972CB" w14:paraId="7278BD4C" w14:textId="77777777">
        <w:trPr>
          <w:trHeight w:val="517"/>
        </w:trPr>
        <w:tc>
          <w:tcPr>
            <w:tcW w:w="1413" w:type="dxa"/>
            <w:vMerge/>
            <w:vAlign w:val="center"/>
            <w:hideMark/>
          </w:tcPr>
          <w:p w14:paraId="07B75A72" w14:textId="77777777" w:rsidR="00C972CB" w:rsidRDefault="00C972CB">
            <w:pPr>
              <w:rPr>
                <w:b/>
                <w:noProof/>
              </w:rPr>
            </w:pPr>
          </w:p>
        </w:tc>
        <w:tc>
          <w:tcPr>
            <w:tcW w:w="3150" w:type="dxa"/>
            <w:vMerge/>
            <w:vAlign w:val="center"/>
            <w:hideMark/>
          </w:tcPr>
          <w:p w14:paraId="201584EF" w14:textId="77777777" w:rsidR="00C972CB" w:rsidRDefault="00C972CB">
            <w:pPr>
              <w:rPr>
                <w:b/>
                <w:noProof/>
              </w:rPr>
            </w:pPr>
          </w:p>
        </w:tc>
        <w:tc>
          <w:tcPr>
            <w:tcW w:w="1485" w:type="dxa"/>
            <w:vMerge/>
            <w:vAlign w:val="center"/>
            <w:hideMark/>
          </w:tcPr>
          <w:p w14:paraId="74997D2B" w14:textId="77777777" w:rsidR="00C972CB" w:rsidRDefault="00C972CB">
            <w:pPr>
              <w:rPr>
                <w:b/>
                <w:noProof/>
              </w:rPr>
            </w:pPr>
          </w:p>
        </w:tc>
        <w:tc>
          <w:tcPr>
            <w:tcW w:w="4065" w:type="dxa"/>
            <w:vMerge/>
            <w:vAlign w:val="center"/>
            <w:hideMark/>
          </w:tcPr>
          <w:p w14:paraId="3F63CB3D" w14:textId="77777777" w:rsidR="00C972CB" w:rsidRDefault="00C972CB">
            <w:pPr>
              <w:rPr>
                <w:b/>
                <w:noProof/>
              </w:rPr>
            </w:pPr>
          </w:p>
        </w:tc>
      </w:tr>
      <w:tr w:rsidR="00C972CB" w14:paraId="20209A0A" w14:textId="77777777">
        <w:trPr>
          <w:trHeight w:val="302"/>
        </w:trPr>
        <w:tc>
          <w:tcPr>
            <w:tcW w:w="1413" w:type="dxa"/>
            <w:shd w:val="clear" w:color="auto" w:fill="C6EFCE"/>
            <w:noWrap/>
            <w:vAlign w:val="center"/>
          </w:tcPr>
          <w:p w14:paraId="1D02FA28" w14:textId="77777777" w:rsidR="00C972CB" w:rsidRDefault="002457F6">
            <w:pPr>
              <w:pStyle w:val="P68B1DB1-Normal12"/>
              <w:rPr>
                <w:noProof/>
              </w:rPr>
            </w:pPr>
            <w:r>
              <w:rPr>
                <w:noProof/>
              </w:rPr>
              <w:t>M2C1–18</w:t>
            </w:r>
          </w:p>
        </w:tc>
        <w:tc>
          <w:tcPr>
            <w:tcW w:w="3150" w:type="dxa"/>
            <w:shd w:val="clear" w:color="auto" w:fill="C6EFCE"/>
            <w:noWrap/>
            <w:vAlign w:val="center"/>
          </w:tcPr>
          <w:p w14:paraId="16439997" w14:textId="77777777" w:rsidR="00C972CB" w:rsidRDefault="002457F6">
            <w:pPr>
              <w:pStyle w:val="P68B1DB1-Normal12"/>
              <w:rPr>
                <w:noProof/>
              </w:rPr>
            </w:pPr>
            <w:r>
              <w:rPr>
                <w:noProof/>
              </w:rPr>
              <w:t>Ieguldījums 3.1.: Zaļās salas</w:t>
            </w:r>
          </w:p>
        </w:tc>
        <w:tc>
          <w:tcPr>
            <w:tcW w:w="1485" w:type="dxa"/>
            <w:shd w:val="clear" w:color="auto" w:fill="C6EFCE"/>
            <w:noWrap/>
            <w:vAlign w:val="center"/>
          </w:tcPr>
          <w:p w14:paraId="3A67ED27" w14:textId="77777777" w:rsidR="00C972CB" w:rsidRDefault="002457F6">
            <w:pPr>
              <w:pStyle w:val="P68B1DB1-Normal12"/>
              <w:rPr>
                <w:noProof/>
              </w:rPr>
            </w:pPr>
            <w:r>
              <w:rPr>
                <w:noProof/>
              </w:rPr>
              <w:t>Starpposma mērķis</w:t>
            </w:r>
          </w:p>
        </w:tc>
        <w:tc>
          <w:tcPr>
            <w:tcW w:w="4065" w:type="dxa"/>
            <w:shd w:val="clear" w:color="auto" w:fill="C6EFCE"/>
            <w:noWrap/>
            <w:vAlign w:val="center"/>
          </w:tcPr>
          <w:p w14:paraId="4001CCF5" w14:textId="77777777" w:rsidR="00C972CB" w:rsidRDefault="002457F6">
            <w:pPr>
              <w:pStyle w:val="P68B1DB1-Normal12"/>
              <w:jc w:val="center"/>
              <w:rPr>
                <w:noProof/>
              </w:rPr>
            </w:pPr>
            <w:r>
              <w:rPr>
                <w:noProof/>
              </w:rPr>
              <w:t>Direktora dekrēta stāšanās spēkā</w:t>
            </w:r>
          </w:p>
        </w:tc>
      </w:tr>
      <w:tr w:rsidR="00C972CB" w14:paraId="7116FF74" w14:textId="77777777">
        <w:trPr>
          <w:trHeight w:val="302"/>
        </w:trPr>
        <w:tc>
          <w:tcPr>
            <w:tcW w:w="1413" w:type="dxa"/>
            <w:shd w:val="clear" w:color="auto" w:fill="C6EFCE"/>
            <w:noWrap/>
            <w:vAlign w:val="center"/>
          </w:tcPr>
          <w:p w14:paraId="1DC22C9B" w14:textId="77777777" w:rsidR="00C972CB" w:rsidRDefault="002457F6">
            <w:pPr>
              <w:pStyle w:val="P68B1DB1-Normal12"/>
              <w:rPr>
                <w:noProof/>
              </w:rPr>
            </w:pPr>
            <w:r>
              <w:rPr>
                <w:noProof/>
              </w:rPr>
              <w:t>M2C1–20</w:t>
            </w:r>
          </w:p>
        </w:tc>
        <w:tc>
          <w:tcPr>
            <w:tcW w:w="3150" w:type="dxa"/>
            <w:shd w:val="clear" w:color="auto" w:fill="C6EFCE"/>
            <w:noWrap/>
            <w:vAlign w:val="center"/>
          </w:tcPr>
          <w:p w14:paraId="3D35E7E9" w14:textId="77777777" w:rsidR="00C972CB" w:rsidRDefault="002457F6">
            <w:pPr>
              <w:pStyle w:val="P68B1DB1-Normal12"/>
              <w:rPr>
                <w:noProof/>
              </w:rPr>
            </w:pPr>
            <w:r>
              <w:rPr>
                <w:noProof/>
              </w:rPr>
              <w:t>Ieguldījums 3.2.: Zaļās kopienas</w:t>
            </w:r>
          </w:p>
        </w:tc>
        <w:tc>
          <w:tcPr>
            <w:tcW w:w="1485" w:type="dxa"/>
            <w:shd w:val="clear" w:color="auto" w:fill="C6EFCE"/>
            <w:noWrap/>
            <w:vAlign w:val="center"/>
          </w:tcPr>
          <w:p w14:paraId="580EB8EC" w14:textId="77777777" w:rsidR="00C972CB" w:rsidRDefault="002457F6">
            <w:pPr>
              <w:pStyle w:val="P68B1DB1-Normal12"/>
              <w:rPr>
                <w:noProof/>
              </w:rPr>
            </w:pPr>
            <w:r>
              <w:rPr>
                <w:noProof/>
              </w:rPr>
              <w:t>Starpposma mērķis</w:t>
            </w:r>
          </w:p>
        </w:tc>
        <w:tc>
          <w:tcPr>
            <w:tcW w:w="4065" w:type="dxa"/>
            <w:shd w:val="clear" w:color="auto" w:fill="C6EFCE"/>
            <w:noWrap/>
            <w:vAlign w:val="center"/>
          </w:tcPr>
          <w:p w14:paraId="47D9296C" w14:textId="77777777" w:rsidR="00C972CB" w:rsidRDefault="002457F6">
            <w:pPr>
              <w:pStyle w:val="P68B1DB1-Normal12"/>
              <w:jc w:val="center"/>
              <w:rPr>
                <w:noProof/>
              </w:rPr>
            </w:pPr>
            <w:r>
              <w:rPr>
                <w:noProof/>
              </w:rPr>
              <w:t xml:space="preserve">(Visu) </w:t>
            </w:r>
            <w:r>
              <w:rPr>
                <w:noProof/>
              </w:rPr>
              <w:t>publiskā iepirkuma līgumu slēgšanas tiesību piešķiršana zaļo kopienu atlasei</w:t>
            </w:r>
          </w:p>
        </w:tc>
      </w:tr>
      <w:tr w:rsidR="00C972CB" w14:paraId="2DA15309" w14:textId="77777777">
        <w:trPr>
          <w:trHeight w:val="302"/>
        </w:trPr>
        <w:tc>
          <w:tcPr>
            <w:tcW w:w="1413" w:type="dxa"/>
            <w:shd w:val="clear" w:color="auto" w:fill="C6EFCE"/>
            <w:noWrap/>
            <w:vAlign w:val="center"/>
          </w:tcPr>
          <w:p w14:paraId="1A530293" w14:textId="77777777" w:rsidR="00C972CB" w:rsidRDefault="002457F6">
            <w:pPr>
              <w:pStyle w:val="P68B1DB1-Normal12"/>
              <w:rPr>
                <w:noProof/>
              </w:rPr>
            </w:pPr>
            <w:r>
              <w:rPr>
                <w:noProof/>
              </w:rPr>
              <w:t>M5C2–17</w:t>
            </w:r>
          </w:p>
        </w:tc>
        <w:tc>
          <w:tcPr>
            <w:tcW w:w="3150" w:type="dxa"/>
            <w:shd w:val="clear" w:color="auto" w:fill="C6EFCE"/>
            <w:noWrap/>
            <w:vAlign w:val="center"/>
          </w:tcPr>
          <w:p w14:paraId="7D967792" w14:textId="77777777" w:rsidR="00C972CB" w:rsidRDefault="002457F6">
            <w:pPr>
              <w:pStyle w:val="P68B1DB1-Normal12"/>
              <w:rPr>
                <w:noProof/>
              </w:rPr>
            </w:pPr>
            <w:r>
              <w:rPr>
                <w:noProof/>
              </w:rPr>
              <w:t>Ieguldījums Nr. 5 — Pilsētvides integrētie plāni — EIB fonds — fonds</w:t>
            </w:r>
          </w:p>
        </w:tc>
        <w:tc>
          <w:tcPr>
            <w:tcW w:w="1485" w:type="dxa"/>
            <w:shd w:val="clear" w:color="auto" w:fill="C6EFCE"/>
            <w:noWrap/>
            <w:vAlign w:val="center"/>
          </w:tcPr>
          <w:p w14:paraId="107628C2" w14:textId="77777777" w:rsidR="00C972CB" w:rsidRDefault="002457F6">
            <w:pPr>
              <w:pStyle w:val="P68B1DB1-Normal12"/>
              <w:rPr>
                <w:noProof/>
              </w:rPr>
            </w:pPr>
            <w:r>
              <w:rPr>
                <w:noProof/>
              </w:rPr>
              <w:t>Starpposma mērķis</w:t>
            </w:r>
          </w:p>
        </w:tc>
        <w:tc>
          <w:tcPr>
            <w:tcW w:w="4065" w:type="dxa"/>
            <w:shd w:val="clear" w:color="auto" w:fill="C6EFCE"/>
            <w:noWrap/>
            <w:vAlign w:val="center"/>
          </w:tcPr>
          <w:p w14:paraId="200652C0" w14:textId="77777777" w:rsidR="00C972CB" w:rsidRDefault="002457F6">
            <w:pPr>
              <w:pStyle w:val="P68B1DB1-Normal12"/>
              <w:jc w:val="center"/>
              <w:rPr>
                <w:noProof/>
              </w:rPr>
            </w:pPr>
            <w:r>
              <w:rPr>
                <w:noProof/>
              </w:rPr>
              <w:t>Fonda ieguldījumu stratēģiju apstiprina Finanšu ministrija (MEF).</w:t>
            </w:r>
          </w:p>
        </w:tc>
      </w:tr>
      <w:tr w:rsidR="00C972CB" w14:paraId="20BAEEF6" w14:textId="77777777">
        <w:trPr>
          <w:trHeight w:val="302"/>
        </w:trPr>
        <w:tc>
          <w:tcPr>
            <w:tcW w:w="1413" w:type="dxa"/>
            <w:shd w:val="clear" w:color="auto" w:fill="C6EFCE"/>
            <w:noWrap/>
            <w:vAlign w:val="center"/>
          </w:tcPr>
          <w:p w14:paraId="20FB5E75" w14:textId="77777777" w:rsidR="00C972CB" w:rsidRDefault="002457F6">
            <w:pPr>
              <w:pStyle w:val="P68B1DB1-Normal12"/>
              <w:rPr>
                <w:noProof/>
              </w:rPr>
            </w:pPr>
            <w:r>
              <w:rPr>
                <w:noProof/>
              </w:rPr>
              <w:t>M1C1–123</w:t>
            </w:r>
          </w:p>
        </w:tc>
        <w:tc>
          <w:tcPr>
            <w:tcW w:w="3150" w:type="dxa"/>
            <w:shd w:val="clear" w:color="auto" w:fill="C6EFCE"/>
            <w:noWrap/>
            <w:vAlign w:val="center"/>
          </w:tcPr>
          <w:p w14:paraId="66636E57" w14:textId="77777777" w:rsidR="00C972CB" w:rsidRDefault="002457F6">
            <w:pPr>
              <w:pStyle w:val="P68B1DB1-Normal12"/>
              <w:rPr>
                <w:noProof/>
              </w:rPr>
            </w:pPr>
            <w:r>
              <w:rPr>
                <w:noProof/>
              </w:rPr>
              <w:t>Ieguldī</w:t>
            </w:r>
            <w:r>
              <w:rPr>
                <w:noProof/>
              </w:rPr>
              <w:t>jums 1.6.3. — Valsts sociālā nodrošinājuma institūta (INPS) un Valsts apdrošināšanas institūta pret nelaimes gadījumiem darbā (INAIL) digitalizācija</w:t>
            </w:r>
          </w:p>
        </w:tc>
        <w:tc>
          <w:tcPr>
            <w:tcW w:w="1485" w:type="dxa"/>
            <w:shd w:val="clear" w:color="auto" w:fill="C6EFCE"/>
            <w:noWrap/>
            <w:vAlign w:val="center"/>
          </w:tcPr>
          <w:p w14:paraId="0F8CF685" w14:textId="77777777" w:rsidR="00C972CB" w:rsidRDefault="002457F6">
            <w:pPr>
              <w:pStyle w:val="P68B1DB1-Normal12"/>
              <w:rPr>
                <w:noProof/>
              </w:rPr>
            </w:pPr>
            <w:r>
              <w:rPr>
                <w:noProof/>
              </w:rPr>
              <w:t>Mērķa</w:t>
            </w:r>
          </w:p>
        </w:tc>
        <w:tc>
          <w:tcPr>
            <w:tcW w:w="4065" w:type="dxa"/>
            <w:shd w:val="clear" w:color="auto" w:fill="C6EFCE"/>
            <w:noWrap/>
            <w:vAlign w:val="center"/>
          </w:tcPr>
          <w:p w14:paraId="2DDA09E9" w14:textId="77777777" w:rsidR="00C972CB" w:rsidRDefault="002457F6">
            <w:pPr>
              <w:pStyle w:val="P68B1DB1-Normal12"/>
              <w:jc w:val="center"/>
              <w:rPr>
                <w:noProof/>
              </w:rPr>
            </w:pPr>
            <w:r>
              <w:rPr>
                <w:noProof/>
              </w:rPr>
              <w:t>INPS — “Viens klikšķis pēc izstrādes” pakalpojumi/saturs T1</w:t>
            </w:r>
          </w:p>
        </w:tc>
      </w:tr>
      <w:tr w:rsidR="00C972CB" w14:paraId="565A47EC" w14:textId="77777777">
        <w:trPr>
          <w:trHeight w:val="302"/>
        </w:trPr>
        <w:tc>
          <w:tcPr>
            <w:tcW w:w="1413" w:type="dxa"/>
            <w:shd w:val="clear" w:color="auto" w:fill="C6EFCE"/>
            <w:noWrap/>
            <w:vAlign w:val="center"/>
          </w:tcPr>
          <w:p w14:paraId="3E6E1980" w14:textId="77777777" w:rsidR="00C972CB" w:rsidRDefault="002457F6">
            <w:pPr>
              <w:pStyle w:val="P68B1DB1-Normal12"/>
              <w:rPr>
                <w:noProof/>
              </w:rPr>
            </w:pPr>
            <w:r>
              <w:rPr>
                <w:noProof/>
              </w:rPr>
              <w:t>M1C1–124</w:t>
            </w:r>
          </w:p>
        </w:tc>
        <w:tc>
          <w:tcPr>
            <w:tcW w:w="3150" w:type="dxa"/>
            <w:shd w:val="clear" w:color="auto" w:fill="C6EFCE"/>
            <w:noWrap/>
            <w:vAlign w:val="center"/>
          </w:tcPr>
          <w:p w14:paraId="20D51DF1" w14:textId="77777777" w:rsidR="00C972CB" w:rsidRDefault="002457F6">
            <w:pPr>
              <w:pStyle w:val="P68B1DB1-Normal12"/>
              <w:rPr>
                <w:noProof/>
              </w:rPr>
            </w:pPr>
            <w:r>
              <w:rPr>
                <w:noProof/>
              </w:rPr>
              <w:t xml:space="preserve">Ieguldījums 1.6.3. — Valsts </w:t>
            </w:r>
            <w:r>
              <w:rPr>
                <w:noProof/>
              </w:rPr>
              <w:t>sociālā nodrošinājuma institūta (INPS) un Valsts apdrošināšanas institūta pret nelaimes gadījumiem darbā (INAIL) digitalizācija</w:t>
            </w:r>
          </w:p>
        </w:tc>
        <w:tc>
          <w:tcPr>
            <w:tcW w:w="1485" w:type="dxa"/>
            <w:shd w:val="clear" w:color="auto" w:fill="C6EFCE"/>
            <w:noWrap/>
            <w:vAlign w:val="center"/>
          </w:tcPr>
          <w:p w14:paraId="2AEA633F" w14:textId="77777777" w:rsidR="00C972CB" w:rsidRDefault="002457F6">
            <w:pPr>
              <w:pStyle w:val="P68B1DB1-Normal12"/>
              <w:rPr>
                <w:noProof/>
              </w:rPr>
            </w:pPr>
            <w:r>
              <w:rPr>
                <w:noProof/>
              </w:rPr>
              <w:t>Mērķa</w:t>
            </w:r>
          </w:p>
        </w:tc>
        <w:tc>
          <w:tcPr>
            <w:tcW w:w="4065" w:type="dxa"/>
            <w:shd w:val="clear" w:color="auto" w:fill="C6EFCE"/>
            <w:noWrap/>
            <w:vAlign w:val="center"/>
          </w:tcPr>
          <w:p w14:paraId="7CEE204E" w14:textId="77777777" w:rsidR="00C972CB" w:rsidRDefault="002457F6">
            <w:pPr>
              <w:pStyle w:val="P68B1DB1-Normal12"/>
              <w:jc w:val="center"/>
              <w:rPr>
                <w:noProof/>
              </w:rPr>
            </w:pPr>
            <w:r>
              <w:rPr>
                <w:noProof/>
              </w:rPr>
              <w:t>INPS — Darba ņēmēji ar uzlabotām informācijas un komunikācijas tehnoloģiju (IKT) prasmēm T1</w:t>
            </w:r>
          </w:p>
        </w:tc>
      </w:tr>
      <w:tr w:rsidR="00C972CB" w14:paraId="63F9CE85" w14:textId="77777777">
        <w:trPr>
          <w:trHeight w:val="302"/>
        </w:trPr>
        <w:tc>
          <w:tcPr>
            <w:tcW w:w="1413" w:type="dxa"/>
            <w:shd w:val="clear" w:color="auto" w:fill="C6EFCE"/>
            <w:noWrap/>
            <w:vAlign w:val="center"/>
          </w:tcPr>
          <w:p w14:paraId="6085FEAD" w14:textId="77777777" w:rsidR="00C972CB" w:rsidRDefault="002457F6">
            <w:pPr>
              <w:pStyle w:val="P68B1DB1-Normal12"/>
              <w:rPr>
                <w:noProof/>
              </w:rPr>
            </w:pPr>
            <w:r>
              <w:rPr>
                <w:noProof/>
              </w:rPr>
              <w:t>M1C3–30</w:t>
            </w:r>
          </w:p>
        </w:tc>
        <w:tc>
          <w:tcPr>
            <w:tcW w:w="3150" w:type="dxa"/>
            <w:shd w:val="clear" w:color="auto" w:fill="C6EFCE"/>
            <w:noWrap/>
            <w:vAlign w:val="center"/>
          </w:tcPr>
          <w:p w14:paraId="0F8819CD" w14:textId="77777777" w:rsidR="00C972CB" w:rsidRDefault="002457F6">
            <w:pPr>
              <w:pStyle w:val="P68B1DB1-Normal12"/>
              <w:rPr>
                <w:noProof/>
              </w:rPr>
            </w:pPr>
            <w:r>
              <w:rPr>
                <w:noProof/>
              </w:rPr>
              <w:t>Ieguldījums 4.2.:  Fo</w:t>
            </w:r>
            <w:r>
              <w:rPr>
                <w:noProof/>
              </w:rPr>
              <w:t>ndi tūrisma uzņēmumu konkurētspējai</w:t>
            </w:r>
          </w:p>
        </w:tc>
        <w:tc>
          <w:tcPr>
            <w:tcW w:w="1485" w:type="dxa"/>
            <w:shd w:val="clear" w:color="auto" w:fill="C6EFCE"/>
            <w:noWrap/>
            <w:vAlign w:val="center"/>
          </w:tcPr>
          <w:p w14:paraId="735296F9" w14:textId="77777777" w:rsidR="00C972CB" w:rsidRDefault="002457F6">
            <w:pPr>
              <w:pStyle w:val="P68B1DB1-Normal12"/>
              <w:rPr>
                <w:noProof/>
              </w:rPr>
            </w:pPr>
            <w:r>
              <w:rPr>
                <w:noProof/>
              </w:rPr>
              <w:t>Mērķa</w:t>
            </w:r>
          </w:p>
        </w:tc>
        <w:tc>
          <w:tcPr>
            <w:tcW w:w="4065" w:type="dxa"/>
            <w:shd w:val="clear" w:color="auto" w:fill="C6EFCE"/>
            <w:noWrap/>
            <w:vAlign w:val="center"/>
          </w:tcPr>
          <w:p w14:paraId="4276D5ED" w14:textId="77777777" w:rsidR="00C972CB" w:rsidRDefault="002457F6">
            <w:pPr>
              <w:pStyle w:val="P68B1DB1-Normal12"/>
              <w:jc w:val="center"/>
              <w:rPr>
                <w:noProof/>
              </w:rPr>
            </w:pPr>
            <w:r>
              <w:rPr>
                <w:noProof/>
              </w:rPr>
              <w:t>Eiropas Investīciju bankas tematiskie fondi: Kopējais maksājums fondam EUR 350000000 apmērā.</w:t>
            </w:r>
          </w:p>
        </w:tc>
      </w:tr>
      <w:tr w:rsidR="00C972CB" w14:paraId="5FBB01D0" w14:textId="77777777">
        <w:trPr>
          <w:trHeight w:val="302"/>
        </w:trPr>
        <w:tc>
          <w:tcPr>
            <w:tcW w:w="1413" w:type="dxa"/>
            <w:shd w:val="clear" w:color="auto" w:fill="C6EFCE"/>
            <w:noWrap/>
            <w:vAlign w:val="center"/>
          </w:tcPr>
          <w:p w14:paraId="0174B3F7" w14:textId="77777777" w:rsidR="00C972CB" w:rsidRDefault="002457F6">
            <w:pPr>
              <w:pStyle w:val="P68B1DB1-Normal12"/>
              <w:rPr>
                <w:noProof/>
              </w:rPr>
            </w:pPr>
            <w:r>
              <w:rPr>
                <w:noProof/>
              </w:rPr>
              <w:t>M1C3–31</w:t>
            </w:r>
          </w:p>
        </w:tc>
        <w:tc>
          <w:tcPr>
            <w:tcW w:w="3150" w:type="dxa"/>
            <w:shd w:val="clear" w:color="auto" w:fill="C6EFCE"/>
            <w:noWrap/>
            <w:vAlign w:val="center"/>
          </w:tcPr>
          <w:p w14:paraId="7528B091" w14:textId="77777777" w:rsidR="00C972CB" w:rsidRDefault="002457F6">
            <w:pPr>
              <w:pStyle w:val="P68B1DB1-Normal12"/>
              <w:rPr>
                <w:noProof/>
              </w:rPr>
            </w:pPr>
            <w:r>
              <w:rPr>
                <w:noProof/>
              </w:rPr>
              <w:t>Ieguldījums 4.2.:  Fondi tūrisma uzņēmumu konkurētspējai</w:t>
            </w:r>
          </w:p>
        </w:tc>
        <w:tc>
          <w:tcPr>
            <w:tcW w:w="1485" w:type="dxa"/>
            <w:shd w:val="clear" w:color="auto" w:fill="C6EFCE"/>
            <w:noWrap/>
            <w:vAlign w:val="center"/>
          </w:tcPr>
          <w:p w14:paraId="350AA077" w14:textId="77777777" w:rsidR="00C972CB" w:rsidRDefault="002457F6">
            <w:pPr>
              <w:pStyle w:val="P68B1DB1-Normal12"/>
              <w:rPr>
                <w:noProof/>
              </w:rPr>
            </w:pPr>
            <w:r>
              <w:rPr>
                <w:noProof/>
              </w:rPr>
              <w:t>Mērķa</w:t>
            </w:r>
          </w:p>
        </w:tc>
        <w:tc>
          <w:tcPr>
            <w:tcW w:w="4065" w:type="dxa"/>
            <w:shd w:val="clear" w:color="auto" w:fill="C6EFCE"/>
            <w:noWrap/>
            <w:vAlign w:val="center"/>
          </w:tcPr>
          <w:p w14:paraId="73BAC8EC" w14:textId="77777777" w:rsidR="00C972CB" w:rsidRDefault="002457F6">
            <w:pPr>
              <w:pStyle w:val="P68B1DB1-Normal12"/>
              <w:jc w:val="center"/>
              <w:rPr>
                <w:noProof/>
              </w:rPr>
            </w:pPr>
            <w:r>
              <w:rPr>
                <w:noProof/>
              </w:rPr>
              <w:t xml:space="preserve">Valsts tūrisma fonds: Kopumā EUR 150 000 0 00 </w:t>
            </w:r>
            <w:r>
              <w:rPr>
                <w:noProof/>
              </w:rPr>
              <w:t>izmaksa fondam pašu kapitāla atbalstam.</w:t>
            </w:r>
          </w:p>
        </w:tc>
      </w:tr>
      <w:tr w:rsidR="00C972CB" w14:paraId="41073435" w14:textId="77777777">
        <w:trPr>
          <w:trHeight w:val="302"/>
        </w:trPr>
        <w:tc>
          <w:tcPr>
            <w:tcW w:w="1413" w:type="dxa"/>
            <w:shd w:val="clear" w:color="auto" w:fill="C6EFCE"/>
            <w:noWrap/>
            <w:vAlign w:val="center"/>
          </w:tcPr>
          <w:p w14:paraId="244180F9" w14:textId="77777777" w:rsidR="00C972CB" w:rsidRDefault="002457F6">
            <w:pPr>
              <w:pStyle w:val="P68B1DB1-Normal12"/>
              <w:rPr>
                <w:noProof/>
              </w:rPr>
            </w:pPr>
            <w:r>
              <w:rPr>
                <w:noProof/>
              </w:rPr>
              <w:t>M2C3–9</w:t>
            </w:r>
          </w:p>
        </w:tc>
        <w:tc>
          <w:tcPr>
            <w:tcW w:w="3150" w:type="dxa"/>
            <w:shd w:val="clear" w:color="auto" w:fill="C6EFCE"/>
            <w:noWrap/>
            <w:vAlign w:val="center"/>
          </w:tcPr>
          <w:p w14:paraId="7FFDA652" w14:textId="77777777" w:rsidR="00C972CB" w:rsidRDefault="002457F6">
            <w:pPr>
              <w:pStyle w:val="P68B1DB1-Normal12"/>
              <w:rPr>
                <w:noProof/>
              </w:rPr>
            </w:pPr>
            <w:r>
              <w:rPr>
                <w:noProof/>
              </w:rPr>
              <w:t>Ieguldījums 3.1.: Efektīvas centralizētās siltumapgādes veicināšana</w:t>
            </w:r>
          </w:p>
        </w:tc>
        <w:tc>
          <w:tcPr>
            <w:tcW w:w="1485" w:type="dxa"/>
            <w:shd w:val="clear" w:color="auto" w:fill="C6EFCE"/>
            <w:noWrap/>
            <w:vAlign w:val="center"/>
          </w:tcPr>
          <w:p w14:paraId="40E29E23" w14:textId="77777777" w:rsidR="00C972CB" w:rsidRDefault="002457F6">
            <w:pPr>
              <w:pStyle w:val="P68B1DB1-Normal12"/>
              <w:rPr>
                <w:noProof/>
              </w:rPr>
            </w:pPr>
            <w:r>
              <w:rPr>
                <w:noProof/>
              </w:rPr>
              <w:t>Starpposma mērķis</w:t>
            </w:r>
          </w:p>
        </w:tc>
        <w:tc>
          <w:tcPr>
            <w:tcW w:w="4065" w:type="dxa"/>
            <w:shd w:val="clear" w:color="auto" w:fill="C6EFCE"/>
            <w:noWrap/>
            <w:vAlign w:val="center"/>
          </w:tcPr>
          <w:p w14:paraId="50D9726A" w14:textId="77777777" w:rsidR="00C972CB" w:rsidRDefault="002457F6">
            <w:pPr>
              <w:pStyle w:val="P68B1DB1-Normal12"/>
              <w:jc w:val="center"/>
              <w:rPr>
                <w:noProof/>
              </w:rPr>
            </w:pPr>
            <w:r>
              <w:rPr>
                <w:noProof/>
              </w:rPr>
              <w:t xml:space="preserve">Līgumus par siltumapgādes tīklu uzlabošanu piešķir Ekoloģiskās pārejas ministrija pēc atklāta konkursa procedūras. </w:t>
            </w:r>
          </w:p>
        </w:tc>
      </w:tr>
      <w:tr w:rsidR="00C972CB" w14:paraId="4C882B17" w14:textId="77777777">
        <w:trPr>
          <w:trHeight w:val="302"/>
        </w:trPr>
        <w:tc>
          <w:tcPr>
            <w:tcW w:w="1413" w:type="dxa"/>
            <w:shd w:val="clear" w:color="auto" w:fill="C6EFCE"/>
            <w:noWrap/>
            <w:vAlign w:val="center"/>
          </w:tcPr>
          <w:p w14:paraId="4C6ABE14" w14:textId="77777777" w:rsidR="00C972CB" w:rsidRDefault="002457F6">
            <w:pPr>
              <w:pStyle w:val="P68B1DB1-Normal12"/>
              <w:rPr>
                <w:noProof/>
              </w:rPr>
            </w:pPr>
            <w:r>
              <w:rPr>
                <w:noProof/>
              </w:rPr>
              <w:t>M2C4–19</w:t>
            </w:r>
          </w:p>
        </w:tc>
        <w:tc>
          <w:tcPr>
            <w:tcW w:w="3150" w:type="dxa"/>
            <w:shd w:val="clear" w:color="auto" w:fill="C6EFCE"/>
            <w:noWrap/>
            <w:vAlign w:val="center"/>
          </w:tcPr>
          <w:p w14:paraId="360AE387" w14:textId="77777777" w:rsidR="00C972CB" w:rsidRDefault="002457F6">
            <w:pPr>
              <w:pStyle w:val="P68B1DB1-Normal12"/>
              <w:rPr>
                <w:noProof/>
              </w:rPr>
            </w:pPr>
            <w:r>
              <w:rPr>
                <w:noProof/>
              </w:rPr>
              <w:t>Investīcijas. 3.1: Pilsētu un piepilsētu mežu aizsardzība un uzlabošana</w:t>
            </w:r>
          </w:p>
        </w:tc>
        <w:tc>
          <w:tcPr>
            <w:tcW w:w="1485" w:type="dxa"/>
            <w:shd w:val="clear" w:color="auto" w:fill="C6EFCE"/>
            <w:noWrap/>
            <w:vAlign w:val="center"/>
          </w:tcPr>
          <w:p w14:paraId="5AC778D9" w14:textId="77777777" w:rsidR="00C972CB" w:rsidRDefault="002457F6">
            <w:pPr>
              <w:pStyle w:val="P68B1DB1-Normal12"/>
              <w:rPr>
                <w:noProof/>
              </w:rPr>
            </w:pPr>
            <w:r>
              <w:rPr>
                <w:noProof/>
              </w:rPr>
              <w:t>Mērķa</w:t>
            </w:r>
          </w:p>
        </w:tc>
        <w:tc>
          <w:tcPr>
            <w:tcW w:w="4065" w:type="dxa"/>
            <w:shd w:val="clear" w:color="auto" w:fill="C6EFCE"/>
            <w:noWrap/>
            <w:vAlign w:val="center"/>
          </w:tcPr>
          <w:p w14:paraId="31740FA0" w14:textId="77777777" w:rsidR="00C972CB" w:rsidRDefault="002457F6">
            <w:pPr>
              <w:pStyle w:val="P68B1DB1-Normal12"/>
              <w:jc w:val="center"/>
              <w:rPr>
                <w:noProof/>
              </w:rPr>
            </w:pPr>
            <w:r>
              <w:rPr>
                <w:noProof/>
              </w:rPr>
              <w:t>Koki pilsētu un piepilsētu zaļo zonu aizsardzībai un valorizācijai T1</w:t>
            </w:r>
          </w:p>
        </w:tc>
      </w:tr>
      <w:tr w:rsidR="00C972CB" w14:paraId="09EBD27B" w14:textId="77777777">
        <w:trPr>
          <w:trHeight w:val="302"/>
        </w:trPr>
        <w:tc>
          <w:tcPr>
            <w:tcW w:w="1413" w:type="dxa"/>
            <w:shd w:val="clear" w:color="auto" w:fill="C6EFCE"/>
            <w:noWrap/>
            <w:vAlign w:val="center"/>
          </w:tcPr>
          <w:p w14:paraId="1EE9F384" w14:textId="77777777" w:rsidR="00C972CB" w:rsidRDefault="002457F6">
            <w:pPr>
              <w:pStyle w:val="P68B1DB1-Normal12"/>
              <w:rPr>
                <w:noProof/>
              </w:rPr>
            </w:pPr>
            <w:r>
              <w:rPr>
                <w:noProof/>
              </w:rPr>
              <w:t>M2C4–24</w:t>
            </w:r>
          </w:p>
        </w:tc>
        <w:tc>
          <w:tcPr>
            <w:tcW w:w="3150" w:type="dxa"/>
            <w:shd w:val="clear" w:color="auto" w:fill="C6EFCE"/>
            <w:noWrap/>
            <w:vAlign w:val="center"/>
          </w:tcPr>
          <w:p w14:paraId="102FC07C" w14:textId="77777777" w:rsidR="00C972CB" w:rsidRDefault="002457F6">
            <w:pPr>
              <w:pStyle w:val="P68B1DB1-Normal12"/>
              <w:rPr>
                <w:noProof/>
              </w:rPr>
            </w:pPr>
            <w:r>
              <w:rPr>
                <w:noProof/>
              </w:rPr>
              <w:t>Ieguldījums 3.4. “Augsnes remediācija remediācijā”</w:t>
            </w:r>
          </w:p>
        </w:tc>
        <w:tc>
          <w:tcPr>
            <w:tcW w:w="1485" w:type="dxa"/>
            <w:shd w:val="clear" w:color="auto" w:fill="C6EFCE"/>
            <w:noWrap/>
            <w:vAlign w:val="center"/>
          </w:tcPr>
          <w:p w14:paraId="12F80B00" w14:textId="77777777" w:rsidR="00C972CB" w:rsidRDefault="002457F6">
            <w:pPr>
              <w:pStyle w:val="P68B1DB1-Normal12"/>
              <w:rPr>
                <w:noProof/>
              </w:rPr>
            </w:pPr>
            <w:r>
              <w:rPr>
                <w:noProof/>
              </w:rPr>
              <w:t>Starpposma mērķis</w:t>
            </w:r>
          </w:p>
        </w:tc>
        <w:tc>
          <w:tcPr>
            <w:tcW w:w="4065" w:type="dxa"/>
            <w:shd w:val="clear" w:color="auto" w:fill="C6EFCE"/>
            <w:noWrap/>
            <w:vAlign w:val="center"/>
          </w:tcPr>
          <w:p w14:paraId="50CAAA15" w14:textId="77777777" w:rsidR="00C972CB" w:rsidRDefault="002457F6">
            <w:pPr>
              <w:pStyle w:val="P68B1DB1-Normal12"/>
              <w:jc w:val="center"/>
              <w:rPr>
                <w:noProof/>
              </w:rPr>
            </w:pPr>
            <w:r>
              <w:rPr>
                <w:noProof/>
              </w:rPr>
              <w:t xml:space="preserve">Nezināmu teritoriju </w:t>
            </w:r>
            <w:r>
              <w:rPr>
                <w:noProof/>
              </w:rPr>
              <w:t>sanācijas tiesiskais regulējums</w:t>
            </w:r>
          </w:p>
        </w:tc>
      </w:tr>
      <w:tr w:rsidR="00C972CB" w14:paraId="58EF84DC" w14:textId="77777777">
        <w:trPr>
          <w:trHeight w:val="302"/>
        </w:trPr>
        <w:tc>
          <w:tcPr>
            <w:tcW w:w="1413" w:type="dxa"/>
            <w:shd w:val="clear" w:color="auto" w:fill="C6EFCE"/>
            <w:noWrap/>
            <w:vAlign w:val="center"/>
          </w:tcPr>
          <w:p w14:paraId="36F66CE9" w14:textId="77777777" w:rsidR="00C972CB" w:rsidRDefault="002457F6">
            <w:pPr>
              <w:pStyle w:val="P68B1DB1-Normal12"/>
              <w:rPr>
                <w:noProof/>
              </w:rPr>
            </w:pPr>
            <w:r>
              <w:rPr>
                <w:noProof/>
              </w:rPr>
              <w:t>M3C1–3</w:t>
            </w:r>
          </w:p>
        </w:tc>
        <w:tc>
          <w:tcPr>
            <w:tcW w:w="3150" w:type="dxa"/>
            <w:shd w:val="clear" w:color="auto" w:fill="C6EFCE"/>
            <w:noWrap/>
            <w:vAlign w:val="center"/>
          </w:tcPr>
          <w:p w14:paraId="26BCF146" w14:textId="77777777" w:rsidR="00C972CB" w:rsidRDefault="002457F6">
            <w:pPr>
              <w:pStyle w:val="P68B1DB1-Normal12"/>
              <w:rPr>
                <w:noProof/>
              </w:rPr>
            </w:pPr>
            <w:r>
              <w:rPr>
                <w:noProof/>
              </w:rPr>
              <w:t>Ieguldījums 1.1 — ātrgaitas dzelzceļa savienojumi ar dienvidiem pasažieru un kravu pārvadājumiem</w:t>
            </w:r>
          </w:p>
        </w:tc>
        <w:tc>
          <w:tcPr>
            <w:tcW w:w="1485" w:type="dxa"/>
            <w:shd w:val="clear" w:color="auto" w:fill="C6EFCE"/>
            <w:noWrap/>
            <w:vAlign w:val="center"/>
          </w:tcPr>
          <w:p w14:paraId="3980E0F9" w14:textId="77777777" w:rsidR="00C972CB" w:rsidRDefault="002457F6">
            <w:pPr>
              <w:pStyle w:val="P68B1DB1-Normal12"/>
              <w:rPr>
                <w:noProof/>
              </w:rPr>
            </w:pPr>
            <w:r>
              <w:rPr>
                <w:noProof/>
              </w:rPr>
              <w:t>Starpposma mērķis</w:t>
            </w:r>
          </w:p>
        </w:tc>
        <w:tc>
          <w:tcPr>
            <w:tcW w:w="4065" w:type="dxa"/>
            <w:shd w:val="clear" w:color="auto" w:fill="C6EFCE"/>
            <w:noWrap/>
            <w:vAlign w:val="center"/>
          </w:tcPr>
          <w:p w14:paraId="2043826E" w14:textId="77777777" w:rsidR="00C972CB" w:rsidRDefault="002457F6">
            <w:pPr>
              <w:pStyle w:val="P68B1DB1-Normal12"/>
              <w:jc w:val="center"/>
              <w:rPr>
                <w:noProof/>
              </w:rPr>
            </w:pPr>
            <w:r>
              <w:rPr>
                <w:noProof/>
              </w:rPr>
              <w:t>Līguma slēgšanas tiesību piešķiršana ātrgaitas dzelzceļa būvniecībai līnijās Napoli-Bari un Palermo-C</w:t>
            </w:r>
            <w:r>
              <w:rPr>
                <w:noProof/>
              </w:rPr>
              <w:t>atania</w:t>
            </w:r>
          </w:p>
        </w:tc>
      </w:tr>
      <w:tr w:rsidR="00C972CB" w14:paraId="0F0BC34A" w14:textId="77777777">
        <w:trPr>
          <w:trHeight w:val="302"/>
        </w:trPr>
        <w:tc>
          <w:tcPr>
            <w:tcW w:w="1413" w:type="dxa"/>
            <w:shd w:val="clear" w:color="auto" w:fill="C6EFCE"/>
            <w:noWrap/>
            <w:vAlign w:val="center"/>
          </w:tcPr>
          <w:p w14:paraId="77C8D006" w14:textId="77777777" w:rsidR="00C972CB" w:rsidRDefault="002457F6">
            <w:pPr>
              <w:pStyle w:val="P68B1DB1-Normal12"/>
              <w:rPr>
                <w:noProof/>
              </w:rPr>
            </w:pPr>
            <w:r>
              <w:rPr>
                <w:noProof/>
              </w:rPr>
              <w:t>M3C1–12</w:t>
            </w:r>
          </w:p>
        </w:tc>
        <w:tc>
          <w:tcPr>
            <w:tcW w:w="3150" w:type="dxa"/>
            <w:shd w:val="clear" w:color="auto" w:fill="C6EFCE"/>
            <w:noWrap/>
            <w:vAlign w:val="center"/>
          </w:tcPr>
          <w:p w14:paraId="6DE169CB" w14:textId="77777777" w:rsidR="00C972CB" w:rsidRDefault="002457F6">
            <w:pPr>
              <w:pStyle w:val="P68B1DB1-Normal12"/>
              <w:rPr>
                <w:noProof/>
              </w:rPr>
            </w:pPr>
            <w:r>
              <w:rPr>
                <w:noProof/>
              </w:rPr>
              <w:t>Ieguldījums 1.4. Eiropas Dzelzceļa transporta vadības sistēmas (ERTMS) ieviešana</w:t>
            </w:r>
          </w:p>
        </w:tc>
        <w:tc>
          <w:tcPr>
            <w:tcW w:w="1485" w:type="dxa"/>
            <w:shd w:val="clear" w:color="auto" w:fill="C6EFCE"/>
            <w:noWrap/>
            <w:vAlign w:val="center"/>
          </w:tcPr>
          <w:p w14:paraId="7BA47512" w14:textId="77777777" w:rsidR="00C972CB" w:rsidRDefault="002457F6">
            <w:pPr>
              <w:pStyle w:val="P68B1DB1-Normal12"/>
              <w:rPr>
                <w:noProof/>
              </w:rPr>
            </w:pPr>
            <w:r>
              <w:rPr>
                <w:noProof/>
              </w:rPr>
              <w:t>Starpposma mērķis</w:t>
            </w:r>
          </w:p>
        </w:tc>
        <w:tc>
          <w:tcPr>
            <w:tcW w:w="4065" w:type="dxa"/>
            <w:shd w:val="clear" w:color="auto" w:fill="C6EFCE"/>
            <w:noWrap/>
            <w:vAlign w:val="center"/>
          </w:tcPr>
          <w:p w14:paraId="6F2C3C21" w14:textId="77777777" w:rsidR="00C972CB" w:rsidRDefault="002457F6">
            <w:pPr>
              <w:pStyle w:val="P68B1DB1-Normal12"/>
              <w:jc w:val="center"/>
              <w:rPr>
                <w:noProof/>
              </w:rPr>
            </w:pPr>
            <w:r>
              <w:rPr>
                <w:noProof/>
              </w:rPr>
              <w:t>Eiropas Dzelzceļa transporta vadības sistēmas līgumu slēgšanas tiesību piešķiršana</w:t>
            </w:r>
          </w:p>
        </w:tc>
      </w:tr>
      <w:tr w:rsidR="00C972CB" w14:paraId="6302813E" w14:textId="77777777">
        <w:trPr>
          <w:trHeight w:val="302"/>
        </w:trPr>
        <w:tc>
          <w:tcPr>
            <w:tcW w:w="1413" w:type="dxa"/>
            <w:shd w:val="clear" w:color="auto" w:fill="C6EFCE"/>
            <w:noWrap/>
            <w:vAlign w:val="center"/>
          </w:tcPr>
          <w:p w14:paraId="514FA6C1" w14:textId="77777777" w:rsidR="00C972CB" w:rsidRDefault="002457F6">
            <w:pPr>
              <w:pStyle w:val="P68B1DB1-Normal12"/>
              <w:rPr>
                <w:noProof/>
              </w:rPr>
            </w:pPr>
            <w:r>
              <w:rPr>
                <w:noProof/>
              </w:rPr>
              <w:t>M3C2–8</w:t>
            </w:r>
          </w:p>
        </w:tc>
        <w:tc>
          <w:tcPr>
            <w:tcW w:w="3150" w:type="dxa"/>
            <w:shd w:val="clear" w:color="auto" w:fill="C6EFCE"/>
            <w:noWrap/>
            <w:vAlign w:val="center"/>
          </w:tcPr>
          <w:p w14:paraId="77BD0EC7" w14:textId="77777777" w:rsidR="00C972CB" w:rsidRDefault="002457F6">
            <w:pPr>
              <w:pStyle w:val="P68B1DB1-Normal12"/>
              <w:rPr>
                <w:noProof/>
              </w:rPr>
            </w:pPr>
            <w:r>
              <w:rPr>
                <w:noProof/>
              </w:rPr>
              <w:t>Ieguldījums 1.1: Zaļās ostas: atjaunīgās enerģijas</w:t>
            </w:r>
            <w:r>
              <w:rPr>
                <w:noProof/>
              </w:rPr>
              <w:t xml:space="preserve"> un energoefektivitātes intervences ostās</w:t>
            </w:r>
          </w:p>
        </w:tc>
        <w:tc>
          <w:tcPr>
            <w:tcW w:w="1485" w:type="dxa"/>
            <w:shd w:val="clear" w:color="auto" w:fill="C6EFCE"/>
            <w:noWrap/>
            <w:vAlign w:val="center"/>
          </w:tcPr>
          <w:p w14:paraId="2AECF23D" w14:textId="77777777" w:rsidR="00C972CB" w:rsidRDefault="002457F6">
            <w:pPr>
              <w:pStyle w:val="P68B1DB1-Normal12"/>
              <w:rPr>
                <w:noProof/>
              </w:rPr>
            </w:pPr>
            <w:r>
              <w:rPr>
                <w:noProof/>
              </w:rPr>
              <w:t>Mērķa</w:t>
            </w:r>
          </w:p>
        </w:tc>
        <w:tc>
          <w:tcPr>
            <w:tcW w:w="4065" w:type="dxa"/>
            <w:shd w:val="clear" w:color="auto" w:fill="C6EFCE"/>
            <w:noWrap/>
            <w:vAlign w:val="center"/>
          </w:tcPr>
          <w:p w14:paraId="5F15D112" w14:textId="77777777" w:rsidR="00C972CB" w:rsidRDefault="002457F6">
            <w:pPr>
              <w:pStyle w:val="P68B1DB1-Normal12"/>
              <w:jc w:val="center"/>
              <w:rPr>
                <w:noProof/>
              </w:rPr>
            </w:pPr>
            <w:r>
              <w:rPr>
                <w:noProof/>
              </w:rPr>
              <w:t>Zaļās ostas: darbu piešķiršana</w:t>
            </w:r>
          </w:p>
        </w:tc>
      </w:tr>
      <w:tr w:rsidR="00C972CB" w14:paraId="0735D4C4" w14:textId="77777777">
        <w:trPr>
          <w:trHeight w:val="302"/>
        </w:trPr>
        <w:tc>
          <w:tcPr>
            <w:tcW w:w="1413" w:type="dxa"/>
            <w:shd w:val="clear" w:color="auto" w:fill="C6EFCE"/>
            <w:noWrap/>
            <w:vAlign w:val="center"/>
          </w:tcPr>
          <w:p w14:paraId="72252254" w14:textId="77777777" w:rsidR="00C972CB" w:rsidRDefault="002457F6">
            <w:pPr>
              <w:pStyle w:val="P68B1DB1-Normal12"/>
              <w:rPr>
                <w:noProof/>
              </w:rPr>
            </w:pPr>
            <w:r>
              <w:rPr>
                <w:noProof/>
              </w:rPr>
              <w:t>M4C1–29</w:t>
            </w:r>
          </w:p>
        </w:tc>
        <w:tc>
          <w:tcPr>
            <w:tcW w:w="3150" w:type="dxa"/>
            <w:shd w:val="clear" w:color="auto" w:fill="C6EFCE"/>
            <w:noWrap/>
            <w:vAlign w:val="center"/>
          </w:tcPr>
          <w:p w14:paraId="15A2E58E" w14:textId="77777777" w:rsidR="00C972CB" w:rsidRDefault="002457F6">
            <w:pPr>
              <w:pStyle w:val="P68B1DB1-Normal12"/>
              <w:rPr>
                <w:noProof/>
              </w:rPr>
            </w:pPr>
            <w:r>
              <w:rPr>
                <w:noProof/>
              </w:rPr>
              <w:t xml:space="preserve">Reforma. Studentu mājokļu regulējuma reforma un ieguldījumi studentu mājokļos </w:t>
            </w:r>
          </w:p>
        </w:tc>
        <w:tc>
          <w:tcPr>
            <w:tcW w:w="1485" w:type="dxa"/>
            <w:shd w:val="clear" w:color="auto" w:fill="C6EFCE"/>
            <w:noWrap/>
            <w:vAlign w:val="center"/>
          </w:tcPr>
          <w:p w14:paraId="254D47F0" w14:textId="77777777" w:rsidR="00C972CB" w:rsidRDefault="002457F6">
            <w:pPr>
              <w:pStyle w:val="P68B1DB1-Normal12"/>
              <w:rPr>
                <w:noProof/>
              </w:rPr>
            </w:pPr>
            <w:r>
              <w:rPr>
                <w:noProof/>
              </w:rPr>
              <w:t>Starpposma mērķis</w:t>
            </w:r>
          </w:p>
        </w:tc>
        <w:tc>
          <w:tcPr>
            <w:tcW w:w="4065" w:type="dxa"/>
            <w:shd w:val="clear" w:color="auto" w:fill="C6EFCE"/>
            <w:noWrap/>
            <w:vAlign w:val="center"/>
          </w:tcPr>
          <w:p w14:paraId="20CD8361" w14:textId="77777777" w:rsidR="00C972CB" w:rsidRDefault="002457F6">
            <w:pPr>
              <w:pStyle w:val="P68B1DB1-Normal12"/>
              <w:jc w:val="center"/>
              <w:rPr>
                <w:noProof/>
              </w:rPr>
            </w:pPr>
            <w:r>
              <w:rPr>
                <w:noProof/>
              </w:rPr>
              <w:t xml:space="preserve">Stājas spēkā studentu mājokļu tiesību aktu reforma.    </w:t>
            </w:r>
          </w:p>
        </w:tc>
      </w:tr>
      <w:tr w:rsidR="00C972CB" w14:paraId="64A5021C" w14:textId="77777777">
        <w:trPr>
          <w:trHeight w:val="302"/>
        </w:trPr>
        <w:tc>
          <w:tcPr>
            <w:tcW w:w="1413" w:type="dxa"/>
            <w:shd w:val="clear" w:color="auto" w:fill="C6EFCE"/>
            <w:noWrap/>
            <w:vAlign w:val="center"/>
          </w:tcPr>
          <w:p w14:paraId="37302358" w14:textId="77777777" w:rsidR="00C972CB" w:rsidRDefault="002457F6">
            <w:pPr>
              <w:pStyle w:val="P68B1DB1-Normal12"/>
              <w:rPr>
                <w:noProof/>
              </w:rPr>
            </w:pPr>
            <w:r>
              <w:rPr>
                <w:noProof/>
              </w:rPr>
              <w:t>M5C2–13</w:t>
            </w:r>
          </w:p>
        </w:tc>
        <w:tc>
          <w:tcPr>
            <w:tcW w:w="3150" w:type="dxa"/>
            <w:shd w:val="clear" w:color="auto" w:fill="C6EFCE"/>
            <w:noWrap/>
            <w:vAlign w:val="center"/>
          </w:tcPr>
          <w:p w14:paraId="4CC8AD07" w14:textId="77777777" w:rsidR="00C972CB" w:rsidRDefault="002457F6">
            <w:pPr>
              <w:pStyle w:val="P68B1DB1-Normal12"/>
              <w:rPr>
                <w:noProof/>
              </w:rPr>
            </w:pPr>
            <w:r>
              <w:rPr>
                <w:noProof/>
              </w:rPr>
              <w:t>Ieguld</w:t>
            </w:r>
            <w:r>
              <w:rPr>
                <w:noProof/>
              </w:rPr>
              <w:t>ījums Nr. 5 — Pilsētvides integrētie plāni — vispārīgi projekti</w:t>
            </w:r>
          </w:p>
        </w:tc>
        <w:tc>
          <w:tcPr>
            <w:tcW w:w="1485" w:type="dxa"/>
            <w:shd w:val="clear" w:color="auto" w:fill="C6EFCE"/>
            <w:noWrap/>
            <w:vAlign w:val="center"/>
          </w:tcPr>
          <w:p w14:paraId="49A2B903" w14:textId="77777777" w:rsidR="00C972CB" w:rsidRDefault="002457F6">
            <w:pPr>
              <w:pStyle w:val="P68B1DB1-Normal12"/>
              <w:rPr>
                <w:noProof/>
              </w:rPr>
            </w:pPr>
            <w:r>
              <w:rPr>
                <w:noProof/>
              </w:rPr>
              <w:t>Starpposma mērķis</w:t>
            </w:r>
          </w:p>
        </w:tc>
        <w:tc>
          <w:tcPr>
            <w:tcW w:w="4065" w:type="dxa"/>
            <w:shd w:val="clear" w:color="auto" w:fill="C6EFCE"/>
            <w:noWrap/>
            <w:vAlign w:val="center"/>
          </w:tcPr>
          <w:p w14:paraId="02A08F45" w14:textId="77777777" w:rsidR="00C972CB" w:rsidRDefault="002457F6">
            <w:pPr>
              <w:pStyle w:val="P68B1DB1-Normal12"/>
              <w:jc w:val="center"/>
              <w:rPr>
                <w:noProof/>
              </w:rPr>
            </w:pPr>
            <w:r>
              <w:rPr>
                <w:noProof/>
              </w:rPr>
              <w:t>Investīciju plāna stāšanās spēkā pilsētu atjaunošanas projektiem lielpilsētu teritorijās</w:t>
            </w:r>
          </w:p>
        </w:tc>
      </w:tr>
      <w:tr w:rsidR="00C972CB" w14:paraId="08A8E24F" w14:textId="77777777">
        <w:trPr>
          <w:trHeight w:val="302"/>
        </w:trPr>
        <w:tc>
          <w:tcPr>
            <w:tcW w:w="1413" w:type="dxa"/>
            <w:shd w:val="clear" w:color="auto" w:fill="C6EFCE"/>
            <w:noWrap/>
            <w:vAlign w:val="center"/>
          </w:tcPr>
          <w:p w14:paraId="294EE748" w14:textId="77777777" w:rsidR="00C972CB" w:rsidRDefault="002457F6">
            <w:pPr>
              <w:pStyle w:val="P68B1DB1-Normal12"/>
              <w:rPr>
                <w:noProof/>
              </w:rPr>
            </w:pPr>
            <w:r>
              <w:rPr>
                <w:noProof/>
              </w:rPr>
              <w:t>M6C2–7</w:t>
            </w:r>
          </w:p>
        </w:tc>
        <w:tc>
          <w:tcPr>
            <w:tcW w:w="3150" w:type="dxa"/>
            <w:shd w:val="clear" w:color="auto" w:fill="C6EFCE"/>
            <w:noWrap/>
            <w:vAlign w:val="center"/>
          </w:tcPr>
          <w:p w14:paraId="530B9058" w14:textId="77777777" w:rsidR="00C972CB" w:rsidRDefault="002457F6">
            <w:pPr>
              <w:pStyle w:val="P68B1DB1-Normal48"/>
              <w:rPr>
                <w:noProof/>
                <w:color w:val="006100"/>
              </w:rPr>
            </w:pPr>
            <w:r>
              <w:rPr>
                <w:noProof/>
              </w:rPr>
              <w:t>Ieguldījums 1.1: Slimnīcu tehnoloģiskā aprīkojuma digitālā atjaunināšana</w:t>
            </w:r>
          </w:p>
        </w:tc>
        <w:tc>
          <w:tcPr>
            <w:tcW w:w="1485" w:type="dxa"/>
            <w:shd w:val="clear" w:color="auto" w:fill="C6EFCE"/>
            <w:noWrap/>
            <w:vAlign w:val="center"/>
          </w:tcPr>
          <w:p w14:paraId="7DAD5BFA" w14:textId="77777777" w:rsidR="00C972CB" w:rsidRDefault="002457F6">
            <w:pPr>
              <w:pStyle w:val="P68B1DB1-Normal48"/>
              <w:rPr>
                <w:noProof/>
                <w:color w:val="006100"/>
              </w:rPr>
            </w:pPr>
            <w:r>
              <w:rPr>
                <w:noProof/>
              </w:rPr>
              <w:t>Starpposma mērķis</w:t>
            </w:r>
          </w:p>
        </w:tc>
        <w:tc>
          <w:tcPr>
            <w:tcW w:w="4065" w:type="dxa"/>
            <w:shd w:val="clear" w:color="auto" w:fill="C6EFCE"/>
            <w:noWrap/>
            <w:vAlign w:val="center"/>
          </w:tcPr>
          <w:p w14:paraId="7EAE881E" w14:textId="77777777" w:rsidR="00C972CB" w:rsidRDefault="002457F6">
            <w:pPr>
              <w:pStyle w:val="P68B1DB1-Normal48"/>
              <w:jc w:val="center"/>
              <w:rPr>
                <w:noProof/>
              </w:rPr>
            </w:pPr>
            <w:r>
              <w:rPr>
                <w:noProof/>
              </w:rPr>
              <w:t>Visu publiskā iepirkuma līgumu slēgšanas tiesību piešķiršana</w:t>
            </w:r>
          </w:p>
        </w:tc>
      </w:tr>
      <w:tr w:rsidR="00C972CB" w14:paraId="062D1D70" w14:textId="77777777">
        <w:trPr>
          <w:trHeight w:val="302"/>
        </w:trPr>
        <w:tc>
          <w:tcPr>
            <w:tcW w:w="1413" w:type="dxa"/>
            <w:shd w:val="clear" w:color="auto" w:fill="C6EFCE"/>
            <w:noWrap/>
            <w:vAlign w:val="bottom"/>
          </w:tcPr>
          <w:p w14:paraId="51FEAA78" w14:textId="77777777" w:rsidR="00C972CB" w:rsidRDefault="00C972CB">
            <w:pPr>
              <w:jc w:val="center"/>
              <w:rPr>
                <w:noProof/>
                <w:color w:val="006100"/>
                <w:sz w:val="20"/>
              </w:rPr>
            </w:pPr>
          </w:p>
        </w:tc>
        <w:tc>
          <w:tcPr>
            <w:tcW w:w="3150" w:type="dxa"/>
            <w:shd w:val="clear" w:color="auto" w:fill="C6EFCE"/>
            <w:noWrap/>
            <w:vAlign w:val="bottom"/>
          </w:tcPr>
          <w:p w14:paraId="31DE9928" w14:textId="77777777" w:rsidR="00C972CB" w:rsidRDefault="00C972CB">
            <w:pPr>
              <w:rPr>
                <w:noProof/>
                <w:color w:val="006100"/>
                <w:sz w:val="20"/>
              </w:rPr>
            </w:pPr>
          </w:p>
        </w:tc>
        <w:tc>
          <w:tcPr>
            <w:tcW w:w="1485" w:type="dxa"/>
            <w:shd w:val="clear" w:color="auto" w:fill="C6EFCE"/>
            <w:noWrap/>
            <w:vAlign w:val="bottom"/>
          </w:tcPr>
          <w:p w14:paraId="43A66C06" w14:textId="77777777" w:rsidR="00C972CB" w:rsidRDefault="002457F6">
            <w:pPr>
              <w:pStyle w:val="P68B1DB1-Normal12"/>
              <w:rPr>
                <w:noProof/>
              </w:rPr>
            </w:pPr>
            <w:r>
              <w:rPr>
                <w:noProof/>
              </w:rPr>
              <w:t>Maksājuma summa</w:t>
            </w:r>
          </w:p>
        </w:tc>
        <w:tc>
          <w:tcPr>
            <w:tcW w:w="4065" w:type="dxa"/>
            <w:shd w:val="clear" w:color="auto" w:fill="C6EFCE"/>
            <w:noWrap/>
            <w:vAlign w:val="bottom"/>
          </w:tcPr>
          <w:p w14:paraId="628AE982" w14:textId="6B67E6C7" w:rsidR="00C972CB" w:rsidRDefault="002457F6">
            <w:pPr>
              <w:pStyle w:val="P68B1DB1-Normal46"/>
              <w:rPr>
                <w:noProof/>
              </w:rPr>
            </w:pPr>
            <w:r>
              <w:rPr>
                <w:noProof/>
              </w:rPr>
              <w:t>9</w:t>
            </w:r>
            <w:r>
              <w:rPr>
                <w:noProof/>
              </w:rPr>
              <w:t> </w:t>
            </w:r>
            <w:r>
              <w:rPr>
                <w:noProof/>
              </w:rPr>
              <w:t>825</w:t>
            </w:r>
            <w:r>
              <w:rPr>
                <w:noProof/>
              </w:rPr>
              <w:t> </w:t>
            </w:r>
            <w:r>
              <w:rPr>
                <w:noProof/>
              </w:rPr>
              <w:t>328</w:t>
            </w:r>
            <w:r>
              <w:rPr>
                <w:noProof/>
              </w:rPr>
              <w:t> </w:t>
            </w:r>
            <w:r>
              <w:rPr>
                <w:noProof/>
              </w:rPr>
              <w:t>389</w:t>
            </w:r>
            <w:r>
              <w:rPr>
                <w:noProof/>
              </w:rPr>
              <w:t> </w:t>
            </w:r>
            <w:r>
              <w:rPr>
                <w:noProof/>
              </w:rPr>
              <w:t>EUR</w:t>
            </w:r>
          </w:p>
        </w:tc>
      </w:tr>
    </w:tbl>
    <w:p w14:paraId="4CE29C51" w14:textId="77777777" w:rsidR="00C972CB" w:rsidRDefault="002457F6">
      <w:pPr>
        <w:pStyle w:val="P68B1DB1-Normal44"/>
        <w:spacing w:after="200" w:line="276" w:lineRule="auto"/>
        <w:rPr>
          <w:noProof/>
        </w:rPr>
      </w:pPr>
      <w:r>
        <w:rPr>
          <w:noProof/>
        </w:rPr>
        <w:br w:type="page"/>
      </w:r>
    </w:p>
    <w:p w14:paraId="253E5AD1" w14:textId="1478D9BA" w:rsidR="00C972CB" w:rsidRDefault="002457F6">
      <w:pPr>
        <w:pStyle w:val="P68B1DB1-Normal44"/>
        <w:numPr>
          <w:ilvl w:val="1"/>
          <w:numId w:val="6"/>
        </w:numPr>
        <w:spacing w:before="120" w:after="120"/>
        <w:jc w:val="both"/>
        <w:rPr>
          <w:noProof/>
        </w:rPr>
      </w:pPr>
      <w:r>
        <w:rPr>
          <w:noProof/>
        </w:rPr>
        <w:t>Ceturtais ieguldījums (aizdevuma atbalsts):</w:t>
      </w:r>
    </w:p>
    <w:tbl>
      <w:tblPr>
        <w:tblW w:w="101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65"/>
        <w:gridCol w:w="1983"/>
        <w:gridCol w:w="4095"/>
      </w:tblGrid>
      <w:tr w:rsidR="00C972CB" w14:paraId="2C8A1A66" w14:textId="77777777">
        <w:trPr>
          <w:trHeight w:val="906"/>
          <w:tblHeader/>
        </w:trPr>
        <w:tc>
          <w:tcPr>
            <w:tcW w:w="1413" w:type="dxa"/>
            <w:vMerge w:val="restart"/>
            <w:shd w:val="clear" w:color="auto" w:fill="BDD7EE"/>
            <w:vAlign w:val="center"/>
            <w:hideMark/>
          </w:tcPr>
          <w:p w14:paraId="1652294F" w14:textId="77777777" w:rsidR="00C972CB" w:rsidRDefault="002457F6">
            <w:pPr>
              <w:pStyle w:val="P68B1DB1-Normal45"/>
              <w:jc w:val="center"/>
              <w:rPr>
                <w:noProof/>
              </w:rPr>
            </w:pPr>
            <w:r>
              <w:rPr>
                <w:noProof/>
              </w:rPr>
              <w:t>Kārtas numurs</w:t>
            </w:r>
          </w:p>
        </w:tc>
        <w:tc>
          <w:tcPr>
            <w:tcW w:w="3165" w:type="dxa"/>
            <w:vMerge w:val="restart"/>
            <w:shd w:val="clear" w:color="auto" w:fill="BDD7EE"/>
            <w:vAlign w:val="center"/>
            <w:hideMark/>
          </w:tcPr>
          <w:p w14:paraId="69076A27" w14:textId="77777777" w:rsidR="00C972CB" w:rsidRDefault="002457F6">
            <w:pPr>
              <w:pStyle w:val="P68B1DB1-Normal45"/>
              <w:jc w:val="center"/>
              <w:rPr>
                <w:noProof/>
              </w:rPr>
            </w:pPr>
            <w:r>
              <w:rPr>
                <w:noProof/>
              </w:rPr>
              <w:t>Pasākums (reforma vai investīcija)</w:t>
            </w:r>
          </w:p>
        </w:tc>
        <w:tc>
          <w:tcPr>
            <w:tcW w:w="1468" w:type="dxa"/>
            <w:vMerge w:val="restart"/>
            <w:shd w:val="clear" w:color="auto" w:fill="BDD7EE"/>
            <w:vAlign w:val="center"/>
            <w:hideMark/>
          </w:tcPr>
          <w:p w14:paraId="5C805A0D" w14:textId="77777777" w:rsidR="00C972CB" w:rsidRDefault="002457F6">
            <w:pPr>
              <w:pStyle w:val="P68B1DB1-Normal45"/>
              <w:jc w:val="center"/>
              <w:rPr>
                <w:noProof/>
              </w:rPr>
            </w:pPr>
            <w:r>
              <w:rPr>
                <w:noProof/>
              </w:rPr>
              <w:t>Atskaites punkts/mērķrādītājs</w:t>
            </w:r>
          </w:p>
        </w:tc>
        <w:tc>
          <w:tcPr>
            <w:tcW w:w="4095" w:type="dxa"/>
            <w:vMerge w:val="restart"/>
            <w:shd w:val="clear" w:color="auto" w:fill="BDD7EE"/>
            <w:vAlign w:val="center"/>
            <w:hideMark/>
          </w:tcPr>
          <w:p w14:paraId="430B88C1" w14:textId="77777777" w:rsidR="00C972CB" w:rsidRDefault="002457F6">
            <w:pPr>
              <w:pStyle w:val="P68B1DB1-Normal45"/>
              <w:jc w:val="center"/>
              <w:rPr>
                <w:noProof/>
              </w:rPr>
            </w:pPr>
            <w:r>
              <w:rPr>
                <w:noProof/>
              </w:rPr>
              <w:t>Uzvārds</w:t>
            </w:r>
          </w:p>
        </w:tc>
      </w:tr>
      <w:tr w:rsidR="00C972CB" w14:paraId="72A0592F" w14:textId="77777777">
        <w:trPr>
          <w:trHeight w:val="517"/>
        </w:trPr>
        <w:tc>
          <w:tcPr>
            <w:tcW w:w="1413" w:type="dxa"/>
            <w:vMerge/>
            <w:vAlign w:val="center"/>
            <w:hideMark/>
          </w:tcPr>
          <w:p w14:paraId="49237D11" w14:textId="77777777" w:rsidR="00C972CB" w:rsidRDefault="00C972CB">
            <w:pPr>
              <w:rPr>
                <w:b/>
                <w:noProof/>
              </w:rPr>
            </w:pPr>
          </w:p>
        </w:tc>
        <w:tc>
          <w:tcPr>
            <w:tcW w:w="3165" w:type="dxa"/>
            <w:vMerge/>
            <w:vAlign w:val="center"/>
            <w:hideMark/>
          </w:tcPr>
          <w:p w14:paraId="7181CFFC" w14:textId="77777777" w:rsidR="00C972CB" w:rsidRDefault="00C972CB">
            <w:pPr>
              <w:rPr>
                <w:b/>
                <w:noProof/>
              </w:rPr>
            </w:pPr>
          </w:p>
        </w:tc>
        <w:tc>
          <w:tcPr>
            <w:tcW w:w="1468" w:type="dxa"/>
            <w:vMerge/>
            <w:vAlign w:val="center"/>
            <w:hideMark/>
          </w:tcPr>
          <w:p w14:paraId="1C14FC72" w14:textId="77777777" w:rsidR="00C972CB" w:rsidRDefault="00C972CB">
            <w:pPr>
              <w:rPr>
                <w:b/>
                <w:noProof/>
              </w:rPr>
            </w:pPr>
          </w:p>
        </w:tc>
        <w:tc>
          <w:tcPr>
            <w:tcW w:w="4095" w:type="dxa"/>
            <w:vMerge/>
            <w:vAlign w:val="center"/>
            <w:hideMark/>
          </w:tcPr>
          <w:p w14:paraId="6C256BAA" w14:textId="77777777" w:rsidR="00C972CB" w:rsidRDefault="00C972CB">
            <w:pPr>
              <w:rPr>
                <w:b/>
                <w:noProof/>
              </w:rPr>
            </w:pPr>
          </w:p>
        </w:tc>
      </w:tr>
      <w:tr w:rsidR="00C972CB" w14:paraId="1417C069" w14:textId="77777777">
        <w:trPr>
          <w:trHeight w:val="302"/>
        </w:trPr>
        <w:tc>
          <w:tcPr>
            <w:tcW w:w="1413" w:type="dxa"/>
            <w:shd w:val="clear" w:color="auto" w:fill="C6EFCE"/>
            <w:noWrap/>
            <w:vAlign w:val="center"/>
          </w:tcPr>
          <w:p w14:paraId="0C8A46CE" w14:textId="77777777" w:rsidR="00C972CB" w:rsidRDefault="002457F6">
            <w:pPr>
              <w:pStyle w:val="P68B1DB1-Normal12"/>
              <w:rPr>
                <w:noProof/>
              </w:rPr>
            </w:pPr>
            <w:r>
              <w:rPr>
                <w:noProof/>
              </w:rPr>
              <w:t>M1C1–125</w:t>
            </w:r>
          </w:p>
        </w:tc>
        <w:tc>
          <w:tcPr>
            <w:tcW w:w="3165" w:type="dxa"/>
            <w:shd w:val="clear" w:color="auto" w:fill="C6EFCE"/>
            <w:noWrap/>
            <w:vAlign w:val="center"/>
          </w:tcPr>
          <w:p w14:paraId="2FCB0183" w14:textId="77777777" w:rsidR="00C972CB" w:rsidRDefault="002457F6">
            <w:pPr>
              <w:pStyle w:val="P68B1DB1-Normal12"/>
              <w:rPr>
                <w:noProof/>
              </w:rPr>
            </w:pPr>
            <w:r>
              <w:rPr>
                <w:noProof/>
              </w:rPr>
              <w:t>Ieguldījums 1.2 — Mākoņdatošanas iespējas vietējai Palestīniešu pašpārvaldei</w:t>
            </w:r>
          </w:p>
        </w:tc>
        <w:tc>
          <w:tcPr>
            <w:tcW w:w="1468" w:type="dxa"/>
            <w:shd w:val="clear" w:color="auto" w:fill="C6EFCE"/>
            <w:noWrap/>
            <w:vAlign w:val="center"/>
          </w:tcPr>
          <w:p w14:paraId="1A05CCAB" w14:textId="77777777" w:rsidR="00C972CB" w:rsidRDefault="002457F6">
            <w:pPr>
              <w:pStyle w:val="P68B1DB1-Normal12"/>
              <w:rPr>
                <w:noProof/>
              </w:rPr>
            </w:pPr>
            <w:r>
              <w:rPr>
                <w:noProof/>
              </w:rPr>
              <w:t>Starpposma mērķis</w:t>
            </w:r>
          </w:p>
        </w:tc>
        <w:tc>
          <w:tcPr>
            <w:tcW w:w="4095" w:type="dxa"/>
            <w:shd w:val="clear" w:color="auto" w:fill="C6EFCE"/>
            <w:noWrap/>
            <w:vAlign w:val="center"/>
          </w:tcPr>
          <w:p w14:paraId="6B8979EF" w14:textId="77777777" w:rsidR="00C972CB" w:rsidRDefault="002457F6">
            <w:pPr>
              <w:pStyle w:val="P68B1DB1-Normal12"/>
              <w:jc w:val="center"/>
              <w:rPr>
                <w:noProof/>
              </w:rPr>
            </w:pPr>
            <w:r>
              <w:rPr>
                <w:noProof/>
              </w:rPr>
              <w:t>Publiskā iepirkuma līgumu slēgšanas tiesību piešķiršana (visos) konkursos par mākoni</w:t>
            </w:r>
          </w:p>
        </w:tc>
      </w:tr>
      <w:tr w:rsidR="00C972CB" w14:paraId="7324A748" w14:textId="77777777">
        <w:trPr>
          <w:trHeight w:val="302"/>
        </w:trPr>
        <w:tc>
          <w:tcPr>
            <w:tcW w:w="1413" w:type="dxa"/>
            <w:shd w:val="clear" w:color="auto" w:fill="C6EFCE"/>
            <w:noWrap/>
            <w:vAlign w:val="center"/>
          </w:tcPr>
          <w:p w14:paraId="6E3D35E9" w14:textId="77777777" w:rsidR="00C972CB" w:rsidRDefault="002457F6">
            <w:pPr>
              <w:pStyle w:val="P68B1DB1-Normal12"/>
              <w:rPr>
                <w:noProof/>
              </w:rPr>
            </w:pPr>
            <w:r>
              <w:rPr>
                <w:noProof/>
              </w:rPr>
              <w:t>M1C2–22</w:t>
            </w:r>
          </w:p>
        </w:tc>
        <w:tc>
          <w:tcPr>
            <w:tcW w:w="3165" w:type="dxa"/>
            <w:shd w:val="clear" w:color="auto" w:fill="C6EFCE"/>
            <w:noWrap/>
            <w:vAlign w:val="center"/>
          </w:tcPr>
          <w:p w14:paraId="3D4A2D92" w14:textId="77777777" w:rsidR="00C972CB" w:rsidRDefault="002457F6">
            <w:pPr>
              <w:pStyle w:val="P68B1DB1-Normal12"/>
              <w:rPr>
                <w:noProof/>
              </w:rPr>
            </w:pPr>
            <w:r>
              <w:rPr>
                <w:noProof/>
              </w:rPr>
              <w:t xml:space="preserve">Ieguldījums Nr. 4: Satelīttehnoloģijas un kosmosa </w:t>
            </w:r>
            <w:r>
              <w:rPr>
                <w:noProof/>
              </w:rPr>
              <w:t>ekonomika</w:t>
            </w:r>
          </w:p>
        </w:tc>
        <w:tc>
          <w:tcPr>
            <w:tcW w:w="1468" w:type="dxa"/>
            <w:shd w:val="clear" w:color="auto" w:fill="C6EFCE"/>
            <w:noWrap/>
            <w:vAlign w:val="center"/>
          </w:tcPr>
          <w:p w14:paraId="61C312AD" w14:textId="77777777" w:rsidR="00C972CB" w:rsidRDefault="002457F6">
            <w:pPr>
              <w:pStyle w:val="P68B1DB1-Normal12"/>
              <w:rPr>
                <w:noProof/>
              </w:rPr>
            </w:pPr>
            <w:r>
              <w:rPr>
                <w:noProof/>
              </w:rPr>
              <w:t>Starpposma mērķis</w:t>
            </w:r>
          </w:p>
        </w:tc>
        <w:tc>
          <w:tcPr>
            <w:tcW w:w="4095" w:type="dxa"/>
            <w:shd w:val="clear" w:color="auto" w:fill="C6EFCE"/>
            <w:noWrap/>
            <w:vAlign w:val="center"/>
          </w:tcPr>
          <w:p w14:paraId="13B0727B" w14:textId="77777777" w:rsidR="00C972CB" w:rsidRDefault="002457F6">
            <w:pPr>
              <w:pStyle w:val="P68B1DB1-Normal12"/>
              <w:jc w:val="center"/>
              <w:rPr>
                <w:noProof/>
              </w:rPr>
            </w:pPr>
            <w:r>
              <w:rPr>
                <w:noProof/>
              </w:rPr>
              <w:t>Visu publiskā iepirkuma līgumu slēgšanas tiesību piešķiršana satelītu tehnoloģiju un kosmosa projektiem</w:t>
            </w:r>
          </w:p>
        </w:tc>
      </w:tr>
      <w:tr w:rsidR="00C972CB" w14:paraId="5A986F18" w14:textId="77777777">
        <w:trPr>
          <w:trHeight w:val="302"/>
        </w:trPr>
        <w:tc>
          <w:tcPr>
            <w:tcW w:w="1413" w:type="dxa"/>
            <w:shd w:val="clear" w:color="auto" w:fill="C6EFCE"/>
            <w:noWrap/>
            <w:vAlign w:val="center"/>
          </w:tcPr>
          <w:p w14:paraId="603263C0" w14:textId="77777777" w:rsidR="00C972CB" w:rsidRDefault="002457F6">
            <w:pPr>
              <w:pStyle w:val="P68B1DB1-Normal12"/>
              <w:rPr>
                <w:noProof/>
              </w:rPr>
            </w:pPr>
            <w:r>
              <w:rPr>
                <w:noProof/>
              </w:rPr>
              <w:t>M2C2–48</w:t>
            </w:r>
          </w:p>
        </w:tc>
        <w:tc>
          <w:tcPr>
            <w:tcW w:w="3165" w:type="dxa"/>
            <w:shd w:val="clear" w:color="auto" w:fill="C6EFCE"/>
            <w:noWrap/>
            <w:vAlign w:val="center"/>
          </w:tcPr>
          <w:p w14:paraId="08299A7D" w14:textId="77777777" w:rsidR="00C972CB" w:rsidRDefault="002457F6">
            <w:pPr>
              <w:pStyle w:val="P68B1DB1-Normal12"/>
              <w:rPr>
                <w:noProof/>
              </w:rPr>
            </w:pPr>
            <w:r>
              <w:rPr>
                <w:noProof/>
              </w:rPr>
              <w:t>Investīcija. Ūdeņraža ražošana degradētās teritorijās (Ūdeņraža ielejās)</w:t>
            </w:r>
          </w:p>
        </w:tc>
        <w:tc>
          <w:tcPr>
            <w:tcW w:w="1468" w:type="dxa"/>
            <w:shd w:val="clear" w:color="auto" w:fill="C6EFCE"/>
            <w:noWrap/>
            <w:vAlign w:val="center"/>
          </w:tcPr>
          <w:p w14:paraId="3F1869CE" w14:textId="77777777" w:rsidR="00C972CB" w:rsidRDefault="002457F6">
            <w:pPr>
              <w:pStyle w:val="P68B1DB1-Normal12"/>
              <w:rPr>
                <w:noProof/>
              </w:rPr>
            </w:pPr>
            <w:r>
              <w:rPr>
                <w:noProof/>
              </w:rPr>
              <w:t>Starpposma mērķis</w:t>
            </w:r>
          </w:p>
        </w:tc>
        <w:tc>
          <w:tcPr>
            <w:tcW w:w="4095" w:type="dxa"/>
            <w:shd w:val="clear" w:color="auto" w:fill="C6EFCE"/>
            <w:noWrap/>
            <w:vAlign w:val="center"/>
          </w:tcPr>
          <w:p w14:paraId="269FC6C0" w14:textId="77777777" w:rsidR="00C972CB" w:rsidRDefault="002457F6">
            <w:pPr>
              <w:pStyle w:val="P68B1DB1-Normal12"/>
              <w:jc w:val="center"/>
              <w:rPr>
                <w:noProof/>
              </w:rPr>
            </w:pPr>
            <w:r>
              <w:rPr>
                <w:noProof/>
              </w:rPr>
              <w:t xml:space="preserve">Visu publiskā iepirkuma </w:t>
            </w:r>
            <w:r>
              <w:rPr>
                <w:noProof/>
              </w:rPr>
              <w:t>līgumu slēgšanas tiesību piešķiršana ūdeņraža ražošanas projektiem pamestos rūpnieciskos apgabalos</w:t>
            </w:r>
          </w:p>
        </w:tc>
      </w:tr>
      <w:tr w:rsidR="00C972CB" w14:paraId="3D9F8EE0" w14:textId="77777777">
        <w:trPr>
          <w:trHeight w:val="302"/>
        </w:trPr>
        <w:tc>
          <w:tcPr>
            <w:tcW w:w="1413" w:type="dxa"/>
            <w:shd w:val="clear" w:color="auto" w:fill="C6EFCE"/>
            <w:noWrap/>
            <w:vAlign w:val="center"/>
          </w:tcPr>
          <w:p w14:paraId="24EAC02A" w14:textId="77777777" w:rsidR="00C972CB" w:rsidRDefault="002457F6">
            <w:pPr>
              <w:pStyle w:val="P68B1DB1-Normal12"/>
              <w:rPr>
                <w:noProof/>
              </w:rPr>
            </w:pPr>
            <w:r>
              <w:rPr>
                <w:noProof/>
              </w:rPr>
              <w:t>M2C2–50</w:t>
            </w:r>
          </w:p>
        </w:tc>
        <w:tc>
          <w:tcPr>
            <w:tcW w:w="3165" w:type="dxa"/>
            <w:shd w:val="clear" w:color="auto" w:fill="C6EFCE"/>
            <w:noWrap/>
            <w:vAlign w:val="center"/>
          </w:tcPr>
          <w:p w14:paraId="5CDAD9EE" w14:textId="77777777" w:rsidR="00C972CB" w:rsidRDefault="002457F6">
            <w:pPr>
              <w:pStyle w:val="P68B1DB1-Normal12"/>
              <w:rPr>
                <w:noProof/>
              </w:rPr>
            </w:pPr>
            <w:r>
              <w:rPr>
                <w:noProof/>
              </w:rPr>
              <w:t>Investīcija Nr. 3.2. Ūdeņraža izmantošana grūti dekarbonizējamā rūpniecībā</w:t>
            </w:r>
          </w:p>
        </w:tc>
        <w:tc>
          <w:tcPr>
            <w:tcW w:w="1468" w:type="dxa"/>
            <w:shd w:val="clear" w:color="auto" w:fill="C6EFCE"/>
            <w:noWrap/>
            <w:vAlign w:val="center"/>
          </w:tcPr>
          <w:p w14:paraId="52E77506" w14:textId="77777777" w:rsidR="00C972CB" w:rsidRDefault="002457F6">
            <w:pPr>
              <w:pStyle w:val="P68B1DB1-Normal12"/>
              <w:rPr>
                <w:noProof/>
              </w:rPr>
            </w:pPr>
            <w:r>
              <w:rPr>
                <w:noProof/>
              </w:rPr>
              <w:t>Starpposma mērķis</w:t>
            </w:r>
          </w:p>
        </w:tc>
        <w:tc>
          <w:tcPr>
            <w:tcW w:w="4095" w:type="dxa"/>
            <w:shd w:val="clear" w:color="auto" w:fill="C6EFCE"/>
            <w:noWrap/>
            <w:vAlign w:val="center"/>
          </w:tcPr>
          <w:p w14:paraId="148140CC" w14:textId="77777777" w:rsidR="00C972CB" w:rsidRDefault="002457F6">
            <w:pPr>
              <w:pStyle w:val="P68B1DB1-Normal12"/>
              <w:jc w:val="center"/>
              <w:rPr>
                <w:noProof/>
              </w:rPr>
            </w:pPr>
            <w:r>
              <w:rPr>
                <w:noProof/>
              </w:rPr>
              <w:t>Vienošanās veicināt pāreju no metāna uz zaļo ūdeņradi</w:t>
            </w:r>
          </w:p>
        </w:tc>
      </w:tr>
      <w:tr w:rsidR="00C972CB" w14:paraId="03A13CBD" w14:textId="77777777">
        <w:trPr>
          <w:trHeight w:val="302"/>
        </w:trPr>
        <w:tc>
          <w:tcPr>
            <w:tcW w:w="1413" w:type="dxa"/>
            <w:shd w:val="clear" w:color="auto" w:fill="C6EFCE"/>
            <w:noWrap/>
            <w:vAlign w:val="center"/>
          </w:tcPr>
          <w:p w14:paraId="2D390D21" w14:textId="77777777" w:rsidR="00C972CB" w:rsidRDefault="002457F6">
            <w:pPr>
              <w:pStyle w:val="P68B1DB1-Normal12"/>
              <w:rPr>
                <w:noProof/>
              </w:rPr>
            </w:pPr>
            <w:r>
              <w:rPr>
                <w:noProof/>
              </w:rPr>
              <w:t>M5C2–21</w:t>
            </w:r>
          </w:p>
        </w:tc>
        <w:tc>
          <w:tcPr>
            <w:tcW w:w="3165" w:type="dxa"/>
            <w:shd w:val="clear" w:color="auto" w:fill="C6EFCE"/>
            <w:noWrap/>
            <w:vAlign w:val="center"/>
          </w:tcPr>
          <w:p w14:paraId="00B97818" w14:textId="77777777" w:rsidR="00C972CB" w:rsidRDefault="002457F6">
            <w:pPr>
              <w:pStyle w:val="P68B1DB1-Normal12"/>
              <w:rPr>
                <w:noProof/>
              </w:rPr>
            </w:pPr>
            <w:r>
              <w:rPr>
                <w:noProof/>
              </w:rPr>
              <w:t>Ieguldījums. Projekts “Sports un sociālā integrācija”</w:t>
            </w:r>
          </w:p>
        </w:tc>
        <w:tc>
          <w:tcPr>
            <w:tcW w:w="1468" w:type="dxa"/>
            <w:shd w:val="clear" w:color="auto" w:fill="C6EFCE"/>
            <w:noWrap/>
            <w:vAlign w:val="center"/>
          </w:tcPr>
          <w:p w14:paraId="6640E0AC" w14:textId="77777777" w:rsidR="00C972CB" w:rsidRDefault="002457F6">
            <w:pPr>
              <w:pStyle w:val="P68B1DB1-Normal12"/>
              <w:rPr>
                <w:noProof/>
              </w:rPr>
            </w:pPr>
            <w:r>
              <w:rPr>
                <w:noProof/>
              </w:rPr>
              <w:t>Starpposma mērķis</w:t>
            </w:r>
          </w:p>
        </w:tc>
        <w:tc>
          <w:tcPr>
            <w:tcW w:w="4095" w:type="dxa"/>
            <w:shd w:val="clear" w:color="auto" w:fill="C6EFCE"/>
            <w:noWrap/>
            <w:vAlign w:val="center"/>
          </w:tcPr>
          <w:p w14:paraId="61F809EA" w14:textId="77777777" w:rsidR="00C972CB" w:rsidRDefault="002457F6">
            <w:pPr>
              <w:pStyle w:val="P68B1DB1-Normal12"/>
              <w:jc w:val="center"/>
              <w:rPr>
                <w:noProof/>
              </w:rPr>
            </w:pPr>
            <w:r>
              <w:rPr>
                <w:noProof/>
              </w:rPr>
              <w:t>Visu publiskā iepirkuma līgumu slēgšanas tiesību piešķiršana projektiem sporta un sociālās iekļaušanas jomā pēc publiska uzaicinājuma iesniegt priekšlikumus</w:t>
            </w:r>
          </w:p>
        </w:tc>
      </w:tr>
      <w:tr w:rsidR="00C972CB" w14:paraId="5BEB90CE" w14:textId="77777777">
        <w:trPr>
          <w:trHeight w:val="302"/>
        </w:trPr>
        <w:tc>
          <w:tcPr>
            <w:tcW w:w="1413" w:type="dxa"/>
            <w:shd w:val="clear" w:color="auto" w:fill="C6EFCE"/>
            <w:noWrap/>
            <w:vAlign w:val="center"/>
          </w:tcPr>
          <w:p w14:paraId="5BA3D342" w14:textId="77777777" w:rsidR="00C972CB" w:rsidRDefault="002457F6">
            <w:pPr>
              <w:pStyle w:val="P68B1DB1-Normal12"/>
              <w:rPr>
                <w:noProof/>
              </w:rPr>
            </w:pPr>
            <w:r>
              <w:rPr>
                <w:noProof/>
              </w:rPr>
              <w:t>M1C3–20</w:t>
            </w:r>
          </w:p>
        </w:tc>
        <w:tc>
          <w:tcPr>
            <w:tcW w:w="3165" w:type="dxa"/>
            <w:shd w:val="clear" w:color="auto" w:fill="C6EFCE"/>
            <w:noWrap/>
            <w:vAlign w:val="center"/>
          </w:tcPr>
          <w:p w14:paraId="36EC7873" w14:textId="77777777" w:rsidR="00C972CB" w:rsidRDefault="002457F6">
            <w:pPr>
              <w:pStyle w:val="P68B1DB1-Normal12"/>
              <w:rPr>
                <w:noProof/>
              </w:rPr>
            </w:pPr>
            <w:r>
              <w:rPr>
                <w:noProof/>
              </w:rPr>
              <w:t>Ieguldījum</w:t>
            </w:r>
            <w:r>
              <w:rPr>
                <w:noProof/>
              </w:rPr>
              <w:t>i — 3.2. Kinematogrāfijas nozares attīstība (Cinecittà projekts)</w:t>
            </w:r>
          </w:p>
        </w:tc>
        <w:tc>
          <w:tcPr>
            <w:tcW w:w="1468" w:type="dxa"/>
            <w:shd w:val="clear" w:color="auto" w:fill="C6EFCE"/>
            <w:noWrap/>
            <w:vAlign w:val="center"/>
          </w:tcPr>
          <w:p w14:paraId="28D595B7" w14:textId="77777777" w:rsidR="00C972CB" w:rsidRDefault="002457F6">
            <w:pPr>
              <w:pStyle w:val="P68B1DB1-Normal12"/>
              <w:rPr>
                <w:noProof/>
              </w:rPr>
            </w:pPr>
            <w:r>
              <w:rPr>
                <w:noProof/>
              </w:rPr>
              <w:t>Starpposma mērķis</w:t>
            </w:r>
          </w:p>
        </w:tc>
        <w:tc>
          <w:tcPr>
            <w:tcW w:w="4095" w:type="dxa"/>
            <w:shd w:val="clear" w:color="auto" w:fill="C6EFCE"/>
            <w:noWrap/>
            <w:vAlign w:val="center"/>
          </w:tcPr>
          <w:p w14:paraId="24DD6154" w14:textId="77777777" w:rsidR="00C972CB" w:rsidRDefault="002457F6">
            <w:pPr>
              <w:pStyle w:val="P68B1DB1-Normal12"/>
              <w:jc w:val="center"/>
              <w:rPr>
                <w:noProof/>
              </w:rPr>
            </w:pPr>
            <w:r>
              <w:rPr>
                <w:noProof/>
              </w:rPr>
              <w:t>Līgumu parakstīšana starp īstenotāju struktūru Cinecittà SPA un uzņēmumiem par deviņu studiju būvniecību</w:t>
            </w:r>
          </w:p>
        </w:tc>
      </w:tr>
      <w:tr w:rsidR="00C972CB" w14:paraId="388592D8" w14:textId="77777777">
        <w:trPr>
          <w:trHeight w:val="302"/>
        </w:trPr>
        <w:tc>
          <w:tcPr>
            <w:tcW w:w="1413" w:type="dxa"/>
            <w:shd w:val="clear" w:color="auto" w:fill="C6EFCE"/>
            <w:noWrap/>
            <w:vAlign w:val="center"/>
          </w:tcPr>
          <w:p w14:paraId="771F1F00" w14:textId="77777777" w:rsidR="00C972CB" w:rsidRDefault="002457F6">
            <w:pPr>
              <w:pStyle w:val="P68B1DB1-Normal12"/>
              <w:rPr>
                <w:noProof/>
              </w:rPr>
            </w:pPr>
            <w:r>
              <w:rPr>
                <w:noProof/>
              </w:rPr>
              <w:t>M2C4–21</w:t>
            </w:r>
          </w:p>
        </w:tc>
        <w:tc>
          <w:tcPr>
            <w:tcW w:w="3165" w:type="dxa"/>
            <w:shd w:val="clear" w:color="auto" w:fill="C6EFCE"/>
            <w:noWrap/>
            <w:vAlign w:val="center"/>
          </w:tcPr>
          <w:p w14:paraId="7FF53FFA" w14:textId="77777777" w:rsidR="00C972CB" w:rsidRDefault="002457F6">
            <w:pPr>
              <w:pStyle w:val="P68B1DB1-Normal12"/>
              <w:rPr>
                <w:noProof/>
              </w:rPr>
            </w:pPr>
            <w:r>
              <w:rPr>
                <w:noProof/>
              </w:rPr>
              <w:t>Ieguldījums. Apgabala atjaunošana</w:t>
            </w:r>
          </w:p>
        </w:tc>
        <w:tc>
          <w:tcPr>
            <w:tcW w:w="1468" w:type="dxa"/>
            <w:shd w:val="clear" w:color="auto" w:fill="C6EFCE"/>
            <w:noWrap/>
            <w:vAlign w:val="center"/>
          </w:tcPr>
          <w:p w14:paraId="7EA4591F" w14:textId="77777777" w:rsidR="00C972CB" w:rsidRDefault="002457F6">
            <w:pPr>
              <w:pStyle w:val="P68B1DB1-Normal12"/>
              <w:rPr>
                <w:noProof/>
              </w:rPr>
            </w:pPr>
            <w:r>
              <w:rPr>
                <w:noProof/>
              </w:rPr>
              <w:t>Starpposma mērķis</w:t>
            </w:r>
          </w:p>
        </w:tc>
        <w:tc>
          <w:tcPr>
            <w:tcW w:w="4095" w:type="dxa"/>
            <w:shd w:val="clear" w:color="auto" w:fill="C6EFCE"/>
            <w:noWrap/>
            <w:vAlign w:val="center"/>
          </w:tcPr>
          <w:p w14:paraId="01FBEB7C" w14:textId="77777777" w:rsidR="00C972CB" w:rsidRDefault="002457F6">
            <w:pPr>
              <w:pStyle w:val="P68B1DB1-Normal12"/>
              <w:jc w:val="center"/>
              <w:rPr>
                <w:noProof/>
              </w:rPr>
            </w:pPr>
            <w:r>
              <w:rPr>
                <w:noProof/>
              </w:rPr>
              <w:t xml:space="preserve">Po apgabala atjaunošanas intervenču tiesiskā regulējuma pārskatīšana </w:t>
            </w:r>
          </w:p>
        </w:tc>
      </w:tr>
      <w:tr w:rsidR="00C972CB" w14:paraId="21768022" w14:textId="77777777">
        <w:trPr>
          <w:trHeight w:val="302"/>
        </w:trPr>
        <w:tc>
          <w:tcPr>
            <w:tcW w:w="1413" w:type="dxa"/>
            <w:shd w:val="clear" w:color="auto" w:fill="C6EFCE"/>
            <w:noWrap/>
            <w:vAlign w:val="center"/>
          </w:tcPr>
          <w:p w14:paraId="775F350B" w14:textId="77777777" w:rsidR="00C972CB" w:rsidRDefault="002457F6">
            <w:pPr>
              <w:pStyle w:val="P68B1DB1-Normal12"/>
              <w:rPr>
                <w:noProof/>
              </w:rPr>
            </w:pPr>
            <w:r>
              <w:rPr>
                <w:noProof/>
              </w:rPr>
              <w:t>M4C1–28</w:t>
            </w:r>
          </w:p>
        </w:tc>
        <w:tc>
          <w:tcPr>
            <w:tcW w:w="3165" w:type="dxa"/>
            <w:shd w:val="clear" w:color="auto" w:fill="C6EFCE"/>
            <w:noWrap/>
            <w:vAlign w:val="center"/>
          </w:tcPr>
          <w:p w14:paraId="1A82F044" w14:textId="77777777" w:rsidR="00C972CB" w:rsidRDefault="002457F6">
            <w:pPr>
              <w:pStyle w:val="P68B1DB1-Normal12"/>
              <w:rPr>
                <w:noProof/>
              </w:rPr>
            </w:pPr>
            <w:r>
              <w:rPr>
                <w:noProof/>
              </w:rPr>
              <w:t>Reforma. Studentu mājokļu regulējuma reforma un ieguldījumi studentu mājokļos</w:t>
            </w:r>
          </w:p>
        </w:tc>
        <w:tc>
          <w:tcPr>
            <w:tcW w:w="1468" w:type="dxa"/>
            <w:shd w:val="clear" w:color="auto" w:fill="C6EFCE"/>
            <w:noWrap/>
            <w:vAlign w:val="center"/>
          </w:tcPr>
          <w:p w14:paraId="2C48318D" w14:textId="77777777" w:rsidR="00C972CB" w:rsidRDefault="002457F6">
            <w:pPr>
              <w:pStyle w:val="P68B1DB1-Normal12"/>
              <w:rPr>
                <w:noProof/>
              </w:rPr>
            </w:pPr>
            <w:r>
              <w:rPr>
                <w:noProof/>
              </w:rPr>
              <w:t>Starpposma mērķis</w:t>
            </w:r>
          </w:p>
        </w:tc>
        <w:tc>
          <w:tcPr>
            <w:tcW w:w="4095" w:type="dxa"/>
            <w:shd w:val="clear" w:color="auto" w:fill="C6EFCE"/>
            <w:noWrap/>
            <w:vAlign w:val="center"/>
          </w:tcPr>
          <w:p w14:paraId="68A1C7AF" w14:textId="77777777" w:rsidR="00C972CB" w:rsidRDefault="002457F6">
            <w:pPr>
              <w:pStyle w:val="P68B1DB1-Normal12"/>
              <w:jc w:val="center"/>
              <w:rPr>
                <w:noProof/>
              </w:rPr>
            </w:pPr>
            <w:r>
              <w:rPr>
                <w:noProof/>
              </w:rPr>
              <w:t xml:space="preserve"> Sākotnējo līgumu slēgšanas tiesību piešķiršana par papildu guļamvietu (gultu) iz</w:t>
            </w:r>
            <w:r>
              <w:rPr>
                <w:noProof/>
              </w:rPr>
              <w:t>veidi</w:t>
            </w:r>
          </w:p>
        </w:tc>
      </w:tr>
      <w:tr w:rsidR="00C972CB" w14:paraId="1F14D10A" w14:textId="77777777">
        <w:trPr>
          <w:trHeight w:val="302"/>
        </w:trPr>
        <w:tc>
          <w:tcPr>
            <w:tcW w:w="1413" w:type="dxa"/>
            <w:shd w:val="clear" w:color="auto" w:fill="C6EFCE"/>
            <w:noWrap/>
            <w:vAlign w:val="center"/>
          </w:tcPr>
          <w:p w14:paraId="5A1E5FFB" w14:textId="77777777" w:rsidR="00C972CB" w:rsidRDefault="002457F6">
            <w:pPr>
              <w:pStyle w:val="P68B1DB1-Normal12"/>
              <w:rPr>
                <w:noProof/>
              </w:rPr>
            </w:pPr>
            <w:r>
              <w:rPr>
                <w:noProof/>
              </w:rPr>
              <w:t>M4C2–12</w:t>
            </w:r>
          </w:p>
        </w:tc>
        <w:tc>
          <w:tcPr>
            <w:tcW w:w="3165" w:type="dxa"/>
            <w:shd w:val="clear" w:color="auto" w:fill="C6EFCE"/>
            <w:noWrap/>
            <w:vAlign w:val="center"/>
          </w:tcPr>
          <w:p w14:paraId="5A5512E6" w14:textId="77777777" w:rsidR="00C972CB" w:rsidRDefault="002457F6">
            <w:pPr>
              <w:pStyle w:val="P68B1DB1-Normal12"/>
              <w:rPr>
                <w:noProof/>
              </w:rPr>
            </w:pPr>
            <w:r>
              <w:rPr>
                <w:noProof/>
              </w:rPr>
              <w:t>Ieguldījums 2.1.: IPCEI</w:t>
            </w:r>
          </w:p>
        </w:tc>
        <w:tc>
          <w:tcPr>
            <w:tcW w:w="1468" w:type="dxa"/>
            <w:shd w:val="clear" w:color="auto" w:fill="C6EFCE"/>
            <w:noWrap/>
            <w:vAlign w:val="center"/>
          </w:tcPr>
          <w:p w14:paraId="0CC2DEEB" w14:textId="77777777" w:rsidR="00C972CB" w:rsidRDefault="002457F6">
            <w:pPr>
              <w:pStyle w:val="P68B1DB1-Normal12"/>
              <w:rPr>
                <w:noProof/>
              </w:rPr>
            </w:pPr>
            <w:r>
              <w:rPr>
                <w:noProof/>
              </w:rPr>
              <w:t>Starpposma mērķis</w:t>
            </w:r>
          </w:p>
        </w:tc>
        <w:tc>
          <w:tcPr>
            <w:tcW w:w="4095" w:type="dxa"/>
            <w:shd w:val="clear" w:color="auto" w:fill="C6EFCE"/>
            <w:noWrap/>
            <w:vAlign w:val="center"/>
          </w:tcPr>
          <w:p w14:paraId="2AEE9D49" w14:textId="77777777" w:rsidR="00C972CB" w:rsidRDefault="002457F6">
            <w:pPr>
              <w:pStyle w:val="P68B1DB1-Normal12"/>
              <w:jc w:val="center"/>
              <w:rPr>
                <w:noProof/>
              </w:rPr>
            </w:pPr>
            <w:r>
              <w:rPr>
                <w:noProof/>
              </w:rPr>
              <w:t>IPCEI projektu dalībnieku saraksts ir pabeigts līdz 2023. gada 30. jūnijam.</w:t>
            </w:r>
          </w:p>
        </w:tc>
      </w:tr>
      <w:tr w:rsidR="00C972CB" w14:paraId="0B8DEADD" w14:textId="77777777">
        <w:trPr>
          <w:trHeight w:val="302"/>
        </w:trPr>
        <w:tc>
          <w:tcPr>
            <w:tcW w:w="1413" w:type="dxa"/>
            <w:shd w:val="clear" w:color="auto" w:fill="C6EFCE"/>
            <w:noWrap/>
            <w:vAlign w:val="center"/>
          </w:tcPr>
          <w:p w14:paraId="7CA42619" w14:textId="77777777" w:rsidR="00C972CB" w:rsidRDefault="002457F6">
            <w:pPr>
              <w:pStyle w:val="P68B1DB1-Normal12"/>
              <w:rPr>
                <w:noProof/>
              </w:rPr>
            </w:pPr>
            <w:r>
              <w:rPr>
                <w:noProof/>
              </w:rPr>
              <w:t>M4C2–16</w:t>
            </w:r>
          </w:p>
        </w:tc>
        <w:tc>
          <w:tcPr>
            <w:tcW w:w="3165" w:type="dxa"/>
            <w:shd w:val="clear" w:color="auto" w:fill="C6EFCE"/>
            <w:noWrap/>
            <w:vAlign w:val="center"/>
          </w:tcPr>
          <w:p w14:paraId="4056997F" w14:textId="77777777" w:rsidR="00C972CB" w:rsidRDefault="002457F6">
            <w:pPr>
              <w:pStyle w:val="P68B1DB1-Normal12"/>
              <w:rPr>
                <w:noProof/>
              </w:rPr>
            </w:pPr>
            <w:r>
              <w:rPr>
                <w:noProof/>
              </w:rPr>
              <w:t>Ieguldījums 3.1.: Fonds integrētas pētniecības un inovācijas infrastruktūru sistēmas izveidei</w:t>
            </w:r>
          </w:p>
        </w:tc>
        <w:tc>
          <w:tcPr>
            <w:tcW w:w="1468" w:type="dxa"/>
            <w:shd w:val="clear" w:color="auto" w:fill="C6EFCE"/>
            <w:noWrap/>
            <w:vAlign w:val="center"/>
          </w:tcPr>
          <w:p w14:paraId="554B8643" w14:textId="77777777" w:rsidR="00C972CB" w:rsidRDefault="002457F6">
            <w:pPr>
              <w:pStyle w:val="P68B1DB1-Normal12"/>
              <w:rPr>
                <w:noProof/>
              </w:rPr>
            </w:pPr>
            <w:r>
              <w:rPr>
                <w:noProof/>
              </w:rPr>
              <w:t>Mērķa</w:t>
            </w:r>
          </w:p>
        </w:tc>
        <w:tc>
          <w:tcPr>
            <w:tcW w:w="4095" w:type="dxa"/>
            <w:shd w:val="clear" w:color="auto" w:fill="C6EFCE"/>
            <w:noWrap/>
            <w:vAlign w:val="center"/>
          </w:tcPr>
          <w:p w14:paraId="4D6A8C1C" w14:textId="77777777" w:rsidR="00C972CB" w:rsidRDefault="002457F6">
            <w:pPr>
              <w:pStyle w:val="P68B1DB1-Normal12"/>
              <w:jc w:val="center"/>
              <w:rPr>
                <w:noProof/>
              </w:rPr>
            </w:pPr>
            <w:r>
              <w:rPr>
                <w:noProof/>
              </w:rPr>
              <w:t xml:space="preserve">Finansēto </w:t>
            </w:r>
            <w:r>
              <w:rPr>
                <w:noProof/>
              </w:rPr>
              <w:t>infrastruktūru skaits</w:t>
            </w:r>
          </w:p>
        </w:tc>
      </w:tr>
      <w:tr w:rsidR="00C972CB" w14:paraId="7A55E239" w14:textId="77777777">
        <w:trPr>
          <w:trHeight w:val="302"/>
        </w:trPr>
        <w:tc>
          <w:tcPr>
            <w:tcW w:w="1413" w:type="dxa"/>
            <w:shd w:val="clear" w:color="auto" w:fill="C6EFCE"/>
            <w:noWrap/>
            <w:vAlign w:val="center"/>
          </w:tcPr>
          <w:p w14:paraId="5E77C7D9" w14:textId="77777777" w:rsidR="00C972CB" w:rsidRDefault="002457F6">
            <w:pPr>
              <w:pStyle w:val="P68B1DB1-Normal12"/>
              <w:rPr>
                <w:noProof/>
              </w:rPr>
            </w:pPr>
            <w:r>
              <w:rPr>
                <w:noProof/>
              </w:rPr>
              <w:t>M5C1–18</w:t>
            </w:r>
          </w:p>
        </w:tc>
        <w:tc>
          <w:tcPr>
            <w:tcW w:w="3165" w:type="dxa"/>
            <w:shd w:val="clear" w:color="auto" w:fill="C6EFCE"/>
            <w:noWrap/>
            <w:vAlign w:val="center"/>
          </w:tcPr>
          <w:p w14:paraId="343AA613" w14:textId="77777777" w:rsidR="00C972CB" w:rsidRDefault="002457F6">
            <w:pPr>
              <w:pStyle w:val="P68B1DB1-Normal12"/>
              <w:rPr>
                <w:noProof/>
              </w:rPr>
            </w:pPr>
            <w:r>
              <w:rPr>
                <w:noProof/>
              </w:rPr>
              <w:t>Ieguldījums Nr. 5 — Sieviešu uzņēmumu izveide</w:t>
            </w:r>
          </w:p>
        </w:tc>
        <w:tc>
          <w:tcPr>
            <w:tcW w:w="1468" w:type="dxa"/>
            <w:shd w:val="clear" w:color="auto" w:fill="C6EFCE"/>
            <w:noWrap/>
            <w:vAlign w:val="center"/>
          </w:tcPr>
          <w:p w14:paraId="4902035D" w14:textId="77777777" w:rsidR="00C972CB" w:rsidRDefault="002457F6">
            <w:pPr>
              <w:pStyle w:val="P68B1DB1-Normal12"/>
              <w:rPr>
                <w:noProof/>
              </w:rPr>
            </w:pPr>
            <w:r>
              <w:rPr>
                <w:noProof/>
              </w:rPr>
              <w:t>Mērķa</w:t>
            </w:r>
          </w:p>
        </w:tc>
        <w:tc>
          <w:tcPr>
            <w:tcW w:w="4095" w:type="dxa"/>
            <w:shd w:val="clear" w:color="auto" w:fill="C6EFCE"/>
            <w:noWrap/>
            <w:vAlign w:val="center"/>
          </w:tcPr>
          <w:p w14:paraId="6D47E62B" w14:textId="77777777" w:rsidR="00C972CB" w:rsidRDefault="002457F6">
            <w:pPr>
              <w:pStyle w:val="P68B1DB1-Normal12"/>
              <w:jc w:val="center"/>
              <w:rPr>
                <w:noProof/>
              </w:rPr>
            </w:pPr>
            <w:r>
              <w:rPr>
                <w:noProof/>
              </w:rPr>
              <w:t xml:space="preserve">Ir sniegts finansiāls atbalsts uzņēmumiem </w:t>
            </w:r>
          </w:p>
        </w:tc>
      </w:tr>
      <w:tr w:rsidR="00C972CB" w14:paraId="08C5D382" w14:textId="77777777">
        <w:trPr>
          <w:trHeight w:val="302"/>
        </w:trPr>
        <w:tc>
          <w:tcPr>
            <w:tcW w:w="1413" w:type="dxa"/>
            <w:shd w:val="clear" w:color="auto" w:fill="C6EFCE"/>
            <w:noWrap/>
            <w:vAlign w:val="center"/>
          </w:tcPr>
          <w:p w14:paraId="4BD4A668" w14:textId="77777777" w:rsidR="00C972CB" w:rsidRDefault="002457F6">
            <w:pPr>
              <w:pStyle w:val="P68B1DB1-Normal12"/>
              <w:rPr>
                <w:noProof/>
              </w:rPr>
            </w:pPr>
            <w:r>
              <w:rPr>
                <w:noProof/>
              </w:rPr>
              <w:t>M6C2–14</w:t>
            </w:r>
          </w:p>
        </w:tc>
        <w:tc>
          <w:tcPr>
            <w:tcW w:w="3165" w:type="dxa"/>
            <w:shd w:val="clear" w:color="auto" w:fill="C6EFCE"/>
            <w:noWrap/>
            <w:vAlign w:val="center"/>
          </w:tcPr>
          <w:p w14:paraId="3800CDCE" w14:textId="77777777" w:rsidR="00C972CB" w:rsidRDefault="002457F6">
            <w:pPr>
              <w:pStyle w:val="P68B1DB1-Normal48"/>
              <w:rPr>
                <w:noProof/>
                <w:color w:val="006100"/>
              </w:rPr>
            </w:pPr>
            <w:r>
              <w:rPr>
                <w:noProof/>
              </w:rPr>
              <w:t>Ieguldījums 2.2.: Veselības aprūpes sistēmas speciālistu tehnisko, profesionālo, digitālo un vadības prasmju attīstīšana</w:t>
            </w:r>
          </w:p>
        </w:tc>
        <w:tc>
          <w:tcPr>
            <w:tcW w:w="1468" w:type="dxa"/>
            <w:shd w:val="clear" w:color="auto" w:fill="C6EFCE"/>
            <w:noWrap/>
            <w:vAlign w:val="center"/>
          </w:tcPr>
          <w:p w14:paraId="11E43281" w14:textId="77777777" w:rsidR="00C972CB" w:rsidRDefault="002457F6">
            <w:pPr>
              <w:pStyle w:val="P68B1DB1-Normal48"/>
              <w:rPr>
                <w:noProof/>
                <w:color w:val="006100"/>
              </w:rPr>
            </w:pPr>
            <w:r>
              <w:rPr>
                <w:noProof/>
              </w:rPr>
              <w:t>Mērķa</w:t>
            </w:r>
          </w:p>
        </w:tc>
        <w:tc>
          <w:tcPr>
            <w:tcW w:w="4095" w:type="dxa"/>
            <w:shd w:val="clear" w:color="auto" w:fill="C6EFCE"/>
            <w:noWrap/>
            <w:vAlign w:val="center"/>
          </w:tcPr>
          <w:p w14:paraId="7A722A18" w14:textId="77777777" w:rsidR="00C972CB" w:rsidRDefault="002457F6">
            <w:pPr>
              <w:pStyle w:val="P68B1DB1-Normal48"/>
              <w:jc w:val="center"/>
              <w:rPr>
                <w:noProof/>
              </w:rPr>
            </w:pPr>
            <w:r>
              <w:rPr>
                <w:noProof/>
              </w:rPr>
              <w:t>Tiek piešķirtas stipendijas speciālām mācībām vispārējās medicīnas praksē.</w:t>
            </w:r>
          </w:p>
        </w:tc>
      </w:tr>
      <w:tr w:rsidR="00C972CB" w14:paraId="022911C1" w14:textId="77777777">
        <w:trPr>
          <w:trHeight w:val="302"/>
        </w:trPr>
        <w:tc>
          <w:tcPr>
            <w:tcW w:w="1413" w:type="dxa"/>
            <w:shd w:val="clear" w:color="auto" w:fill="C6EFCE"/>
            <w:noWrap/>
            <w:vAlign w:val="bottom"/>
          </w:tcPr>
          <w:p w14:paraId="284FCE36" w14:textId="77777777" w:rsidR="00C972CB" w:rsidRDefault="00C972CB">
            <w:pPr>
              <w:jc w:val="center"/>
              <w:rPr>
                <w:noProof/>
                <w:color w:val="006100"/>
                <w:sz w:val="20"/>
              </w:rPr>
            </w:pPr>
          </w:p>
        </w:tc>
        <w:tc>
          <w:tcPr>
            <w:tcW w:w="3165" w:type="dxa"/>
            <w:shd w:val="clear" w:color="auto" w:fill="C6EFCE"/>
            <w:noWrap/>
            <w:vAlign w:val="bottom"/>
          </w:tcPr>
          <w:p w14:paraId="18A6B8FF" w14:textId="77777777" w:rsidR="00C972CB" w:rsidRDefault="00C972CB">
            <w:pPr>
              <w:rPr>
                <w:noProof/>
                <w:color w:val="006100"/>
                <w:sz w:val="20"/>
              </w:rPr>
            </w:pPr>
          </w:p>
        </w:tc>
        <w:tc>
          <w:tcPr>
            <w:tcW w:w="1468" w:type="dxa"/>
            <w:shd w:val="clear" w:color="auto" w:fill="C6EFCE"/>
            <w:noWrap/>
            <w:vAlign w:val="bottom"/>
          </w:tcPr>
          <w:p w14:paraId="4F13DE23" w14:textId="77777777" w:rsidR="00C972CB" w:rsidRDefault="002457F6">
            <w:pPr>
              <w:pStyle w:val="P68B1DB1-Normal12"/>
              <w:rPr>
                <w:noProof/>
              </w:rPr>
            </w:pPr>
            <w:r>
              <w:rPr>
                <w:noProof/>
              </w:rPr>
              <w:t>Maksājuma summa</w:t>
            </w:r>
          </w:p>
        </w:tc>
        <w:tc>
          <w:tcPr>
            <w:tcW w:w="4095" w:type="dxa"/>
            <w:shd w:val="clear" w:color="auto" w:fill="C6EFCE"/>
            <w:noWrap/>
            <w:vAlign w:val="bottom"/>
          </w:tcPr>
          <w:p w14:paraId="483DB3D7" w14:textId="0C0D46A6" w:rsidR="00C972CB" w:rsidRDefault="002457F6">
            <w:pPr>
              <w:pStyle w:val="P68B1DB1-Normal12"/>
              <w:rPr>
                <w:noProof/>
              </w:rPr>
            </w:pPr>
            <w:r>
              <w:rPr>
                <w:noProof/>
              </w:rPr>
              <w:t>16 611 453 220 EUR</w:t>
            </w:r>
          </w:p>
        </w:tc>
      </w:tr>
    </w:tbl>
    <w:p w14:paraId="642EDD2A" w14:textId="02C61903" w:rsidR="00C972CB" w:rsidRDefault="002457F6">
      <w:pPr>
        <w:pStyle w:val="P68B1DB1-Normal44"/>
        <w:numPr>
          <w:ilvl w:val="1"/>
          <w:numId w:val="6"/>
        </w:numPr>
        <w:spacing w:before="120" w:after="120"/>
        <w:jc w:val="both"/>
        <w:rPr>
          <w:noProof/>
        </w:rPr>
      </w:pPr>
      <w:r>
        <w:rPr>
          <w:noProof/>
        </w:rPr>
        <w:t>Piektā daļa (aizdevuma atbalsts):</w:t>
      </w:r>
    </w:p>
    <w:tbl>
      <w:tblPr>
        <w:tblW w:w="10139" w:type="dxa"/>
        <w:tblInd w:w="113" w:type="dxa"/>
        <w:tblLook w:val="04A0" w:firstRow="1" w:lastRow="0" w:firstColumn="1" w:lastColumn="0" w:noHBand="0" w:noVBand="1"/>
      </w:tblPr>
      <w:tblGrid>
        <w:gridCol w:w="1413"/>
        <w:gridCol w:w="3195"/>
        <w:gridCol w:w="1983"/>
        <w:gridCol w:w="4093"/>
      </w:tblGrid>
      <w:tr w:rsidR="00C972CB" w14:paraId="40D5A37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5F6DF5" w14:textId="77777777" w:rsidR="00C972CB" w:rsidRDefault="002457F6">
            <w:pPr>
              <w:pStyle w:val="P68B1DB1-Normal45"/>
              <w:jc w:val="center"/>
              <w:rPr>
                <w:noProof/>
              </w:rPr>
            </w:pPr>
            <w:r>
              <w:rPr>
                <w:noProof/>
              </w:rPr>
              <w:t>Kārtas numurs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50A207A" w14:textId="77777777" w:rsidR="00C972CB" w:rsidRDefault="002457F6">
            <w:pPr>
              <w:pStyle w:val="P68B1DB1-Normal45"/>
              <w:jc w:val="center"/>
              <w:rPr>
                <w:noProof/>
              </w:rPr>
            </w:pPr>
            <w:r>
              <w:rPr>
                <w:noProof/>
              </w:rPr>
              <w:t>Pasākums (reforma vai investīcija)</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8CC54E" w14:textId="77777777" w:rsidR="00C972CB" w:rsidRDefault="002457F6">
            <w:pPr>
              <w:pStyle w:val="P68B1DB1-Normal45"/>
              <w:jc w:val="center"/>
              <w:rPr>
                <w:noProof/>
              </w:rPr>
            </w:pPr>
            <w:r>
              <w:rPr>
                <w:noProof/>
              </w:rPr>
              <w:t>Atskaites punkts/mērķrādītājs</w:t>
            </w:r>
          </w:p>
        </w:tc>
        <w:tc>
          <w:tcPr>
            <w:tcW w:w="4093" w:type="dxa"/>
            <w:vMerge w:val="restart"/>
            <w:tcBorders>
              <w:top w:val="single" w:sz="4" w:space="0" w:color="auto"/>
              <w:left w:val="nil"/>
              <w:bottom w:val="single" w:sz="4" w:space="0" w:color="auto"/>
              <w:right w:val="single" w:sz="4" w:space="0" w:color="auto"/>
            </w:tcBorders>
            <w:shd w:val="clear" w:color="auto" w:fill="BDD7EE"/>
            <w:vAlign w:val="center"/>
            <w:hideMark/>
          </w:tcPr>
          <w:p w14:paraId="437A2B23" w14:textId="77777777" w:rsidR="00C972CB" w:rsidRDefault="002457F6">
            <w:pPr>
              <w:pStyle w:val="P68B1DB1-Normal45"/>
              <w:jc w:val="center"/>
              <w:rPr>
                <w:noProof/>
              </w:rPr>
            </w:pPr>
            <w:r>
              <w:rPr>
                <w:noProof/>
              </w:rPr>
              <w:t>Uzvārds</w:t>
            </w:r>
          </w:p>
        </w:tc>
      </w:tr>
      <w:tr w:rsidR="00C972CB" w14:paraId="5B79208A"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EED36EA" w14:textId="77777777" w:rsidR="00C972CB" w:rsidRDefault="00C972C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4D60A6AB" w14:textId="77777777" w:rsidR="00C972CB" w:rsidRDefault="00C972CB">
            <w:pPr>
              <w:rPr>
                <w:b/>
                <w:noProof/>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0FE6CB09" w14:textId="77777777" w:rsidR="00C972CB" w:rsidRDefault="00C972CB">
            <w:pPr>
              <w:rPr>
                <w:b/>
                <w:noProof/>
              </w:rPr>
            </w:pPr>
          </w:p>
        </w:tc>
        <w:tc>
          <w:tcPr>
            <w:tcW w:w="4093" w:type="dxa"/>
            <w:vMerge/>
            <w:tcBorders>
              <w:top w:val="single" w:sz="4" w:space="0" w:color="auto"/>
              <w:left w:val="single" w:sz="4" w:space="0" w:color="auto"/>
              <w:bottom w:val="single" w:sz="4" w:space="0" w:color="auto"/>
              <w:right w:val="single" w:sz="4" w:space="0" w:color="auto"/>
            </w:tcBorders>
            <w:vAlign w:val="center"/>
            <w:hideMark/>
          </w:tcPr>
          <w:p w14:paraId="2407D4BD" w14:textId="77777777" w:rsidR="00C972CB" w:rsidRDefault="00C972CB">
            <w:pPr>
              <w:rPr>
                <w:b/>
                <w:noProof/>
              </w:rPr>
            </w:pPr>
          </w:p>
        </w:tc>
      </w:tr>
      <w:tr w:rsidR="00C972CB" w14:paraId="4616306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2BB8" w14:textId="77777777" w:rsidR="00C972CB" w:rsidRDefault="002457F6">
            <w:pPr>
              <w:pStyle w:val="P68B1DB1-Normal12"/>
              <w:jc w:val="center"/>
              <w:rPr>
                <w:noProof/>
              </w:rPr>
            </w:pPr>
            <w:r>
              <w:rPr>
                <w:noProof/>
              </w:rPr>
              <w:t>M2C3–5</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B406AA" w14:textId="77777777" w:rsidR="00C972CB" w:rsidRDefault="002457F6">
            <w:pPr>
              <w:pStyle w:val="P68B1DB1-Normal12"/>
              <w:jc w:val="center"/>
              <w:rPr>
                <w:noProof/>
              </w:rPr>
            </w:pPr>
            <w:r>
              <w:rPr>
                <w:noProof/>
              </w:rPr>
              <w:t xml:space="preserve">Ieguldījums 1.1: Jaunu skolu būvniecība ar ēku nomaiņu </w:t>
            </w:r>
          </w:p>
        </w:tc>
        <w:tc>
          <w:tcPr>
            <w:tcW w:w="1438" w:type="dxa"/>
            <w:tcBorders>
              <w:top w:val="single" w:sz="4" w:space="0" w:color="auto"/>
              <w:left w:val="nil"/>
              <w:bottom w:val="single" w:sz="4" w:space="0" w:color="auto"/>
              <w:right w:val="single" w:sz="4" w:space="0" w:color="auto"/>
            </w:tcBorders>
            <w:shd w:val="clear" w:color="auto" w:fill="C6EFCE"/>
            <w:noWrap/>
            <w:vAlign w:val="center"/>
          </w:tcPr>
          <w:p w14:paraId="087072EA" w14:textId="77777777" w:rsidR="00C972CB" w:rsidRDefault="002457F6">
            <w:pPr>
              <w:pStyle w:val="P68B1DB1-Normal12"/>
              <w:jc w:val="center"/>
              <w:rPr>
                <w:noProof/>
              </w:rPr>
            </w:pPr>
            <w:r>
              <w:rPr>
                <w:noProof/>
              </w:rPr>
              <w:t>Starpposma mērķis</w:t>
            </w:r>
          </w:p>
        </w:tc>
        <w:tc>
          <w:tcPr>
            <w:tcW w:w="4093" w:type="dxa"/>
            <w:tcBorders>
              <w:top w:val="single" w:sz="4" w:space="0" w:color="auto"/>
              <w:left w:val="nil"/>
              <w:bottom w:val="single" w:sz="4" w:space="0" w:color="auto"/>
              <w:right w:val="single" w:sz="4" w:space="0" w:color="auto"/>
            </w:tcBorders>
            <w:shd w:val="clear" w:color="auto" w:fill="C6EFCE"/>
            <w:noWrap/>
            <w:vAlign w:val="center"/>
          </w:tcPr>
          <w:p w14:paraId="5CF5359A" w14:textId="77777777" w:rsidR="00C972CB" w:rsidRDefault="002457F6">
            <w:pPr>
              <w:pStyle w:val="P68B1DB1-Normal12"/>
              <w:jc w:val="center"/>
              <w:rPr>
                <w:noProof/>
              </w:rPr>
            </w:pPr>
            <w:r>
              <w:rPr>
                <w:noProof/>
              </w:rPr>
              <w:t xml:space="preserve">Visu publiskā iepirkuma līgumu slēgšanas tiesību piešķiršana jaunu skolu būvniecībai, aizstājot ēku, lai modernizētu skolu ēku enerģiju, publiskā iepirkuma procedūrā </w:t>
            </w:r>
          </w:p>
        </w:tc>
      </w:tr>
      <w:tr w:rsidR="00C972CB" w14:paraId="18A8A1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CE3D8" w14:textId="77777777" w:rsidR="00C972CB" w:rsidRDefault="002457F6">
            <w:pPr>
              <w:pStyle w:val="P68B1DB1-Normal12"/>
              <w:jc w:val="center"/>
              <w:rPr>
                <w:noProof/>
              </w:rPr>
            </w:pPr>
            <w:r>
              <w:rPr>
                <w:noProof/>
              </w:rPr>
              <w:t>M2C4–28</w:t>
            </w:r>
          </w:p>
        </w:tc>
        <w:tc>
          <w:tcPr>
            <w:tcW w:w="3195" w:type="dxa"/>
            <w:tcBorders>
              <w:top w:val="nil"/>
              <w:left w:val="nil"/>
              <w:bottom w:val="single" w:sz="4" w:space="0" w:color="auto"/>
              <w:right w:val="single" w:sz="4" w:space="0" w:color="auto"/>
            </w:tcBorders>
            <w:shd w:val="clear" w:color="auto" w:fill="C6EFCE"/>
            <w:noWrap/>
            <w:vAlign w:val="center"/>
          </w:tcPr>
          <w:p w14:paraId="0CCDC74A" w14:textId="77777777" w:rsidR="00C972CB" w:rsidRDefault="002457F6">
            <w:pPr>
              <w:pStyle w:val="P68B1DB1-Normal12"/>
              <w:jc w:val="center"/>
              <w:rPr>
                <w:noProof/>
              </w:rPr>
            </w:pPr>
            <w:r>
              <w:rPr>
                <w:noProof/>
              </w:rPr>
              <w:t>Ieguldījums 4.1. Ieguldījumi primārās ūdensapgādes infrastruktūrā ūdensapgādes drošībai</w:t>
            </w:r>
          </w:p>
        </w:tc>
        <w:tc>
          <w:tcPr>
            <w:tcW w:w="1438" w:type="dxa"/>
            <w:tcBorders>
              <w:top w:val="nil"/>
              <w:left w:val="nil"/>
              <w:bottom w:val="single" w:sz="4" w:space="0" w:color="auto"/>
              <w:right w:val="single" w:sz="4" w:space="0" w:color="auto"/>
            </w:tcBorders>
            <w:shd w:val="clear" w:color="auto" w:fill="C6EFCE"/>
            <w:noWrap/>
            <w:vAlign w:val="center"/>
          </w:tcPr>
          <w:p w14:paraId="4D6311FC"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6CB5E1E9" w14:textId="77777777" w:rsidR="00C972CB" w:rsidRDefault="002457F6">
            <w:pPr>
              <w:pStyle w:val="P68B1DB1-Normal12"/>
              <w:jc w:val="center"/>
              <w:rPr>
                <w:noProof/>
              </w:rPr>
            </w:pPr>
            <w:r>
              <w:rPr>
                <w:noProof/>
              </w:rPr>
              <w:t xml:space="preserve">(Visu) publiskā iepirkuma līgumu slēgšanas tiesību piešķiršana ieguldījumiem primārajā ūdensapgādes infrastruktūrā un ūdensapgādes drošībā </w:t>
            </w:r>
          </w:p>
        </w:tc>
      </w:tr>
      <w:tr w:rsidR="00C972CB" w14:paraId="7EE9CC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366D46" w14:textId="77777777" w:rsidR="00C972CB" w:rsidRDefault="002457F6">
            <w:pPr>
              <w:pStyle w:val="P68B1DB1-Normal12"/>
              <w:jc w:val="center"/>
              <w:rPr>
                <w:noProof/>
              </w:rPr>
            </w:pPr>
            <w:r>
              <w:rPr>
                <w:noProof/>
              </w:rPr>
              <w:t>M2C4–30</w:t>
            </w:r>
          </w:p>
        </w:tc>
        <w:tc>
          <w:tcPr>
            <w:tcW w:w="3195" w:type="dxa"/>
            <w:tcBorders>
              <w:top w:val="nil"/>
              <w:left w:val="nil"/>
              <w:bottom w:val="single" w:sz="4" w:space="0" w:color="auto"/>
              <w:right w:val="single" w:sz="4" w:space="0" w:color="auto"/>
            </w:tcBorders>
            <w:shd w:val="clear" w:color="auto" w:fill="C6EFCE"/>
            <w:noWrap/>
            <w:vAlign w:val="center"/>
          </w:tcPr>
          <w:p w14:paraId="7B0AE733" w14:textId="77777777" w:rsidR="00C972CB" w:rsidRDefault="002457F6">
            <w:pPr>
              <w:pStyle w:val="P68B1DB1-Normal12"/>
              <w:jc w:val="center"/>
              <w:rPr>
                <w:noProof/>
              </w:rPr>
            </w:pPr>
            <w:r>
              <w:rPr>
                <w:noProof/>
              </w:rPr>
              <w:t>I</w:t>
            </w:r>
            <w:r>
              <w:rPr>
                <w:noProof/>
              </w:rPr>
              <w:t>eguldījums 4.2. Zudumu samazināšana ūdens sadales tīklos, tostarp tīklu digitalizācija un monitorings</w:t>
            </w:r>
          </w:p>
        </w:tc>
        <w:tc>
          <w:tcPr>
            <w:tcW w:w="1438" w:type="dxa"/>
            <w:tcBorders>
              <w:top w:val="nil"/>
              <w:left w:val="nil"/>
              <w:bottom w:val="single" w:sz="4" w:space="0" w:color="auto"/>
              <w:right w:val="single" w:sz="4" w:space="0" w:color="auto"/>
            </w:tcBorders>
            <w:shd w:val="clear" w:color="auto" w:fill="C6EFCE"/>
            <w:noWrap/>
            <w:vAlign w:val="center"/>
          </w:tcPr>
          <w:p w14:paraId="6C548862"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0201175C" w14:textId="77777777" w:rsidR="00C972CB" w:rsidRDefault="002457F6">
            <w:pPr>
              <w:pStyle w:val="P68B1DB1-Normal12"/>
              <w:jc w:val="center"/>
              <w:rPr>
                <w:noProof/>
              </w:rPr>
            </w:pPr>
            <w:r>
              <w:rPr>
                <w:noProof/>
              </w:rPr>
              <w:t>Visu publiskā iepirkuma līgumu slēgšanas tiesību piešķiršana par intervencēm ūdens sadales tīklos, tostarp tīklu digitalizāciju un uzrau</w:t>
            </w:r>
            <w:r>
              <w:rPr>
                <w:noProof/>
              </w:rPr>
              <w:t>dzību</w:t>
            </w:r>
          </w:p>
        </w:tc>
      </w:tr>
      <w:tr w:rsidR="00C972CB" w14:paraId="2505FB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51B825" w14:textId="77777777" w:rsidR="00C972CB" w:rsidRDefault="002457F6">
            <w:pPr>
              <w:pStyle w:val="P68B1DB1-Normal12"/>
              <w:jc w:val="center"/>
              <w:rPr>
                <w:noProof/>
              </w:rPr>
            </w:pPr>
            <w:r>
              <w:rPr>
                <w:noProof/>
              </w:rPr>
              <w:t>M1C1–14</w:t>
            </w:r>
          </w:p>
        </w:tc>
        <w:tc>
          <w:tcPr>
            <w:tcW w:w="3195" w:type="dxa"/>
            <w:tcBorders>
              <w:top w:val="nil"/>
              <w:left w:val="nil"/>
              <w:bottom w:val="single" w:sz="4" w:space="0" w:color="auto"/>
              <w:right w:val="single" w:sz="4" w:space="0" w:color="auto"/>
            </w:tcBorders>
            <w:shd w:val="clear" w:color="auto" w:fill="C6EFCE"/>
            <w:noWrap/>
            <w:vAlign w:val="center"/>
          </w:tcPr>
          <w:p w14:paraId="5C124260" w14:textId="77777777" w:rsidR="00C972CB" w:rsidRDefault="002457F6">
            <w:pPr>
              <w:pStyle w:val="P68B1DB1-Normal12"/>
              <w:jc w:val="center"/>
              <w:rPr>
                <w:noProof/>
              </w:rPr>
            </w:pPr>
            <w:r>
              <w:rPr>
                <w:noProof/>
              </w:rPr>
              <w:t>Ieguldījums 1.6.5. Valsts padomes digitalizācija</w:t>
            </w:r>
          </w:p>
        </w:tc>
        <w:tc>
          <w:tcPr>
            <w:tcW w:w="1438" w:type="dxa"/>
            <w:tcBorders>
              <w:top w:val="nil"/>
              <w:left w:val="nil"/>
              <w:bottom w:val="single" w:sz="4" w:space="0" w:color="auto"/>
              <w:right w:val="single" w:sz="4" w:space="0" w:color="auto"/>
            </w:tcBorders>
            <w:shd w:val="clear" w:color="auto" w:fill="C6EFCE"/>
            <w:noWrap/>
            <w:vAlign w:val="center"/>
          </w:tcPr>
          <w:p w14:paraId="43893C09"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02D0F2F9" w14:textId="77777777" w:rsidR="00C972CB" w:rsidRDefault="002457F6">
            <w:pPr>
              <w:pStyle w:val="P68B1DB1-Normal12"/>
              <w:jc w:val="center"/>
              <w:rPr>
                <w:noProof/>
              </w:rPr>
            </w:pPr>
            <w:r>
              <w:rPr>
                <w:noProof/>
              </w:rPr>
              <w:t>Valsts padome — Tiesas dokumenti, kas pieejami analīzei datu noliktavā T1</w:t>
            </w:r>
          </w:p>
        </w:tc>
      </w:tr>
      <w:tr w:rsidR="00C972CB" w14:paraId="1AB7B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998392" w14:textId="77777777" w:rsidR="00C972CB" w:rsidRDefault="002457F6">
            <w:pPr>
              <w:pStyle w:val="P68B1DB1-Normal12"/>
              <w:jc w:val="center"/>
              <w:rPr>
                <w:noProof/>
              </w:rPr>
            </w:pPr>
            <w:r>
              <w:rPr>
                <w:noProof/>
              </w:rPr>
              <w:t>M1C1–16</w:t>
            </w:r>
          </w:p>
        </w:tc>
        <w:tc>
          <w:tcPr>
            <w:tcW w:w="3195" w:type="dxa"/>
            <w:tcBorders>
              <w:top w:val="nil"/>
              <w:left w:val="nil"/>
              <w:bottom w:val="single" w:sz="4" w:space="0" w:color="auto"/>
              <w:right w:val="single" w:sz="4" w:space="0" w:color="auto"/>
            </w:tcBorders>
            <w:shd w:val="clear" w:color="auto" w:fill="C6EFCE"/>
            <w:noWrap/>
            <w:vAlign w:val="center"/>
          </w:tcPr>
          <w:p w14:paraId="29596D4E" w14:textId="77777777" w:rsidR="00C972CB" w:rsidRDefault="002457F6">
            <w:pPr>
              <w:pStyle w:val="P68B1DB1-Normal12"/>
              <w:jc w:val="center"/>
              <w:rPr>
                <w:noProof/>
              </w:rPr>
            </w:pPr>
            <w:r>
              <w:rPr>
                <w:noProof/>
              </w:rPr>
              <w:t>Ieguldījums 1.6.5. Valsts padomes digitalizācija</w:t>
            </w:r>
          </w:p>
        </w:tc>
        <w:tc>
          <w:tcPr>
            <w:tcW w:w="1438" w:type="dxa"/>
            <w:tcBorders>
              <w:top w:val="nil"/>
              <w:left w:val="nil"/>
              <w:bottom w:val="single" w:sz="4" w:space="0" w:color="auto"/>
              <w:right w:val="single" w:sz="4" w:space="0" w:color="auto"/>
            </w:tcBorders>
            <w:shd w:val="clear" w:color="auto" w:fill="C6EFCE"/>
            <w:noWrap/>
            <w:vAlign w:val="center"/>
          </w:tcPr>
          <w:p w14:paraId="66C30726"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62F63763" w14:textId="77777777" w:rsidR="00C972CB" w:rsidRDefault="002457F6">
            <w:pPr>
              <w:pStyle w:val="P68B1DB1-Normal12"/>
              <w:jc w:val="center"/>
              <w:rPr>
                <w:noProof/>
              </w:rPr>
            </w:pPr>
            <w:r>
              <w:rPr>
                <w:noProof/>
              </w:rPr>
              <w:t xml:space="preserve">Valsts padome — Tiesas dokumenti, kas pieejami </w:t>
            </w:r>
            <w:r>
              <w:rPr>
                <w:noProof/>
              </w:rPr>
              <w:t>analīzei datu noliktavā T2</w:t>
            </w:r>
          </w:p>
        </w:tc>
      </w:tr>
      <w:tr w:rsidR="00C972CB" w14:paraId="22665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1E7A6" w14:textId="77777777" w:rsidR="00C972CB" w:rsidRDefault="002457F6">
            <w:pPr>
              <w:pStyle w:val="P68B1DB1-Normal12"/>
              <w:jc w:val="center"/>
              <w:rPr>
                <w:noProof/>
              </w:rPr>
            </w:pPr>
            <w:r>
              <w:rPr>
                <w:noProof/>
              </w:rPr>
              <w:t>M1C1–126</w:t>
            </w:r>
          </w:p>
        </w:tc>
        <w:tc>
          <w:tcPr>
            <w:tcW w:w="3195" w:type="dxa"/>
            <w:tcBorders>
              <w:top w:val="nil"/>
              <w:left w:val="nil"/>
              <w:bottom w:val="single" w:sz="4" w:space="0" w:color="auto"/>
              <w:right w:val="single" w:sz="4" w:space="0" w:color="auto"/>
            </w:tcBorders>
            <w:shd w:val="clear" w:color="auto" w:fill="C6EFCE"/>
            <w:noWrap/>
            <w:vAlign w:val="center"/>
          </w:tcPr>
          <w:p w14:paraId="0DF07D6F" w14:textId="77777777" w:rsidR="00C972CB" w:rsidRDefault="002457F6">
            <w:pPr>
              <w:pStyle w:val="P68B1DB1-Normal12"/>
              <w:jc w:val="center"/>
              <w:rPr>
                <w:noProof/>
              </w:rPr>
            </w:pPr>
            <w:r>
              <w:rPr>
                <w:noProof/>
              </w:rPr>
              <w:t>Ieguldījums 1.4.3. PagoPA platformas pakalpojumu un lietotnes “IO” pieņemšana</w:t>
            </w:r>
          </w:p>
        </w:tc>
        <w:tc>
          <w:tcPr>
            <w:tcW w:w="1438" w:type="dxa"/>
            <w:tcBorders>
              <w:top w:val="nil"/>
              <w:left w:val="nil"/>
              <w:bottom w:val="single" w:sz="4" w:space="0" w:color="auto"/>
              <w:right w:val="single" w:sz="4" w:space="0" w:color="auto"/>
            </w:tcBorders>
            <w:shd w:val="clear" w:color="auto" w:fill="C6EFCE"/>
            <w:noWrap/>
            <w:vAlign w:val="center"/>
          </w:tcPr>
          <w:p w14:paraId="5E08D2A8"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13864DE0" w14:textId="77777777" w:rsidR="00C972CB" w:rsidRDefault="002457F6">
            <w:pPr>
              <w:pStyle w:val="P68B1DB1-Normal12"/>
              <w:jc w:val="center"/>
              <w:rPr>
                <w:noProof/>
              </w:rPr>
            </w:pPr>
            <w:r>
              <w:rPr>
                <w:noProof/>
              </w:rPr>
              <w:t>PagoPA platformas pakalpojumu ieviešana T1</w:t>
            </w:r>
          </w:p>
        </w:tc>
      </w:tr>
      <w:tr w:rsidR="00C972CB" w14:paraId="324317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5F2356" w14:textId="77777777" w:rsidR="00C972CB" w:rsidRDefault="002457F6">
            <w:pPr>
              <w:pStyle w:val="P68B1DB1-Normal12"/>
              <w:jc w:val="center"/>
              <w:rPr>
                <w:noProof/>
              </w:rPr>
            </w:pPr>
            <w:r>
              <w:rPr>
                <w:noProof/>
              </w:rPr>
              <w:t>M1C1–127</w:t>
            </w:r>
          </w:p>
        </w:tc>
        <w:tc>
          <w:tcPr>
            <w:tcW w:w="3195" w:type="dxa"/>
            <w:tcBorders>
              <w:top w:val="nil"/>
              <w:left w:val="nil"/>
              <w:bottom w:val="single" w:sz="4" w:space="0" w:color="auto"/>
              <w:right w:val="single" w:sz="4" w:space="0" w:color="auto"/>
            </w:tcBorders>
            <w:shd w:val="clear" w:color="auto" w:fill="C6EFCE"/>
            <w:noWrap/>
            <w:vAlign w:val="center"/>
          </w:tcPr>
          <w:p w14:paraId="3EDB7FD8" w14:textId="77777777" w:rsidR="00C972CB" w:rsidRDefault="002457F6">
            <w:pPr>
              <w:pStyle w:val="P68B1DB1-Normal12"/>
              <w:jc w:val="center"/>
              <w:rPr>
                <w:noProof/>
              </w:rPr>
            </w:pPr>
            <w:r>
              <w:rPr>
                <w:noProof/>
              </w:rPr>
              <w:t>Ieguldījums 1.4.3. PagoPA platformas pakalpojumu un lietotnes “IO” pieņemšana</w:t>
            </w:r>
          </w:p>
        </w:tc>
        <w:tc>
          <w:tcPr>
            <w:tcW w:w="1438" w:type="dxa"/>
            <w:tcBorders>
              <w:top w:val="nil"/>
              <w:left w:val="nil"/>
              <w:bottom w:val="single" w:sz="4" w:space="0" w:color="auto"/>
              <w:right w:val="single" w:sz="4" w:space="0" w:color="auto"/>
            </w:tcBorders>
            <w:shd w:val="clear" w:color="auto" w:fill="C6EFCE"/>
            <w:noWrap/>
            <w:vAlign w:val="center"/>
          </w:tcPr>
          <w:p w14:paraId="05C46700" w14:textId="77777777" w:rsidR="00C972CB" w:rsidRDefault="002457F6">
            <w:pPr>
              <w:pStyle w:val="P68B1DB1-Normal12"/>
              <w:jc w:val="center"/>
              <w:rPr>
                <w:noProof/>
              </w:rPr>
            </w:pPr>
            <w:r>
              <w:rPr>
                <w:noProof/>
              </w:rPr>
              <w:t>Mērķ</w:t>
            </w:r>
            <w:r>
              <w:rPr>
                <w:noProof/>
              </w:rPr>
              <w:t>a</w:t>
            </w:r>
          </w:p>
        </w:tc>
        <w:tc>
          <w:tcPr>
            <w:tcW w:w="4093" w:type="dxa"/>
            <w:tcBorders>
              <w:top w:val="nil"/>
              <w:left w:val="nil"/>
              <w:bottom w:val="single" w:sz="4" w:space="0" w:color="auto"/>
              <w:right w:val="single" w:sz="4" w:space="0" w:color="auto"/>
            </w:tcBorders>
            <w:shd w:val="clear" w:color="auto" w:fill="C6EFCE"/>
            <w:noWrap/>
            <w:vAlign w:val="center"/>
          </w:tcPr>
          <w:p w14:paraId="5AB02332" w14:textId="77777777" w:rsidR="00C972CB" w:rsidRDefault="002457F6">
            <w:pPr>
              <w:pStyle w:val="P68B1DB1-Normal12"/>
              <w:jc w:val="center"/>
              <w:rPr>
                <w:noProof/>
              </w:rPr>
            </w:pPr>
            <w:r>
              <w:rPr>
                <w:noProof/>
              </w:rPr>
              <w:t>“IO” lietotnes T1 pieņemšana</w:t>
            </w:r>
          </w:p>
        </w:tc>
      </w:tr>
      <w:tr w:rsidR="00C972CB" w14:paraId="77466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F69BC6" w14:textId="77777777" w:rsidR="00C972CB" w:rsidRDefault="002457F6">
            <w:pPr>
              <w:pStyle w:val="P68B1DB1-Normal12"/>
              <w:jc w:val="center"/>
              <w:rPr>
                <w:noProof/>
              </w:rPr>
            </w:pPr>
            <w:r>
              <w:rPr>
                <w:noProof/>
              </w:rPr>
              <w:t>M1C1–128</w:t>
            </w:r>
          </w:p>
        </w:tc>
        <w:tc>
          <w:tcPr>
            <w:tcW w:w="3195" w:type="dxa"/>
            <w:tcBorders>
              <w:top w:val="nil"/>
              <w:left w:val="nil"/>
              <w:bottom w:val="single" w:sz="4" w:space="0" w:color="auto"/>
              <w:right w:val="single" w:sz="4" w:space="0" w:color="auto"/>
            </w:tcBorders>
            <w:shd w:val="clear" w:color="auto" w:fill="C6EFCE"/>
            <w:noWrap/>
            <w:vAlign w:val="center"/>
          </w:tcPr>
          <w:p w14:paraId="59C2E0C2" w14:textId="77777777" w:rsidR="00C972CB" w:rsidRDefault="002457F6">
            <w:pPr>
              <w:pStyle w:val="P68B1DB1-Normal12"/>
              <w:jc w:val="center"/>
              <w:rPr>
                <w:noProof/>
              </w:rPr>
            </w:pPr>
            <w:r>
              <w:rPr>
                <w:noProof/>
              </w:rPr>
              <w:t>Ieguldījums 1.4.5. Publisko paziņojumu digitalizācija</w:t>
            </w:r>
          </w:p>
        </w:tc>
        <w:tc>
          <w:tcPr>
            <w:tcW w:w="1438" w:type="dxa"/>
            <w:tcBorders>
              <w:top w:val="nil"/>
              <w:left w:val="nil"/>
              <w:bottom w:val="single" w:sz="4" w:space="0" w:color="auto"/>
              <w:right w:val="single" w:sz="4" w:space="0" w:color="auto"/>
            </w:tcBorders>
            <w:shd w:val="clear" w:color="auto" w:fill="C6EFCE"/>
            <w:noWrap/>
            <w:vAlign w:val="center"/>
          </w:tcPr>
          <w:p w14:paraId="2435468C"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2AE03B0F" w14:textId="77777777" w:rsidR="00C972CB" w:rsidRDefault="002457F6">
            <w:pPr>
              <w:pStyle w:val="P68B1DB1-Normal12"/>
              <w:jc w:val="center"/>
              <w:rPr>
                <w:noProof/>
              </w:rPr>
            </w:pPr>
            <w:r>
              <w:rPr>
                <w:noProof/>
              </w:rPr>
              <w:t>Digitālo publisko paziņojumu T1 pieņemšanas paplašināšana</w:t>
            </w:r>
          </w:p>
        </w:tc>
      </w:tr>
      <w:tr w:rsidR="00C972CB" w14:paraId="55F77B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A5E191" w14:textId="77777777" w:rsidR="00C972CB" w:rsidRDefault="002457F6">
            <w:pPr>
              <w:pStyle w:val="P68B1DB1-Normal12"/>
              <w:jc w:val="center"/>
              <w:rPr>
                <w:noProof/>
              </w:rPr>
            </w:pPr>
            <w:r>
              <w:rPr>
                <w:noProof/>
              </w:rPr>
              <w:t>M1C1–129</w:t>
            </w:r>
          </w:p>
        </w:tc>
        <w:tc>
          <w:tcPr>
            <w:tcW w:w="3195" w:type="dxa"/>
            <w:tcBorders>
              <w:top w:val="nil"/>
              <w:left w:val="nil"/>
              <w:bottom w:val="single" w:sz="4" w:space="0" w:color="auto"/>
              <w:right w:val="single" w:sz="4" w:space="0" w:color="auto"/>
            </w:tcBorders>
            <w:shd w:val="clear" w:color="auto" w:fill="C6EFCE"/>
            <w:noWrap/>
            <w:vAlign w:val="center"/>
          </w:tcPr>
          <w:p w14:paraId="6DCB6C7D" w14:textId="77777777" w:rsidR="00C972CB" w:rsidRDefault="002457F6">
            <w:pPr>
              <w:pStyle w:val="P68B1DB1-Normal12"/>
              <w:jc w:val="center"/>
              <w:rPr>
                <w:noProof/>
              </w:rPr>
            </w:pPr>
            <w:r>
              <w:rPr>
                <w:noProof/>
              </w:rPr>
              <w:t>Ieguldījums 1.6.1. — Iekšlietu ministrijas digitalizācija</w:t>
            </w:r>
          </w:p>
        </w:tc>
        <w:tc>
          <w:tcPr>
            <w:tcW w:w="1438" w:type="dxa"/>
            <w:tcBorders>
              <w:top w:val="nil"/>
              <w:left w:val="nil"/>
              <w:bottom w:val="single" w:sz="4" w:space="0" w:color="auto"/>
              <w:right w:val="single" w:sz="4" w:space="0" w:color="auto"/>
            </w:tcBorders>
            <w:shd w:val="clear" w:color="auto" w:fill="C6EFCE"/>
            <w:noWrap/>
            <w:vAlign w:val="center"/>
          </w:tcPr>
          <w:p w14:paraId="300DD812"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1E26EA4E" w14:textId="77777777" w:rsidR="00C972CB" w:rsidRDefault="002457F6">
            <w:pPr>
              <w:pStyle w:val="P68B1DB1-Normal12"/>
              <w:jc w:val="center"/>
              <w:rPr>
                <w:noProof/>
              </w:rPr>
            </w:pPr>
            <w:r>
              <w:rPr>
                <w:noProof/>
              </w:rPr>
              <w:t xml:space="preserve">Iekšlietu ministrija — </w:t>
            </w:r>
            <w:r>
              <w:rPr>
                <w:noProof/>
              </w:rPr>
              <w:t>pilnīgi pārbūvēti un digitalizēti procesi T1</w:t>
            </w:r>
          </w:p>
        </w:tc>
      </w:tr>
      <w:tr w:rsidR="00C972CB" w14:paraId="13610F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59A816" w14:textId="77777777" w:rsidR="00C972CB" w:rsidRDefault="002457F6">
            <w:pPr>
              <w:pStyle w:val="P68B1DB1-Normal12"/>
              <w:jc w:val="center"/>
              <w:rPr>
                <w:noProof/>
              </w:rPr>
            </w:pPr>
            <w:r>
              <w:rPr>
                <w:noProof/>
              </w:rPr>
              <w:t>M1C1–130</w:t>
            </w:r>
          </w:p>
        </w:tc>
        <w:tc>
          <w:tcPr>
            <w:tcW w:w="3195" w:type="dxa"/>
            <w:tcBorders>
              <w:top w:val="nil"/>
              <w:left w:val="nil"/>
              <w:bottom w:val="single" w:sz="4" w:space="0" w:color="auto"/>
              <w:right w:val="single" w:sz="4" w:space="0" w:color="auto"/>
            </w:tcBorders>
            <w:shd w:val="clear" w:color="auto" w:fill="C6EFCE"/>
            <w:noWrap/>
            <w:vAlign w:val="center"/>
          </w:tcPr>
          <w:p w14:paraId="149212EF" w14:textId="77777777" w:rsidR="00C972CB" w:rsidRDefault="002457F6">
            <w:pPr>
              <w:pStyle w:val="P68B1DB1-Normal12"/>
              <w:jc w:val="center"/>
              <w:rPr>
                <w:noProof/>
              </w:rPr>
            </w:pPr>
            <w:r>
              <w:rPr>
                <w:noProof/>
              </w:rPr>
              <w:t>Ieguldījums 1.6.2. — Tieslietu ministrijas digitalizācija</w:t>
            </w:r>
          </w:p>
        </w:tc>
        <w:tc>
          <w:tcPr>
            <w:tcW w:w="1438" w:type="dxa"/>
            <w:tcBorders>
              <w:top w:val="nil"/>
              <w:left w:val="nil"/>
              <w:bottom w:val="single" w:sz="4" w:space="0" w:color="auto"/>
              <w:right w:val="single" w:sz="4" w:space="0" w:color="auto"/>
            </w:tcBorders>
            <w:shd w:val="clear" w:color="auto" w:fill="C6EFCE"/>
            <w:noWrap/>
            <w:vAlign w:val="center"/>
          </w:tcPr>
          <w:p w14:paraId="42ED247B"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1E9D4B5E" w14:textId="77777777" w:rsidR="00C972CB" w:rsidRDefault="002457F6">
            <w:pPr>
              <w:pStyle w:val="P68B1DB1-Normal12"/>
              <w:jc w:val="center"/>
              <w:rPr>
                <w:noProof/>
              </w:rPr>
            </w:pPr>
            <w:r>
              <w:rPr>
                <w:noProof/>
              </w:rPr>
              <w:t>Digitalizētas tiesu lietas T1</w:t>
            </w:r>
          </w:p>
        </w:tc>
      </w:tr>
      <w:tr w:rsidR="00C972CB" w14:paraId="4471CD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E6720" w14:textId="77777777" w:rsidR="00C972CB" w:rsidRDefault="002457F6">
            <w:pPr>
              <w:pStyle w:val="P68B1DB1-Normal12"/>
              <w:jc w:val="center"/>
              <w:rPr>
                <w:noProof/>
              </w:rPr>
            </w:pPr>
            <w:r>
              <w:rPr>
                <w:noProof/>
              </w:rPr>
              <w:t>M1C1–131</w:t>
            </w:r>
          </w:p>
        </w:tc>
        <w:tc>
          <w:tcPr>
            <w:tcW w:w="3195" w:type="dxa"/>
            <w:tcBorders>
              <w:top w:val="nil"/>
              <w:left w:val="nil"/>
              <w:bottom w:val="single" w:sz="4" w:space="0" w:color="auto"/>
              <w:right w:val="single" w:sz="4" w:space="0" w:color="auto"/>
            </w:tcBorders>
            <w:shd w:val="clear" w:color="auto" w:fill="C6EFCE"/>
            <w:noWrap/>
            <w:vAlign w:val="center"/>
          </w:tcPr>
          <w:p w14:paraId="76B6FBC8" w14:textId="77777777" w:rsidR="00C972CB" w:rsidRDefault="002457F6">
            <w:pPr>
              <w:pStyle w:val="P68B1DB1-Normal12"/>
              <w:jc w:val="center"/>
              <w:rPr>
                <w:noProof/>
              </w:rPr>
            </w:pPr>
            <w:r>
              <w:rPr>
                <w:noProof/>
              </w:rPr>
              <w:t>Ieguldījums 1.6.2. — Tieslietu ministrijas digitalizācija</w:t>
            </w:r>
          </w:p>
        </w:tc>
        <w:tc>
          <w:tcPr>
            <w:tcW w:w="1438" w:type="dxa"/>
            <w:tcBorders>
              <w:top w:val="nil"/>
              <w:left w:val="nil"/>
              <w:bottom w:val="single" w:sz="4" w:space="0" w:color="auto"/>
              <w:right w:val="single" w:sz="4" w:space="0" w:color="auto"/>
            </w:tcBorders>
            <w:shd w:val="clear" w:color="auto" w:fill="C6EFCE"/>
            <w:noWrap/>
            <w:vAlign w:val="center"/>
          </w:tcPr>
          <w:p w14:paraId="64E61A98"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6A972BA2" w14:textId="77777777" w:rsidR="00C972CB" w:rsidRDefault="002457F6">
            <w:pPr>
              <w:pStyle w:val="P68B1DB1-Normal12"/>
              <w:jc w:val="center"/>
              <w:rPr>
                <w:noProof/>
              </w:rPr>
            </w:pPr>
            <w:r>
              <w:rPr>
                <w:noProof/>
              </w:rPr>
              <w:t xml:space="preserve">Tiesu datu ezera </w:t>
            </w:r>
            <w:r>
              <w:rPr>
                <w:noProof/>
              </w:rPr>
              <w:t>zināšanu sistēmas T1</w:t>
            </w:r>
          </w:p>
        </w:tc>
      </w:tr>
      <w:tr w:rsidR="00C972CB" w14:paraId="617147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D42CA" w14:textId="77777777" w:rsidR="00C972CB" w:rsidRDefault="002457F6">
            <w:pPr>
              <w:pStyle w:val="P68B1DB1-Normal12"/>
              <w:jc w:val="center"/>
              <w:rPr>
                <w:noProof/>
              </w:rPr>
            </w:pPr>
            <w:r>
              <w:rPr>
                <w:noProof/>
              </w:rPr>
              <w:t>M1C1–132</w:t>
            </w:r>
          </w:p>
        </w:tc>
        <w:tc>
          <w:tcPr>
            <w:tcW w:w="3195" w:type="dxa"/>
            <w:tcBorders>
              <w:top w:val="nil"/>
              <w:left w:val="nil"/>
              <w:bottom w:val="single" w:sz="4" w:space="0" w:color="auto"/>
              <w:right w:val="single" w:sz="4" w:space="0" w:color="auto"/>
            </w:tcBorders>
            <w:shd w:val="clear" w:color="auto" w:fill="C6EFCE"/>
            <w:noWrap/>
            <w:vAlign w:val="center"/>
          </w:tcPr>
          <w:p w14:paraId="15281567" w14:textId="77777777" w:rsidR="00C972CB" w:rsidRDefault="002457F6">
            <w:pPr>
              <w:pStyle w:val="P68B1DB1-Normal12"/>
              <w:jc w:val="center"/>
              <w:rPr>
                <w:noProof/>
              </w:rPr>
            </w:pPr>
            <w:r>
              <w:rPr>
                <w:noProof/>
              </w:rPr>
              <w:t>Ieguldījums 1.6.3. — Valsts sociālā nodrošinājuma institūta (INPS) un Valsts apdrošināšanas institūta pret nelaimes gadījumiem darbā (INAIL) digitalizācija</w:t>
            </w:r>
          </w:p>
        </w:tc>
        <w:tc>
          <w:tcPr>
            <w:tcW w:w="1438" w:type="dxa"/>
            <w:tcBorders>
              <w:top w:val="nil"/>
              <w:left w:val="nil"/>
              <w:bottom w:val="single" w:sz="4" w:space="0" w:color="auto"/>
              <w:right w:val="single" w:sz="4" w:space="0" w:color="auto"/>
            </w:tcBorders>
            <w:shd w:val="clear" w:color="auto" w:fill="C6EFCE"/>
            <w:noWrap/>
            <w:vAlign w:val="center"/>
          </w:tcPr>
          <w:p w14:paraId="3DC9D7FA"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036F5735" w14:textId="77777777" w:rsidR="00C972CB" w:rsidRDefault="002457F6">
            <w:pPr>
              <w:pStyle w:val="P68B1DB1-Normal12"/>
              <w:jc w:val="center"/>
              <w:rPr>
                <w:noProof/>
              </w:rPr>
            </w:pPr>
            <w:r>
              <w:rPr>
                <w:noProof/>
              </w:rPr>
              <w:t>INPS — “Viens klikšķis pēc izstrādes” pakalpojumi/saturs T2</w:t>
            </w:r>
          </w:p>
        </w:tc>
      </w:tr>
      <w:tr w:rsidR="00C972CB" w14:paraId="62D9F1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CBED6A" w14:textId="77777777" w:rsidR="00C972CB" w:rsidRDefault="002457F6">
            <w:pPr>
              <w:pStyle w:val="P68B1DB1-Normal12"/>
              <w:jc w:val="center"/>
              <w:rPr>
                <w:noProof/>
              </w:rPr>
            </w:pPr>
            <w:r>
              <w:rPr>
                <w:noProof/>
              </w:rPr>
              <w:t>M1</w:t>
            </w:r>
            <w:r>
              <w:rPr>
                <w:noProof/>
              </w:rPr>
              <w:t>C1–133</w:t>
            </w:r>
          </w:p>
        </w:tc>
        <w:tc>
          <w:tcPr>
            <w:tcW w:w="3195" w:type="dxa"/>
            <w:tcBorders>
              <w:top w:val="nil"/>
              <w:left w:val="nil"/>
              <w:bottom w:val="single" w:sz="4" w:space="0" w:color="auto"/>
              <w:right w:val="single" w:sz="4" w:space="0" w:color="auto"/>
            </w:tcBorders>
            <w:shd w:val="clear" w:color="auto" w:fill="C6EFCE"/>
            <w:noWrap/>
            <w:vAlign w:val="center"/>
          </w:tcPr>
          <w:p w14:paraId="175FD68C" w14:textId="77777777" w:rsidR="00C972CB" w:rsidRDefault="002457F6">
            <w:pPr>
              <w:pStyle w:val="P68B1DB1-Normal12"/>
              <w:jc w:val="center"/>
              <w:rPr>
                <w:noProof/>
              </w:rPr>
            </w:pPr>
            <w:r>
              <w:rPr>
                <w:noProof/>
              </w:rPr>
              <w:t>Ieguldījums 1.6.3. — Valsts sociālā nodrošinājuma institūta (INPS) un Valsts apdrošināšanas institūta pret nelaimes gadījumiem darbā (INAIL) digitalizācija</w:t>
            </w:r>
          </w:p>
        </w:tc>
        <w:tc>
          <w:tcPr>
            <w:tcW w:w="1438" w:type="dxa"/>
            <w:tcBorders>
              <w:top w:val="nil"/>
              <w:left w:val="nil"/>
              <w:bottom w:val="single" w:sz="4" w:space="0" w:color="auto"/>
              <w:right w:val="single" w:sz="4" w:space="0" w:color="auto"/>
            </w:tcBorders>
            <w:shd w:val="clear" w:color="auto" w:fill="C6EFCE"/>
            <w:noWrap/>
            <w:vAlign w:val="center"/>
          </w:tcPr>
          <w:p w14:paraId="52B686EF"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3F636301" w14:textId="77777777" w:rsidR="00C972CB" w:rsidRDefault="002457F6">
            <w:pPr>
              <w:pStyle w:val="P68B1DB1-Normal12"/>
              <w:jc w:val="center"/>
              <w:rPr>
                <w:noProof/>
              </w:rPr>
            </w:pPr>
            <w:r>
              <w:rPr>
                <w:noProof/>
              </w:rPr>
              <w:t xml:space="preserve">INPS — Darba ņēmēji ar uzlabotām informācijas un komunikācijas tehnoloģiju (IKT) </w:t>
            </w:r>
            <w:r>
              <w:rPr>
                <w:noProof/>
              </w:rPr>
              <w:t>prasmēm T2</w:t>
            </w:r>
          </w:p>
        </w:tc>
      </w:tr>
      <w:tr w:rsidR="00C972CB" w14:paraId="761266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15C143" w14:textId="77777777" w:rsidR="00C972CB" w:rsidRDefault="002457F6">
            <w:pPr>
              <w:pStyle w:val="P68B1DB1-Normal12"/>
              <w:jc w:val="center"/>
              <w:rPr>
                <w:noProof/>
              </w:rPr>
            </w:pPr>
            <w:r>
              <w:rPr>
                <w:noProof/>
              </w:rPr>
              <w:t>M1C1–134</w:t>
            </w:r>
          </w:p>
        </w:tc>
        <w:tc>
          <w:tcPr>
            <w:tcW w:w="3195" w:type="dxa"/>
            <w:tcBorders>
              <w:top w:val="nil"/>
              <w:left w:val="nil"/>
              <w:bottom w:val="single" w:sz="4" w:space="0" w:color="auto"/>
              <w:right w:val="single" w:sz="4" w:space="0" w:color="auto"/>
            </w:tcBorders>
            <w:shd w:val="clear" w:color="auto" w:fill="C6EFCE"/>
            <w:noWrap/>
            <w:vAlign w:val="center"/>
          </w:tcPr>
          <w:p w14:paraId="03A402E8" w14:textId="77777777" w:rsidR="00C972CB" w:rsidRDefault="002457F6">
            <w:pPr>
              <w:pStyle w:val="P68B1DB1-Normal12"/>
              <w:jc w:val="center"/>
              <w:rPr>
                <w:noProof/>
              </w:rPr>
            </w:pPr>
            <w:r>
              <w:rPr>
                <w:noProof/>
              </w:rPr>
              <w:t>Ieguldījums 1.6.3. — Valsts sociālā nodrošinājuma institūta (INPS) un Valsts apdrošināšanas institūta pret nelaimes gadījumiem darbā (INAIL) digitalizācija</w:t>
            </w:r>
          </w:p>
        </w:tc>
        <w:tc>
          <w:tcPr>
            <w:tcW w:w="1438" w:type="dxa"/>
            <w:tcBorders>
              <w:top w:val="nil"/>
              <w:left w:val="nil"/>
              <w:bottom w:val="single" w:sz="4" w:space="0" w:color="auto"/>
              <w:right w:val="single" w:sz="4" w:space="0" w:color="auto"/>
            </w:tcBorders>
            <w:shd w:val="clear" w:color="auto" w:fill="C6EFCE"/>
            <w:noWrap/>
            <w:vAlign w:val="center"/>
          </w:tcPr>
          <w:p w14:paraId="46103069"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761DF379" w14:textId="77777777" w:rsidR="00C972CB" w:rsidRDefault="002457F6">
            <w:pPr>
              <w:pStyle w:val="P68B1DB1-Normal12"/>
              <w:jc w:val="center"/>
              <w:rPr>
                <w:noProof/>
              </w:rPr>
            </w:pPr>
            <w:r>
              <w:rPr>
                <w:noProof/>
              </w:rPr>
              <w:t>INAIL — pilnīgi pārbūvēti un digitalizēti procesi/pakalpojumi T1</w:t>
            </w:r>
          </w:p>
        </w:tc>
      </w:tr>
      <w:tr w:rsidR="00C972CB" w14:paraId="4E721F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E620D1" w14:textId="77777777" w:rsidR="00C972CB" w:rsidRDefault="002457F6">
            <w:pPr>
              <w:pStyle w:val="P68B1DB1-Normal12"/>
              <w:jc w:val="center"/>
              <w:rPr>
                <w:noProof/>
              </w:rPr>
            </w:pPr>
            <w:r>
              <w:rPr>
                <w:noProof/>
              </w:rPr>
              <w:t>M1C1–13</w:t>
            </w:r>
            <w:r>
              <w:rPr>
                <w:noProof/>
              </w:rPr>
              <w:t>5</w:t>
            </w:r>
          </w:p>
        </w:tc>
        <w:tc>
          <w:tcPr>
            <w:tcW w:w="3195" w:type="dxa"/>
            <w:tcBorders>
              <w:top w:val="nil"/>
              <w:left w:val="nil"/>
              <w:bottom w:val="single" w:sz="4" w:space="0" w:color="auto"/>
              <w:right w:val="single" w:sz="4" w:space="0" w:color="auto"/>
            </w:tcBorders>
            <w:shd w:val="clear" w:color="auto" w:fill="C6EFCE"/>
            <w:noWrap/>
            <w:vAlign w:val="center"/>
          </w:tcPr>
          <w:p w14:paraId="2985B763" w14:textId="77777777" w:rsidR="00C972CB" w:rsidRDefault="002457F6">
            <w:pPr>
              <w:pStyle w:val="P68B1DB1-Normal12"/>
              <w:jc w:val="center"/>
              <w:rPr>
                <w:noProof/>
              </w:rPr>
            </w:pPr>
            <w:r>
              <w:rPr>
                <w:noProof/>
              </w:rPr>
              <w:t>Ieguldījums 1.6.4. — Aizsardzības ministrijas digitalizācija</w:t>
            </w:r>
          </w:p>
        </w:tc>
        <w:tc>
          <w:tcPr>
            <w:tcW w:w="1438" w:type="dxa"/>
            <w:tcBorders>
              <w:top w:val="nil"/>
              <w:left w:val="nil"/>
              <w:bottom w:val="single" w:sz="4" w:space="0" w:color="auto"/>
              <w:right w:val="single" w:sz="4" w:space="0" w:color="auto"/>
            </w:tcBorders>
            <w:shd w:val="clear" w:color="auto" w:fill="C6EFCE"/>
            <w:noWrap/>
            <w:vAlign w:val="center"/>
          </w:tcPr>
          <w:p w14:paraId="09D9130E"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67BCBB81" w14:textId="77777777" w:rsidR="00C972CB" w:rsidRDefault="002457F6">
            <w:pPr>
              <w:pStyle w:val="P68B1DB1-Normal12"/>
              <w:jc w:val="center"/>
              <w:rPr>
                <w:noProof/>
              </w:rPr>
            </w:pPr>
            <w:r>
              <w:rPr>
                <w:noProof/>
              </w:rPr>
              <w:t>Aizsardzības ministrija — procedūru digitalizācija T1</w:t>
            </w:r>
          </w:p>
        </w:tc>
      </w:tr>
      <w:tr w:rsidR="00C972CB" w14:paraId="1F8D21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6B15A" w14:textId="77777777" w:rsidR="00C972CB" w:rsidRDefault="002457F6">
            <w:pPr>
              <w:pStyle w:val="P68B1DB1-Normal12"/>
              <w:jc w:val="center"/>
              <w:rPr>
                <w:noProof/>
              </w:rPr>
            </w:pPr>
            <w:r>
              <w:rPr>
                <w:noProof/>
              </w:rPr>
              <w:t>M1C1–136</w:t>
            </w:r>
          </w:p>
        </w:tc>
        <w:tc>
          <w:tcPr>
            <w:tcW w:w="3195" w:type="dxa"/>
            <w:tcBorders>
              <w:top w:val="nil"/>
              <w:left w:val="nil"/>
              <w:bottom w:val="single" w:sz="4" w:space="0" w:color="auto"/>
              <w:right w:val="single" w:sz="4" w:space="0" w:color="auto"/>
            </w:tcBorders>
            <w:shd w:val="clear" w:color="auto" w:fill="C6EFCE"/>
            <w:noWrap/>
            <w:vAlign w:val="center"/>
          </w:tcPr>
          <w:p w14:paraId="666E72E7" w14:textId="77777777" w:rsidR="00C972CB" w:rsidRDefault="002457F6">
            <w:pPr>
              <w:pStyle w:val="P68B1DB1-Normal12"/>
              <w:jc w:val="center"/>
              <w:rPr>
                <w:noProof/>
              </w:rPr>
            </w:pPr>
            <w:r>
              <w:rPr>
                <w:noProof/>
              </w:rPr>
              <w:t>Ieguldījums 1.6.4. — Aizsardzības ministrijas digitalizācija</w:t>
            </w:r>
          </w:p>
        </w:tc>
        <w:tc>
          <w:tcPr>
            <w:tcW w:w="1438" w:type="dxa"/>
            <w:tcBorders>
              <w:top w:val="nil"/>
              <w:left w:val="nil"/>
              <w:bottom w:val="single" w:sz="4" w:space="0" w:color="auto"/>
              <w:right w:val="single" w:sz="4" w:space="0" w:color="auto"/>
            </w:tcBorders>
            <w:shd w:val="clear" w:color="auto" w:fill="C6EFCE"/>
            <w:noWrap/>
            <w:vAlign w:val="center"/>
          </w:tcPr>
          <w:p w14:paraId="363B0460"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1123A567" w14:textId="77777777" w:rsidR="00C972CB" w:rsidRDefault="002457F6">
            <w:pPr>
              <w:pStyle w:val="P68B1DB1-Normal12"/>
              <w:jc w:val="center"/>
              <w:rPr>
                <w:noProof/>
              </w:rPr>
            </w:pPr>
            <w:r>
              <w:rPr>
                <w:noProof/>
              </w:rPr>
              <w:t>Aizsardzības ministrija — sertifikātu digitalizācija T1</w:t>
            </w:r>
          </w:p>
        </w:tc>
      </w:tr>
      <w:tr w:rsidR="00C972CB" w14:paraId="61B9A2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51F212" w14:textId="77777777" w:rsidR="00C972CB" w:rsidRDefault="002457F6">
            <w:pPr>
              <w:pStyle w:val="P68B1DB1-Normal12"/>
              <w:jc w:val="center"/>
              <w:rPr>
                <w:noProof/>
              </w:rPr>
            </w:pPr>
            <w:r>
              <w:rPr>
                <w:noProof/>
              </w:rPr>
              <w:t>M1C1–137</w:t>
            </w:r>
          </w:p>
        </w:tc>
        <w:tc>
          <w:tcPr>
            <w:tcW w:w="3195" w:type="dxa"/>
            <w:tcBorders>
              <w:top w:val="nil"/>
              <w:left w:val="nil"/>
              <w:bottom w:val="single" w:sz="4" w:space="0" w:color="auto"/>
              <w:right w:val="single" w:sz="4" w:space="0" w:color="auto"/>
            </w:tcBorders>
            <w:shd w:val="clear" w:color="auto" w:fill="C6EFCE"/>
            <w:noWrap/>
            <w:vAlign w:val="center"/>
          </w:tcPr>
          <w:p w14:paraId="56C0588E" w14:textId="77777777" w:rsidR="00C972CB" w:rsidRDefault="002457F6">
            <w:pPr>
              <w:pStyle w:val="P68B1DB1-Normal12"/>
              <w:jc w:val="center"/>
              <w:rPr>
                <w:noProof/>
              </w:rPr>
            </w:pPr>
            <w:r>
              <w:rPr>
                <w:noProof/>
              </w:rPr>
              <w:t>Ieguldījums 1.6.4. — Aizsardzības ministrijas digitalizācija</w:t>
            </w:r>
          </w:p>
        </w:tc>
        <w:tc>
          <w:tcPr>
            <w:tcW w:w="1438" w:type="dxa"/>
            <w:tcBorders>
              <w:top w:val="nil"/>
              <w:left w:val="nil"/>
              <w:bottom w:val="single" w:sz="4" w:space="0" w:color="auto"/>
              <w:right w:val="single" w:sz="4" w:space="0" w:color="auto"/>
            </w:tcBorders>
            <w:shd w:val="clear" w:color="auto" w:fill="C6EFCE"/>
            <w:noWrap/>
            <w:vAlign w:val="center"/>
          </w:tcPr>
          <w:p w14:paraId="2C122C62"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503D7B8D" w14:textId="77777777" w:rsidR="00C972CB" w:rsidRDefault="002457F6">
            <w:pPr>
              <w:pStyle w:val="P68B1DB1-Normal12"/>
              <w:jc w:val="center"/>
              <w:rPr>
                <w:noProof/>
              </w:rPr>
            </w:pPr>
            <w:r>
              <w:rPr>
                <w:noProof/>
              </w:rPr>
              <w:t>Aizsardzības ministrija — institucionālo tīmekļa portālu un iekštīkla portālu nodošana ekspluatācijā</w:t>
            </w:r>
          </w:p>
        </w:tc>
      </w:tr>
      <w:tr w:rsidR="00C972CB" w14:paraId="6742CC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A72608" w14:textId="77777777" w:rsidR="00C972CB" w:rsidRDefault="002457F6">
            <w:pPr>
              <w:pStyle w:val="P68B1DB1-Normal12"/>
              <w:jc w:val="center"/>
              <w:rPr>
                <w:noProof/>
              </w:rPr>
            </w:pPr>
            <w:r>
              <w:rPr>
                <w:noProof/>
              </w:rPr>
              <w:t>M1C1–138</w:t>
            </w:r>
          </w:p>
        </w:tc>
        <w:tc>
          <w:tcPr>
            <w:tcW w:w="3195" w:type="dxa"/>
            <w:tcBorders>
              <w:top w:val="nil"/>
              <w:left w:val="nil"/>
              <w:bottom w:val="single" w:sz="4" w:space="0" w:color="auto"/>
              <w:right w:val="single" w:sz="4" w:space="0" w:color="auto"/>
            </w:tcBorders>
            <w:shd w:val="clear" w:color="auto" w:fill="C6EFCE"/>
            <w:noWrap/>
            <w:vAlign w:val="center"/>
          </w:tcPr>
          <w:p w14:paraId="0C6AC40C" w14:textId="77777777" w:rsidR="00C972CB" w:rsidRDefault="002457F6">
            <w:pPr>
              <w:pStyle w:val="P68B1DB1-Normal12"/>
              <w:jc w:val="center"/>
              <w:rPr>
                <w:noProof/>
              </w:rPr>
            </w:pPr>
            <w:r>
              <w:rPr>
                <w:noProof/>
              </w:rPr>
              <w:t>Ieguldījums 1.6.4. — Aizsardzības ministrijas digitalizā</w:t>
            </w:r>
            <w:r>
              <w:rPr>
                <w:noProof/>
              </w:rPr>
              <w:t>cija</w:t>
            </w:r>
          </w:p>
        </w:tc>
        <w:tc>
          <w:tcPr>
            <w:tcW w:w="1438" w:type="dxa"/>
            <w:tcBorders>
              <w:top w:val="nil"/>
              <w:left w:val="nil"/>
              <w:bottom w:val="single" w:sz="4" w:space="0" w:color="auto"/>
              <w:right w:val="single" w:sz="4" w:space="0" w:color="auto"/>
            </w:tcBorders>
            <w:shd w:val="clear" w:color="auto" w:fill="C6EFCE"/>
            <w:noWrap/>
            <w:vAlign w:val="center"/>
          </w:tcPr>
          <w:p w14:paraId="76EFAA3E"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6362FAF7" w14:textId="77777777" w:rsidR="00C972CB" w:rsidRDefault="002457F6">
            <w:pPr>
              <w:pStyle w:val="P68B1DB1-Normal12"/>
              <w:jc w:val="center"/>
              <w:rPr>
                <w:noProof/>
              </w:rPr>
            </w:pPr>
            <w:r>
              <w:rPr>
                <w:noProof/>
              </w:rPr>
              <w:t>Aizsardzības ministrija — Nemisijas kritiski svarīgu lietotņu migrācija uz risinājumu informācijas aizsardzības pabeigšanai, izmantojot infrastruktūras atklātību (S.C.I.P.I.I.O.) T1</w:t>
            </w:r>
          </w:p>
        </w:tc>
      </w:tr>
      <w:tr w:rsidR="00C972CB" w14:paraId="4E0F07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9A9492" w14:textId="77777777" w:rsidR="00C972CB" w:rsidRDefault="002457F6">
            <w:pPr>
              <w:pStyle w:val="P68B1DB1-Normal12"/>
              <w:jc w:val="center"/>
              <w:rPr>
                <w:noProof/>
              </w:rPr>
            </w:pPr>
            <w:r>
              <w:rPr>
                <w:noProof/>
              </w:rPr>
              <w:t>M1C2–29</w:t>
            </w:r>
          </w:p>
        </w:tc>
        <w:tc>
          <w:tcPr>
            <w:tcW w:w="3195" w:type="dxa"/>
            <w:tcBorders>
              <w:top w:val="nil"/>
              <w:left w:val="nil"/>
              <w:bottom w:val="single" w:sz="4" w:space="0" w:color="auto"/>
              <w:right w:val="single" w:sz="4" w:space="0" w:color="auto"/>
            </w:tcBorders>
            <w:shd w:val="clear" w:color="auto" w:fill="C6EFCE"/>
            <w:noWrap/>
            <w:vAlign w:val="center"/>
          </w:tcPr>
          <w:p w14:paraId="2D425EF6" w14:textId="77777777" w:rsidR="00C972CB" w:rsidRDefault="002457F6">
            <w:pPr>
              <w:pStyle w:val="P68B1DB1-Normal12"/>
              <w:jc w:val="center"/>
              <w:rPr>
                <w:noProof/>
              </w:rPr>
            </w:pPr>
            <w:r>
              <w:rPr>
                <w:noProof/>
              </w:rPr>
              <w:t xml:space="preserve">Ieguldījums 5.2.: Piegādes ķēžu konkurētspēja un </w:t>
            </w:r>
            <w:r>
              <w:rPr>
                <w:noProof/>
              </w:rPr>
              <w:t>noturība</w:t>
            </w:r>
          </w:p>
        </w:tc>
        <w:tc>
          <w:tcPr>
            <w:tcW w:w="1438" w:type="dxa"/>
            <w:tcBorders>
              <w:top w:val="nil"/>
              <w:left w:val="nil"/>
              <w:bottom w:val="single" w:sz="4" w:space="0" w:color="auto"/>
              <w:right w:val="single" w:sz="4" w:space="0" w:color="auto"/>
            </w:tcBorders>
            <w:shd w:val="clear" w:color="auto" w:fill="C6EFCE"/>
            <w:noWrap/>
            <w:vAlign w:val="center"/>
          </w:tcPr>
          <w:p w14:paraId="6641C680"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0469131E" w14:textId="77777777" w:rsidR="00C972CB" w:rsidRDefault="002457F6">
            <w:pPr>
              <w:pStyle w:val="P68B1DB1-Normal12"/>
              <w:jc w:val="center"/>
              <w:rPr>
                <w:noProof/>
              </w:rPr>
            </w:pPr>
            <w:r>
              <w:rPr>
                <w:noProof/>
              </w:rPr>
              <w:t>Apstiprinātie attīstības līgumi</w:t>
            </w:r>
          </w:p>
        </w:tc>
      </w:tr>
      <w:tr w:rsidR="00C972CB" w14:paraId="508FE1E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A40833" w14:textId="77777777" w:rsidR="00C972CB" w:rsidRDefault="002457F6">
            <w:pPr>
              <w:pStyle w:val="P68B1DB1-Normal12"/>
              <w:jc w:val="center"/>
              <w:rPr>
                <w:noProof/>
              </w:rPr>
            </w:pPr>
            <w:r>
              <w:rPr>
                <w:noProof/>
              </w:rPr>
              <w:t>M2C1–15.bis</w:t>
            </w:r>
          </w:p>
        </w:tc>
        <w:tc>
          <w:tcPr>
            <w:tcW w:w="3195" w:type="dxa"/>
            <w:tcBorders>
              <w:top w:val="nil"/>
              <w:left w:val="nil"/>
              <w:bottom w:val="single" w:sz="4" w:space="0" w:color="auto"/>
              <w:right w:val="single" w:sz="4" w:space="0" w:color="auto"/>
            </w:tcBorders>
            <w:shd w:val="clear" w:color="auto" w:fill="C6EFCE"/>
            <w:noWrap/>
            <w:vAlign w:val="center"/>
          </w:tcPr>
          <w:p w14:paraId="7CDB5129" w14:textId="77777777" w:rsidR="00C972CB" w:rsidRDefault="002457F6">
            <w:pPr>
              <w:pStyle w:val="P68B1DB1-Normal12"/>
              <w:jc w:val="center"/>
              <w:rPr>
                <w:noProof/>
              </w:rPr>
            </w:pPr>
            <w:r>
              <w:rPr>
                <w:noProof/>
              </w:rPr>
              <w:t>Reforma. Valsts atkritumu apsaimniekošanas programma:  Ieguldījums 1.1. — Jaunu atkritumu apsaimniekošanas iekārtu ieviešana un esošo iekārtu modernizācija</w:t>
            </w:r>
          </w:p>
        </w:tc>
        <w:tc>
          <w:tcPr>
            <w:tcW w:w="1438" w:type="dxa"/>
            <w:tcBorders>
              <w:top w:val="nil"/>
              <w:left w:val="nil"/>
              <w:bottom w:val="single" w:sz="4" w:space="0" w:color="auto"/>
              <w:right w:val="single" w:sz="4" w:space="0" w:color="auto"/>
            </w:tcBorders>
            <w:shd w:val="clear" w:color="auto" w:fill="C6EFCE"/>
            <w:noWrap/>
            <w:vAlign w:val="center"/>
          </w:tcPr>
          <w:p w14:paraId="04C57A6C"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26F643B3" w14:textId="77777777" w:rsidR="00C972CB" w:rsidRDefault="002457F6">
            <w:pPr>
              <w:pStyle w:val="P68B1DB1-Normal12"/>
              <w:jc w:val="center"/>
              <w:rPr>
                <w:noProof/>
              </w:rPr>
            </w:pPr>
            <w:r>
              <w:rPr>
                <w:noProof/>
              </w:rPr>
              <w:t>Nelikumīgo atkritumu poligonu skai</w:t>
            </w:r>
            <w:r>
              <w:rPr>
                <w:noProof/>
              </w:rPr>
              <w:t>ta samazināšana (T2)</w:t>
            </w:r>
          </w:p>
        </w:tc>
      </w:tr>
      <w:tr w:rsidR="00C972CB" w14:paraId="17790C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DB07E8" w14:textId="77777777" w:rsidR="00C972CB" w:rsidRDefault="002457F6">
            <w:pPr>
              <w:pStyle w:val="P68B1DB1-Normal12"/>
              <w:jc w:val="center"/>
              <w:rPr>
                <w:noProof/>
              </w:rPr>
            </w:pPr>
            <w:r>
              <w:rPr>
                <w:noProof/>
              </w:rPr>
              <w:t>M2C1–15.ter</w:t>
            </w:r>
          </w:p>
        </w:tc>
        <w:tc>
          <w:tcPr>
            <w:tcW w:w="3195" w:type="dxa"/>
            <w:tcBorders>
              <w:top w:val="nil"/>
              <w:left w:val="nil"/>
              <w:bottom w:val="single" w:sz="4" w:space="0" w:color="auto"/>
              <w:right w:val="single" w:sz="4" w:space="0" w:color="auto"/>
            </w:tcBorders>
            <w:shd w:val="clear" w:color="auto" w:fill="C6EFCE"/>
            <w:noWrap/>
            <w:vAlign w:val="center"/>
          </w:tcPr>
          <w:p w14:paraId="7FCB1BB4" w14:textId="77777777" w:rsidR="00C972CB" w:rsidRDefault="002457F6">
            <w:pPr>
              <w:pStyle w:val="P68B1DB1-Normal12"/>
              <w:jc w:val="center"/>
              <w:rPr>
                <w:noProof/>
              </w:rPr>
            </w:pPr>
            <w:r>
              <w:rPr>
                <w:noProof/>
              </w:rPr>
              <w:t>Reforma. Valsts atkritumu apsaimniekošanas programma:  Ieguldījums 1.1. — Jaunu atkritumu apsaimniekošanas iekārtu ieviešana un esošo iekārtu modernizācija</w:t>
            </w:r>
          </w:p>
        </w:tc>
        <w:tc>
          <w:tcPr>
            <w:tcW w:w="1438" w:type="dxa"/>
            <w:tcBorders>
              <w:top w:val="nil"/>
              <w:left w:val="nil"/>
              <w:bottom w:val="single" w:sz="4" w:space="0" w:color="auto"/>
              <w:right w:val="single" w:sz="4" w:space="0" w:color="auto"/>
            </w:tcBorders>
            <w:shd w:val="clear" w:color="auto" w:fill="C6EFCE"/>
            <w:noWrap/>
            <w:vAlign w:val="center"/>
          </w:tcPr>
          <w:p w14:paraId="2DF2D316"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5798AEDC" w14:textId="77777777" w:rsidR="00C972CB" w:rsidRDefault="002457F6">
            <w:pPr>
              <w:pStyle w:val="P68B1DB1-Normal12"/>
              <w:jc w:val="center"/>
              <w:rPr>
                <w:noProof/>
              </w:rPr>
            </w:pPr>
            <w:r>
              <w:rPr>
                <w:noProof/>
              </w:rPr>
              <w:t>Reģionālās atšķirības dalītajā savākšanā</w:t>
            </w:r>
          </w:p>
        </w:tc>
      </w:tr>
      <w:tr w:rsidR="00C972CB" w14:paraId="3668DB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EC2CD9" w14:textId="77777777" w:rsidR="00C972CB" w:rsidRDefault="002457F6">
            <w:pPr>
              <w:pStyle w:val="P68B1DB1-Normal12"/>
              <w:jc w:val="center"/>
              <w:rPr>
                <w:noProof/>
              </w:rPr>
            </w:pPr>
            <w:r>
              <w:rPr>
                <w:noProof/>
              </w:rPr>
              <w:t>M2C1–15 ceturtd.</w:t>
            </w:r>
          </w:p>
        </w:tc>
        <w:tc>
          <w:tcPr>
            <w:tcW w:w="3195" w:type="dxa"/>
            <w:tcBorders>
              <w:top w:val="nil"/>
              <w:left w:val="nil"/>
              <w:bottom w:val="single" w:sz="4" w:space="0" w:color="auto"/>
              <w:right w:val="single" w:sz="4" w:space="0" w:color="auto"/>
            </w:tcBorders>
            <w:shd w:val="clear" w:color="auto" w:fill="C6EFCE"/>
            <w:noWrap/>
            <w:vAlign w:val="center"/>
          </w:tcPr>
          <w:p w14:paraId="148152A8" w14:textId="77777777" w:rsidR="00C972CB" w:rsidRDefault="002457F6">
            <w:pPr>
              <w:pStyle w:val="P68B1DB1-Normal12"/>
              <w:jc w:val="center"/>
              <w:rPr>
                <w:noProof/>
              </w:rPr>
            </w:pPr>
            <w:r>
              <w:rPr>
                <w:noProof/>
              </w:rPr>
              <w:t>Ieguldījums 1.1. — Jaunu atkritumu apsaimniekošanas iekārtu ieviešana un esošo iekārtu modernizācija</w:t>
            </w:r>
          </w:p>
        </w:tc>
        <w:tc>
          <w:tcPr>
            <w:tcW w:w="1438" w:type="dxa"/>
            <w:tcBorders>
              <w:top w:val="nil"/>
              <w:left w:val="nil"/>
              <w:bottom w:val="single" w:sz="4" w:space="0" w:color="auto"/>
              <w:right w:val="single" w:sz="4" w:space="0" w:color="auto"/>
            </w:tcBorders>
            <w:shd w:val="clear" w:color="auto" w:fill="C6EFCE"/>
            <w:noWrap/>
            <w:vAlign w:val="center"/>
          </w:tcPr>
          <w:p w14:paraId="404CB7FF"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5A3B779E" w14:textId="77777777" w:rsidR="00C972CB" w:rsidRDefault="002457F6">
            <w:pPr>
              <w:pStyle w:val="P68B1DB1-Normal12"/>
              <w:jc w:val="center"/>
              <w:rPr>
                <w:noProof/>
              </w:rPr>
            </w:pPr>
            <w:r>
              <w:rPr>
                <w:noProof/>
              </w:rPr>
              <w:t>Bioatkritumu dalītas savākšanas pienākuma stāšanās spēkā</w:t>
            </w:r>
          </w:p>
        </w:tc>
      </w:tr>
      <w:tr w:rsidR="00C972CB" w14:paraId="112448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084A2" w14:textId="77777777" w:rsidR="00C972CB" w:rsidRDefault="002457F6">
            <w:pPr>
              <w:pStyle w:val="P68B1DB1-Normal12"/>
              <w:jc w:val="center"/>
              <w:rPr>
                <w:noProof/>
              </w:rPr>
            </w:pPr>
            <w:r>
              <w:rPr>
                <w:noProof/>
              </w:rPr>
              <w:t>M2C2–32</w:t>
            </w:r>
          </w:p>
        </w:tc>
        <w:tc>
          <w:tcPr>
            <w:tcW w:w="3195" w:type="dxa"/>
            <w:tcBorders>
              <w:top w:val="nil"/>
              <w:left w:val="nil"/>
              <w:bottom w:val="single" w:sz="4" w:space="0" w:color="auto"/>
              <w:right w:val="single" w:sz="4" w:space="0" w:color="auto"/>
            </w:tcBorders>
            <w:shd w:val="clear" w:color="auto" w:fill="C6EFCE"/>
            <w:noWrap/>
            <w:vAlign w:val="center"/>
          </w:tcPr>
          <w:p w14:paraId="61DD3F40" w14:textId="77777777" w:rsidR="00C972CB" w:rsidRDefault="002457F6">
            <w:pPr>
              <w:pStyle w:val="P68B1DB1-Normal12"/>
              <w:jc w:val="center"/>
              <w:rPr>
                <w:noProof/>
              </w:rPr>
            </w:pPr>
            <w:r>
              <w:rPr>
                <w:noProof/>
              </w:rPr>
              <w:t xml:space="preserve">Ieguldījums 4.4.1.: Reģionālā sabiedriskā transporta autobusu parka </w:t>
            </w:r>
            <w:r>
              <w:rPr>
                <w:noProof/>
              </w:rPr>
              <w:t>stiprināšana ar bezemisiju mazemisiju autobusiem</w:t>
            </w:r>
          </w:p>
        </w:tc>
        <w:tc>
          <w:tcPr>
            <w:tcW w:w="1438" w:type="dxa"/>
            <w:tcBorders>
              <w:top w:val="nil"/>
              <w:left w:val="nil"/>
              <w:bottom w:val="single" w:sz="4" w:space="0" w:color="auto"/>
              <w:right w:val="single" w:sz="4" w:space="0" w:color="auto"/>
            </w:tcBorders>
            <w:shd w:val="clear" w:color="auto" w:fill="C6EFCE"/>
            <w:noWrap/>
            <w:vAlign w:val="center"/>
          </w:tcPr>
          <w:p w14:paraId="7FD05296"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75FD4A9C" w14:textId="77777777" w:rsidR="00C972CB" w:rsidRDefault="002457F6">
            <w:pPr>
              <w:pStyle w:val="P68B1DB1-Normal12"/>
              <w:jc w:val="center"/>
              <w:rPr>
                <w:noProof/>
              </w:rPr>
            </w:pPr>
            <w:r>
              <w:rPr>
                <w:noProof/>
              </w:rPr>
              <w:t>Visu publiskā iepirkuma līgumu slēgšanas tiesību piešķiršana reģionālā sabiedriskā transporta autobusu parka stiprināšanai ar bezemisiju mazemisiju autobusiem</w:t>
            </w:r>
          </w:p>
        </w:tc>
      </w:tr>
      <w:tr w:rsidR="00C972CB" w14:paraId="14AE07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F553D0" w14:textId="77777777" w:rsidR="00C972CB" w:rsidRDefault="002457F6">
            <w:pPr>
              <w:pStyle w:val="P68B1DB1-Normal12"/>
              <w:jc w:val="center"/>
              <w:rPr>
                <w:noProof/>
              </w:rPr>
            </w:pPr>
            <w:r>
              <w:rPr>
                <w:noProof/>
              </w:rPr>
              <w:t>M2C3–7</w:t>
            </w:r>
          </w:p>
        </w:tc>
        <w:tc>
          <w:tcPr>
            <w:tcW w:w="3195" w:type="dxa"/>
            <w:tcBorders>
              <w:top w:val="nil"/>
              <w:left w:val="nil"/>
              <w:bottom w:val="single" w:sz="4" w:space="0" w:color="auto"/>
              <w:right w:val="single" w:sz="4" w:space="0" w:color="auto"/>
            </w:tcBorders>
            <w:shd w:val="clear" w:color="auto" w:fill="C6EFCE"/>
            <w:noWrap/>
            <w:vAlign w:val="center"/>
          </w:tcPr>
          <w:p w14:paraId="599D16BF" w14:textId="77777777" w:rsidR="00C972CB" w:rsidRDefault="002457F6">
            <w:pPr>
              <w:pStyle w:val="P68B1DB1-Normal12"/>
              <w:jc w:val="center"/>
              <w:rPr>
                <w:noProof/>
              </w:rPr>
            </w:pPr>
            <w:r>
              <w:rPr>
                <w:noProof/>
              </w:rPr>
              <w:t xml:space="preserve">Ieguldījums 1.2.- Ēku </w:t>
            </w:r>
            <w:r>
              <w:rPr>
                <w:noProof/>
              </w:rPr>
              <w:t>būvniecība, nekustamā īpašuma aktīvu pārkvalificēšana un nostiprināšana tiesvedības jomā</w:t>
            </w:r>
          </w:p>
        </w:tc>
        <w:tc>
          <w:tcPr>
            <w:tcW w:w="1438" w:type="dxa"/>
            <w:tcBorders>
              <w:top w:val="nil"/>
              <w:left w:val="nil"/>
              <w:bottom w:val="single" w:sz="4" w:space="0" w:color="auto"/>
              <w:right w:val="single" w:sz="4" w:space="0" w:color="auto"/>
            </w:tcBorders>
            <w:shd w:val="clear" w:color="auto" w:fill="C6EFCE"/>
            <w:noWrap/>
            <w:vAlign w:val="center"/>
          </w:tcPr>
          <w:p w14:paraId="7A7E8276"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625FEA57" w14:textId="77777777" w:rsidR="00C972CB" w:rsidRDefault="002457F6">
            <w:pPr>
              <w:pStyle w:val="P68B1DB1-Normal12"/>
              <w:jc w:val="center"/>
              <w:rPr>
                <w:noProof/>
              </w:rPr>
            </w:pPr>
            <w:r>
              <w:rPr>
                <w:noProof/>
              </w:rPr>
              <w:t xml:space="preserve">Līgumslēdzēja iestāde pēc publiskā iepirkuma procedūras paraksta visu publisko līgumu slēgšanas tiesību piešķiršanu par jaunu ēku būvniecību, </w:t>
            </w:r>
            <w:r>
              <w:rPr>
                <w:noProof/>
              </w:rPr>
              <w:t>pārkvalificēšanu un nostiprināšanu, kas saistīti ar tiesas spriešanu.</w:t>
            </w:r>
          </w:p>
        </w:tc>
      </w:tr>
      <w:tr w:rsidR="00C972CB" w14:paraId="3D9097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FDE25" w14:textId="77777777" w:rsidR="00C972CB" w:rsidRDefault="002457F6">
            <w:pPr>
              <w:pStyle w:val="P68B1DB1-Normal12"/>
              <w:jc w:val="center"/>
              <w:rPr>
                <w:noProof/>
              </w:rPr>
            </w:pPr>
            <w:r>
              <w:rPr>
                <w:noProof/>
              </w:rPr>
              <w:t>M2C4–33</w:t>
            </w:r>
          </w:p>
        </w:tc>
        <w:tc>
          <w:tcPr>
            <w:tcW w:w="3195" w:type="dxa"/>
            <w:tcBorders>
              <w:top w:val="nil"/>
              <w:left w:val="nil"/>
              <w:bottom w:val="single" w:sz="4" w:space="0" w:color="auto"/>
              <w:right w:val="single" w:sz="4" w:space="0" w:color="auto"/>
            </w:tcBorders>
            <w:shd w:val="clear" w:color="auto" w:fill="C6EFCE"/>
            <w:noWrap/>
            <w:vAlign w:val="center"/>
          </w:tcPr>
          <w:p w14:paraId="5A0A2C66" w14:textId="77777777" w:rsidR="00C972CB" w:rsidRDefault="002457F6">
            <w:pPr>
              <w:pStyle w:val="P68B1DB1-Normal12"/>
              <w:jc w:val="center"/>
              <w:rPr>
                <w:noProof/>
              </w:rPr>
            </w:pPr>
            <w:r>
              <w:rPr>
                <w:noProof/>
              </w:rPr>
              <w:t>Ieguldījums 4.3. Ieguldījumi apūdeņošanas agrosistēmas noturībā labākai ūdens resursu apsaimniekošanai</w:t>
            </w:r>
          </w:p>
        </w:tc>
        <w:tc>
          <w:tcPr>
            <w:tcW w:w="1438" w:type="dxa"/>
            <w:tcBorders>
              <w:top w:val="nil"/>
              <w:left w:val="nil"/>
              <w:bottom w:val="single" w:sz="4" w:space="0" w:color="auto"/>
              <w:right w:val="single" w:sz="4" w:space="0" w:color="auto"/>
            </w:tcBorders>
            <w:shd w:val="clear" w:color="auto" w:fill="C6EFCE"/>
            <w:noWrap/>
            <w:vAlign w:val="center"/>
          </w:tcPr>
          <w:p w14:paraId="535621BD"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2A5943F3" w14:textId="77777777" w:rsidR="00C972CB" w:rsidRDefault="002457F6">
            <w:pPr>
              <w:pStyle w:val="P68B1DB1-Normal12"/>
              <w:jc w:val="center"/>
              <w:rPr>
                <w:noProof/>
              </w:rPr>
            </w:pPr>
            <w:r>
              <w:rPr>
                <w:noProof/>
              </w:rPr>
              <w:t>Visu publiskā iepirkuma līgumu slēgšanas tiesību piešķir</w:t>
            </w:r>
            <w:r>
              <w:rPr>
                <w:noProof/>
              </w:rPr>
              <w:t>šana apūdeņošanas agrosistēmas noturībai labākai ūdens resursu apsaimniekošanai</w:t>
            </w:r>
          </w:p>
        </w:tc>
      </w:tr>
      <w:tr w:rsidR="00C972CB" w14:paraId="75A376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1A5C6" w14:textId="77777777" w:rsidR="00C972CB" w:rsidRDefault="002457F6">
            <w:pPr>
              <w:pStyle w:val="P68B1DB1-Normal12"/>
              <w:jc w:val="center"/>
              <w:rPr>
                <w:noProof/>
              </w:rPr>
            </w:pPr>
            <w:r>
              <w:rPr>
                <w:noProof/>
              </w:rPr>
              <w:t>M2C4–36</w:t>
            </w:r>
          </w:p>
        </w:tc>
        <w:tc>
          <w:tcPr>
            <w:tcW w:w="3195" w:type="dxa"/>
            <w:tcBorders>
              <w:top w:val="nil"/>
              <w:left w:val="nil"/>
              <w:bottom w:val="single" w:sz="4" w:space="0" w:color="auto"/>
              <w:right w:val="single" w:sz="4" w:space="0" w:color="auto"/>
            </w:tcBorders>
            <w:shd w:val="clear" w:color="auto" w:fill="C6EFCE"/>
            <w:noWrap/>
            <w:vAlign w:val="center"/>
          </w:tcPr>
          <w:p w14:paraId="1311A2AE" w14:textId="77777777" w:rsidR="00C972CB" w:rsidRDefault="002457F6">
            <w:pPr>
              <w:pStyle w:val="P68B1DB1-Normal12"/>
              <w:jc w:val="center"/>
              <w:rPr>
                <w:noProof/>
              </w:rPr>
            </w:pPr>
            <w:r>
              <w:rPr>
                <w:noProof/>
              </w:rPr>
              <w:t>Ieguldījums 4.4. Ieguldījumi kanalizācijā un attīrīšanā</w:t>
            </w:r>
          </w:p>
        </w:tc>
        <w:tc>
          <w:tcPr>
            <w:tcW w:w="1438" w:type="dxa"/>
            <w:tcBorders>
              <w:top w:val="nil"/>
              <w:left w:val="nil"/>
              <w:bottom w:val="single" w:sz="4" w:space="0" w:color="auto"/>
              <w:right w:val="single" w:sz="4" w:space="0" w:color="auto"/>
            </w:tcBorders>
            <w:shd w:val="clear" w:color="auto" w:fill="C6EFCE"/>
            <w:noWrap/>
            <w:vAlign w:val="center"/>
          </w:tcPr>
          <w:p w14:paraId="269AA988"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1666825A" w14:textId="77777777" w:rsidR="00C972CB" w:rsidRDefault="002457F6">
            <w:pPr>
              <w:pStyle w:val="P68B1DB1-Normal12"/>
              <w:jc w:val="center"/>
              <w:rPr>
                <w:noProof/>
              </w:rPr>
            </w:pPr>
            <w:r>
              <w:rPr>
                <w:noProof/>
              </w:rPr>
              <w:t>Visu publiskā iepirkuma līgumu slēgšanas tiesību piešķiršana kanalizācijas un attīrīšanas jom</w:t>
            </w:r>
            <w:r>
              <w:rPr>
                <w:noProof/>
              </w:rPr>
              <w:t>ā</w:t>
            </w:r>
          </w:p>
        </w:tc>
      </w:tr>
      <w:tr w:rsidR="00C972CB" w14:paraId="640801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8D6F7" w14:textId="77777777" w:rsidR="00C972CB" w:rsidRDefault="002457F6">
            <w:pPr>
              <w:pStyle w:val="P68B1DB1-Normal12"/>
              <w:jc w:val="center"/>
              <w:rPr>
                <w:noProof/>
              </w:rPr>
            </w:pPr>
            <w:r>
              <w:rPr>
                <w:noProof/>
              </w:rPr>
              <w:t>M3C1–4</w:t>
            </w:r>
          </w:p>
        </w:tc>
        <w:tc>
          <w:tcPr>
            <w:tcW w:w="3195" w:type="dxa"/>
            <w:tcBorders>
              <w:top w:val="nil"/>
              <w:left w:val="nil"/>
              <w:bottom w:val="single" w:sz="4" w:space="0" w:color="auto"/>
              <w:right w:val="single" w:sz="4" w:space="0" w:color="auto"/>
            </w:tcBorders>
            <w:shd w:val="clear" w:color="auto" w:fill="C6EFCE"/>
            <w:noWrap/>
            <w:vAlign w:val="center"/>
          </w:tcPr>
          <w:p w14:paraId="575B9413" w14:textId="77777777" w:rsidR="00C972CB" w:rsidRDefault="002457F6">
            <w:pPr>
              <w:pStyle w:val="P68B1DB1-Normal12"/>
              <w:jc w:val="center"/>
              <w:rPr>
                <w:noProof/>
              </w:rPr>
            </w:pPr>
            <w:r>
              <w:rPr>
                <w:noProof/>
              </w:rPr>
              <w:t>Ieguldījums 1.1 — ātrgaitas dzelzceļa savienojumi ar dienvidiem pasažieru un kravu pārvadājumiem</w:t>
            </w:r>
          </w:p>
        </w:tc>
        <w:tc>
          <w:tcPr>
            <w:tcW w:w="1438" w:type="dxa"/>
            <w:tcBorders>
              <w:top w:val="nil"/>
              <w:left w:val="nil"/>
              <w:bottom w:val="single" w:sz="4" w:space="0" w:color="auto"/>
              <w:right w:val="single" w:sz="4" w:space="0" w:color="auto"/>
            </w:tcBorders>
            <w:shd w:val="clear" w:color="auto" w:fill="C6EFCE"/>
            <w:noWrap/>
            <w:vAlign w:val="center"/>
          </w:tcPr>
          <w:p w14:paraId="6F4C8EA4" w14:textId="77777777" w:rsidR="00C972CB" w:rsidRDefault="002457F6">
            <w:pPr>
              <w:pStyle w:val="P68B1DB1-Normal12"/>
              <w:jc w:val="center"/>
              <w:rPr>
                <w:noProof/>
              </w:rPr>
            </w:pPr>
            <w:r>
              <w:rPr>
                <w:noProof/>
              </w:rPr>
              <w:t>Starpposma mērķis</w:t>
            </w:r>
          </w:p>
        </w:tc>
        <w:tc>
          <w:tcPr>
            <w:tcW w:w="4093" w:type="dxa"/>
            <w:tcBorders>
              <w:top w:val="nil"/>
              <w:left w:val="nil"/>
              <w:bottom w:val="single" w:sz="4" w:space="0" w:color="auto"/>
              <w:right w:val="single" w:sz="4" w:space="0" w:color="auto"/>
            </w:tcBorders>
            <w:shd w:val="clear" w:color="auto" w:fill="C6EFCE"/>
            <w:noWrap/>
            <w:vAlign w:val="center"/>
          </w:tcPr>
          <w:p w14:paraId="67091F70" w14:textId="77777777" w:rsidR="00C972CB" w:rsidRDefault="002457F6">
            <w:pPr>
              <w:pStyle w:val="P68B1DB1-Normal12"/>
              <w:jc w:val="center"/>
              <w:rPr>
                <w:noProof/>
              </w:rPr>
            </w:pPr>
            <w:r>
              <w:rPr>
                <w:noProof/>
              </w:rPr>
              <w:t>Līguma slēgšanas tiesību piešķiršana ātrgaitas dzelzceļa būvniecībai līnijās Salerno Reggio Calabria</w:t>
            </w:r>
          </w:p>
        </w:tc>
      </w:tr>
      <w:tr w:rsidR="00C972CB" w14:paraId="31CF0A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24CDDE" w14:textId="77777777" w:rsidR="00C972CB" w:rsidRDefault="002457F6">
            <w:pPr>
              <w:pStyle w:val="P68B1DB1-Normal12"/>
              <w:jc w:val="center"/>
              <w:rPr>
                <w:noProof/>
              </w:rPr>
            </w:pPr>
            <w:r>
              <w:rPr>
                <w:noProof/>
              </w:rPr>
              <w:t>M3C1–17</w:t>
            </w:r>
          </w:p>
        </w:tc>
        <w:tc>
          <w:tcPr>
            <w:tcW w:w="3195" w:type="dxa"/>
            <w:tcBorders>
              <w:top w:val="nil"/>
              <w:left w:val="nil"/>
              <w:bottom w:val="single" w:sz="4" w:space="0" w:color="auto"/>
              <w:right w:val="single" w:sz="4" w:space="0" w:color="auto"/>
            </w:tcBorders>
            <w:shd w:val="clear" w:color="auto" w:fill="C6EFCE"/>
            <w:noWrap/>
            <w:vAlign w:val="center"/>
          </w:tcPr>
          <w:p w14:paraId="78FA7A6A" w14:textId="77777777" w:rsidR="00C972CB" w:rsidRDefault="002457F6">
            <w:pPr>
              <w:pStyle w:val="P68B1DB1-Normal12"/>
              <w:jc w:val="center"/>
              <w:rPr>
                <w:noProof/>
              </w:rPr>
            </w:pPr>
            <w:r>
              <w:rPr>
                <w:noProof/>
              </w:rPr>
              <w:t xml:space="preserve">Ieguldījums 1.7. </w:t>
            </w:r>
            <w:r>
              <w:rPr>
                <w:noProof/>
              </w:rPr>
              <w:t>Dzelzceļa modernizācija, elektrifikācija un noturība dienvidos</w:t>
            </w:r>
          </w:p>
        </w:tc>
        <w:tc>
          <w:tcPr>
            <w:tcW w:w="1438" w:type="dxa"/>
            <w:tcBorders>
              <w:top w:val="nil"/>
              <w:left w:val="nil"/>
              <w:bottom w:val="single" w:sz="4" w:space="0" w:color="auto"/>
              <w:right w:val="single" w:sz="4" w:space="0" w:color="auto"/>
            </w:tcBorders>
            <w:shd w:val="clear" w:color="auto" w:fill="C6EFCE"/>
            <w:noWrap/>
            <w:vAlign w:val="center"/>
          </w:tcPr>
          <w:p w14:paraId="3C371A43" w14:textId="77777777" w:rsidR="00C972CB" w:rsidRDefault="002457F6">
            <w:pPr>
              <w:pStyle w:val="P68B1DB1-Normal12"/>
              <w:jc w:val="center"/>
              <w:rPr>
                <w:noProof/>
              </w:rPr>
            </w:pPr>
            <w:r>
              <w:rPr>
                <w:noProof/>
              </w:rPr>
              <w:t xml:space="preserve">Mērķa </w:t>
            </w:r>
          </w:p>
        </w:tc>
        <w:tc>
          <w:tcPr>
            <w:tcW w:w="4093" w:type="dxa"/>
            <w:tcBorders>
              <w:top w:val="nil"/>
              <w:left w:val="nil"/>
              <w:bottom w:val="single" w:sz="4" w:space="0" w:color="auto"/>
              <w:right w:val="single" w:sz="4" w:space="0" w:color="auto"/>
            </w:tcBorders>
            <w:shd w:val="clear" w:color="auto" w:fill="C6EFCE"/>
            <w:noWrap/>
            <w:vAlign w:val="center"/>
          </w:tcPr>
          <w:p w14:paraId="28F74998" w14:textId="77777777" w:rsidR="00C972CB" w:rsidRDefault="002457F6">
            <w:pPr>
              <w:pStyle w:val="P68B1DB1-Normal12"/>
              <w:jc w:val="center"/>
              <w:rPr>
                <w:noProof/>
              </w:rPr>
            </w:pPr>
            <w:r>
              <w:rPr>
                <w:noProof/>
              </w:rPr>
              <w:t>Pabeigti 150 km darbi, kas saistīti ar dzelzceļu modernizāciju, elektrifikāciju un noturību dienvidos, gatavi atļaujas piešķiršanai un ekspluatācijas posmiem.</w:t>
            </w:r>
          </w:p>
        </w:tc>
      </w:tr>
      <w:tr w:rsidR="00C972CB" w14:paraId="4A47B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3AF5B" w14:textId="77777777" w:rsidR="00C972CB" w:rsidRDefault="002457F6">
            <w:pPr>
              <w:pStyle w:val="P68B1DB1-Normal12"/>
              <w:jc w:val="center"/>
              <w:rPr>
                <w:noProof/>
              </w:rPr>
            </w:pPr>
            <w:r>
              <w:rPr>
                <w:noProof/>
              </w:rPr>
              <w:t xml:space="preserve">M4C2–5 </w:t>
            </w:r>
          </w:p>
        </w:tc>
        <w:tc>
          <w:tcPr>
            <w:tcW w:w="3195" w:type="dxa"/>
            <w:tcBorders>
              <w:top w:val="nil"/>
              <w:left w:val="nil"/>
              <w:bottom w:val="single" w:sz="4" w:space="0" w:color="auto"/>
              <w:right w:val="single" w:sz="4" w:space="0" w:color="auto"/>
            </w:tcBorders>
            <w:shd w:val="clear" w:color="auto" w:fill="C6EFCE"/>
            <w:noWrap/>
            <w:vAlign w:val="center"/>
          </w:tcPr>
          <w:p w14:paraId="642B386F" w14:textId="77777777" w:rsidR="00C972CB" w:rsidRDefault="002457F6">
            <w:pPr>
              <w:pStyle w:val="P68B1DB1-Normal12"/>
              <w:jc w:val="center"/>
              <w:rPr>
                <w:noProof/>
              </w:rPr>
            </w:pPr>
            <w:r>
              <w:rPr>
                <w:noProof/>
              </w:rPr>
              <w:t>Ieguldījums 1.1: V</w:t>
            </w:r>
            <w:r>
              <w:rPr>
                <w:noProof/>
              </w:rPr>
              <w:t xml:space="preserve">alsts nozīmes pētniecības projekti (PRIN) </w:t>
            </w:r>
          </w:p>
        </w:tc>
        <w:tc>
          <w:tcPr>
            <w:tcW w:w="1438" w:type="dxa"/>
            <w:tcBorders>
              <w:top w:val="nil"/>
              <w:left w:val="nil"/>
              <w:bottom w:val="single" w:sz="4" w:space="0" w:color="auto"/>
              <w:right w:val="single" w:sz="4" w:space="0" w:color="auto"/>
            </w:tcBorders>
            <w:shd w:val="clear" w:color="auto" w:fill="C6EFCE"/>
            <w:noWrap/>
            <w:vAlign w:val="center"/>
          </w:tcPr>
          <w:p w14:paraId="6920D642"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2BC89D4F" w14:textId="77777777" w:rsidR="00C972CB" w:rsidRDefault="002457F6">
            <w:pPr>
              <w:pStyle w:val="P68B1DB1-Normal12"/>
              <w:jc w:val="center"/>
              <w:rPr>
                <w:noProof/>
              </w:rPr>
            </w:pPr>
            <w:r>
              <w:rPr>
                <w:noProof/>
              </w:rPr>
              <w:t xml:space="preserve">Piešķirto pētniecības projektu skaits </w:t>
            </w:r>
          </w:p>
        </w:tc>
      </w:tr>
      <w:tr w:rsidR="00C972CB" w14:paraId="1FD734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88F619" w14:textId="77777777" w:rsidR="00C972CB" w:rsidRDefault="002457F6">
            <w:pPr>
              <w:pStyle w:val="P68B1DB1-Normal12"/>
              <w:jc w:val="center"/>
              <w:rPr>
                <w:noProof/>
              </w:rPr>
            </w:pPr>
            <w:r>
              <w:rPr>
                <w:noProof/>
              </w:rPr>
              <w:t>M6C1–8</w:t>
            </w:r>
          </w:p>
        </w:tc>
        <w:tc>
          <w:tcPr>
            <w:tcW w:w="3195" w:type="dxa"/>
            <w:tcBorders>
              <w:top w:val="nil"/>
              <w:left w:val="nil"/>
              <w:bottom w:val="single" w:sz="4" w:space="0" w:color="auto"/>
              <w:right w:val="single" w:sz="4" w:space="0" w:color="auto"/>
            </w:tcBorders>
            <w:shd w:val="clear" w:color="auto" w:fill="C6EFCE"/>
            <w:noWrap/>
            <w:vAlign w:val="center"/>
          </w:tcPr>
          <w:p w14:paraId="6D55F951" w14:textId="77777777" w:rsidR="00C972CB" w:rsidRDefault="002457F6">
            <w:pPr>
              <w:pStyle w:val="P68B1DB1-Normal12"/>
              <w:jc w:val="center"/>
              <w:rPr>
                <w:noProof/>
              </w:rPr>
            </w:pPr>
            <w:r>
              <w:rPr>
                <w:noProof/>
              </w:rPr>
              <w:t>Ieguldījums 1.2: Mājas kā pirmā aprūpes un telemedicīnas vieta</w:t>
            </w:r>
          </w:p>
        </w:tc>
        <w:tc>
          <w:tcPr>
            <w:tcW w:w="1438" w:type="dxa"/>
            <w:tcBorders>
              <w:top w:val="nil"/>
              <w:left w:val="nil"/>
              <w:bottom w:val="single" w:sz="4" w:space="0" w:color="auto"/>
              <w:right w:val="single" w:sz="4" w:space="0" w:color="auto"/>
            </w:tcBorders>
            <w:shd w:val="clear" w:color="auto" w:fill="C6EFCE"/>
            <w:noWrap/>
            <w:vAlign w:val="center"/>
          </w:tcPr>
          <w:p w14:paraId="164A8945" w14:textId="77777777" w:rsidR="00C972CB" w:rsidRDefault="002457F6">
            <w:pPr>
              <w:pStyle w:val="P68B1DB1-Normal12"/>
              <w:jc w:val="center"/>
              <w:rPr>
                <w:noProof/>
              </w:rPr>
            </w:pPr>
            <w:r>
              <w:rPr>
                <w:noProof/>
              </w:rPr>
              <w:t>Mērķa</w:t>
            </w:r>
          </w:p>
        </w:tc>
        <w:tc>
          <w:tcPr>
            <w:tcW w:w="4093" w:type="dxa"/>
            <w:tcBorders>
              <w:top w:val="nil"/>
              <w:left w:val="nil"/>
              <w:bottom w:val="single" w:sz="4" w:space="0" w:color="auto"/>
              <w:right w:val="single" w:sz="4" w:space="0" w:color="auto"/>
            </w:tcBorders>
            <w:shd w:val="clear" w:color="auto" w:fill="C6EFCE"/>
            <w:noWrap/>
            <w:vAlign w:val="center"/>
          </w:tcPr>
          <w:p w14:paraId="4480E4D2" w14:textId="77777777" w:rsidR="00C972CB" w:rsidRDefault="002457F6">
            <w:pPr>
              <w:pStyle w:val="P68B1DB1-Normal12"/>
              <w:jc w:val="center"/>
              <w:rPr>
                <w:noProof/>
              </w:rPr>
            </w:pPr>
            <w:r>
              <w:rPr>
                <w:noProof/>
              </w:rPr>
              <w:t xml:space="preserve">Vismaz viens telemedicīnas projekts katrā reģionā (ņemot vērā gan projektus, kas tiks </w:t>
            </w:r>
            <w:r>
              <w:rPr>
                <w:noProof/>
              </w:rPr>
              <w:t>īstenoti katrā reģionā, gan projektus, kurus var attīstīt kā daļu no reģionu konsorcijiem)</w:t>
            </w:r>
          </w:p>
        </w:tc>
      </w:tr>
      <w:tr w:rsidR="00C972CB" w14:paraId="274468D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0398F6" w14:textId="77777777" w:rsidR="00C972CB" w:rsidRDefault="00C972C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B0FDAE7" w14:textId="77777777" w:rsidR="00C972CB" w:rsidRDefault="00C972CB">
            <w:pPr>
              <w:rPr>
                <w:noProof/>
                <w:color w:val="006100"/>
                <w:sz w:val="20"/>
              </w:rPr>
            </w:pPr>
          </w:p>
        </w:tc>
        <w:tc>
          <w:tcPr>
            <w:tcW w:w="1438" w:type="dxa"/>
            <w:tcBorders>
              <w:top w:val="single" w:sz="4" w:space="0" w:color="auto"/>
              <w:left w:val="nil"/>
              <w:bottom w:val="single" w:sz="4" w:space="0" w:color="auto"/>
              <w:right w:val="single" w:sz="4" w:space="0" w:color="auto"/>
            </w:tcBorders>
            <w:shd w:val="clear" w:color="auto" w:fill="C6EFCE"/>
            <w:noWrap/>
            <w:vAlign w:val="bottom"/>
          </w:tcPr>
          <w:p w14:paraId="7A4D98F8" w14:textId="77777777" w:rsidR="00C972CB" w:rsidRDefault="002457F6">
            <w:pPr>
              <w:pStyle w:val="P68B1DB1-Normal12"/>
              <w:rPr>
                <w:noProof/>
              </w:rPr>
            </w:pPr>
            <w:r>
              <w:rPr>
                <w:noProof/>
              </w:rPr>
              <w:t>Maksājuma summa</w:t>
            </w:r>
          </w:p>
        </w:tc>
        <w:tc>
          <w:tcPr>
            <w:tcW w:w="4093" w:type="dxa"/>
            <w:tcBorders>
              <w:top w:val="single" w:sz="4" w:space="0" w:color="auto"/>
              <w:left w:val="nil"/>
              <w:bottom w:val="single" w:sz="4" w:space="0" w:color="auto"/>
              <w:right w:val="single" w:sz="4" w:space="0" w:color="auto"/>
            </w:tcBorders>
            <w:shd w:val="clear" w:color="auto" w:fill="C6EFCE"/>
            <w:noWrap/>
            <w:vAlign w:val="bottom"/>
          </w:tcPr>
          <w:p w14:paraId="0DF2661F" w14:textId="0D766492" w:rsidR="00C972CB" w:rsidRDefault="002457F6">
            <w:pPr>
              <w:pStyle w:val="P68B1DB1-Normal12"/>
              <w:rPr>
                <w:noProof/>
              </w:rPr>
            </w:pPr>
            <w:r>
              <w:rPr>
                <w:noProof/>
              </w:rPr>
              <w:t>8 610 723 872 EUR</w:t>
            </w:r>
          </w:p>
        </w:tc>
      </w:tr>
    </w:tbl>
    <w:p w14:paraId="09751F0E" w14:textId="1C405A7C" w:rsidR="00C972CB" w:rsidRDefault="00C972CB">
      <w:pPr>
        <w:spacing w:before="120" w:after="120"/>
        <w:jc w:val="both"/>
        <w:rPr>
          <w:rFonts w:eastAsia="Calibri"/>
          <w:noProof/>
        </w:rPr>
      </w:pPr>
    </w:p>
    <w:p w14:paraId="6BDC08AF" w14:textId="77777777" w:rsidR="00C972CB" w:rsidRDefault="002457F6">
      <w:pPr>
        <w:pStyle w:val="P68B1DB1-Normal44"/>
        <w:spacing w:after="200" w:line="276" w:lineRule="auto"/>
        <w:rPr>
          <w:noProof/>
        </w:rPr>
      </w:pPr>
      <w:r>
        <w:rPr>
          <w:noProof/>
        </w:rPr>
        <w:br w:type="page"/>
      </w:r>
    </w:p>
    <w:p w14:paraId="74E77AE8" w14:textId="05EBE688" w:rsidR="00C972CB" w:rsidRDefault="002457F6">
      <w:pPr>
        <w:pStyle w:val="P68B1DB1-Normal44"/>
        <w:numPr>
          <w:ilvl w:val="1"/>
          <w:numId w:val="6"/>
        </w:numPr>
        <w:spacing w:before="120" w:after="120"/>
        <w:jc w:val="both"/>
        <w:rPr>
          <w:noProof/>
        </w:rPr>
      </w:pPr>
      <w:r>
        <w:rPr>
          <w:noProof/>
        </w:rPr>
        <w:t>Sestā daļa (aizdevuma atbalsts):</w:t>
      </w:r>
    </w:p>
    <w:tbl>
      <w:tblPr>
        <w:tblW w:w="10139" w:type="dxa"/>
        <w:tblInd w:w="113" w:type="dxa"/>
        <w:tblLook w:val="04A0" w:firstRow="1" w:lastRow="0" w:firstColumn="1" w:lastColumn="0" w:noHBand="0" w:noVBand="1"/>
      </w:tblPr>
      <w:tblGrid>
        <w:gridCol w:w="1413"/>
        <w:gridCol w:w="3195"/>
        <w:gridCol w:w="1983"/>
        <w:gridCol w:w="4106"/>
      </w:tblGrid>
      <w:tr w:rsidR="00C972CB" w14:paraId="57C773EE" w14:textId="77777777">
        <w:trPr>
          <w:trHeight w:val="906"/>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077DD7" w14:textId="77777777" w:rsidR="00C972CB" w:rsidRDefault="002457F6">
            <w:pPr>
              <w:pStyle w:val="P68B1DB1-Normal45"/>
              <w:jc w:val="center"/>
              <w:rPr>
                <w:noProof/>
              </w:rPr>
            </w:pPr>
            <w:r>
              <w:rPr>
                <w:noProof/>
              </w:rPr>
              <w:t>Kārtas numurs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7375A0" w14:textId="77777777" w:rsidR="00C972CB" w:rsidRDefault="002457F6">
            <w:pPr>
              <w:pStyle w:val="P68B1DB1-Normal45"/>
              <w:jc w:val="center"/>
              <w:rPr>
                <w:noProof/>
              </w:rPr>
            </w:pPr>
            <w:r>
              <w:rPr>
                <w:noProof/>
              </w:rPr>
              <w:t>Pasākums (reforma vai investīcija)</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7450C5" w14:textId="77777777" w:rsidR="00C972CB" w:rsidRDefault="002457F6">
            <w:pPr>
              <w:pStyle w:val="P68B1DB1-Normal45"/>
              <w:jc w:val="center"/>
              <w:rPr>
                <w:noProof/>
              </w:rPr>
            </w:pPr>
            <w:r>
              <w:rPr>
                <w:noProof/>
              </w:rPr>
              <w:t>Atskaites punkts/mērķrādītājs</w:t>
            </w:r>
          </w:p>
        </w:tc>
        <w:tc>
          <w:tcPr>
            <w:tcW w:w="4106" w:type="dxa"/>
            <w:vMerge w:val="restart"/>
            <w:tcBorders>
              <w:top w:val="single" w:sz="4" w:space="0" w:color="auto"/>
              <w:left w:val="nil"/>
              <w:bottom w:val="single" w:sz="4" w:space="0" w:color="auto"/>
              <w:right w:val="single" w:sz="4" w:space="0" w:color="auto"/>
            </w:tcBorders>
            <w:shd w:val="clear" w:color="auto" w:fill="BDD7EE"/>
            <w:vAlign w:val="center"/>
            <w:hideMark/>
          </w:tcPr>
          <w:p w14:paraId="254B60A6" w14:textId="77777777" w:rsidR="00C972CB" w:rsidRDefault="002457F6">
            <w:pPr>
              <w:pStyle w:val="P68B1DB1-Normal45"/>
              <w:jc w:val="center"/>
              <w:rPr>
                <w:noProof/>
              </w:rPr>
            </w:pPr>
            <w:r>
              <w:rPr>
                <w:noProof/>
              </w:rPr>
              <w:t>Uzvārds</w:t>
            </w:r>
          </w:p>
        </w:tc>
      </w:tr>
      <w:tr w:rsidR="00C972CB" w14:paraId="24C58AFA"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9B75112" w14:textId="77777777" w:rsidR="00C972CB" w:rsidRDefault="00C972C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28ADF0B0" w14:textId="77777777" w:rsidR="00C972CB" w:rsidRDefault="00C972CB">
            <w:pPr>
              <w:rPr>
                <w:b/>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33F75EEA" w14:textId="77777777" w:rsidR="00C972CB" w:rsidRDefault="00C972CB">
            <w:pPr>
              <w:rPr>
                <w:b/>
                <w:noProof/>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3400FBB8" w14:textId="77777777" w:rsidR="00C972CB" w:rsidRDefault="00C972CB">
            <w:pPr>
              <w:rPr>
                <w:b/>
                <w:noProof/>
              </w:rPr>
            </w:pPr>
          </w:p>
        </w:tc>
      </w:tr>
      <w:tr w:rsidR="00C972CB" w14:paraId="357F51E2"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15716" w14:textId="77777777" w:rsidR="00C972CB" w:rsidRDefault="002457F6">
            <w:pPr>
              <w:pStyle w:val="P68B1DB1-Normal12"/>
              <w:jc w:val="center"/>
              <w:rPr>
                <w:noProof/>
              </w:rPr>
            </w:pPr>
            <w:r>
              <w:rPr>
                <w:noProof/>
              </w:rPr>
              <w:t>M3C1–10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1C26BEA9" w14:textId="77777777" w:rsidR="00C972CB" w:rsidRDefault="002457F6">
            <w:pPr>
              <w:pStyle w:val="P68B1DB1-Normal12"/>
              <w:jc w:val="center"/>
              <w:rPr>
                <w:noProof/>
              </w:rPr>
            </w:pPr>
            <w:r>
              <w:rPr>
                <w:noProof/>
              </w:rPr>
              <w:t>Ieguldījums 1.3. Diagonālie savienojumi</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156D20CE" w14:textId="77777777" w:rsidR="00C972CB" w:rsidRDefault="002457F6">
            <w:pPr>
              <w:pStyle w:val="P68B1DB1-Normal12"/>
              <w:jc w:val="center"/>
              <w:rPr>
                <w:noProof/>
              </w:rPr>
            </w:pPr>
            <w:r>
              <w:rPr>
                <w:noProof/>
              </w:rPr>
              <w:t>Starpposma mērķis</w:t>
            </w:r>
          </w:p>
        </w:tc>
        <w:tc>
          <w:tcPr>
            <w:tcW w:w="4106" w:type="dxa"/>
            <w:tcBorders>
              <w:top w:val="single" w:sz="4" w:space="0" w:color="auto"/>
              <w:left w:val="nil"/>
              <w:bottom w:val="single" w:sz="4" w:space="0" w:color="auto"/>
              <w:right w:val="single" w:sz="4" w:space="0" w:color="auto"/>
            </w:tcBorders>
            <w:shd w:val="clear" w:color="auto" w:fill="C6EFCE"/>
            <w:noWrap/>
            <w:vAlign w:val="center"/>
          </w:tcPr>
          <w:p w14:paraId="16903649" w14:textId="77777777" w:rsidR="00C972CB" w:rsidRDefault="002457F6">
            <w:pPr>
              <w:pStyle w:val="P68B1DB1-Normal12"/>
              <w:jc w:val="center"/>
              <w:rPr>
                <w:noProof/>
              </w:rPr>
            </w:pPr>
            <w:r>
              <w:rPr>
                <w:noProof/>
              </w:rPr>
              <w:t>Līguma slēgšanas tiesību piešķiršana par savienojumu būvniecību līnijās Orte-Falconara un Taranto-Metaponto-Potenza-Battipaglia</w:t>
            </w:r>
          </w:p>
        </w:tc>
      </w:tr>
      <w:tr w:rsidR="00C972CB" w14:paraId="55EB24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7509E4" w14:textId="77777777" w:rsidR="00C972CB" w:rsidRDefault="002457F6">
            <w:pPr>
              <w:pStyle w:val="P68B1DB1-Normal12"/>
              <w:jc w:val="center"/>
              <w:rPr>
                <w:noProof/>
              </w:rPr>
            </w:pPr>
            <w:r>
              <w:rPr>
                <w:noProof/>
              </w:rPr>
              <w:t>M7–35</w:t>
            </w:r>
          </w:p>
        </w:tc>
        <w:tc>
          <w:tcPr>
            <w:tcW w:w="3195" w:type="dxa"/>
            <w:tcBorders>
              <w:top w:val="nil"/>
              <w:left w:val="nil"/>
              <w:bottom w:val="single" w:sz="4" w:space="0" w:color="auto"/>
              <w:right w:val="single" w:sz="4" w:space="0" w:color="auto"/>
            </w:tcBorders>
            <w:shd w:val="clear" w:color="auto" w:fill="C6EFCE"/>
            <w:noWrap/>
            <w:vAlign w:val="center"/>
          </w:tcPr>
          <w:p w14:paraId="550951E9" w14:textId="77777777" w:rsidR="00C972CB" w:rsidRDefault="002457F6">
            <w:pPr>
              <w:pStyle w:val="P68B1DB1-Normal12"/>
              <w:jc w:val="center"/>
              <w:rPr>
                <w:noProof/>
              </w:rPr>
            </w:pPr>
            <w:r>
              <w:rPr>
                <w:noProof/>
              </w:rPr>
              <w:t xml:space="preserve">Ieguldījums 13: Adrijas jūras līnija, 1. posms </w:t>
            </w:r>
            <w:r>
              <w:rPr>
                <w:noProof/>
              </w:rPr>
              <w:t>(Sulmonas kompresora stacija un Sestino-Minerbio gāzes cauruļvads)</w:t>
            </w:r>
          </w:p>
        </w:tc>
        <w:tc>
          <w:tcPr>
            <w:tcW w:w="1425" w:type="dxa"/>
            <w:tcBorders>
              <w:top w:val="nil"/>
              <w:left w:val="nil"/>
              <w:bottom w:val="single" w:sz="4" w:space="0" w:color="auto"/>
              <w:right w:val="single" w:sz="4" w:space="0" w:color="auto"/>
            </w:tcBorders>
            <w:shd w:val="clear" w:color="auto" w:fill="C6EFCE"/>
            <w:noWrap/>
            <w:vAlign w:val="center"/>
          </w:tcPr>
          <w:p w14:paraId="619828A4" w14:textId="77777777" w:rsidR="00C972CB" w:rsidRDefault="002457F6">
            <w:pPr>
              <w:pStyle w:val="P68B1DB1-Normal12"/>
              <w:jc w:val="center"/>
              <w:rPr>
                <w:noProof/>
              </w:rPr>
            </w:pPr>
            <w:r>
              <w:rPr>
                <w:noProof/>
              </w:rPr>
              <w:t>Starpposma mērķis</w:t>
            </w:r>
          </w:p>
        </w:tc>
        <w:tc>
          <w:tcPr>
            <w:tcW w:w="4106" w:type="dxa"/>
            <w:tcBorders>
              <w:top w:val="nil"/>
              <w:left w:val="nil"/>
              <w:bottom w:val="single" w:sz="4" w:space="0" w:color="auto"/>
              <w:right w:val="single" w:sz="4" w:space="0" w:color="auto"/>
            </w:tcBorders>
            <w:shd w:val="clear" w:color="auto" w:fill="C6EFCE"/>
            <w:noWrap/>
            <w:vAlign w:val="center"/>
          </w:tcPr>
          <w:p w14:paraId="255C02FB" w14:textId="77777777" w:rsidR="00C972CB" w:rsidRDefault="002457F6">
            <w:pPr>
              <w:pStyle w:val="P68B1DB1-Normal12"/>
              <w:jc w:val="center"/>
              <w:rPr>
                <w:noProof/>
              </w:rPr>
            </w:pPr>
            <w:r>
              <w:rPr>
                <w:noProof/>
              </w:rPr>
              <w:t>Attiecīgo ietekmes uz vidi novērtējumu (VIncA) pieņemšana un atjaunināšana</w:t>
            </w:r>
          </w:p>
        </w:tc>
      </w:tr>
      <w:tr w:rsidR="00C972CB" w14:paraId="5377CB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61B19" w14:textId="77777777" w:rsidR="00C972CB" w:rsidRDefault="002457F6">
            <w:pPr>
              <w:pStyle w:val="P68B1DB1-Normal12"/>
              <w:jc w:val="center"/>
              <w:rPr>
                <w:noProof/>
              </w:rPr>
            </w:pPr>
            <w:r>
              <w:rPr>
                <w:noProof/>
              </w:rPr>
              <w:t>M7–40</w:t>
            </w:r>
          </w:p>
        </w:tc>
        <w:tc>
          <w:tcPr>
            <w:tcW w:w="3195" w:type="dxa"/>
            <w:tcBorders>
              <w:top w:val="nil"/>
              <w:left w:val="nil"/>
              <w:bottom w:val="single" w:sz="4" w:space="0" w:color="auto"/>
              <w:right w:val="single" w:sz="4" w:space="0" w:color="auto"/>
            </w:tcBorders>
            <w:shd w:val="clear" w:color="auto" w:fill="C6EFCE"/>
            <w:noWrap/>
            <w:vAlign w:val="center"/>
          </w:tcPr>
          <w:p w14:paraId="08DA5365" w14:textId="77777777" w:rsidR="00C972CB" w:rsidRDefault="002457F6">
            <w:pPr>
              <w:pStyle w:val="P68B1DB1-Normal12"/>
              <w:jc w:val="center"/>
              <w:rPr>
                <w:noProof/>
              </w:rPr>
            </w:pPr>
            <w:r>
              <w:rPr>
                <w:noProof/>
              </w:rPr>
              <w:t>Ieguldījums 15: Transizione 5.0 zaļa</w:t>
            </w:r>
          </w:p>
        </w:tc>
        <w:tc>
          <w:tcPr>
            <w:tcW w:w="1425" w:type="dxa"/>
            <w:tcBorders>
              <w:top w:val="nil"/>
              <w:left w:val="nil"/>
              <w:bottom w:val="single" w:sz="4" w:space="0" w:color="auto"/>
              <w:right w:val="single" w:sz="4" w:space="0" w:color="auto"/>
            </w:tcBorders>
            <w:shd w:val="clear" w:color="auto" w:fill="C6EFCE"/>
            <w:noWrap/>
            <w:vAlign w:val="center"/>
          </w:tcPr>
          <w:p w14:paraId="3ABDFDD8" w14:textId="77777777" w:rsidR="00C972CB" w:rsidRDefault="002457F6">
            <w:pPr>
              <w:pStyle w:val="P68B1DB1-Normal12"/>
              <w:jc w:val="center"/>
              <w:rPr>
                <w:noProof/>
              </w:rPr>
            </w:pPr>
            <w:r>
              <w:rPr>
                <w:noProof/>
              </w:rPr>
              <w:t>Starpposma mērķis</w:t>
            </w:r>
          </w:p>
        </w:tc>
        <w:tc>
          <w:tcPr>
            <w:tcW w:w="4106" w:type="dxa"/>
            <w:tcBorders>
              <w:top w:val="nil"/>
              <w:left w:val="nil"/>
              <w:bottom w:val="single" w:sz="4" w:space="0" w:color="auto"/>
              <w:right w:val="single" w:sz="4" w:space="0" w:color="auto"/>
            </w:tcBorders>
            <w:shd w:val="clear" w:color="auto" w:fill="C6EFCE"/>
            <w:noWrap/>
            <w:vAlign w:val="center"/>
          </w:tcPr>
          <w:p w14:paraId="25C00B22" w14:textId="77777777" w:rsidR="00C972CB" w:rsidRDefault="002457F6">
            <w:pPr>
              <w:pStyle w:val="P68B1DB1-Normal12"/>
              <w:jc w:val="center"/>
              <w:rPr>
                <w:noProof/>
              </w:rPr>
            </w:pPr>
            <w:r>
              <w:rPr>
                <w:noProof/>
              </w:rPr>
              <w:t>Tiesību akta, ar ko nosaka atbalst</w:t>
            </w:r>
            <w:r>
              <w:rPr>
                <w:noProof/>
              </w:rPr>
              <w:t>tiesīgu intervenču kritērijus, stāšanās spēkā</w:t>
            </w:r>
          </w:p>
        </w:tc>
      </w:tr>
      <w:tr w:rsidR="00C972CB" w14:paraId="68B34B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CC9744" w14:textId="77777777" w:rsidR="00C972CB" w:rsidRDefault="002457F6">
            <w:pPr>
              <w:pStyle w:val="P68B1DB1-Normal12"/>
              <w:jc w:val="center"/>
              <w:rPr>
                <w:noProof/>
              </w:rPr>
            </w:pPr>
            <w:r>
              <w:rPr>
                <w:noProof/>
              </w:rPr>
              <w:t>M2C1–15</w:t>
            </w:r>
          </w:p>
        </w:tc>
        <w:tc>
          <w:tcPr>
            <w:tcW w:w="3195" w:type="dxa"/>
            <w:tcBorders>
              <w:top w:val="nil"/>
              <w:left w:val="nil"/>
              <w:bottom w:val="single" w:sz="4" w:space="0" w:color="auto"/>
              <w:right w:val="single" w:sz="4" w:space="0" w:color="auto"/>
            </w:tcBorders>
            <w:shd w:val="clear" w:color="auto" w:fill="C6EFCE"/>
            <w:noWrap/>
            <w:vAlign w:val="center"/>
          </w:tcPr>
          <w:p w14:paraId="04D3DE21" w14:textId="77777777" w:rsidR="00C972CB" w:rsidRDefault="002457F6">
            <w:pPr>
              <w:pStyle w:val="P68B1DB1-Normal12"/>
              <w:jc w:val="center"/>
              <w:rPr>
                <w:noProof/>
              </w:rPr>
            </w:pPr>
            <w:r>
              <w:rPr>
                <w:noProof/>
              </w:rPr>
              <w:t>Reforma Nr. 1.2. Valsts atkritumu apsaimniekošanas programma;   Ieguldījums 1.1. — Jaunu atkritumu apsaimniekošanas iekārtu ieviešana un esošo iekārtu modernizācija</w:t>
            </w:r>
          </w:p>
        </w:tc>
        <w:tc>
          <w:tcPr>
            <w:tcW w:w="1425" w:type="dxa"/>
            <w:tcBorders>
              <w:top w:val="nil"/>
              <w:left w:val="nil"/>
              <w:bottom w:val="single" w:sz="4" w:space="0" w:color="auto"/>
              <w:right w:val="single" w:sz="4" w:space="0" w:color="auto"/>
            </w:tcBorders>
            <w:shd w:val="clear" w:color="auto" w:fill="C6EFCE"/>
            <w:noWrap/>
            <w:vAlign w:val="center"/>
          </w:tcPr>
          <w:p w14:paraId="4EFD43F8" w14:textId="77777777" w:rsidR="00C972CB" w:rsidRDefault="002457F6">
            <w:pPr>
              <w:pStyle w:val="P68B1DB1-Normal12"/>
              <w:jc w:val="center"/>
              <w:rPr>
                <w:noProof/>
              </w:rPr>
            </w:pPr>
            <w:r>
              <w:rPr>
                <w:noProof/>
              </w:rPr>
              <w:t>Mērķa</w:t>
            </w:r>
          </w:p>
        </w:tc>
        <w:tc>
          <w:tcPr>
            <w:tcW w:w="4106" w:type="dxa"/>
            <w:tcBorders>
              <w:top w:val="nil"/>
              <w:left w:val="nil"/>
              <w:bottom w:val="single" w:sz="4" w:space="0" w:color="auto"/>
              <w:right w:val="single" w:sz="4" w:space="0" w:color="auto"/>
            </w:tcBorders>
            <w:shd w:val="clear" w:color="auto" w:fill="C6EFCE"/>
            <w:noWrap/>
            <w:vAlign w:val="center"/>
          </w:tcPr>
          <w:p w14:paraId="652572D5" w14:textId="77777777" w:rsidR="00C972CB" w:rsidRDefault="002457F6">
            <w:pPr>
              <w:pStyle w:val="P68B1DB1-Normal12"/>
              <w:jc w:val="center"/>
              <w:rPr>
                <w:noProof/>
              </w:rPr>
            </w:pPr>
            <w:r>
              <w:rPr>
                <w:noProof/>
              </w:rPr>
              <w:t xml:space="preserve">Nelikumīgo atkritumu poligonu </w:t>
            </w:r>
            <w:r>
              <w:rPr>
                <w:noProof/>
              </w:rPr>
              <w:t xml:space="preserve">skaita samazināšana (T1)  </w:t>
            </w:r>
          </w:p>
        </w:tc>
      </w:tr>
      <w:tr w:rsidR="00C972CB" w14:paraId="77618A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5A58A6" w14:textId="77777777" w:rsidR="00C972CB" w:rsidRDefault="002457F6">
            <w:pPr>
              <w:pStyle w:val="P68B1DB1-Normal12"/>
              <w:jc w:val="center"/>
              <w:rPr>
                <w:noProof/>
              </w:rPr>
            </w:pPr>
            <w:r>
              <w:rPr>
                <w:noProof/>
              </w:rPr>
              <w:t>M2C1–22</w:t>
            </w:r>
          </w:p>
        </w:tc>
        <w:tc>
          <w:tcPr>
            <w:tcW w:w="3195" w:type="dxa"/>
            <w:tcBorders>
              <w:top w:val="nil"/>
              <w:left w:val="nil"/>
              <w:bottom w:val="single" w:sz="4" w:space="0" w:color="auto"/>
              <w:right w:val="single" w:sz="4" w:space="0" w:color="auto"/>
            </w:tcBorders>
            <w:shd w:val="clear" w:color="auto" w:fill="C6EFCE"/>
            <w:noWrap/>
            <w:vAlign w:val="center"/>
          </w:tcPr>
          <w:p w14:paraId="4207AAF3" w14:textId="77777777" w:rsidR="00C972CB" w:rsidRDefault="002457F6">
            <w:pPr>
              <w:pStyle w:val="P68B1DB1-Normal12"/>
              <w:jc w:val="center"/>
              <w:rPr>
                <w:noProof/>
              </w:rPr>
            </w:pPr>
            <w:r>
              <w:rPr>
                <w:noProof/>
              </w:rPr>
              <w:t>Ieguldījums 3.4. Fondo Contratti di Filiera (FCF), lai atbalstītu piegādes ķēžu līgumus lauksaimniecības pārtikas, zvejniecības un akvakultūras, mežsaimniecības, puķkopības un stādaudzētavu nozarē</w:t>
            </w:r>
          </w:p>
        </w:tc>
        <w:tc>
          <w:tcPr>
            <w:tcW w:w="1425" w:type="dxa"/>
            <w:tcBorders>
              <w:top w:val="nil"/>
              <w:left w:val="nil"/>
              <w:bottom w:val="single" w:sz="4" w:space="0" w:color="auto"/>
              <w:right w:val="single" w:sz="4" w:space="0" w:color="auto"/>
            </w:tcBorders>
            <w:shd w:val="clear" w:color="auto" w:fill="C6EFCE"/>
            <w:noWrap/>
            <w:vAlign w:val="center"/>
          </w:tcPr>
          <w:p w14:paraId="3B361387" w14:textId="3BA642A3" w:rsidR="00C972CB" w:rsidRDefault="002457F6">
            <w:pPr>
              <w:pStyle w:val="P68B1DB1-Normal12"/>
              <w:jc w:val="center"/>
              <w:rPr>
                <w:noProof/>
              </w:rPr>
            </w:pPr>
            <w:r>
              <w:rPr>
                <w:noProof/>
              </w:rPr>
              <w:t>Starpposma mērķis</w:t>
            </w:r>
          </w:p>
        </w:tc>
        <w:tc>
          <w:tcPr>
            <w:tcW w:w="4106" w:type="dxa"/>
            <w:tcBorders>
              <w:top w:val="nil"/>
              <w:left w:val="nil"/>
              <w:bottom w:val="single" w:sz="4" w:space="0" w:color="auto"/>
              <w:right w:val="single" w:sz="4" w:space="0" w:color="auto"/>
            </w:tcBorders>
            <w:shd w:val="clear" w:color="auto" w:fill="C6EFCE"/>
            <w:noWrap/>
            <w:vAlign w:val="center"/>
          </w:tcPr>
          <w:p w14:paraId="2498076C" w14:textId="77777777" w:rsidR="00C972CB" w:rsidRDefault="002457F6">
            <w:pPr>
              <w:pStyle w:val="P68B1DB1-Normal12"/>
              <w:jc w:val="center"/>
              <w:rPr>
                <w:noProof/>
              </w:rPr>
            </w:pPr>
            <w:r>
              <w:rPr>
                <w:noProof/>
              </w:rPr>
              <w:t>Īstenošanas nolīgums</w:t>
            </w:r>
          </w:p>
        </w:tc>
      </w:tr>
      <w:tr w:rsidR="00C972CB" w14:paraId="2BCD73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18DE7A" w14:textId="77777777" w:rsidR="00C972CB" w:rsidRDefault="002457F6">
            <w:pPr>
              <w:pStyle w:val="P68B1DB1-Normal12"/>
              <w:jc w:val="center"/>
              <w:rPr>
                <w:noProof/>
              </w:rPr>
            </w:pPr>
            <w:r>
              <w:rPr>
                <w:noProof/>
              </w:rPr>
              <w:t>M2C2–31</w:t>
            </w:r>
          </w:p>
        </w:tc>
        <w:tc>
          <w:tcPr>
            <w:tcW w:w="3195" w:type="dxa"/>
            <w:tcBorders>
              <w:top w:val="nil"/>
              <w:left w:val="nil"/>
              <w:bottom w:val="single" w:sz="4" w:space="0" w:color="auto"/>
              <w:right w:val="single" w:sz="4" w:space="0" w:color="auto"/>
            </w:tcBorders>
            <w:shd w:val="clear" w:color="auto" w:fill="C6EFCE"/>
            <w:noWrap/>
            <w:vAlign w:val="center"/>
          </w:tcPr>
          <w:p w14:paraId="791BF650" w14:textId="77777777" w:rsidR="00C972CB" w:rsidRDefault="002457F6">
            <w:pPr>
              <w:pStyle w:val="P68B1DB1-Normal12"/>
              <w:jc w:val="center"/>
              <w:rPr>
                <w:noProof/>
              </w:rPr>
            </w:pPr>
            <w:r>
              <w:rPr>
                <w:noProof/>
              </w:rPr>
              <w:t>Ieguldījums 4.4.3.: Flotes atjaunošana Valsts ugunsdzēsības brigādes komandai</w:t>
            </w:r>
          </w:p>
        </w:tc>
        <w:tc>
          <w:tcPr>
            <w:tcW w:w="1425" w:type="dxa"/>
            <w:tcBorders>
              <w:top w:val="nil"/>
              <w:left w:val="nil"/>
              <w:bottom w:val="single" w:sz="4" w:space="0" w:color="auto"/>
              <w:right w:val="single" w:sz="4" w:space="0" w:color="auto"/>
            </w:tcBorders>
            <w:shd w:val="clear" w:color="auto" w:fill="C6EFCE"/>
            <w:noWrap/>
            <w:vAlign w:val="center"/>
          </w:tcPr>
          <w:p w14:paraId="40C54EFA" w14:textId="77777777" w:rsidR="00C972CB" w:rsidRDefault="002457F6">
            <w:pPr>
              <w:pStyle w:val="P68B1DB1-Normal12"/>
              <w:jc w:val="center"/>
              <w:rPr>
                <w:noProof/>
              </w:rPr>
            </w:pPr>
            <w:r>
              <w:rPr>
                <w:noProof/>
              </w:rPr>
              <w:t>Starpposma mērķis</w:t>
            </w:r>
          </w:p>
        </w:tc>
        <w:tc>
          <w:tcPr>
            <w:tcW w:w="4106" w:type="dxa"/>
            <w:tcBorders>
              <w:top w:val="nil"/>
              <w:left w:val="nil"/>
              <w:bottom w:val="single" w:sz="4" w:space="0" w:color="auto"/>
              <w:right w:val="single" w:sz="4" w:space="0" w:color="auto"/>
            </w:tcBorders>
            <w:shd w:val="clear" w:color="auto" w:fill="C6EFCE"/>
            <w:noWrap/>
            <w:vAlign w:val="center"/>
          </w:tcPr>
          <w:p w14:paraId="6C73A6A8" w14:textId="77777777" w:rsidR="00C972CB" w:rsidRDefault="002457F6">
            <w:pPr>
              <w:pStyle w:val="P68B1DB1-Normal12"/>
              <w:jc w:val="center"/>
              <w:rPr>
                <w:noProof/>
              </w:rPr>
            </w:pPr>
            <w:r>
              <w:rPr>
                <w:noProof/>
              </w:rPr>
              <w:t>Visu publiskā iepirkuma līgumu slēgšanas tiesību piešķiršana par flotes atjaunošanu valsts ugunsdzēsības brigādes komandai</w:t>
            </w:r>
          </w:p>
        </w:tc>
      </w:tr>
      <w:tr w:rsidR="00C972CB" w14:paraId="09964D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42CB8" w14:textId="77777777" w:rsidR="00C972CB" w:rsidRDefault="002457F6">
            <w:pPr>
              <w:pStyle w:val="P68B1DB1-Normal12"/>
              <w:jc w:val="center"/>
              <w:rPr>
                <w:noProof/>
              </w:rPr>
            </w:pPr>
            <w:r>
              <w:rPr>
                <w:noProof/>
              </w:rPr>
              <w:t>M2C4–6</w:t>
            </w:r>
          </w:p>
        </w:tc>
        <w:tc>
          <w:tcPr>
            <w:tcW w:w="3195" w:type="dxa"/>
            <w:tcBorders>
              <w:top w:val="nil"/>
              <w:left w:val="nil"/>
              <w:bottom w:val="single" w:sz="4" w:space="0" w:color="auto"/>
              <w:right w:val="single" w:sz="4" w:space="0" w:color="auto"/>
            </w:tcBorders>
            <w:shd w:val="clear" w:color="auto" w:fill="C6EFCE"/>
            <w:noWrap/>
            <w:vAlign w:val="center"/>
          </w:tcPr>
          <w:p w14:paraId="17F444A5" w14:textId="77777777" w:rsidR="00C972CB" w:rsidRDefault="002457F6">
            <w:pPr>
              <w:pStyle w:val="P68B1DB1-Normal12"/>
              <w:jc w:val="center"/>
              <w:rPr>
                <w:noProof/>
              </w:rPr>
            </w:pPr>
            <w:r>
              <w:rPr>
                <w:noProof/>
              </w:rPr>
              <w:t>Ieguldījums 3.2.: Nacionālo parku digitalizācija</w:t>
            </w:r>
          </w:p>
        </w:tc>
        <w:tc>
          <w:tcPr>
            <w:tcW w:w="1425" w:type="dxa"/>
            <w:tcBorders>
              <w:top w:val="nil"/>
              <w:left w:val="nil"/>
              <w:bottom w:val="single" w:sz="4" w:space="0" w:color="auto"/>
              <w:right w:val="single" w:sz="4" w:space="0" w:color="auto"/>
            </w:tcBorders>
            <w:shd w:val="clear" w:color="auto" w:fill="C6EFCE"/>
            <w:noWrap/>
            <w:vAlign w:val="center"/>
          </w:tcPr>
          <w:p w14:paraId="10FA3174" w14:textId="77777777" w:rsidR="00C972CB" w:rsidRDefault="002457F6">
            <w:pPr>
              <w:pStyle w:val="P68B1DB1-Normal12"/>
              <w:jc w:val="center"/>
              <w:rPr>
                <w:noProof/>
              </w:rPr>
            </w:pPr>
            <w:r>
              <w:rPr>
                <w:noProof/>
              </w:rPr>
              <w:t>Mērķa</w:t>
            </w:r>
          </w:p>
        </w:tc>
        <w:tc>
          <w:tcPr>
            <w:tcW w:w="4106" w:type="dxa"/>
            <w:tcBorders>
              <w:top w:val="nil"/>
              <w:left w:val="nil"/>
              <w:bottom w:val="single" w:sz="4" w:space="0" w:color="auto"/>
              <w:right w:val="single" w:sz="4" w:space="0" w:color="auto"/>
            </w:tcBorders>
            <w:shd w:val="clear" w:color="auto" w:fill="C6EFCE"/>
            <w:noWrap/>
            <w:vAlign w:val="center"/>
          </w:tcPr>
          <w:p w14:paraId="6947FBDD" w14:textId="77777777" w:rsidR="00C972CB" w:rsidRDefault="002457F6">
            <w:pPr>
              <w:pStyle w:val="P68B1DB1-Normal12"/>
              <w:jc w:val="center"/>
              <w:rPr>
                <w:noProof/>
              </w:rPr>
            </w:pPr>
            <w:r>
              <w:rPr>
                <w:noProof/>
              </w:rPr>
              <w:t xml:space="preserve">Administratīvo vienkāršošana un digitālo pakalpojumu izstrāde nacionālo parku un aizsargājamo jūras teritoriju apmeklētājiem </w:t>
            </w:r>
          </w:p>
        </w:tc>
      </w:tr>
      <w:tr w:rsidR="00C972CB" w14:paraId="065F7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78614" w14:textId="77777777" w:rsidR="00C972CB" w:rsidRDefault="002457F6">
            <w:pPr>
              <w:pStyle w:val="P68B1DB1-Normal12"/>
              <w:jc w:val="center"/>
              <w:rPr>
                <w:noProof/>
              </w:rPr>
            </w:pPr>
            <w:r>
              <w:rPr>
                <w:noProof/>
              </w:rPr>
              <w:t>M2C4–20</w:t>
            </w:r>
          </w:p>
        </w:tc>
        <w:tc>
          <w:tcPr>
            <w:tcW w:w="3195" w:type="dxa"/>
            <w:tcBorders>
              <w:top w:val="nil"/>
              <w:left w:val="nil"/>
              <w:bottom w:val="single" w:sz="4" w:space="0" w:color="auto"/>
              <w:right w:val="single" w:sz="4" w:space="0" w:color="auto"/>
            </w:tcBorders>
            <w:shd w:val="clear" w:color="auto" w:fill="C6EFCE"/>
            <w:noWrap/>
            <w:vAlign w:val="center"/>
          </w:tcPr>
          <w:p w14:paraId="154FAD05" w14:textId="77777777" w:rsidR="00C972CB" w:rsidRDefault="002457F6">
            <w:pPr>
              <w:pStyle w:val="P68B1DB1-Normal12"/>
              <w:jc w:val="center"/>
              <w:rPr>
                <w:noProof/>
              </w:rPr>
            </w:pPr>
            <w:r>
              <w:rPr>
                <w:noProof/>
              </w:rPr>
              <w:t xml:space="preserve">Investīcijas. 3.1: Pilsētu un piepilsētu mežu aizsardzība un </w:t>
            </w:r>
            <w:r>
              <w:rPr>
                <w:noProof/>
              </w:rPr>
              <w:t>uzlabošana</w:t>
            </w:r>
          </w:p>
        </w:tc>
        <w:tc>
          <w:tcPr>
            <w:tcW w:w="1425" w:type="dxa"/>
            <w:tcBorders>
              <w:top w:val="nil"/>
              <w:left w:val="nil"/>
              <w:bottom w:val="single" w:sz="4" w:space="0" w:color="auto"/>
              <w:right w:val="single" w:sz="4" w:space="0" w:color="auto"/>
            </w:tcBorders>
            <w:shd w:val="clear" w:color="auto" w:fill="C6EFCE"/>
            <w:noWrap/>
            <w:vAlign w:val="center"/>
          </w:tcPr>
          <w:p w14:paraId="2CAD670B" w14:textId="77777777" w:rsidR="00C972CB" w:rsidRDefault="002457F6">
            <w:pPr>
              <w:pStyle w:val="P68B1DB1-Normal12"/>
              <w:jc w:val="center"/>
              <w:rPr>
                <w:noProof/>
              </w:rPr>
            </w:pPr>
            <w:r>
              <w:rPr>
                <w:noProof/>
              </w:rPr>
              <w:t>Mērķa</w:t>
            </w:r>
          </w:p>
        </w:tc>
        <w:tc>
          <w:tcPr>
            <w:tcW w:w="4106" w:type="dxa"/>
            <w:tcBorders>
              <w:top w:val="nil"/>
              <w:left w:val="nil"/>
              <w:bottom w:val="single" w:sz="4" w:space="0" w:color="auto"/>
              <w:right w:val="single" w:sz="4" w:space="0" w:color="auto"/>
            </w:tcBorders>
            <w:shd w:val="clear" w:color="auto" w:fill="C6EFCE"/>
            <w:noWrap/>
            <w:vAlign w:val="center"/>
          </w:tcPr>
          <w:p w14:paraId="1356DCC0" w14:textId="77777777" w:rsidR="00C972CB" w:rsidRDefault="002457F6">
            <w:pPr>
              <w:pStyle w:val="P68B1DB1-Normal12"/>
              <w:jc w:val="center"/>
              <w:rPr>
                <w:noProof/>
              </w:rPr>
            </w:pPr>
            <w:r>
              <w:rPr>
                <w:noProof/>
              </w:rPr>
              <w:t xml:space="preserve">Koki pilsētu un piepilsētu zaļo zonu aizsardzībai un valorizācijai T2 </w:t>
            </w:r>
          </w:p>
        </w:tc>
      </w:tr>
      <w:tr w:rsidR="00C972CB" w14:paraId="540EBA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72975" w14:textId="77777777" w:rsidR="00C972CB" w:rsidRDefault="002457F6">
            <w:pPr>
              <w:pStyle w:val="P68B1DB1-Normal12"/>
              <w:jc w:val="center"/>
              <w:rPr>
                <w:noProof/>
              </w:rPr>
            </w:pPr>
            <w:r>
              <w:rPr>
                <w:noProof/>
              </w:rPr>
              <w:t>M3C2–10</w:t>
            </w:r>
          </w:p>
        </w:tc>
        <w:tc>
          <w:tcPr>
            <w:tcW w:w="3195" w:type="dxa"/>
            <w:tcBorders>
              <w:top w:val="nil"/>
              <w:left w:val="nil"/>
              <w:bottom w:val="single" w:sz="4" w:space="0" w:color="auto"/>
              <w:right w:val="single" w:sz="4" w:space="0" w:color="auto"/>
            </w:tcBorders>
            <w:shd w:val="clear" w:color="auto" w:fill="C6EFCE"/>
            <w:noWrap/>
            <w:vAlign w:val="center"/>
          </w:tcPr>
          <w:p w14:paraId="48AE1BA9" w14:textId="77777777" w:rsidR="00C972CB" w:rsidRDefault="002457F6">
            <w:pPr>
              <w:pStyle w:val="P68B1DB1-Normal12"/>
              <w:jc w:val="center"/>
              <w:rPr>
                <w:noProof/>
              </w:rPr>
            </w:pPr>
            <w:r>
              <w:rPr>
                <w:noProof/>
              </w:rPr>
              <w:t>Reforma. Valsts digitālās loģistikas platformas izveide, lai ieviestu kravu un/vai pasažieru pārvadājumu digitalizāciju</w:t>
            </w:r>
          </w:p>
        </w:tc>
        <w:tc>
          <w:tcPr>
            <w:tcW w:w="1425" w:type="dxa"/>
            <w:tcBorders>
              <w:top w:val="nil"/>
              <w:left w:val="nil"/>
              <w:bottom w:val="single" w:sz="4" w:space="0" w:color="auto"/>
              <w:right w:val="single" w:sz="4" w:space="0" w:color="auto"/>
            </w:tcBorders>
            <w:shd w:val="clear" w:color="auto" w:fill="C6EFCE"/>
            <w:noWrap/>
            <w:vAlign w:val="center"/>
          </w:tcPr>
          <w:p w14:paraId="5A67F809" w14:textId="77777777" w:rsidR="00C972CB" w:rsidRDefault="002457F6">
            <w:pPr>
              <w:pStyle w:val="P68B1DB1-Normal12"/>
              <w:jc w:val="center"/>
              <w:rPr>
                <w:noProof/>
              </w:rPr>
            </w:pPr>
            <w:r>
              <w:rPr>
                <w:noProof/>
              </w:rPr>
              <w:t>Starpposma mērķis</w:t>
            </w:r>
          </w:p>
        </w:tc>
        <w:tc>
          <w:tcPr>
            <w:tcW w:w="4106" w:type="dxa"/>
            <w:tcBorders>
              <w:top w:val="nil"/>
              <w:left w:val="nil"/>
              <w:bottom w:val="single" w:sz="4" w:space="0" w:color="auto"/>
              <w:right w:val="single" w:sz="4" w:space="0" w:color="auto"/>
            </w:tcBorders>
            <w:shd w:val="clear" w:color="auto" w:fill="C6EFCE"/>
            <w:noWrap/>
            <w:vAlign w:val="center"/>
          </w:tcPr>
          <w:p w14:paraId="61A362B6" w14:textId="77777777" w:rsidR="00C972CB" w:rsidRDefault="002457F6">
            <w:pPr>
              <w:pStyle w:val="P68B1DB1-Normal12"/>
              <w:jc w:val="center"/>
              <w:rPr>
                <w:noProof/>
              </w:rPr>
            </w:pPr>
            <w:r>
              <w:rPr>
                <w:noProof/>
              </w:rPr>
              <w:t>Valsts digitālās loģi</w:t>
            </w:r>
            <w:r>
              <w:rPr>
                <w:noProof/>
              </w:rPr>
              <w:t xml:space="preserve">stikas platforma </w:t>
            </w:r>
          </w:p>
        </w:tc>
      </w:tr>
      <w:tr w:rsidR="00C972CB" w14:paraId="29E08E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067D6B" w14:textId="77777777" w:rsidR="00C972CB" w:rsidRDefault="002457F6">
            <w:pPr>
              <w:pStyle w:val="P68B1DB1-Normal12"/>
              <w:jc w:val="center"/>
              <w:rPr>
                <w:noProof/>
              </w:rPr>
            </w:pPr>
            <w:r>
              <w:rPr>
                <w:noProof/>
              </w:rPr>
              <w:t>M5C3–12</w:t>
            </w:r>
          </w:p>
        </w:tc>
        <w:tc>
          <w:tcPr>
            <w:tcW w:w="3195" w:type="dxa"/>
            <w:tcBorders>
              <w:top w:val="nil"/>
              <w:left w:val="nil"/>
              <w:bottom w:val="single" w:sz="4" w:space="0" w:color="auto"/>
              <w:right w:val="single" w:sz="4" w:space="0" w:color="auto"/>
            </w:tcBorders>
            <w:shd w:val="clear" w:color="auto" w:fill="C6EFCE"/>
            <w:noWrap/>
            <w:vAlign w:val="center"/>
          </w:tcPr>
          <w:p w14:paraId="18064305" w14:textId="77777777" w:rsidR="00C972CB" w:rsidRDefault="002457F6">
            <w:pPr>
              <w:pStyle w:val="P68B1DB1-Normal12"/>
              <w:jc w:val="center"/>
              <w:rPr>
                <w:noProof/>
              </w:rPr>
            </w:pPr>
            <w:r>
              <w:rPr>
                <w:noProof/>
              </w:rPr>
              <w:t>Ieguldījums 1.4.: Ieguldījumi infrastruktūrā speciālajā ekonomiskajā zonā</w:t>
            </w:r>
          </w:p>
        </w:tc>
        <w:tc>
          <w:tcPr>
            <w:tcW w:w="1425" w:type="dxa"/>
            <w:tcBorders>
              <w:top w:val="nil"/>
              <w:left w:val="nil"/>
              <w:bottom w:val="single" w:sz="4" w:space="0" w:color="auto"/>
              <w:right w:val="single" w:sz="4" w:space="0" w:color="auto"/>
            </w:tcBorders>
            <w:shd w:val="clear" w:color="auto" w:fill="C6EFCE"/>
            <w:noWrap/>
            <w:vAlign w:val="center"/>
          </w:tcPr>
          <w:p w14:paraId="4345E5CA" w14:textId="77777777" w:rsidR="00C972CB" w:rsidRDefault="002457F6">
            <w:pPr>
              <w:pStyle w:val="P68B1DB1-Normal12"/>
              <w:jc w:val="center"/>
              <w:rPr>
                <w:noProof/>
              </w:rPr>
            </w:pPr>
            <w:r>
              <w:rPr>
                <w:noProof/>
              </w:rPr>
              <w:t>Mērķa</w:t>
            </w:r>
          </w:p>
        </w:tc>
        <w:tc>
          <w:tcPr>
            <w:tcW w:w="4106" w:type="dxa"/>
            <w:tcBorders>
              <w:top w:val="nil"/>
              <w:left w:val="nil"/>
              <w:bottom w:val="single" w:sz="4" w:space="0" w:color="auto"/>
              <w:right w:val="single" w:sz="4" w:space="0" w:color="auto"/>
            </w:tcBorders>
            <w:shd w:val="clear" w:color="auto" w:fill="C6EFCE"/>
            <w:noWrap/>
            <w:vAlign w:val="center"/>
          </w:tcPr>
          <w:p w14:paraId="6B8D6174" w14:textId="77777777" w:rsidR="00C972CB" w:rsidRDefault="002457F6">
            <w:pPr>
              <w:pStyle w:val="P68B1DB1-Normal12"/>
              <w:jc w:val="center"/>
              <w:rPr>
                <w:noProof/>
              </w:rPr>
            </w:pPr>
            <w:r>
              <w:rPr>
                <w:noProof/>
              </w:rPr>
              <w:t>Infrastruktūras intervences sākšana speciālajās ekonomiskajās zonās</w:t>
            </w:r>
          </w:p>
        </w:tc>
      </w:tr>
      <w:tr w:rsidR="00C972CB" w14:paraId="2C0FD1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CC17B" w14:textId="77777777" w:rsidR="00C972CB" w:rsidRDefault="002457F6">
            <w:pPr>
              <w:pStyle w:val="P68B1DB1-Normal12"/>
              <w:jc w:val="center"/>
              <w:rPr>
                <w:noProof/>
              </w:rPr>
            </w:pPr>
            <w:r>
              <w:rPr>
                <w:noProof/>
              </w:rPr>
              <w:t>M6C2–15</w:t>
            </w:r>
          </w:p>
        </w:tc>
        <w:tc>
          <w:tcPr>
            <w:tcW w:w="3195" w:type="dxa"/>
            <w:tcBorders>
              <w:top w:val="nil"/>
              <w:left w:val="nil"/>
              <w:bottom w:val="single" w:sz="4" w:space="0" w:color="auto"/>
              <w:right w:val="single" w:sz="4" w:space="0" w:color="auto"/>
            </w:tcBorders>
            <w:shd w:val="clear" w:color="auto" w:fill="C6EFCE"/>
            <w:noWrap/>
            <w:vAlign w:val="center"/>
          </w:tcPr>
          <w:p w14:paraId="1827635A" w14:textId="77777777" w:rsidR="00C972CB" w:rsidRDefault="002457F6">
            <w:pPr>
              <w:pStyle w:val="P68B1DB1-Normal48"/>
              <w:jc w:val="center"/>
              <w:rPr>
                <w:noProof/>
              </w:rPr>
            </w:pPr>
            <w:r>
              <w:rPr>
                <w:noProof/>
              </w:rPr>
              <w:t xml:space="preserve">Ieguldījums 2.2.: Veselības aprūpes sistēmas speciālistu tehnisko, </w:t>
            </w:r>
            <w:r>
              <w:rPr>
                <w:noProof/>
              </w:rPr>
              <w:t>profesionālo, digitālo un vadības prasmju attīstīšana</w:t>
            </w:r>
          </w:p>
        </w:tc>
        <w:tc>
          <w:tcPr>
            <w:tcW w:w="1425" w:type="dxa"/>
            <w:tcBorders>
              <w:top w:val="nil"/>
              <w:left w:val="nil"/>
              <w:bottom w:val="single" w:sz="4" w:space="0" w:color="auto"/>
              <w:right w:val="single" w:sz="4" w:space="0" w:color="auto"/>
            </w:tcBorders>
            <w:shd w:val="clear" w:color="auto" w:fill="C6EFCE"/>
            <w:noWrap/>
            <w:vAlign w:val="center"/>
          </w:tcPr>
          <w:p w14:paraId="3A1B3B1A" w14:textId="77777777" w:rsidR="00C972CB" w:rsidRDefault="002457F6">
            <w:pPr>
              <w:pStyle w:val="P68B1DB1-Normal48"/>
              <w:jc w:val="center"/>
              <w:rPr>
                <w:noProof/>
              </w:rPr>
            </w:pPr>
            <w:r>
              <w:rPr>
                <w:noProof/>
              </w:rPr>
              <w:t>Mērķa</w:t>
            </w:r>
          </w:p>
        </w:tc>
        <w:tc>
          <w:tcPr>
            <w:tcW w:w="4106" w:type="dxa"/>
            <w:tcBorders>
              <w:top w:val="nil"/>
              <w:left w:val="nil"/>
              <w:bottom w:val="single" w:sz="4" w:space="0" w:color="auto"/>
              <w:right w:val="single" w:sz="4" w:space="0" w:color="auto"/>
            </w:tcBorders>
            <w:shd w:val="clear" w:color="auto" w:fill="C6EFCE"/>
            <w:noWrap/>
            <w:vAlign w:val="center"/>
          </w:tcPr>
          <w:p w14:paraId="41B73241" w14:textId="77777777" w:rsidR="00C972CB" w:rsidRDefault="002457F6">
            <w:pPr>
              <w:pStyle w:val="P68B1DB1-Normal48"/>
              <w:jc w:val="center"/>
              <w:rPr>
                <w:noProof/>
              </w:rPr>
            </w:pPr>
            <w:r>
              <w:rPr>
                <w:noProof/>
              </w:rPr>
              <w:t>Tiek piešķirtas papildu stipendijas īpašām mācībām vispārējās medicīnas praksē.</w:t>
            </w:r>
          </w:p>
        </w:tc>
      </w:tr>
      <w:tr w:rsidR="00C972CB" w14:paraId="0DD3EF5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DEB564" w14:textId="77777777" w:rsidR="00C972CB" w:rsidRDefault="002457F6">
            <w:pPr>
              <w:pStyle w:val="P68B1DB1-Normal12"/>
              <w:jc w:val="center"/>
              <w:rPr>
                <w:noProof/>
              </w:rPr>
            </w:pPr>
            <w:r>
              <w:rPr>
                <w:noProof/>
              </w:rPr>
              <w:t>M7–36</w:t>
            </w:r>
          </w:p>
        </w:tc>
        <w:tc>
          <w:tcPr>
            <w:tcW w:w="3195" w:type="dxa"/>
            <w:tcBorders>
              <w:top w:val="nil"/>
              <w:left w:val="nil"/>
              <w:bottom w:val="single" w:sz="4" w:space="0" w:color="auto"/>
              <w:right w:val="single" w:sz="4" w:space="0" w:color="auto"/>
            </w:tcBorders>
            <w:shd w:val="clear" w:color="auto" w:fill="C6EFCE"/>
            <w:noWrap/>
            <w:vAlign w:val="center"/>
          </w:tcPr>
          <w:p w14:paraId="7BE1C5C5" w14:textId="77777777" w:rsidR="00C972CB" w:rsidRDefault="002457F6">
            <w:pPr>
              <w:pStyle w:val="P68B1DB1-Normal12"/>
              <w:jc w:val="center"/>
              <w:rPr>
                <w:noProof/>
              </w:rPr>
            </w:pPr>
            <w:r>
              <w:rPr>
                <w:noProof/>
              </w:rPr>
              <w:t>Ieguldījums 13: Adrijas jūras līnija, 1. posms (Sulmonas kompresora stacija un Sestino-Minerbio gāzes cauruļv</w:t>
            </w:r>
            <w:r>
              <w:rPr>
                <w:noProof/>
              </w:rPr>
              <w:t>ads)</w:t>
            </w:r>
          </w:p>
        </w:tc>
        <w:tc>
          <w:tcPr>
            <w:tcW w:w="1425" w:type="dxa"/>
            <w:tcBorders>
              <w:top w:val="nil"/>
              <w:left w:val="nil"/>
              <w:bottom w:val="single" w:sz="4" w:space="0" w:color="auto"/>
              <w:right w:val="single" w:sz="4" w:space="0" w:color="auto"/>
            </w:tcBorders>
            <w:shd w:val="clear" w:color="auto" w:fill="C6EFCE"/>
            <w:noWrap/>
            <w:vAlign w:val="center"/>
          </w:tcPr>
          <w:p w14:paraId="1F6D0DEE" w14:textId="77777777" w:rsidR="00C972CB" w:rsidRDefault="002457F6">
            <w:pPr>
              <w:pStyle w:val="P68B1DB1-Normal12"/>
              <w:jc w:val="center"/>
              <w:rPr>
                <w:noProof/>
              </w:rPr>
            </w:pPr>
            <w:r>
              <w:rPr>
                <w:noProof/>
              </w:rPr>
              <w:t>Starpposma mērķis</w:t>
            </w:r>
          </w:p>
        </w:tc>
        <w:tc>
          <w:tcPr>
            <w:tcW w:w="4106" w:type="dxa"/>
            <w:tcBorders>
              <w:top w:val="nil"/>
              <w:left w:val="nil"/>
              <w:bottom w:val="single" w:sz="4" w:space="0" w:color="auto"/>
              <w:right w:val="single" w:sz="4" w:space="0" w:color="auto"/>
            </w:tcBorders>
            <w:shd w:val="clear" w:color="auto" w:fill="C6EFCE"/>
            <w:noWrap/>
            <w:vAlign w:val="center"/>
          </w:tcPr>
          <w:p w14:paraId="35BC2493" w14:textId="77777777" w:rsidR="00C972CB" w:rsidRDefault="002457F6">
            <w:pPr>
              <w:pStyle w:val="P68B1DB1-Normal12"/>
              <w:jc w:val="center"/>
              <w:rPr>
                <w:noProof/>
              </w:rPr>
            </w:pPr>
            <w:r>
              <w:rPr>
                <w:noProof/>
              </w:rPr>
              <w:t>Līgumu piešķiršana</w:t>
            </w:r>
          </w:p>
        </w:tc>
      </w:tr>
      <w:tr w:rsidR="00C972CB" w14:paraId="6944E1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91076A" w14:textId="77777777" w:rsidR="00C972CB" w:rsidRDefault="002457F6">
            <w:pPr>
              <w:pStyle w:val="P68B1DB1-Normal12"/>
              <w:jc w:val="center"/>
              <w:rPr>
                <w:noProof/>
              </w:rPr>
            </w:pPr>
            <w:r>
              <w:rPr>
                <w:noProof/>
              </w:rPr>
              <w:t>M7–38</w:t>
            </w:r>
          </w:p>
        </w:tc>
        <w:tc>
          <w:tcPr>
            <w:tcW w:w="3195" w:type="dxa"/>
            <w:tcBorders>
              <w:top w:val="nil"/>
              <w:left w:val="nil"/>
              <w:bottom w:val="single" w:sz="4" w:space="0" w:color="auto"/>
              <w:right w:val="single" w:sz="4" w:space="0" w:color="auto"/>
            </w:tcBorders>
            <w:shd w:val="clear" w:color="auto" w:fill="C6EFCE"/>
            <w:noWrap/>
            <w:vAlign w:val="center"/>
          </w:tcPr>
          <w:p w14:paraId="54D63331" w14:textId="77777777" w:rsidR="00C972CB" w:rsidRDefault="002457F6">
            <w:pPr>
              <w:pStyle w:val="P68B1DB1-Normal12"/>
              <w:jc w:val="center"/>
              <w:rPr>
                <w:noProof/>
              </w:rPr>
            </w:pPr>
            <w:r>
              <w:rPr>
                <w:noProof/>
              </w:rPr>
              <w:t>Ieguldījums 14: Gāzes pārrobežu eksporta infrastruktūra</w:t>
            </w:r>
          </w:p>
        </w:tc>
        <w:tc>
          <w:tcPr>
            <w:tcW w:w="1425" w:type="dxa"/>
            <w:tcBorders>
              <w:top w:val="nil"/>
              <w:left w:val="nil"/>
              <w:bottom w:val="single" w:sz="4" w:space="0" w:color="auto"/>
              <w:right w:val="single" w:sz="4" w:space="0" w:color="auto"/>
            </w:tcBorders>
            <w:shd w:val="clear" w:color="auto" w:fill="C6EFCE"/>
            <w:noWrap/>
            <w:vAlign w:val="center"/>
          </w:tcPr>
          <w:p w14:paraId="3876B5CB" w14:textId="77777777" w:rsidR="00C972CB" w:rsidRDefault="002457F6">
            <w:pPr>
              <w:pStyle w:val="P68B1DB1-Normal12"/>
              <w:jc w:val="center"/>
              <w:rPr>
                <w:noProof/>
              </w:rPr>
            </w:pPr>
            <w:r>
              <w:rPr>
                <w:noProof/>
              </w:rPr>
              <w:t>Starpposma mērķis</w:t>
            </w:r>
          </w:p>
        </w:tc>
        <w:tc>
          <w:tcPr>
            <w:tcW w:w="4106" w:type="dxa"/>
            <w:tcBorders>
              <w:top w:val="nil"/>
              <w:left w:val="nil"/>
              <w:bottom w:val="single" w:sz="4" w:space="0" w:color="auto"/>
              <w:right w:val="single" w:sz="4" w:space="0" w:color="auto"/>
            </w:tcBorders>
            <w:shd w:val="clear" w:color="auto" w:fill="C6EFCE"/>
            <w:noWrap/>
            <w:vAlign w:val="center"/>
          </w:tcPr>
          <w:p w14:paraId="3D29022A" w14:textId="77777777" w:rsidR="00C972CB" w:rsidRDefault="002457F6">
            <w:pPr>
              <w:pStyle w:val="P68B1DB1-Normal12"/>
              <w:jc w:val="center"/>
              <w:rPr>
                <w:noProof/>
              </w:rPr>
            </w:pPr>
            <w:r>
              <w:rPr>
                <w:noProof/>
              </w:rPr>
              <w:t>Līgumu piešķiršana</w:t>
            </w:r>
          </w:p>
        </w:tc>
      </w:tr>
      <w:tr w:rsidR="00C972CB" w14:paraId="105443C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970F1A" w14:textId="77777777" w:rsidR="00C972CB" w:rsidRDefault="00C972C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82B1091" w14:textId="77777777" w:rsidR="00C972CB" w:rsidRDefault="00C972CB">
            <w:pPr>
              <w:rPr>
                <w:noProof/>
                <w:color w:val="006100"/>
                <w:sz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37276664" w14:textId="77777777" w:rsidR="00C972CB" w:rsidRDefault="002457F6">
            <w:pPr>
              <w:pStyle w:val="P68B1DB1-Normal12"/>
              <w:rPr>
                <w:noProof/>
              </w:rPr>
            </w:pPr>
            <w:r>
              <w:rPr>
                <w:noProof/>
              </w:rPr>
              <w:t>Maksājuma summa</w:t>
            </w:r>
          </w:p>
        </w:tc>
        <w:tc>
          <w:tcPr>
            <w:tcW w:w="4106" w:type="dxa"/>
            <w:tcBorders>
              <w:top w:val="single" w:sz="4" w:space="0" w:color="auto"/>
              <w:left w:val="nil"/>
              <w:bottom w:val="single" w:sz="4" w:space="0" w:color="auto"/>
              <w:right w:val="single" w:sz="4" w:space="0" w:color="auto"/>
            </w:tcBorders>
            <w:shd w:val="clear" w:color="auto" w:fill="C6EFCE"/>
            <w:noWrap/>
            <w:vAlign w:val="bottom"/>
          </w:tcPr>
          <w:p w14:paraId="7D8FCA63" w14:textId="32ADD4AB" w:rsidR="00C972CB" w:rsidRDefault="002457F6">
            <w:pPr>
              <w:pStyle w:val="P68B1DB1-Normal12"/>
              <w:rPr>
                <w:noProof/>
              </w:rPr>
            </w:pPr>
            <w:r>
              <w:rPr>
                <w:noProof/>
              </w:rPr>
              <w:t>8 328 350 441 EUR</w:t>
            </w:r>
          </w:p>
        </w:tc>
      </w:tr>
    </w:tbl>
    <w:p w14:paraId="5F775B7E" w14:textId="6E18EF8B" w:rsidR="00C972CB" w:rsidRDefault="00C972CB">
      <w:pPr>
        <w:spacing w:before="120" w:after="120"/>
        <w:jc w:val="both"/>
        <w:rPr>
          <w:rFonts w:eastAsia="Calibri"/>
          <w:noProof/>
        </w:rPr>
      </w:pPr>
    </w:p>
    <w:p w14:paraId="4DAA9DBC" w14:textId="77777777" w:rsidR="00C972CB" w:rsidRDefault="002457F6">
      <w:pPr>
        <w:pStyle w:val="P68B1DB1-Normal44"/>
        <w:spacing w:after="200" w:line="276" w:lineRule="auto"/>
        <w:rPr>
          <w:noProof/>
        </w:rPr>
      </w:pPr>
      <w:r>
        <w:rPr>
          <w:noProof/>
        </w:rPr>
        <w:br w:type="page"/>
      </w:r>
    </w:p>
    <w:p w14:paraId="6F6310A3" w14:textId="00FDE67D" w:rsidR="00C972CB" w:rsidRDefault="002457F6">
      <w:pPr>
        <w:pStyle w:val="P68B1DB1-Normal44"/>
        <w:numPr>
          <w:ilvl w:val="1"/>
          <w:numId w:val="6"/>
        </w:numPr>
        <w:spacing w:before="120" w:after="120"/>
        <w:jc w:val="both"/>
        <w:rPr>
          <w:noProof/>
        </w:rPr>
      </w:pPr>
      <w:r>
        <w:rPr>
          <w:noProof/>
        </w:rPr>
        <w:t>Septītā daļa (aizdevuma atbalsts):</w:t>
      </w:r>
    </w:p>
    <w:tbl>
      <w:tblPr>
        <w:tblW w:w="10152" w:type="dxa"/>
        <w:tblInd w:w="113" w:type="dxa"/>
        <w:tblLook w:val="04A0" w:firstRow="1" w:lastRow="0" w:firstColumn="1" w:lastColumn="0" w:noHBand="0" w:noVBand="1"/>
      </w:tblPr>
      <w:tblGrid>
        <w:gridCol w:w="1413"/>
        <w:gridCol w:w="3195"/>
        <w:gridCol w:w="1983"/>
        <w:gridCol w:w="4166"/>
      </w:tblGrid>
      <w:tr w:rsidR="00C972CB" w14:paraId="44AAC08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6BA279" w14:textId="77777777" w:rsidR="00C972CB" w:rsidRDefault="002457F6">
            <w:pPr>
              <w:pStyle w:val="P68B1DB1-Normal45"/>
              <w:jc w:val="center"/>
              <w:rPr>
                <w:noProof/>
              </w:rPr>
            </w:pPr>
            <w:r>
              <w:rPr>
                <w:noProof/>
              </w:rPr>
              <w:t>Kārtas numurs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44C6F5" w14:textId="77777777" w:rsidR="00C972CB" w:rsidRDefault="002457F6">
            <w:pPr>
              <w:pStyle w:val="P68B1DB1-Normal45"/>
              <w:jc w:val="center"/>
              <w:rPr>
                <w:noProof/>
              </w:rPr>
            </w:pPr>
            <w:r>
              <w:rPr>
                <w:noProof/>
              </w:rPr>
              <w:t xml:space="preserve">Pasākums (reforma vai </w:t>
            </w:r>
            <w:r>
              <w:rPr>
                <w:noProof/>
              </w:rPr>
              <w:t>investīcija)</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919E63" w14:textId="77777777" w:rsidR="00C972CB" w:rsidRDefault="002457F6">
            <w:pPr>
              <w:pStyle w:val="P68B1DB1-Normal45"/>
              <w:jc w:val="center"/>
              <w:rPr>
                <w:noProof/>
              </w:rPr>
            </w:pPr>
            <w:r>
              <w:rPr>
                <w:noProof/>
              </w:rPr>
              <w:t>Atskaites punkts/mērķrādītājs</w:t>
            </w:r>
          </w:p>
        </w:tc>
        <w:tc>
          <w:tcPr>
            <w:tcW w:w="4166" w:type="dxa"/>
            <w:vMerge w:val="restart"/>
            <w:tcBorders>
              <w:top w:val="single" w:sz="4" w:space="0" w:color="auto"/>
              <w:left w:val="nil"/>
              <w:bottom w:val="single" w:sz="4" w:space="0" w:color="auto"/>
              <w:right w:val="single" w:sz="4" w:space="0" w:color="auto"/>
            </w:tcBorders>
            <w:shd w:val="clear" w:color="auto" w:fill="BDD7EE"/>
            <w:vAlign w:val="center"/>
            <w:hideMark/>
          </w:tcPr>
          <w:p w14:paraId="6E761FB1" w14:textId="77777777" w:rsidR="00C972CB" w:rsidRDefault="002457F6">
            <w:pPr>
              <w:pStyle w:val="P68B1DB1-Normal45"/>
              <w:jc w:val="center"/>
              <w:rPr>
                <w:noProof/>
              </w:rPr>
            </w:pPr>
            <w:r>
              <w:rPr>
                <w:noProof/>
              </w:rPr>
              <w:t>Uzvārds</w:t>
            </w:r>
          </w:p>
        </w:tc>
      </w:tr>
      <w:tr w:rsidR="00C972CB" w14:paraId="28D2CF0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A83B21" w14:textId="77777777" w:rsidR="00C972CB" w:rsidRDefault="00C972C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01F13D27" w14:textId="77777777" w:rsidR="00C972CB" w:rsidRDefault="00C972CB">
            <w:pPr>
              <w:rPr>
                <w:b/>
                <w:noProof/>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1EC3C4AE" w14:textId="77777777" w:rsidR="00C972CB" w:rsidRDefault="00C972CB">
            <w:pPr>
              <w:rPr>
                <w:b/>
                <w:noProof/>
              </w:rPr>
            </w:pPr>
          </w:p>
        </w:tc>
        <w:tc>
          <w:tcPr>
            <w:tcW w:w="4166" w:type="dxa"/>
            <w:vMerge/>
            <w:tcBorders>
              <w:top w:val="single" w:sz="4" w:space="0" w:color="auto"/>
              <w:left w:val="single" w:sz="4" w:space="0" w:color="auto"/>
              <w:bottom w:val="single" w:sz="4" w:space="0" w:color="auto"/>
              <w:right w:val="single" w:sz="4" w:space="0" w:color="auto"/>
            </w:tcBorders>
            <w:vAlign w:val="center"/>
            <w:hideMark/>
          </w:tcPr>
          <w:p w14:paraId="575D13F0" w14:textId="77777777" w:rsidR="00C972CB" w:rsidRDefault="00C972CB">
            <w:pPr>
              <w:rPr>
                <w:b/>
                <w:noProof/>
              </w:rPr>
            </w:pPr>
          </w:p>
        </w:tc>
      </w:tr>
      <w:tr w:rsidR="00C972CB" w14:paraId="15F9B3C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D2E83" w14:textId="77777777" w:rsidR="00C972CB" w:rsidRDefault="002457F6">
            <w:pPr>
              <w:pStyle w:val="P68B1DB1-Normal12"/>
              <w:jc w:val="center"/>
              <w:rPr>
                <w:noProof/>
              </w:rPr>
            </w:pPr>
            <w:r>
              <w:rPr>
                <w:noProof/>
              </w:rPr>
              <w:t>M1C1–139</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3CE31CE" w14:textId="77777777" w:rsidR="00C972CB" w:rsidRDefault="002457F6">
            <w:pPr>
              <w:pStyle w:val="P68B1DB1-Normal12"/>
              <w:jc w:val="center"/>
              <w:rPr>
                <w:noProof/>
              </w:rPr>
            </w:pPr>
            <w:r>
              <w:rPr>
                <w:noProof/>
              </w:rPr>
              <w:t>Ieguldījums 1.2 — Mākoņdatošanas iespējas vietējai Palestīniešu pašpārvaldei</w:t>
            </w:r>
          </w:p>
        </w:tc>
        <w:tc>
          <w:tcPr>
            <w:tcW w:w="1378" w:type="dxa"/>
            <w:tcBorders>
              <w:top w:val="single" w:sz="4" w:space="0" w:color="auto"/>
              <w:left w:val="nil"/>
              <w:bottom w:val="single" w:sz="4" w:space="0" w:color="auto"/>
              <w:right w:val="single" w:sz="4" w:space="0" w:color="auto"/>
            </w:tcBorders>
            <w:shd w:val="clear" w:color="auto" w:fill="C6EFCE"/>
            <w:noWrap/>
            <w:vAlign w:val="center"/>
          </w:tcPr>
          <w:p w14:paraId="385979FD" w14:textId="77777777" w:rsidR="00C972CB" w:rsidRDefault="002457F6">
            <w:pPr>
              <w:pStyle w:val="P68B1DB1-Normal12"/>
              <w:jc w:val="center"/>
              <w:rPr>
                <w:noProof/>
              </w:rPr>
            </w:pPr>
            <w:r>
              <w:rPr>
                <w:noProof/>
              </w:rPr>
              <w:t>Mērķa</w:t>
            </w:r>
          </w:p>
        </w:tc>
        <w:tc>
          <w:tcPr>
            <w:tcW w:w="4166" w:type="dxa"/>
            <w:tcBorders>
              <w:top w:val="single" w:sz="4" w:space="0" w:color="auto"/>
              <w:left w:val="nil"/>
              <w:bottom w:val="single" w:sz="4" w:space="0" w:color="auto"/>
              <w:right w:val="single" w:sz="4" w:space="0" w:color="auto"/>
            </w:tcBorders>
            <w:shd w:val="clear" w:color="auto" w:fill="C6EFCE"/>
            <w:noWrap/>
            <w:vAlign w:val="center"/>
          </w:tcPr>
          <w:p w14:paraId="5BA9A3B1" w14:textId="77777777" w:rsidR="00C972CB" w:rsidRDefault="002457F6">
            <w:pPr>
              <w:pStyle w:val="P68B1DB1-Normal12"/>
              <w:jc w:val="center"/>
              <w:rPr>
                <w:noProof/>
              </w:rPr>
            </w:pPr>
            <w:r>
              <w:rPr>
                <w:noProof/>
              </w:rPr>
              <w:t>Mākoņa iespējošana vietējai valsts pārvaldei T1</w:t>
            </w:r>
          </w:p>
        </w:tc>
      </w:tr>
      <w:tr w:rsidR="00C972CB" w14:paraId="677B27A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722059" w14:textId="77777777" w:rsidR="00C972CB" w:rsidRDefault="002457F6">
            <w:pPr>
              <w:pStyle w:val="P68B1DB1-Normal12"/>
              <w:jc w:val="center"/>
              <w:rPr>
                <w:noProof/>
              </w:rPr>
            </w:pPr>
            <w:r>
              <w:rPr>
                <w:noProof/>
              </w:rPr>
              <w:t>M2C2–25</w:t>
            </w:r>
          </w:p>
        </w:tc>
        <w:tc>
          <w:tcPr>
            <w:tcW w:w="3195" w:type="dxa"/>
            <w:tcBorders>
              <w:top w:val="nil"/>
              <w:left w:val="nil"/>
              <w:bottom w:val="single" w:sz="4" w:space="0" w:color="auto"/>
              <w:right w:val="single" w:sz="4" w:space="0" w:color="auto"/>
            </w:tcBorders>
            <w:shd w:val="clear" w:color="auto" w:fill="C6EFCE"/>
            <w:noWrap/>
            <w:vAlign w:val="center"/>
          </w:tcPr>
          <w:p w14:paraId="604FCE5F" w14:textId="77777777" w:rsidR="00C972CB" w:rsidRDefault="002457F6">
            <w:pPr>
              <w:pStyle w:val="P68B1DB1-Normal12"/>
              <w:jc w:val="center"/>
              <w:rPr>
                <w:noProof/>
              </w:rPr>
            </w:pPr>
            <w:r>
              <w:rPr>
                <w:noProof/>
              </w:rPr>
              <w:t xml:space="preserve">Ieguldījums. Ātrās masas transporta sistēmu </w:t>
            </w:r>
            <w:r>
              <w:rPr>
                <w:noProof/>
              </w:rPr>
              <w:t>(metro, ielu automobiļa, BRT) attīstība</w:t>
            </w:r>
          </w:p>
        </w:tc>
        <w:tc>
          <w:tcPr>
            <w:tcW w:w="1378" w:type="dxa"/>
            <w:tcBorders>
              <w:top w:val="nil"/>
              <w:left w:val="nil"/>
              <w:bottom w:val="single" w:sz="4" w:space="0" w:color="auto"/>
              <w:right w:val="single" w:sz="4" w:space="0" w:color="auto"/>
            </w:tcBorders>
            <w:shd w:val="clear" w:color="auto" w:fill="C6EFCE"/>
            <w:noWrap/>
            <w:vAlign w:val="center"/>
          </w:tcPr>
          <w:p w14:paraId="70ACFCC2"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37698E0C" w14:textId="77777777" w:rsidR="00C972CB" w:rsidRDefault="002457F6">
            <w:pPr>
              <w:pStyle w:val="P68B1DB1-Normal26"/>
              <w:jc w:val="center"/>
              <w:rPr>
                <w:noProof/>
                <w:color w:val="006100"/>
              </w:rPr>
            </w:pPr>
            <w:r>
              <w:rPr>
                <w:noProof/>
                <w:color w:val="006100"/>
              </w:rPr>
              <w:t>Visu publiskā iepirkuma līgumu slēgšanas tiesību piešķiršana par bezemisiju ritošā sastāva iegādi un ātrās masas transporta sistēmu infrastruktūras modernizācijas intervences pasākumi</w:t>
            </w:r>
          </w:p>
        </w:tc>
      </w:tr>
      <w:tr w:rsidR="00C972CB" w14:paraId="7927D1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ADA5A2" w14:textId="77777777" w:rsidR="00C972CB" w:rsidRDefault="002457F6">
            <w:pPr>
              <w:pStyle w:val="P68B1DB1-Normal12"/>
              <w:jc w:val="center"/>
              <w:rPr>
                <w:noProof/>
              </w:rPr>
            </w:pPr>
            <w:r>
              <w:rPr>
                <w:noProof/>
              </w:rPr>
              <w:t>M2C4–11</w:t>
            </w:r>
          </w:p>
        </w:tc>
        <w:tc>
          <w:tcPr>
            <w:tcW w:w="3195" w:type="dxa"/>
            <w:tcBorders>
              <w:top w:val="nil"/>
              <w:left w:val="nil"/>
              <w:bottom w:val="single" w:sz="4" w:space="0" w:color="auto"/>
              <w:right w:val="single" w:sz="4" w:space="0" w:color="auto"/>
            </w:tcBorders>
            <w:shd w:val="clear" w:color="auto" w:fill="C6EFCE"/>
            <w:noWrap/>
            <w:vAlign w:val="center"/>
          </w:tcPr>
          <w:p w14:paraId="72B821DF" w14:textId="77777777" w:rsidR="00C972CB" w:rsidRDefault="002457F6">
            <w:pPr>
              <w:pStyle w:val="P68B1DB1-Normal12"/>
              <w:jc w:val="center"/>
              <w:rPr>
                <w:noProof/>
              </w:rPr>
            </w:pPr>
            <w:r>
              <w:rPr>
                <w:noProof/>
              </w:rPr>
              <w:t>Iegul</w:t>
            </w:r>
            <w:r>
              <w:rPr>
                <w:noProof/>
              </w:rPr>
              <w:t>dījums 2.1.a. Pasākumi plūdu un hidroģeoloģiskā riska mazināšanai — intervences pasākumi Emīlijā Romanjā, Toskānā un Markē</w:t>
            </w:r>
          </w:p>
        </w:tc>
        <w:tc>
          <w:tcPr>
            <w:tcW w:w="1378" w:type="dxa"/>
            <w:tcBorders>
              <w:top w:val="nil"/>
              <w:left w:val="nil"/>
              <w:bottom w:val="single" w:sz="4" w:space="0" w:color="auto"/>
              <w:right w:val="single" w:sz="4" w:space="0" w:color="auto"/>
            </w:tcBorders>
            <w:shd w:val="clear" w:color="auto" w:fill="C6EFCE"/>
            <w:noWrap/>
            <w:vAlign w:val="center"/>
          </w:tcPr>
          <w:p w14:paraId="1CF8691E"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00E5562E" w14:textId="77777777" w:rsidR="00C972CB" w:rsidRDefault="002457F6">
            <w:pPr>
              <w:pStyle w:val="P68B1DB1-Normal12"/>
              <w:jc w:val="center"/>
              <w:rPr>
                <w:noProof/>
              </w:rPr>
            </w:pPr>
            <w:r>
              <w:rPr>
                <w:noProof/>
              </w:rPr>
              <w:t>Intervences pasākumu noteikšana ar ārkārtas komisāra rīkojumu(-iem)</w:t>
            </w:r>
          </w:p>
        </w:tc>
      </w:tr>
      <w:tr w:rsidR="00C972CB" w14:paraId="4BFF1D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16901" w14:textId="77777777" w:rsidR="00C972CB" w:rsidRDefault="002457F6">
            <w:pPr>
              <w:pStyle w:val="P68B1DB1-Normal12"/>
              <w:jc w:val="center"/>
              <w:rPr>
                <w:noProof/>
              </w:rPr>
            </w:pPr>
            <w:r>
              <w:rPr>
                <w:noProof/>
              </w:rPr>
              <w:t>M7–46</w:t>
            </w:r>
          </w:p>
        </w:tc>
        <w:tc>
          <w:tcPr>
            <w:tcW w:w="3195" w:type="dxa"/>
            <w:tcBorders>
              <w:top w:val="nil"/>
              <w:left w:val="nil"/>
              <w:bottom w:val="single" w:sz="4" w:space="0" w:color="auto"/>
              <w:right w:val="single" w:sz="4" w:space="0" w:color="auto"/>
            </w:tcBorders>
            <w:shd w:val="clear" w:color="auto" w:fill="C6EFCE"/>
            <w:noWrap/>
            <w:vAlign w:val="center"/>
          </w:tcPr>
          <w:p w14:paraId="5645F8D8" w14:textId="77777777" w:rsidR="00C972CB" w:rsidRDefault="002457F6">
            <w:pPr>
              <w:pStyle w:val="P68B1DB1-Normal12"/>
              <w:jc w:val="center"/>
              <w:rPr>
                <w:noProof/>
              </w:rPr>
            </w:pPr>
            <w:r>
              <w:rPr>
                <w:noProof/>
              </w:rPr>
              <w:t>Ieguldījums 17: Finanšu instruments publ</w:t>
            </w:r>
            <w:r>
              <w:rPr>
                <w:noProof/>
              </w:rPr>
              <w:t>isko un sociālo mājokļu energorenovācijai</w:t>
            </w:r>
          </w:p>
        </w:tc>
        <w:tc>
          <w:tcPr>
            <w:tcW w:w="1378" w:type="dxa"/>
            <w:tcBorders>
              <w:top w:val="nil"/>
              <w:left w:val="nil"/>
              <w:bottom w:val="single" w:sz="4" w:space="0" w:color="auto"/>
              <w:right w:val="single" w:sz="4" w:space="0" w:color="auto"/>
            </w:tcBorders>
            <w:shd w:val="clear" w:color="auto" w:fill="C6EFCE"/>
            <w:noWrap/>
            <w:vAlign w:val="center"/>
          </w:tcPr>
          <w:p w14:paraId="55685A1F"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1F56476F" w14:textId="77777777" w:rsidR="00C972CB" w:rsidRDefault="002457F6">
            <w:pPr>
              <w:pStyle w:val="P68B1DB1-Normal12"/>
              <w:jc w:val="center"/>
              <w:rPr>
                <w:noProof/>
              </w:rPr>
            </w:pPr>
            <w:r>
              <w:rPr>
                <w:noProof/>
              </w:rPr>
              <w:t>Uzdevuma mērķa noteikšana</w:t>
            </w:r>
          </w:p>
        </w:tc>
      </w:tr>
      <w:tr w:rsidR="00C972CB" w14:paraId="43CCA1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E8FB5" w14:textId="77777777" w:rsidR="00C972CB" w:rsidRDefault="002457F6">
            <w:pPr>
              <w:pStyle w:val="P68B1DB1-Normal12"/>
              <w:jc w:val="center"/>
              <w:rPr>
                <w:noProof/>
              </w:rPr>
            </w:pPr>
            <w:r>
              <w:rPr>
                <w:noProof/>
              </w:rPr>
              <w:t>M1C1–140</w:t>
            </w:r>
          </w:p>
        </w:tc>
        <w:tc>
          <w:tcPr>
            <w:tcW w:w="3195" w:type="dxa"/>
            <w:tcBorders>
              <w:top w:val="nil"/>
              <w:left w:val="nil"/>
              <w:bottom w:val="single" w:sz="4" w:space="0" w:color="auto"/>
              <w:right w:val="single" w:sz="4" w:space="0" w:color="auto"/>
            </w:tcBorders>
            <w:shd w:val="clear" w:color="auto" w:fill="C6EFCE"/>
            <w:noWrap/>
            <w:vAlign w:val="center"/>
          </w:tcPr>
          <w:p w14:paraId="507BDD88" w14:textId="77777777" w:rsidR="00C972CB" w:rsidRDefault="002457F6">
            <w:pPr>
              <w:pStyle w:val="P68B1DB1-Normal12"/>
              <w:jc w:val="center"/>
              <w:rPr>
                <w:noProof/>
              </w:rPr>
            </w:pPr>
            <w:r>
              <w:rPr>
                <w:noProof/>
              </w:rPr>
              <w:t>Ieguldījums 1.4.1. Pilsoņu pieredze — digitālo publisko pakalpojumu kvalitātes un lietojamības uzlabošana</w:t>
            </w:r>
          </w:p>
        </w:tc>
        <w:tc>
          <w:tcPr>
            <w:tcW w:w="1378" w:type="dxa"/>
            <w:tcBorders>
              <w:top w:val="nil"/>
              <w:left w:val="nil"/>
              <w:bottom w:val="single" w:sz="4" w:space="0" w:color="auto"/>
              <w:right w:val="single" w:sz="4" w:space="0" w:color="auto"/>
            </w:tcBorders>
            <w:shd w:val="clear" w:color="auto" w:fill="C6EFCE"/>
            <w:noWrap/>
            <w:vAlign w:val="center"/>
          </w:tcPr>
          <w:p w14:paraId="3AEE8EE3"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6CEC6431" w14:textId="77777777" w:rsidR="00C972CB" w:rsidRDefault="002457F6">
            <w:pPr>
              <w:pStyle w:val="P68B1DB1-Normal12"/>
              <w:jc w:val="center"/>
              <w:rPr>
                <w:noProof/>
              </w:rPr>
            </w:pPr>
            <w:r>
              <w:rPr>
                <w:noProof/>
              </w:rPr>
              <w:t xml:space="preserve">Digitālo publisko pakalpojumu kvalitātes un </w:t>
            </w:r>
            <w:r>
              <w:rPr>
                <w:noProof/>
              </w:rPr>
              <w:t>lietojamības uzlabošana T1</w:t>
            </w:r>
          </w:p>
        </w:tc>
      </w:tr>
      <w:tr w:rsidR="00C972CB" w14:paraId="2A2619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885B3" w14:textId="77777777" w:rsidR="00C972CB" w:rsidRDefault="002457F6">
            <w:pPr>
              <w:pStyle w:val="P68B1DB1-Normal12"/>
              <w:jc w:val="center"/>
              <w:rPr>
                <w:noProof/>
              </w:rPr>
            </w:pPr>
            <w:r>
              <w:rPr>
                <w:noProof/>
              </w:rPr>
              <w:t>M1C1–141</w:t>
            </w:r>
          </w:p>
        </w:tc>
        <w:tc>
          <w:tcPr>
            <w:tcW w:w="3195" w:type="dxa"/>
            <w:tcBorders>
              <w:top w:val="nil"/>
              <w:left w:val="nil"/>
              <w:bottom w:val="single" w:sz="4" w:space="0" w:color="auto"/>
              <w:right w:val="single" w:sz="4" w:space="0" w:color="auto"/>
            </w:tcBorders>
            <w:shd w:val="clear" w:color="auto" w:fill="C6EFCE"/>
            <w:noWrap/>
            <w:vAlign w:val="center"/>
          </w:tcPr>
          <w:p w14:paraId="70DDF566" w14:textId="77777777" w:rsidR="00C972CB" w:rsidRDefault="002457F6">
            <w:pPr>
              <w:pStyle w:val="P68B1DB1-Normal12"/>
              <w:jc w:val="center"/>
              <w:rPr>
                <w:noProof/>
              </w:rPr>
            </w:pPr>
            <w:r>
              <w:rPr>
                <w:noProof/>
              </w:rPr>
              <w:t>Ieguldījums 1.6.4. — Aizsardzības ministrijas digitalizācija</w:t>
            </w:r>
          </w:p>
        </w:tc>
        <w:tc>
          <w:tcPr>
            <w:tcW w:w="1378" w:type="dxa"/>
            <w:tcBorders>
              <w:top w:val="nil"/>
              <w:left w:val="nil"/>
              <w:bottom w:val="single" w:sz="4" w:space="0" w:color="auto"/>
              <w:right w:val="single" w:sz="4" w:space="0" w:color="auto"/>
            </w:tcBorders>
            <w:shd w:val="clear" w:color="auto" w:fill="C6EFCE"/>
            <w:noWrap/>
            <w:vAlign w:val="center"/>
          </w:tcPr>
          <w:p w14:paraId="0E1C2DF0"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6A1B089B" w14:textId="77777777" w:rsidR="00C972CB" w:rsidRDefault="002457F6">
            <w:pPr>
              <w:pStyle w:val="P68B1DB1-Normal12"/>
              <w:jc w:val="center"/>
              <w:rPr>
                <w:noProof/>
              </w:rPr>
            </w:pPr>
            <w:r>
              <w:rPr>
                <w:noProof/>
              </w:rPr>
              <w:t>Aizsardzības ministrijas procedūru digitalizācija T2</w:t>
            </w:r>
          </w:p>
        </w:tc>
      </w:tr>
      <w:tr w:rsidR="00C972CB" w14:paraId="161C0E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BC3C23" w14:textId="77777777" w:rsidR="00C972CB" w:rsidRDefault="002457F6">
            <w:pPr>
              <w:pStyle w:val="P68B1DB1-Normal12"/>
              <w:jc w:val="center"/>
              <w:rPr>
                <w:noProof/>
              </w:rPr>
            </w:pPr>
            <w:r>
              <w:rPr>
                <w:noProof/>
              </w:rPr>
              <w:t>M1C1–142</w:t>
            </w:r>
          </w:p>
        </w:tc>
        <w:tc>
          <w:tcPr>
            <w:tcW w:w="3195" w:type="dxa"/>
            <w:tcBorders>
              <w:top w:val="nil"/>
              <w:left w:val="nil"/>
              <w:bottom w:val="single" w:sz="4" w:space="0" w:color="auto"/>
              <w:right w:val="single" w:sz="4" w:space="0" w:color="auto"/>
            </w:tcBorders>
            <w:shd w:val="clear" w:color="auto" w:fill="C6EFCE"/>
            <w:noWrap/>
            <w:vAlign w:val="center"/>
          </w:tcPr>
          <w:p w14:paraId="5A5BCB4D" w14:textId="77777777" w:rsidR="00C972CB" w:rsidRDefault="002457F6">
            <w:pPr>
              <w:pStyle w:val="P68B1DB1-Normal12"/>
              <w:jc w:val="center"/>
              <w:rPr>
                <w:noProof/>
              </w:rPr>
            </w:pPr>
            <w:r>
              <w:rPr>
                <w:noProof/>
              </w:rPr>
              <w:t>Ieguldījums 1.6.4. — Aizsardzības ministrijas digitalizācija</w:t>
            </w:r>
          </w:p>
        </w:tc>
        <w:tc>
          <w:tcPr>
            <w:tcW w:w="1378" w:type="dxa"/>
            <w:tcBorders>
              <w:top w:val="nil"/>
              <w:left w:val="nil"/>
              <w:bottom w:val="single" w:sz="4" w:space="0" w:color="auto"/>
              <w:right w:val="single" w:sz="4" w:space="0" w:color="auto"/>
            </w:tcBorders>
            <w:shd w:val="clear" w:color="auto" w:fill="C6EFCE"/>
            <w:noWrap/>
            <w:vAlign w:val="center"/>
          </w:tcPr>
          <w:p w14:paraId="0E9338D8"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40F87136" w14:textId="77777777" w:rsidR="00C972CB" w:rsidRDefault="002457F6">
            <w:pPr>
              <w:pStyle w:val="P68B1DB1-Normal12"/>
              <w:jc w:val="center"/>
              <w:rPr>
                <w:noProof/>
              </w:rPr>
            </w:pPr>
            <w:r>
              <w:rPr>
                <w:noProof/>
              </w:rPr>
              <w:t xml:space="preserve">Aizsardzības </w:t>
            </w:r>
            <w:r>
              <w:rPr>
                <w:noProof/>
              </w:rPr>
              <w:t>ministrijas sertifikātu digitalizācija T2</w:t>
            </w:r>
          </w:p>
        </w:tc>
      </w:tr>
      <w:tr w:rsidR="00C972CB" w14:paraId="5FC0CF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538547" w14:textId="77777777" w:rsidR="00C972CB" w:rsidRDefault="002457F6">
            <w:pPr>
              <w:pStyle w:val="P68B1DB1-Normal12"/>
              <w:jc w:val="center"/>
              <w:rPr>
                <w:noProof/>
              </w:rPr>
            </w:pPr>
            <w:r>
              <w:rPr>
                <w:noProof/>
              </w:rPr>
              <w:t>M1C1–143</w:t>
            </w:r>
          </w:p>
        </w:tc>
        <w:tc>
          <w:tcPr>
            <w:tcW w:w="3195" w:type="dxa"/>
            <w:tcBorders>
              <w:top w:val="nil"/>
              <w:left w:val="nil"/>
              <w:bottom w:val="single" w:sz="4" w:space="0" w:color="auto"/>
              <w:right w:val="single" w:sz="4" w:space="0" w:color="auto"/>
            </w:tcBorders>
            <w:shd w:val="clear" w:color="auto" w:fill="C6EFCE"/>
            <w:noWrap/>
            <w:vAlign w:val="center"/>
          </w:tcPr>
          <w:p w14:paraId="182CC0FF" w14:textId="77777777" w:rsidR="00C972CB" w:rsidRDefault="002457F6">
            <w:pPr>
              <w:pStyle w:val="P68B1DB1-Normal12"/>
              <w:jc w:val="center"/>
              <w:rPr>
                <w:noProof/>
              </w:rPr>
            </w:pPr>
            <w:r>
              <w:rPr>
                <w:noProof/>
              </w:rPr>
              <w:t>Ieguldījums 1.6.4. — Aizsardzības ministrijas digitalizācija</w:t>
            </w:r>
          </w:p>
        </w:tc>
        <w:tc>
          <w:tcPr>
            <w:tcW w:w="1378" w:type="dxa"/>
            <w:tcBorders>
              <w:top w:val="nil"/>
              <w:left w:val="nil"/>
              <w:bottom w:val="single" w:sz="4" w:space="0" w:color="auto"/>
              <w:right w:val="single" w:sz="4" w:space="0" w:color="auto"/>
            </w:tcBorders>
            <w:shd w:val="clear" w:color="auto" w:fill="C6EFCE"/>
            <w:noWrap/>
            <w:vAlign w:val="center"/>
          </w:tcPr>
          <w:p w14:paraId="07F4C611"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545F1BF8" w14:textId="77777777" w:rsidR="00C972CB" w:rsidRDefault="002457F6">
            <w:pPr>
              <w:pStyle w:val="P68B1DB1-Normal12"/>
              <w:jc w:val="center"/>
              <w:rPr>
                <w:noProof/>
              </w:rPr>
            </w:pPr>
            <w:r>
              <w:rPr>
                <w:noProof/>
              </w:rPr>
              <w:t>Aizsardzības ministrija — Nemisijas kritiski svarīgu lietotņu migrācija uz risinājumu informācijas aizsardzības pabeigšanai, izmantojot i</w:t>
            </w:r>
            <w:r>
              <w:rPr>
                <w:noProof/>
              </w:rPr>
              <w:t>nfrastruktūras atklātību (S.C.I.P.I.I.O.) T2</w:t>
            </w:r>
          </w:p>
        </w:tc>
      </w:tr>
      <w:tr w:rsidR="00C972CB" w14:paraId="164A81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F311CD" w14:textId="77777777" w:rsidR="00C972CB" w:rsidRDefault="002457F6">
            <w:pPr>
              <w:pStyle w:val="P68B1DB1-Normal12"/>
              <w:jc w:val="center"/>
              <w:rPr>
                <w:noProof/>
              </w:rPr>
            </w:pPr>
            <w:r>
              <w:rPr>
                <w:noProof/>
              </w:rPr>
              <w:t>M1C2–19</w:t>
            </w:r>
          </w:p>
        </w:tc>
        <w:tc>
          <w:tcPr>
            <w:tcW w:w="3195" w:type="dxa"/>
            <w:tcBorders>
              <w:top w:val="nil"/>
              <w:left w:val="nil"/>
              <w:bottom w:val="single" w:sz="4" w:space="0" w:color="auto"/>
              <w:right w:val="single" w:sz="4" w:space="0" w:color="auto"/>
            </w:tcBorders>
            <w:shd w:val="clear" w:color="auto" w:fill="C6EFCE"/>
            <w:noWrap/>
            <w:vAlign w:val="center"/>
          </w:tcPr>
          <w:p w14:paraId="41FEA802" w14:textId="77777777" w:rsidR="00C972CB" w:rsidRDefault="002457F6">
            <w:pPr>
              <w:pStyle w:val="P68B1DB1-Normal12"/>
              <w:jc w:val="center"/>
              <w:rPr>
                <w:noProof/>
              </w:rPr>
            </w:pPr>
            <w:r>
              <w:rPr>
                <w:noProof/>
              </w:rPr>
              <w:t>Ieguldījums 3: Ātrā interneta savienojumi (platjosla un 5G)</w:t>
            </w:r>
          </w:p>
        </w:tc>
        <w:tc>
          <w:tcPr>
            <w:tcW w:w="1378" w:type="dxa"/>
            <w:tcBorders>
              <w:top w:val="nil"/>
              <w:left w:val="nil"/>
              <w:bottom w:val="single" w:sz="4" w:space="0" w:color="auto"/>
              <w:right w:val="single" w:sz="4" w:space="0" w:color="auto"/>
            </w:tcBorders>
            <w:shd w:val="clear" w:color="auto" w:fill="C6EFCE"/>
            <w:noWrap/>
            <w:vAlign w:val="center"/>
          </w:tcPr>
          <w:p w14:paraId="618039F5"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0F3C45B2" w14:textId="77777777" w:rsidR="00C972CB" w:rsidRDefault="002457F6">
            <w:pPr>
              <w:pStyle w:val="P68B1DB1-Normal12"/>
              <w:jc w:val="center"/>
              <w:rPr>
                <w:noProof/>
              </w:rPr>
            </w:pPr>
            <w:r>
              <w:rPr>
                <w:noProof/>
              </w:rPr>
              <w:t>Salas ar ultraplatjoslas savienojamību</w:t>
            </w:r>
          </w:p>
        </w:tc>
      </w:tr>
      <w:tr w:rsidR="00C972CB" w14:paraId="1483DA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307B0" w14:textId="77777777" w:rsidR="00C972CB" w:rsidRDefault="002457F6">
            <w:pPr>
              <w:pStyle w:val="P68B1DB1-Normal12"/>
              <w:jc w:val="center"/>
              <w:rPr>
                <w:noProof/>
              </w:rPr>
            </w:pPr>
            <w:r>
              <w:rPr>
                <w:noProof/>
              </w:rPr>
              <w:t>M1C2–30</w:t>
            </w:r>
          </w:p>
        </w:tc>
        <w:tc>
          <w:tcPr>
            <w:tcW w:w="3195" w:type="dxa"/>
            <w:tcBorders>
              <w:top w:val="nil"/>
              <w:left w:val="nil"/>
              <w:bottom w:val="single" w:sz="4" w:space="0" w:color="auto"/>
              <w:right w:val="single" w:sz="4" w:space="0" w:color="auto"/>
            </w:tcBorders>
            <w:shd w:val="clear" w:color="auto" w:fill="C6EFCE"/>
            <w:noWrap/>
            <w:vAlign w:val="center"/>
          </w:tcPr>
          <w:p w14:paraId="635AB869" w14:textId="77777777" w:rsidR="00C972CB" w:rsidRDefault="002457F6">
            <w:pPr>
              <w:pStyle w:val="P68B1DB1-Normal12"/>
              <w:jc w:val="center"/>
              <w:rPr>
                <w:noProof/>
              </w:rPr>
            </w:pPr>
            <w:r>
              <w:rPr>
                <w:noProof/>
              </w:rPr>
              <w:t xml:space="preserve">Ieguldījums 7. Atbalsts ražošanas sistēmai ekoloģiskajai pārejai, neto nulles emisiju </w:t>
            </w:r>
            <w:r>
              <w:rPr>
                <w:noProof/>
              </w:rPr>
              <w:t>tehnoloģijām un stratēģisko piegādes ķēžu konkurētspējai un noturībai</w:t>
            </w:r>
          </w:p>
        </w:tc>
        <w:tc>
          <w:tcPr>
            <w:tcW w:w="1378" w:type="dxa"/>
            <w:tcBorders>
              <w:top w:val="nil"/>
              <w:left w:val="nil"/>
              <w:bottom w:val="single" w:sz="4" w:space="0" w:color="auto"/>
              <w:right w:val="single" w:sz="4" w:space="0" w:color="auto"/>
            </w:tcBorders>
            <w:shd w:val="clear" w:color="auto" w:fill="C6EFCE"/>
            <w:noWrap/>
            <w:vAlign w:val="center"/>
          </w:tcPr>
          <w:p w14:paraId="2A618D4E" w14:textId="77777777" w:rsidR="00C972CB" w:rsidRDefault="002457F6">
            <w:pPr>
              <w:pStyle w:val="P68B1DB1-Normal12"/>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7B76B828" w14:textId="77777777" w:rsidR="00C972CB" w:rsidRDefault="002457F6">
            <w:pPr>
              <w:pStyle w:val="P68B1DB1-Normal12"/>
              <w:rPr>
                <w:noProof/>
              </w:rPr>
            </w:pPr>
            <w:r>
              <w:rPr>
                <w:noProof/>
              </w:rPr>
              <w:t>Īstenošanas nolīgums</w:t>
            </w:r>
          </w:p>
        </w:tc>
      </w:tr>
      <w:tr w:rsidR="00C972CB" w14:paraId="551828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50365B" w14:textId="77777777" w:rsidR="00C972CB" w:rsidRDefault="002457F6">
            <w:pPr>
              <w:pStyle w:val="P68B1DB1-Normal12"/>
              <w:jc w:val="center"/>
              <w:rPr>
                <w:noProof/>
              </w:rPr>
            </w:pPr>
            <w:r>
              <w:rPr>
                <w:noProof/>
              </w:rPr>
              <w:t>M1C2–31</w:t>
            </w:r>
          </w:p>
        </w:tc>
        <w:tc>
          <w:tcPr>
            <w:tcW w:w="3195" w:type="dxa"/>
            <w:tcBorders>
              <w:top w:val="nil"/>
              <w:left w:val="nil"/>
              <w:bottom w:val="single" w:sz="4" w:space="0" w:color="auto"/>
              <w:right w:val="single" w:sz="4" w:space="0" w:color="auto"/>
            </w:tcBorders>
            <w:shd w:val="clear" w:color="auto" w:fill="C6EFCE"/>
            <w:noWrap/>
            <w:vAlign w:val="center"/>
          </w:tcPr>
          <w:p w14:paraId="1D42058C" w14:textId="77777777" w:rsidR="00C972CB" w:rsidRDefault="002457F6">
            <w:pPr>
              <w:pStyle w:val="P68B1DB1-Normal12"/>
              <w:jc w:val="center"/>
              <w:rPr>
                <w:noProof/>
              </w:rPr>
            </w:pPr>
            <w:r>
              <w:rPr>
                <w:noProof/>
              </w:rPr>
              <w:t>Investīcija Nr. 7 Atbalsts ražošanas sistēmai ekoloģiskajai pārejai, neto nulles emisiju tehnoloģijām un stratēģisko piegādes ķēžu konkurē</w:t>
            </w:r>
            <w:r>
              <w:rPr>
                <w:noProof/>
              </w:rPr>
              <w:t>tspējai un noturībai</w:t>
            </w:r>
          </w:p>
        </w:tc>
        <w:tc>
          <w:tcPr>
            <w:tcW w:w="1378" w:type="dxa"/>
            <w:tcBorders>
              <w:top w:val="nil"/>
              <w:left w:val="nil"/>
              <w:bottom w:val="single" w:sz="4" w:space="0" w:color="auto"/>
              <w:right w:val="single" w:sz="4" w:space="0" w:color="auto"/>
            </w:tcBorders>
            <w:shd w:val="clear" w:color="auto" w:fill="C6EFCE"/>
            <w:noWrap/>
            <w:vAlign w:val="center"/>
          </w:tcPr>
          <w:p w14:paraId="08DB8017" w14:textId="77777777" w:rsidR="00C972CB" w:rsidRDefault="002457F6">
            <w:pPr>
              <w:pStyle w:val="P68B1DB1-Normal12"/>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67CD969E" w14:textId="77777777" w:rsidR="00C972CB" w:rsidRDefault="002457F6">
            <w:pPr>
              <w:pStyle w:val="P68B1DB1-Normal12"/>
              <w:rPr>
                <w:noProof/>
              </w:rPr>
            </w:pPr>
            <w:r>
              <w:rPr>
                <w:noProof/>
              </w:rPr>
              <w:t>Itālijas Uzņēmumu un Madu ministrija ir pabeigusi ieguldījumu</w:t>
            </w:r>
          </w:p>
        </w:tc>
      </w:tr>
      <w:tr w:rsidR="00C972CB" w14:paraId="2FD9EA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CF0A4F" w14:textId="77777777" w:rsidR="00C972CB" w:rsidRDefault="002457F6">
            <w:pPr>
              <w:pStyle w:val="P68B1DB1-Normal12"/>
              <w:jc w:val="center"/>
              <w:rPr>
                <w:noProof/>
              </w:rPr>
            </w:pPr>
            <w:r>
              <w:rPr>
                <w:noProof/>
              </w:rPr>
              <w:t>M1C3–27</w:t>
            </w:r>
          </w:p>
        </w:tc>
        <w:tc>
          <w:tcPr>
            <w:tcW w:w="3195" w:type="dxa"/>
            <w:tcBorders>
              <w:top w:val="nil"/>
              <w:left w:val="nil"/>
              <w:bottom w:val="single" w:sz="4" w:space="0" w:color="auto"/>
              <w:right w:val="single" w:sz="4" w:space="0" w:color="auto"/>
            </w:tcBorders>
            <w:shd w:val="clear" w:color="auto" w:fill="C6EFCE"/>
            <w:noWrap/>
            <w:vAlign w:val="center"/>
          </w:tcPr>
          <w:p w14:paraId="13CB479A" w14:textId="77777777" w:rsidR="00C972CB" w:rsidRDefault="002457F6">
            <w:pPr>
              <w:pStyle w:val="P68B1DB1-Normal12"/>
              <w:jc w:val="center"/>
              <w:rPr>
                <w:noProof/>
              </w:rPr>
            </w:pPr>
            <w:r>
              <w:rPr>
                <w:noProof/>
              </w:rPr>
              <w:t>Ieguldījums — 4.3. Caput Mundi-Next Generation EU tūrisma lieliskiem pasākumiem</w:t>
            </w:r>
          </w:p>
        </w:tc>
        <w:tc>
          <w:tcPr>
            <w:tcW w:w="1378" w:type="dxa"/>
            <w:tcBorders>
              <w:top w:val="nil"/>
              <w:left w:val="nil"/>
              <w:bottom w:val="single" w:sz="4" w:space="0" w:color="auto"/>
              <w:right w:val="single" w:sz="4" w:space="0" w:color="auto"/>
            </w:tcBorders>
            <w:shd w:val="clear" w:color="auto" w:fill="C6EFCE"/>
            <w:noWrap/>
            <w:vAlign w:val="center"/>
          </w:tcPr>
          <w:p w14:paraId="78869CAF"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5F35D930" w14:textId="77777777" w:rsidR="00C972CB" w:rsidRDefault="002457F6">
            <w:pPr>
              <w:pStyle w:val="P68B1DB1-Normal12"/>
              <w:jc w:val="center"/>
              <w:rPr>
                <w:noProof/>
              </w:rPr>
            </w:pPr>
            <w:r>
              <w:rPr>
                <w:noProof/>
              </w:rPr>
              <w:t>Kultūras un tūrisma objektu skaits, kuru pārkvalifikācija vi</w:t>
            </w:r>
            <w:r>
              <w:rPr>
                <w:noProof/>
              </w:rPr>
              <w:t xml:space="preserve">dēji sasniedza 50 % no Stato Avanzamento Lavori (SAL) (pirmā partija) </w:t>
            </w:r>
          </w:p>
        </w:tc>
      </w:tr>
      <w:tr w:rsidR="00C972CB" w14:paraId="39F351B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0435C" w14:textId="77777777" w:rsidR="00C972CB" w:rsidRDefault="002457F6">
            <w:pPr>
              <w:pStyle w:val="P68B1DB1-Normal12"/>
              <w:jc w:val="center"/>
              <w:rPr>
                <w:noProof/>
              </w:rPr>
            </w:pPr>
            <w:r>
              <w:rPr>
                <w:noProof/>
              </w:rPr>
              <w:t>M2C1–16.a</w:t>
            </w:r>
          </w:p>
        </w:tc>
        <w:tc>
          <w:tcPr>
            <w:tcW w:w="3195" w:type="dxa"/>
            <w:tcBorders>
              <w:top w:val="nil"/>
              <w:left w:val="nil"/>
              <w:bottom w:val="single" w:sz="4" w:space="0" w:color="auto"/>
              <w:right w:val="single" w:sz="4" w:space="0" w:color="auto"/>
            </w:tcBorders>
            <w:shd w:val="clear" w:color="auto" w:fill="C6EFCE"/>
            <w:noWrap/>
            <w:vAlign w:val="center"/>
          </w:tcPr>
          <w:p w14:paraId="48F4F850" w14:textId="77777777" w:rsidR="00C972CB" w:rsidRDefault="002457F6">
            <w:pPr>
              <w:pStyle w:val="P68B1DB1-Normal12"/>
              <w:jc w:val="center"/>
              <w:rPr>
                <w:noProof/>
              </w:rPr>
            </w:pPr>
            <w:r>
              <w:rPr>
                <w:noProof/>
              </w:rPr>
              <w:t>Ieguldījums 1.1. — Jaunu atkritumu apsaimniekošanas iekārtu ieviešana un esošo iekārtu modernizācija</w:t>
            </w:r>
          </w:p>
        </w:tc>
        <w:tc>
          <w:tcPr>
            <w:tcW w:w="1378" w:type="dxa"/>
            <w:tcBorders>
              <w:top w:val="nil"/>
              <w:left w:val="nil"/>
              <w:bottom w:val="single" w:sz="4" w:space="0" w:color="auto"/>
              <w:right w:val="single" w:sz="4" w:space="0" w:color="auto"/>
            </w:tcBorders>
            <w:shd w:val="clear" w:color="auto" w:fill="C6EFCE"/>
            <w:noWrap/>
            <w:vAlign w:val="center"/>
          </w:tcPr>
          <w:p w14:paraId="78E6F15F"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4EC6C152" w14:textId="77777777" w:rsidR="00C972CB" w:rsidRDefault="002457F6">
            <w:pPr>
              <w:pStyle w:val="P68B1DB1-Normal12"/>
              <w:jc w:val="center"/>
              <w:rPr>
                <w:noProof/>
              </w:rPr>
            </w:pPr>
            <w:r>
              <w:rPr>
                <w:noProof/>
              </w:rPr>
              <w:t>Neregulāri atkritumu poligoni</w:t>
            </w:r>
          </w:p>
        </w:tc>
      </w:tr>
      <w:tr w:rsidR="00C972CB" w14:paraId="7086AB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9294AC" w14:textId="77777777" w:rsidR="00C972CB" w:rsidRDefault="002457F6">
            <w:pPr>
              <w:pStyle w:val="P68B1DB1-Normal12"/>
              <w:jc w:val="center"/>
              <w:rPr>
                <w:noProof/>
              </w:rPr>
            </w:pPr>
            <w:r>
              <w:rPr>
                <w:noProof/>
              </w:rPr>
              <w:t>M2C1–16.ter</w:t>
            </w:r>
          </w:p>
        </w:tc>
        <w:tc>
          <w:tcPr>
            <w:tcW w:w="3195" w:type="dxa"/>
            <w:tcBorders>
              <w:top w:val="nil"/>
              <w:left w:val="nil"/>
              <w:bottom w:val="single" w:sz="4" w:space="0" w:color="auto"/>
              <w:right w:val="single" w:sz="4" w:space="0" w:color="auto"/>
            </w:tcBorders>
            <w:shd w:val="clear" w:color="auto" w:fill="C6EFCE"/>
            <w:noWrap/>
            <w:vAlign w:val="center"/>
          </w:tcPr>
          <w:p w14:paraId="005E775C" w14:textId="77777777" w:rsidR="00C972CB" w:rsidRDefault="002457F6">
            <w:pPr>
              <w:pStyle w:val="P68B1DB1-Normal12"/>
              <w:jc w:val="center"/>
              <w:rPr>
                <w:noProof/>
              </w:rPr>
            </w:pPr>
            <w:r>
              <w:rPr>
                <w:noProof/>
              </w:rPr>
              <w:t xml:space="preserve">Reforma. Valsts </w:t>
            </w:r>
            <w:r>
              <w:rPr>
                <w:noProof/>
              </w:rPr>
              <w:t>atkritumu apsaimniekošanas ieguldījumu programma 1.1 — Jaunu atkritumu apsaimniekošanas iekārtu ieviešana un esošo iekārtu modernizācija</w:t>
            </w:r>
          </w:p>
        </w:tc>
        <w:tc>
          <w:tcPr>
            <w:tcW w:w="1378" w:type="dxa"/>
            <w:tcBorders>
              <w:top w:val="nil"/>
              <w:left w:val="nil"/>
              <w:bottom w:val="single" w:sz="4" w:space="0" w:color="auto"/>
              <w:right w:val="single" w:sz="4" w:space="0" w:color="auto"/>
            </w:tcBorders>
            <w:shd w:val="clear" w:color="auto" w:fill="C6EFCE"/>
            <w:noWrap/>
            <w:vAlign w:val="center"/>
          </w:tcPr>
          <w:p w14:paraId="4315B4FA"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32CCA946" w14:textId="77777777" w:rsidR="00C972CB" w:rsidRDefault="002457F6">
            <w:pPr>
              <w:pStyle w:val="P68B1DB1-Normal12"/>
              <w:jc w:val="center"/>
              <w:rPr>
                <w:noProof/>
              </w:rPr>
            </w:pPr>
            <w:r>
              <w:rPr>
                <w:noProof/>
              </w:rPr>
              <w:t>Dalītas savākšanas rādītāju reģionālās atšķirības</w:t>
            </w:r>
          </w:p>
        </w:tc>
      </w:tr>
      <w:tr w:rsidR="00C972CB" w14:paraId="2659CD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5F325A" w14:textId="77777777" w:rsidR="00C972CB" w:rsidRDefault="002457F6">
            <w:pPr>
              <w:pStyle w:val="P68B1DB1-Normal12"/>
              <w:jc w:val="center"/>
              <w:rPr>
                <w:noProof/>
              </w:rPr>
            </w:pPr>
            <w:r>
              <w:rPr>
                <w:noProof/>
              </w:rPr>
              <w:t>M2C1–25</w:t>
            </w:r>
          </w:p>
        </w:tc>
        <w:tc>
          <w:tcPr>
            <w:tcW w:w="3195" w:type="dxa"/>
            <w:tcBorders>
              <w:top w:val="nil"/>
              <w:left w:val="nil"/>
              <w:bottom w:val="single" w:sz="4" w:space="0" w:color="auto"/>
              <w:right w:val="single" w:sz="4" w:space="0" w:color="auto"/>
            </w:tcBorders>
            <w:shd w:val="clear" w:color="auto" w:fill="C6EFCE"/>
            <w:noWrap/>
            <w:vAlign w:val="center"/>
          </w:tcPr>
          <w:p w14:paraId="541B9729" w14:textId="77777777" w:rsidR="00C972CB" w:rsidRDefault="002457F6">
            <w:pPr>
              <w:pStyle w:val="P68B1DB1-Normal12"/>
              <w:jc w:val="center"/>
              <w:rPr>
                <w:noProof/>
              </w:rPr>
            </w:pPr>
            <w:r>
              <w:rPr>
                <w:noProof/>
              </w:rPr>
              <w:t>Ieguldījums 3.4. Fondo Contratti di Filiera (FCF), lai</w:t>
            </w:r>
            <w:r>
              <w:rPr>
                <w:noProof/>
              </w:rPr>
              <w:t xml:space="preserve"> atbalstītu piegādes ķēžu līgumus lauksaimniecības pārtikas, zvejniecības un akvakultūras, mežsaimniecības, puķkopības un stādaudzētavu nozarē</w:t>
            </w:r>
          </w:p>
        </w:tc>
        <w:tc>
          <w:tcPr>
            <w:tcW w:w="1378" w:type="dxa"/>
            <w:tcBorders>
              <w:top w:val="nil"/>
              <w:left w:val="nil"/>
              <w:bottom w:val="single" w:sz="4" w:space="0" w:color="auto"/>
              <w:right w:val="single" w:sz="4" w:space="0" w:color="auto"/>
            </w:tcBorders>
            <w:shd w:val="clear" w:color="auto" w:fill="C6EFCE"/>
            <w:noWrap/>
            <w:vAlign w:val="center"/>
          </w:tcPr>
          <w:p w14:paraId="4182F276" w14:textId="23BAFB26"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579C684A" w14:textId="77777777" w:rsidR="00C972CB" w:rsidRDefault="002457F6">
            <w:pPr>
              <w:pStyle w:val="P68B1DB1-Normal12"/>
              <w:jc w:val="center"/>
              <w:rPr>
                <w:noProof/>
              </w:rPr>
            </w:pPr>
            <w:r>
              <w:rPr>
                <w:noProof/>
              </w:rPr>
              <w:t>Ministrija ir pārskaitījusi kopējo resursu summu</w:t>
            </w:r>
          </w:p>
        </w:tc>
      </w:tr>
      <w:tr w:rsidR="00C972CB" w14:paraId="57120D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9BF2F" w14:textId="77777777" w:rsidR="00C972CB" w:rsidRDefault="002457F6">
            <w:pPr>
              <w:pStyle w:val="P68B1DB1-Normal12"/>
              <w:jc w:val="center"/>
              <w:rPr>
                <w:noProof/>
              </w:rPr>
            </w:pPr>
            <w:r>
              <w:rPr>
                <w:noProof/>
              </w:rPr>
              <w:t>M2C2–9</w:t>
            </w:r>
          </w:p>
        </w:tc>
        <w:tc>
          <w:tcPr>
            <w:tcW w:w="3195" w:type="dxa"/>
            <w:tcBorders>
              <w:top w:val="nil"/>
              <w:left w:val="nil"/>
              <w:bottom w:val="single" w:sz="4" w:space="0" w:color="auto"/>
              <w:right w:val="single" w:sz="4" w:space="0" w:color="auto"/>
            </w:tcBorders>
            <w:shd w:val="clear" w:color="auto" w:fill="C6EFCE"/>
            <w:noWrap/>
            <w:vAlign w:val="center"/>
          </w:tcPr>
          <w:p w14:paraId="029854F4" w14:textId="77777777" w:rsidR="00C972CB" w:rsidRDefault="002457F6">
            <w:pPr>
              <w:pStyle w:val="P68B1DB1-Normal12"/>
              <w:jc w:val="center"/>
              <w:rPr>
                <w:noProof/>
              </w:rPr>
            </w:pPr>
            <w:r>
              <w:rPr>
                <w:noProof/>
              </w:rPr>
              <w:t xml:space="preserve">Ieguldījums 2.1. Viedo tīklu </w:t>
            </w:r>
            <w:r>
              <w:rPr>
                <w:noProof/>
              </w:rPr>
              <w:t>stiprināšana</w:t>
            </w:r>
          </w:p>
        </w:tc>
        <w:tc>
          <w:tcPr>
            <w:tcW w:w="1378" w:type="dxa"/>
            <w:tcBorders>
              <w:top w:val="nil"/>
              <w:left w:val="nil"/>
              <w:bottom w:val="single" w:sz="4" w:space="0" w:color="auto"/>
              <w:right w:val="single" w:sz="4" w:space="0" w:color="auto"/>
            </w:tcBorders>
            <w:shd w:val="clear" w:color="auto" w:fill="C6EFCE"/>
            <w:noWrap/>
            <w:vAlign w:val="center"/>
          </w:tcPr>
          <w:p w14:paraId="28FFD72E"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79EEBE93" w14:textId="77777777" w:rsidR="00C972CB" w:rsidRDefault="002457F6">
            <w:pPr>
              <w:pStyle w:val="P68B1DB1-Normal12"/>
              <w:jc w:val="center"/>
              <w:rPr>
                <w:noProof/>
              </w:rPr>
            </w:pPr>
            <w:r>
              <w:rPr>
                <w:noProof/>
              </w:rPr>
              <w:t>Viedtīkli — tīkla jaudas palielināšana atjaunojamo energoresursu sadalei</w:t>
            </w:r>
          </w:p>
        </w:tc>
      </w:tr>
      <w:tr w:rsidR="00C972CB" w14:paraId="4B3EB3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B0550" w14:textId="77777777" w:rsidR="00C972CB" w:rsidRDefault="002457F6">
            <w:pPr>
              <w:pStyle w:val="P68B1DB1-Normal12"/>
              <w:jc w:val="center"/>
              <w:rPr>
                <w:noProof/>
              </w:rPr>
            </w:pPr>
            <w:r>
              <w:rPr>
                <w:noProof/>
              </w:rPr>
              <w:t>M2C2–34</w:t>
            </w:r>
          </w:p>
        </w:tc>
        <w:tc>
          <w:tcPr>
            <w:tcW w:w="3195" w:type="dxa"/>
            <w:tcBorders>
              <w:top w:val="nil"/>
              <w:left w:val="nil"/>
              <w:bottom w:val="single" w:sz="4" w:space="0" w:color="auto"/>
              <w:right w:val="single" w:sz="4" w:space="0" w:color="auto"/>
            </w:tcBorders>
            <w:shd w:val="clear" w:color="auto" w:fill="C6EFCE"/>
            <w:noWrap/>
            <w:vAlign w:val="center"/>
          </w:tcPr>
          <w:p w14:paraId="5827B6A9" w14:textId="77777777" w:rsidR="00C972CB" w:rsidRDefault="002457F6">
            <w:pPr>
              <w:pStyle w:val="P68B1DB1-Normal12"/>
              <w:jc w:val="center"/>
              <w:rPr>
                <w:noProof/>
              </w:rPr>
            </w:pPr>
            <w:r>
              <w:rPr>
                <w:noProof/>
              </w:rPr>
              <w:t>Ieguldījums 4.4.1.: Reģionālā sabiedriskā transporta autobusu parka stiprināšana ar bezemisiju mazemisiju autobusiem</w:t>
            </w:r>
          </w:p>
        </w:tc>
        <w:tc>
          <w:tcPr>
            <w:tcW w:w="1378" w:type="dxa"/>
            <w:tcBorders>
              <w:top w:val="nil"/>
              <w:left w:val="nil"/>
              <w:bottom w:val="single" w:sz="4" w:space="0" w:color="auto"/>
              <w:right w:val="single" w:sz="4" w:space="0" w:color="auto"/>
            </w:tcBorders>
            <w:shd w:val="clear" w:color="auto" w:fill="C6EFCE"/>
            <w:noWrap/>
            <w:vAlign w:val="center"/>
          </w:tcPr>
          <w:p w14:paraId="0697611E"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787568B4" w14:textId="77777777" w:rsidR="00C972CB" w:rsidRDefault="002457F6">
            <w:pPr>
              <w:pStyle w:val="P68B1DB1-Normal12"/>
              <w:jc w:val="center"/>
              <w:rPr>
                <w:noProof/>
              </w:rPr>
            </w:pPr>
            <w:r>
              <w:rPr>
                <w:noProof/>
              </w:rPr>
              <w:t>Iegādāto bezemisiju mazemisiju a</w:t>
            </w:r>
            <w:r>
              <w:rPr>
                <w:noProof/>
              </w:rPr>
              <w:t>utobusu skaits T1</w:t>
            </w:r>
          </w:p>
        </w:tc>
      </w:tr>
      <w:tr w:rsidR="00C972CB" w14:paraId="7312F2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680F0E" w14:textId="77777777" w:rsidR="00C972CB" w:rsidRDefault="002457F6">
            <w:pPr>
              <w:pStyle w:val="P68B1DB1-Normal12"/>
              <w:jc w:val="center"/>
              <w:rPr>
                <w:noProof/>
              </w:rPr>
            </w:pPr>
            <w:r>
              <w:rPr>
                <w:noProof/>
              </w:rPr>
              <w:t>M2C2–34 Bis</w:t>
            </w:r>
          </w:p>
        </w:tc>
        <w:tc>
          <w:tcPr>
            <w:tcW w:w="3195" w:type="dxa"/>
            <w:tcBorders>
              <w:top w:val="nil"/>
              <w:left w:val="nil"/>
              <w:bottom w:val="single" w:sz="4" w:space="0" w:color="auto"/>
              <w:right w:val="single" w:sz="4" w:space="0" w:color="auto"/>
            </w:tcBorders>
            <w:shd w:val="clear" w:color="auto" w:fill="C6EFCE"/>
            <w:noWrap/>
            <w:vAlign w:val="center"/>
          </w:tcPr>
          <w:p w14:paraId="1616664D" w14:textId="77777777" w:rsidR="00C972CB" w:rsidRDefault="002457F6">
            <w:pPr>
              <w:pStyle w:val="P68B1DB1-Normal12"/>
              <w:jc w:val="center"/>
              <w:rPr>
                <w:noProof/>
              </w:rPr>
            </w:pPr>
            <w:r>
              <w:rPr>
                <w:noProof/>
              </w:rPr>
              <w:t>Ieguldījums 4.4.2.:  Reģionālā sabiedriskā transporta dzelzceļa parka stiprināšana ar bezemisiju vilcieniem un universālo pakalpojumu</w:t>
            </w:r>
          </w:p>
        </w:tc>
        <w:tc>
          <w:tcPr>
            <w:tcW w:w="1378" w:type="dxa"/>
            <w:tcBorders>
              <w:top w:val="nil"/>
              <w:left w:val="nil"/>
              <w:bottom w:val="single" w:sz="4" w:space="0" w:color="auto"/>
              <w:right w:val="single" w:sz="4" w:space="0" w:color="auto"/>
            </w:tcBorders>
            <w:shd w:val="clear" w:color="auto" w:fill="C6EFCE"/>
            <w:noWrap/>
            <w:vAlign w:val="center"/>
          </w:tcPr>
          <w:p w14:paraId="745F661F"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0ADD9E6A" w14:textId="77777777" w:rsidR="00C972CB" w:rsidRDefault="002457F6">
            <w:pPr>
              <w:pStyle w:val="P68B1DB1-Normal12"/>
              <w:jc w:val="center"/>
              <w:rPr>
                <w:noProof/>
              </w:rPr>
            </w:pPr>
            <w:r>
              <w:rPr>
                <w:noProof/>
              </w:rPr>
              <w:t>Nulles emisijas vilcienu skaits T1</w:t>
            </w:r>
          </w:p>
        </w:tc>
      </w:tr>
      <w:tr w:rsidR="00C972CB" w14:paraId="6BC139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9D4C6" w14:textId="77777777" w:rsidR="00C972CB" w:rsidRDefault="002457F6">
            <w:pPr>
              <w:pStyle w:val="P68B1DB1-Normal12"/>
              <w:jc w:val="center"/>
              <w:rPr>
                <w:noProof/>
              </w:rPr>
            </w:pPr>
            <w:r>
              <w:rPr>
                <w:noProof/>
              </w:rPr>
              <w:t>M2C2–38bis</w:t>
            </w:r>
          </w:p>
        </w:tc>
        <w:tc>
          <w:tcPr>
            <w:tcW w:w="3195" w:type="dxa"/>
            <w:tcBorders>
              <w:top w:val="nil"/>
              <w:left w:val="nil"/>
              <w:bottom w:val="single" w:sz="4" w:space="0" w:color="auto"/>
              <w:right w:val="single" w:sz="4" w:space="0" w:color="auto"/>
            </w:tcBorders>
            <w:shd w:val="clear" w:color="auto" w:fill="C6EFCE"/>
            <w:noWrap/>
            <w:vAlign w:val="center"/>
          </w:tcPr>
          <w:p w14:paraId="7D947FE0" w14:textId="77777777" w:rsidR="00C972CB" w:rsidRDefault="002457F6">
            <w:pPr>
              <w:pStyle w:val="P68B1DB1-Normal12"/>
              <w:jc w:val="center"/>
              <w:rPr>
                <w:noProof/>
              </w:rPr>
            </w:pPr>
            <w:r>
              <w:rPr>
                <w:noProof/>
              </w:rPr>
              <w:t xml:space="preserve">Ieguldījums 5.1.: Atjaunojamie </w:t>
            </w:r>
            <w:r>
              <w:rPr>
                <w:noProof/>
              </w:rPr>
              <w:t>energoresursi un akumulatori</w:t>
            </w:r>
          </w:p>
        </w:tc>
        <w:tc>
          <w:tcPr>
            <w:tcW w:w="1378" w:type="dxa"/>
            <w:tcBorders>
              <w:top w:val="nil"/>
              <w:left w:val="nil"/>
              <w:bottom w:val="single" w:sz="4" w:space="0" w:color="auto"/>
              <w:right w:val="single" w:sz="4" w:space="0" w:color="auto"/>
            </w:tcBorders>
            <w:shd w:val="clear" w:color="auto" w:fill="C6EFCE"/>
            <w:noWrap/>
            <w:vAlign w:val="center"/>
          </w:tcPr>
          <w:p w14:paraId="44FAAD4F"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5FD79021" w14:textId="77777777" w:rsidR="00C972CB" w:rsidRDefault="002457F6">
            <w:pPr>
              <w:pStyle w:val="P68B1DB1-Normal12"/>
              <w:jc w:val="center"/>
              <w:rPr>
                <w:noProof/>
              </w:rPr>
            </w:pPr>
            <w:r>
              <w:rPr>
                <w:noProof/>
              </w:rPr>
              <w:t>Īstenošanas nolīgums</w:t>
            </w:r>
          </w:p>
        </w:tc>
      </w:tr>
      <w:tr w:rsidR="00C972CB" w14:paraId="55065E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4D29A" w14:textId="77777777" w:rsidR="00C972CB" w:rsidRDefault="002457F6">
            <w:pPr>
              <w:pStyle w:val="P68B1DB1-Normal12"/>
              <w:jc w:val="center"/>
              <w:rPr>
                <w:noProof/>
              </w:rPr>
            </w:pPr>
            <w:r>
              <w:rPr>
                <w:noProof/>
              </w:rPr>
              <w:t>M2C2–39</w:t>
            </w:r>
          </w:p>
        </w:tc>
        <w:tc>
          <w:tcPr>
            <w:tcW w:w="3195" w:type="dxa"/>
            <w:tcBorders>
              <w:top w:val="nil"/>
              <w:left w:val="nil"/>
              <w:bottom w:val="single" w:sz="4" w:space="0" w:color="auto"/>
              <w:right w:val="single" w:sz="4" w:space="0" w:color="auto"/>
            </w:tcBorders>
            <w:shd w:val="clear" w:color="auto" w:fill="C6EFCE"/>
            <w:noWrap/>
            <w:vAlign w:val="center"/>
          </w:tcPr>
          <w:p w14:paraId="0FD04D38" w14:textId="77777777" w:rsidR="00C972CB" w:rsidRDefault="002457F6">
            <w:pPr>
              <w:pStyle w:val="P68B1DB1-Normal12"/>
              <w:jc w:val="center"/>
              <w:rPr>
                <w:noProof/>
              </w:rPr>
            </w:pPr>
            <w:r>
              <w:rPr>
                <w:noProof/>
              </w:rPr>
              <w:t>Ieguldījums 5.1. Atjaunojamie energoresursi un akumulatori</w:t>
            </w:r>
          </w:p>
        </w:tc>
        <w:tc>
          <w:tcPr>
            <w:tcW w:w="1378" w:type="dxa"/>
            <w:tcBorders>
              <w:top w:val="nil"/>
              <w:left w:val="nil"/>
              <w:bottom w:val="single" w:sz="4" w:space="0" w:color="auto"/>
              <w:right w:val="single" w:sz="4" w:space="0" w:color="auto"/>
            </w:tcBorders>
            <w:shd w:val="clear" w:color="auto" w:fill="C6EFCE"/>
            <w:noWrap/>
            <w:vAlign w:val="center"/>
          </w:tcPr>
          <w:p w14:paraId="452F06C7"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3823EB4B" w14:textId="77777777" w:rsidR="00C972CB" w:rsidRDefault="002457F6">
            <w:pPr>
              <w:pStyle w:val="P68B1DB1-Normal12"/>
              <w:jc w:val="center"/>
              <w:rPr>
                <w:noProof/>
              </w:rPr>
            </w:pPr>
            <w:r>
              <w:rPr>
                <w:noProof/>
              </w:rPr>
              <w:t>Itālijas Uzņēmumu un Madu ministrija ir pabeigusi līdzekļu pārskaitīšanu Invitalia S.p.A.</w:t>
            </w:r>
          </w:p>
        </w:tc>
      </w:tr>
      <w:tr w:rsidR="00C972CB" w14:paraId="3C0F42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60A487" w14:textId="77777777" w:rsidR="00C972CB" w:rsidRDefault="002457F6">
            <w:pPr>
              <w:pStyle w:val="P68B1DB1-Normal12"/>
              <w:jc w:val="center"/>
              <w:rPr>
                <w:noProof/>
              </w:rPr>
            </w:pPr>
            <w:r>
              <w:rPr>
                <w:noProof/>
              </w:rPr>
              <w:t>M2C2–42 BIS</w:t>
            </w:r>
            <w:r>
              <w:rPr>
                <w:noProof/>
              </w:rPr>
              <w:t xml:space="preserve"> </w:t>
            </w:r>
          </w:p>
        </w:tc>
        <w:tc>
          <w:tcPr>
            <w:tcW w:w="3195" w:type="dxa"/>
            <w:tcBorders>
              <w:top w:val="nil"/>
              <w:left w:val="nil"/>
              <w:bottom w:val="single" w:sz="4" w:space="0" w:color="auto"/>
              <w:right w:val="single" w:sz="4" w:space="0" w:color="auto"/>
            </w:tcBorders>
            <w:shd w:val="clear" w:color="auto" w:fill="C6EFCE"/>
            <w:noWrap/>
            <w:vAlign w:val="center"/>
          </w:tcPr>
          <w:p w14:paraId="4694CCB3" w14:textId="77777777" w:rsidR="00C972CB" w:rsidRDefault="002457F6">
            <w:pPr>
              <w:pStyle w:val="P68B1DB1-Normal12"/>
              <w:jc w:val="center"/>
              <w:rPr>
                <w:noProof/>
              </w:rPr>
            </w:pPr>
            <w:r>
              <w:rPr>
                <w:noProof/>
              </w:rPr>
              <w:t xml:space="preserve">Ieguldījums 5.4 — Atbalsts jaunuzņēmumiem un riska kapitālam, kas aktīvi darbojas ekoloģiskās pārkārtošanās procesā.  </w:t>
            </w:r>
          </w:p>
        </w:tc>
        <w:tc>
          <w:tcPr>
            <w:tcW w:w="1378" w:type="dxa"/>
            <w:tcBorders>
              <w:top w:val="nil"/>
              <w:left w:val="nil"/>
              <w:bottom w:val="single" w:sz="4" w:space="0" w:color="auto"/>
              <w:right w:val="single" w:sz="4" w:space="0" w:color="auto"/>
            </w:tcBorders>
            <w:shd w:val="clear" w:color="auto" w:fill="C6EFCE"/>
            <w:noWrap/>
            <w:vAlign w:val="center"/>
          </w:tcPr>
          <w:p w14:paraId="557DBA08" w14:textId="77777777" w:rsidR="00C972CB" w:rsidRDefault="002457F6">
            <w:pPr>
              <w:pStyle w:val="P68B1DB1-Normal12"/>
              <w:jc w:val="center"/>
              <w:rPr>
                <w:noProof/>
              </w:rPr>
            </w:pPr>
            <w:r>
              <w:rPr>
                <w:noProof/>
              </w:rPr>
              <w:t xml:space="preserve">Starpposma mērķis </w:t>
            </w:r>
          </w:p>
        </w:tc>
        <w:tc>
          <w:tcPr>
            <w:tcW w:w="4166" w:type="dxa"/>
            <w:tcBorders>
              <w:top w:val="nil"/>
              <w:left w:val="nil"/>
              <w:bottom w:val="single" w:sz="4" w:space="0" w:color="auto"/>
              <w:right w:val="single" w:sz="4" w:space="0" w:color="auto"/>
            </w:tcBorders>
            <w:shd w:val="clear" w:color="auto" w:fill="C6EFCE"/>
            <w:noWrap/>
            <w:vAlign w:val="center"/>
          </w:tcPr>
          <w:p w14:paraId="535697ED" w14:textId="77777777" w:rsidR="00C972CB" w:rsidRDefault="002457F6">
            <w:pPr>
              <w:pStyle w:val="P68B1DB1-Normal12"/>
              <w:jc w:val="center"/>
              <w:rPr>
                <w:noProof/>
              </w:rPr>
            </w:pPr>
            <w:r>
              <w:rPr>
                <w:noProof/>
              </w:rPr>
              <w:t xml:space="preserve">Ministrija ir pabeigusi līdzekļu nodošanu CDP riska kapitālam SGR </w:t>
            </w:r>
          </w:p>
        </w:tc>
      </w:tr>
      <w:tr w:rsidR="00C972CB" w14:paraId="1D1E6A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838FCA" w14:textId="77777777" w:rsidR="00C972CB" w:rsidRDefault="002457F6">
            <w:pPr>
              <w:pStyle w:val="P68B1DB1-Normal12"/>
              <w:jc w:val="center"/>
              <w:rPr>
                <w:noProof/>
              </w:rPr>
            </w:pPr>
            <w:r>
              <w:rPr>
                <w:noProof/>
              </w:rPr>
              <w:t>M2C2–44</w:t>
            </w:r>
          </w:p>
        </w:tc>
        <w:tc>
          <w:tcPr>
            <w:tcW w:w="3195" w:type="dxa"/>
            <w:tcBorders>
              <w:top w:val="nil"/>
              <w:left w:val="nil"/>
              <w:bottom w:val="single" w:sz="4" w:space="0" w:color="auto"/>
              <w:right w:val="single" w:sz="4" w:space="0" w:color="auto"/>
            </w:tcBorders>
            <w:shd w:val="clear" w:color="auto" w:fill="C6EFCE"/>
            <w:noWrap/>
            <w:vAlign w:val="center"/>
          </w:tcPr>
          <w:p w14:paraId="42300AE1" w14:textId="77777777" w:rsidR="00C972CB" w:rsidRDefault="002457F6">
            <w:pPr>
              <w:pStyle w:val="P68B1DB1-Normal12"/>
              <w:jc w:val="center"/>
              <w:rPr>
                <w:noProof/>
              </w:rPr>
            </w:pPr>
            <w:r>
              <w:rPr>
                <w:noProof/>
              </w:rPr>
              <w:t xml:space="preserve">Ieguldījums 1.1. Lauksaimniecības </w:t>
            </w:r>
            <w:r>
              <w:rPr>
                <w:noProof/>
              </w:rPr>
              <w:t>energosistēmu attīstība</w:t>
            </w:r>
          </w:p>
        </w:tc>
        <w:tc>
          <w:tcPr>
            <w:tcW w:w="1378" w:type="dxa"/>
            <w:tcBorders>
              <w:top w:val="nil"/>
              <w:left w:val="nil"/>
              <w:bottom w:val="single" w:sz="4" w:space="0" w:color="auto"/>
              <w:right w:val="single" w:sz="4" w:space="0" w:color="auto"/>
            </w:tcBorders>
            <w:shd w:val="clear" w:color="auto" w:fill="C6EFCE"/>
            <w:noWrap/>
            <w:vAlign w:val="center"/>
          </w:tcPr>
          <w:p w14:paraId="481E330D"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49996758" w14:textId="77777777" w:rsidR="00C972CB" w:rsidRDefault="002457F6">
            <w:pPr>
              <w:pStyle w:val="P68B1DB1-Normal12"/>
              <w:jc w:val="center"/>
              <w:rPr>
                <w:noProof/>
              </w:rPr>
            </w:pPr>
            <w:r>
              <w:rPr>
                <w:noProof/>
              </w:rPr>
              <w:t>Visu publiskā iepirkuma līgumu slēgšanas tiesību piešķiršana saules fotoelementu paneļu uzstādīšanai agroelektriskajās sistēmās</w:t>
            </w:r>
          </w:p>
        </w:tc>
      </w:tr>
      <w:tr w:rsidR="00C972CB" w14:paraId="06E75A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F5AC13" w14:textId="77777777" w:rsidR="00C972CB" w:rsidRDefault="002457F6">
            <w:pPr>
              <w:pStyle w:val="P68B1DB1-Normal12"/>
              <w:jc w:val="center"/>
              <w:rPr>
                <w:noProof/>
              </w:rPr>
            </w:pPr>
            <w:r>
              <w:rPr>
                <w:noProof/>
              </w:rPr>
              <w:t>M2C4–22</w:t>
            </w:r>
          </w:p>
        </w:tc>
        <w:tc>
          <w:tcPr>
            <w:tcW w:w="3195" w:type="dxa"/>
            <w:tcBorders>
              <w:top w:val="nil"/>
              <w:left w:val="nil"/>
              <w:bottom w:val="single" w:sz="4" w:space="0" w:color="auto"/>
              <w:right w:val="single" w:sz="4" w:space="0" w:color="auto"/>
            </w:tcBorders>
            <w:shd w:val="clear" w:color="auto" w:fill="C6EFCE"/>
            <w:noWrap/>
            <w:vAlign w:val="center"/>
          </w:tcPr>
          <w:p w14:paraId="15D712F2" w14:textId="77777777" w:rsidR="00C972CB" w:rsidRDefault="002457F6">
            <w:pPr>
              <w:pStyle w:val="P68B1DB1-Normal12"/>
              <w:jc w:val="center"/>
              <w:rPr>
                <w:noProof/>
              </w:rPr>
            </w:pPr>
            <w:r>
              <w:rPr>
                <w:noProof/>
              </w:rPr>
              <w:t>Ieguldījums. Apgabala atjaunošana</w:t>
            </w:r>
          </w:p>
        </w:tc>
        <w:tc>
          <w:tcPr>
            <w:tcW w:w="1378" w:type="dxa"/>
            <w:tcBorders>
              <w:top w:val="nil"/>
              <w:left w:val="nil"/>
              <w:bottom w:val="single" w:sz="4" w:space="0" w:color="auto"/>
              <w:right w:val="single" w:sz="4" w:space="0" w:color="auto"/>
            </w:tcBorders>
            <w:shd w:val="clear" w:color="auto" w:fill="C6EFCE"/>
            <w:noWrap/>
            <w:vAlign w:val="center"/>
          </w:tcPr>
          <w:p w14:paraId="76FE90AC"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1F01109F" w14:textId="77777777" w:rsidR="00C972CB" w:rsidRDefault="002457F6">
            <w:pPr>
              <w:pStyle w:val="P68B1DB1-Normal12"/>
              <w:jc w:val="center"/>
              <w:rPr>
                <w:noProof/>
              </w:rPr>
            </w:pPr>
            <w:r>
              <w:rPr>
                <w:noProof/>
              </w:rPr>
              <w:t xml:space="preserve">Upes gultnes mākslīguma samazināšana </w:t>
            </w:r>
            <w:r>
              <w:rPr>
                <w:noProof/>
              </w:rPr>
              <w:t xml:space="preserve">Po apgabala T1 atjaunošanai </w:t>
            </w:r>
          </w:p>
        </w:tc>
      </w:tr>
      <w:tr w:rsidR="00C972CB" w14:paraId="2C4F62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D8BA8" w14:textId="77777777" w:rsidR="00C972CB" w:rsidRDefault="002457F6">
            <w:pPr>
              <w:pStyle w:val="P68B1DB1-Normal12"/>
              <w:jc w:val="center"/>
              <w:rPr>
                <w:noProof/>
              </w:rPr>
            </w:pPr>
            <w:r>
              <w:rPr>
                <w:noProof/>
              </w:rPr>
              <w:t>M2C4–28bis</w:t>
            </w:r>
          </w:p>
        </w:tc>
        <w:tc>
          <w:tcPr>
            <w:tcW w:w="3195" w:type="dxa"/>
            <w:tcBorders>
              <w:top w:val="nil"/>
              <w:left w:val="nil"/>
              <w:bottom w:val="single" w:sz="4" w:space="0" w:color="auto"/>
              <w:right w:val="single" w:sz="4" w:space="0" w:color="auto"/>
            </w:tcBorders>
            <w:shd w:val="clear" w:color="auto" w:fill="C6EFCE"/>
            <w:noWrap/>
            <w:vAlign w:val="center"/>
          </w:tcPr>
          <w:p w14:paraId="0F63A066" w14:textId="77777777" w:rsidR="00C972CB" w:rsidRDefault="002457F6">
            <w:pPr>
              <w:pStyle w:val="P68B1DB1-Normal12"/>
              <w:jc w:val="center"/>
              <w:rPr>
                <w:noProof/>
              </w:rPr>
            </w:pPr>
            <w:r>
              <w:rPr>
                <w:noProof/>
              </w:rPr>
              <w:t>Ieguldījums 4.1. Ieguldījumi primārās ūdensapgādes infrastruktūrā ūdensapgādes drošībai</w:t>
            </w:r>
          </w:p>
        </w:tc>
        <w:tc>
          <w:tcPr>
            <w:tcW w:w="1378" w:type="dxa"/>
            <w:tcBorders>
              <w:top w:val="nil"/>
              <w:left w:val="nil"/>
              <w:bottom w:val="single" w:sz="4" w:space="0" w:color="auto"/>
              <w:right w:val="single" w:sz="4" w:space="0" w:color="auto"/>
            </w:tcBorders>
            <w:shd w:val="clear" w:color="auto" w:fill="C6EFCE"/>
            <w:noWrap/>
            <w:vAlign w:val="center"/>
          </w:tcPr>
          <w:p w14:paraId="7C0D1FF9"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1E909922" w14:textId="77777777" w:rsidR="00C972CB" w:rsidRDefault="002457F6">
            <w:pPr>
              <w:pStyle w:val="P68B1DB1-Normal12"/>
              <w:jc w:val="center"/>
              <w:rPr>
                <w:noProof/>
              </w:rPr>
            </w:pPr>
            <w:r>
              <w:rPr>
                <w:noProof/>
              </w:rPr>
              <w:t xml:space="preserve">(Visu) publiskā iepirkuma līgumu slēgšanas tiesību piešķiršana ieguldījumiem primārajā ūdensapgādes infrastruktūrā un ūdensapgādes drošībā </w:t>
            </w:r>
          </w:p>
        </w:tc>
      </w:tr>
      <w:tr w:rsidR="00C972CB" w14:paraId="09EBD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877395" w14:textId="77777777" w:rsidR="00C972CB" w:rsidRDefault="002457F6">
            <w:pPr>
              <w:pStyle w:val="P68B1DB1-Normal12"/>
              <w:jc w:val="center"/>
              <w:rPr>
                <w:noProof/>
              </w:rPr>
            </w:pPr>
            <w:r>
              <w:rPr>
                <w:noProof/>
              </w:rPr>
              <w:t>M2C4–31</w:t>
            </w:r>
          </w:p>
        </w:tc>
        <w:tc>
          <w:tcPr>
            <w:tcW w:w="3195" w:type="dxa"/>
            <w:tcBorders>
              <w:top w:val="nil"/>
              <w:left w:val="nil"/>
              <w:bottom w:val="single" w:sz="4" w:space="0" w:color="auto"/>
              <w:right w:val="single" w:sz="4" w:space="0" w:color="auto"/>
            </w:tcBorders>
            <w:shd w:val="clear" w:color="auto" w:fill="C6EFCE"/>
            <w:noWrap/>
            <w:vAlign w:val="center"/>
          </w:tcPr>
          <w:p w14:paraId="736A04B3" w14:textId="77777777" w:rsidR="00C972CB" w:rsidRDefault="002457F6">
            <w:pPr>
              <w:pStyle w:val="P68B1DB1-Normal12"/>
              <w:jc w:val="center"/>
              <w:rPr>
                <w:noProof/>
              </w:rPr>
            </w:pPr>
            <w:r>
              <w:rPr>
                <w:noProof/>
              </w:rPr>
              <w:t>Ieguldījums 4.2. Zudumu samazināšana ūdens sadales tīklos, tostarp tīklu digitalizācija un monitorings</w:t>
            </w:r>
          </w:p>
        </w:tc>
        <w:tc>
          <w:tcPr>
            <w:tcW w:w="1378" w:type="dxa"/>
            <w:tcBorders>
              <w:top w:val="nil"/>
              <w:left w:val="nil"/>
              <w:bottom w:val="single" w:sz="4" w:space="0" w:color="auto"/>
              <w:right w:val="single" w:sz="4" w:space="0" w:color="auto"/>
            </w:tcBorders>
            <w:shd w:val="clear" w:color="auto" w:fill="C6EFCE"/>
            <w:noWrap/>
            <w:vAlign w:val="center"/>
          </w:tcPr>
          <w:p w14:paraId="454344AF" w14:textId="77777777" w:rsidR="00C972CB" w:rsidRDefault="002457F6">
            <w:pPr>
              <w:pStyle w:val="P68B1DB1-Normal12"/>
              <w:jc w:val="center"/>
              <w:rPr>
                <w:noProof/>
              </w:rPr>
            </w:pPr>
            <w:r>
              <w:rPr>
                <w:noProof/>
              </w:rPr>
              <w:t>Mērķ</w:t>
            </w:r>
            <w:r>
              <w:rPr>
                <w:noProof/>
              </w:rPr>
              <w:t>a</w:t>
            </w:r>
          </w:p>
        </w:tc>
        <w:tc>
          <w:tcPr>
            <w:tcW w:w="4166" w:type="dxa"/>
            <w:tcBorders>
              <w:top w:val="nil"/>
              <w:left w:val="nil"/>
              <w:bottom w:val="single" w:sz="4" w:space="0" w:color="auto"/>
              <w:right w:val="single" w:sz="4" w:space="0" w:color="auto"/>
            </w:tcBorders>
            <w:shd w:val="clear" w:color="auto" w:fill="C6EFCE"/>
            <w:noWrap/>
            <w:vAlign w:val="center"/>
          </w:tcPr>
          <w:p w14:paraId="40AEB894" w14:textId="77777777" w:rsidR="00C972CB" w:rsidRDefault="002457F6">
            <w:pPr>
              <w:pStyle w:val="P68B1DB1-Normal12"/>
              <w:jc w:val="center"/>
              <w:rPr>
                <w:noProof/>
              </w:rPr>
            </w:pPr>
            <w:r>
              <w:rPr>
                <w:noProof/>
              </w:rPr>
              <w:t>Intervences ūdens sadales tīklos, tostarp tīklu digitalizācija un monitorings T1</w:t>
            </w:r>
          </w:p>
        </w:tc>
      </w:tr>
      <w:tr w:rsidR="00C972CB" w14:paraId="5EF2E2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E87AC0" w14:textId="77777777" w:rsidR="00C972CB" w:rsidRDefault="002457F6">
            <w:pPr>
              <w:pStyle w:val="P68B1DB1-Normal12"/>
              <w:jc w:val="center"/>
              <w:rPr>
                <w:noProof/>
              </w:rPr>
            </w:pPr>
            <w:r>
              <w:rPr>
                <w:noProof/>
              </w:rPr>
              <w:t>M2C4–34</w:t>
            </w:r>
          </w:p>
        </w:tc>
        <w:tc>
          <w:tcPr>
            <w:tcW w:w="3195" w:type="dxa"/>
            <w:tcBorders>
              <w:top w:val="nil"/>
              <w:left w:val="nil"/>
              <w:bottom w:val="single" w:sz="4" w:space="0" w:color="auto"/>
              <w:right w:val="single" w:sz="4" w:space="0" w:color="auto"/>
            </w:tcBorders>
            <w:shd w:val="clear" w:color="auto" w:fill="C6EFCE"/>
            <w:noWrap/>
            <w:vAlign w:val="center"/>
          </w:tcPr>
          <w:p w14:paraId="6CB9E885" w14:textId="77777777" w:rsidR="00C972CB" w:rsidRDefault="002457F6">
            <w:pPr>
              <w:pStyle w:val="P68B1DB1-Normal12"/>
              <w:jc w:val="center"/>
              <w:rPr>
                <w:noProof/>
              </w:rPr>
            </w:pPr>
            <w:r>
              <w:rPr>
                <w:noProof/>
              </w:rPr>
              <w:t>Ieguldījums 4.3. Ieguldījumi apūdeņošanas agrosistēmas noturībā labākai ūdens resursu apsaimniekošanai</w:t>
            </w:r>
          </w:p>
        </w:tc>
        <w:tc>
          <w:tcPr>
            <w:tcW w:w="1378" w:type="dxa"/>
            <w:tcBorders>
              <w:top w:val="nil"/>
              <w:left w:val="nil"/>
              <w:bottom w:val="single" w:sz="4" w:space="0" w:color="auto"/>
              <w:right w:val="single" w:sz="4" w:space="0" w:color="auto"/>
            </w:tcBorders>
            <w:shd w:val="clear" w:color="auto" w:fill="C6EFCE"/>
            <w:noWrap/>
            <w:vAlign w:val="center"/>
          </w:tcPr>
          <w:p w14:paraId="331A2F2D"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0E90AABE" w14:textId="77777777" w:rsidR="00C972CB" w:rsidRDefault="002457F6">
            <w:pPr>
              <w:pStyle w:val="P68B1DB1-Normal12"/>
              <w:jc w:val="center"/>
              <w:rPr>
                <w:noProof/>
              </w:rPr>
            </w:pPr>
            <w:r>
              <w:rPr>
                <w:noProof/>
              </w:rPr>
              <w:t>Intervences pasākumi apūdeņošanas agrosistēmas noturība</w:t>
            </w:r>
            <w:r>
              <w:rPr>
                <w:noProof/>
              </w:rPr>
              <w:t>i labākai ūdens resursu apsaimniekošanai T1</w:t>
            </w:r>
          </w:p>
        </w:tc>
      </w:tr>
      <w:tr w:rsidR="00C972CB" w14:paraId="707E3F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F6EA38" w14:textId="77777777" w:rsidR="00C972CB" w:rsidRDefault="002457F6">
            <w:pPr>
              <w:pStyle w:val="P68B1DB1-Normal12"/>
              <w:jc w:val="center"/>
              <w:rPr>
                <w:noProof/>
              </w:rPr>
            </w:pPr>
            <w:r>
              <w:rPr>
                <w:noProof/>
              </w:rPr>
              <w:t>M2C4–35</w:t>
            </w:r>
          </w:p>
        </w:tc>
        <w:tc>
          <w:tcPr>
            <w:tcW w:w="3195" w:type="dxa"/>
            <w:tcBorders>
              <w:top w:val="nil"/>
              <w:left w:val="nil"/>
              <w:bottom w:val="single" w:sz="4" w:space="0" w:color="auto"/>
              <w:right w:val="single" w:sz="4" w:space="0" w:color="auto"/>
            </w:tcBorders>
            <w:shd w:val="clear" w:color="auto" w:fill="C6EFCE"/>
            <w:noWrap/>
            <w:vAlign w:val="center"/>
          </w:tcPr>
          <w:p w14:paraId="69843252" w14:textId="77777777" w:rsidR="00C972CB" w:rsidRDefault="002457F6">
            <w:pPr>
              <w:pStyle w:val="P68B1DB1-Normal12"/>
              <w:jc w:val="center"/>
              <w:rPr>
                <w:noProof/>
              </w:rPr>
            </w:pPr>
            <w:r>
              <w:rPr>
                <w:noProof/>
              </w:rPr>
              <w:t>Ieguldījums 4.3. Ieguldījumi apūdeņošanas agrosistēmas noturībā labākai ūdens resursu apsaimniekošanai</w:t>
            </w:r>
          </w:p>
        </w:tc>
        <w:tc>
          <w:tcPr>
            <w:tcW w:w="1378" w:type="dxa"/>
            <w:tcBorders>
              <w:top w:val="nil"/>
              <w:left w:val="nil"/>
              <w:bottom w:val="single" w:sz="4" w:space="0" w:color="auto"/>
              <w:right w:val="single" w:sz="4" w:space="0" w:color="auto"/>
            </w:tcBorders>
            <w:shd w:val="clear" w:color="auto" w:fill="C6EFCE"/>
            <w:noWrap/>
            <w:vAlign w:val="center"/>
          </w:tcPr>
          <w:p w14:paraId="0F8B54AD"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6F3C1F00" w14:textId="77777777" w:rsidR="00C972CB" w:rsidRDefault="002457F6">
            <w:pPr>
              <w:pStyle w:val="P68B1DB1-Normal12"/>
              <w:jc w:val="center"/>
              <w:rPr>
                <w:noProof/>
              </w:rPr>
            </w:pPr>
            <w:r>
              <w:rPr>
                <w:noProof/>
              </w:rPr>
              <w:t xml:space="preserve">Intervences pasākumi apūdeņošanas agrosistēmas noturībai labākai ūdens resursu </w:t>
            </w:r>
            <w:r>
              <w:rPr>
                <w:noProof/>
              </w:rPr>
              <w:t>apsaimniekošanai T1</w:t>
            </w:r>
          </w:p>
        </w:tc>
      </w:tr>
      <w:tr w:rsidR="00C972CB" w14:paraId="5080E0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43FAE1" w14:textId="77777777" w:rsidR="00C972CB" w:rsidRDefault="002457F6">
            <w:pPr>
              <w:pStyle w:val="P68B1DB1-Normal12"/>
              <w:jc w:val="center"/>
              <w:rPr>
                <w:noProof/>
              </w:rPr>
            </w:pPr>
            <w:r>
              <w:rPr>
                <w:noProof/>
              </w:rPr>
              <w:t>M2C4–37</w:t>
            </w:r>
          </w:p>
        </w:tc>
        <w:tc>
          <w:tcPr>
            <w:tcW w:w="3195" w:type="dxa"/>
            <w:tcBorders>
              <w:top w:val="nil"/>
              <w:left w:val="nil"/>
              <w:bottom w:val="single" w:sz="4" w:space="0" w:color="auto"/>
              <w:right w:val="single" w:sz="4" w:space="0" w:color="auto"/>
            </w:tcBorders>
            <w:shd w:val="clear" w:color="auto" w:fill="C6EFCE"/>
            <w:noWrap/>
            <w:vAlign w:val="center"/>
          </w:tcPr>
          <w:p w14:paraId="68FC6AC5" w14:textId="77777777" w:rsidR="00C972CB" w:rsidRDefault="002457F6">
            <w:pPr>
              <w:pStyle w:val="P68B1DB1-Normal12"/>
              <w:jc w:val="center"/>
              <w:rPr>
                <w:noProof/>
              </w:rPr>
            </w:pPr>
            <w:r>
              <w:rPr>
                <w:noProof/>
              </w:rPr>
              <w:t>Ieguldījums 4.4. Ieguldījumi kanalizācijā un attīrīšanā</w:t>
            </w:r>
          </w:p>
        </w:tc>
        <w:tc>
          <w:tcPr>
            <w:tcW w:w="1378" w:type="dxa"/>
            <w:tcBorders>
              <w:top w:val="nil"/>
              <w:left w:val="nil"/>
              <w:bottom w:val="single" w:sz="4" w:space="0" w:color="auto"/>
              <w:right w:val="single" w:sz="4" w:space="0" w:color="auto"/>
            </w:tcBorders>
            <w:shd w:val="clear" w:color="auto" w:fill="C6EFCE"/>
            <w:noWrap/>
            <w:vAlign w:val="center"/>
          </w:tcPr>
          <w:p w14:paraId="3698EA06"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2356B595" w14:textId="77777777" w:rsidR="00C972CB" w:rsidRDefault="002457F6">
            <w:pPr>
              <w:pStyle w:val="P68B1DB1-Normal12"/>
              <w:jc w:val="center"/>
              <w:rPr>
                <w:noProof/>
              </w:rPr>
            </w:pPr>
            <w:r>
              <w:rPr>
                <w:noProof/>
              </w:rPr>
              <w:t>Kanalizācija un attīrīšana T1</w:t>
            </w:r>
          </w:p>
        </w:tc>
      </w:tr>
      <w:tr w:rsidR="00C972CB" w14:paraId="72A144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42E9F2" w14:textId="77777777" w:rsidR="00C972CB" w:rsidRDefault="002457F6">
            <w:pPr>
              <w:pStyle w:val="P68B1DB1-Normal12"/>
              <w:jc w:val="center"/>
              <w:rPr>
                <w:noProof/>
              </w:rPr>
            </w:pPr>
            <w:r>
              <w:rPr>
                <w:noProof/>
              </w:rPr>
              <w:t>M3C1–15</w:t>
            </w:r>
          </w:p>
        </w:tc>
        <w:tc>
          <w:tcPr>
            <w:tcW w:w="3195" w:type="dxa"/>
            <w:tcBorders>
              <w:top w:val="nil"/>
              <w:left w:val="nil"/>
              <w:bottom w:val="single" w:sz="4" w:space="0" w:color="auto"/>
              <w:right w:val="single" w:sz="4" w:space="0" w:color="auto"/>
            </w:tcBorders>
            <w:shd w:val="clear" w:color="auto" w:fill="C6EFCE"/>
            <w:noWrap/>
            <w:vAlign w:val="center"/>
          </w:tcPr>
          <w:p w14:paraId="5115EC0A" w14:textId="77777777" w:rsidR="00C972CB" w:rsidRDefault="002457F6">
            <w:pPr>
              <w:pStyle w:val="P68B1DB1-Normal12"/>
              <w:jc w:val="center"/>
              <w:rPr>
                <w:noProof/>
              </w:rPr>
            </w:pPr>
            <w:r>
              <w:rPr>
                <w:noProof/>
              </w:rPr>
              <w:t>Ieguldījums 1.5. Lielpilsētu mezglu un galveno valsts saikņu stiprināšana</w:t>
            </w:r>
          </w:p>
        </w:tc>
        <w:tc>
          <w:tcPr>
            <w:tcW w:w="1378" w:type="dxa"/>
            <w:tcBorders>
              <w:top w:val="nil"/>
              <w:left w:val="nil"/>
              <w:bottom w:val="single" w:sz="4" w:space="0" w:color="auto"/>
              <w:right w:val="single" w:sz="4" w:space="0" w:color="auto"/>
            </w:tcBorders>
            <w:shd w:val="clear" w:color="auto" w:fill="C6EFCE"/>
            <w:noWrap/>
            <w:vAlign w:val="center"/>
          </w:tcPr>
          <w:p w14:paraId="510D10AD"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7D459CE7" w14:textId="77777777" w:rsidR="00C972CB" w:rsidRDefault="002457F6">
            <w:pPr>
              <w:pStyle w:val="P68B1DB1-Normal12"/>
              <w:jc w:val="center"/>
              <w:rPr>
                <w:noProof/>
              </w:rPr>
            </w:pPr>
            <w:r>
              <w:rPr>
                <w:noProof/>
              </w:rPr>
              <w:t xml:space="preserve">Modernizēti līnijas posmi 700 km garumā, kas </w:t>
            </w:r>
            <w:r>
              <w:rPr>
                <w:noProof/>
              </w:rPr>
              <w:t>uzbūvēti lielpilsētu mezglos un galvenajos valsts savienojumos</w:t>
            </w:r>
          </w:p>
        </w:tc>
      </w:tr>
      <w:tr w:rsidR="00C972CB" w14:paraId="6D2533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DC2210" w14:textId="77777777" w:rsidR="00C972CB" w:rsidRDefault="002457F6">
            <w:pPr>
              <w:pStyle w:val="P68B1DB1-Normal12"/>
              <w:jc w:val="center"/>
              <w:rPr>
                <w:noProof/>
              </w:rPr>
            </w:pPr>
            <w:r>
              <w:rPr>
                <w:noProof/>
              </w:rPr>
              <w:t>M3C1–19</w:t>
            </w:r>
          </w:p>
        </w:tc>
        <w:tc>
          <w:tcPr>
            <w:tcW w:w="3195" w:type="dxa"/>
            <w:tcBorders>
              <w:top w:val="nil"/>
              <w:left w:val="nil"/>
              <w:bottom w:val="single" w:sz="4" w:space="0" w:color="auto"/>
              <w:right w:val="single" w:sz="4" w:space="0" w:color="auto"/>
            </w:tcBorders>
            <w:shd w:val="clear" w:color="auto" w:fill="C6EFCE"/>
            <w:noWrap/>
            <w:vAlign w:val="center"/>
          </w:tcPr>
          <w:p w14:paraId="2B138DD1" w14:textId="77777777" w:rsidR="00C972CB" w:rsidRDefault="002457F6">
            <w:pPr>
              <w:pStyle w:val="P68B1DB1-Normal12"/>
              <w:jc w:val="center"/>
              <w:rPr>
                <w:noProof/>
              </w:rPr>
            </w:pPr>
            <w:r>
              <w:rPr>
                <w:noProof/>
              </w:rPr>
              <w:t>Ieguldījums Nr. 1.8 — Dzelzceļa staciju modernizācija (RFI pārvaldība; dienvidos)</w:t>
            </w:r>
          </w:p>
        </w:tc>
        <w:tc>
          <w:tcPr>
            <w:tcW w:w="1378" w:type="dxa"/>
            <w:tcBorders>
              <w:top w:val="nil"/>
              <w:left w:val="nil"/>
              <w:bottom w:val="single" w:sz="4" w:space="0" w:color="auto"/>
              <w:right w:val="single" w:sz="4" w:space="0" w:color="auto"/>
            </w:tcBorders>
            <w:shd w:val="clear" w:color="auto" w:fill="C6EFCE"/>
            <w:noWrap/>
            <w:vAlign w:val="center"/>
          </w:tcPr>
          <w:p w14:paraId="283441C6"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77CC2144" w14:textId="77777777" w:rsidR="00C972CB" w:rsidRDefault="002457F6">
            <w:pPr>
              <w:pStyle w:val="P68B1DB1-Normal12"/>
              <w:jc w:val="center"/>
              <w:rPr>
                <w:noProof/>
              </w:rPr>
            </w:pPr>
            <w:r>
              <w:rPr>
                <w:noProof/>
              </w:rPr>
              <w:t>Modernizētas un pieejamas dzelzceļa stacijas</w:t>
            </w:r>
          </w:p>
        </w:tc>
      </w:tr>
      <w:tr w:rsidR="00C972CB" w14:paraId="3A4A79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4204E3" w14:textId="77777777" w:rsidR="00C972CB" w:rsidRDefault="002457F6">
            <w:pPr>
              <w:pStyle w:val="P68B1DB1-Normal12"/>
              <w:jc w:val="center"/>
              <w:rPr>
                <w:noProof/>
              </w:rPr>
            </w:pPr>
            <w:r>
              <w:rPr>
                <w:noProof/>
              </w:rPr>
              <w:t>M4C2–21bis</w:t>
            </w:r>
          </w:p>
        </w:tc>
        <w:tc>
          <w:tcPr>
            <w:tcW w:w="3195" w:type="dxa"/>
            <w:tcBorders>
              <w:top w:val="nil"/>
              <w:left w:val="nil"/>
              <w:bottom w:val="single" w:sz="4" w:space="0" w:color="auto"/>
              <w:right w:val="single" w:sz="4" w:space="0" w:color="auto"/>
            </w:tcBorders>
            <w:shd w:val="clear" w:color="auto" w:fill="C6EFCE"/>
            <w:noWrap/>
            <w:vAlign w:val="center"/>
          </w:tcPr>
          <w:p w14:paraId="4AC24D35" w14:textId="77777777" w:rsidR="00C972CB" w:rsidRDefault="002457F6">
            <w:pPr>
              <w:pStyle w:val="P68B1DB1-Normal12"/>
              <w:jc w:val="center"/>
              <w:rPr>
                <w:noProof/>
              </w:rPr>
            </w:pPr>
            <w:r>
              <w:rPr>
                <w:noProof/>
              </w:rPr>
              <w:t>Ieguldījums 5.4 — Jaunuzņēmumu finansēš</w:t>
            </w:r>
            <w:r>
              <w:rPr>
                <w:noProof/>
              </w:rPr>
              <w:t xml:space="preserve">ana </w:t>
            </w:r>
          </w:p>
        </w:tc>
        <w:tc>
          <w:tcPr>
            <w:tcW w:w="1378" w:type="dxa"/>
            <w:tcBorders>
              <w:top w:val="nil"/>
              <w:left w:val="nil"/>
              <w:bottom w:val="single" w:sz="4" w:space="0" w:color="auto"/>
              <w:right w:val="single" w:sz="4" w:space="0" w:color="auto"/>
            </w:tcBorders>
            <w:shd w:val="clear" w:color="auto" w:fill="C6EFCE"/>
            <w:noWrap/>
            <w:vAlign w:val="center"/>
          </w:tcPr>
          <w:p w14:paraId="1B18D4CE" w14:textId="1C59416A"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22A8A18E" w14:textId="77777777" w:rsidR="00C972CB" w:rsidRDefault="002457F6">
            <w:pPr>
              <w:pStyle w:val="P68B1DB1-Normal12"/>
              <w:jc w:val="center"/>
              <w:rPr>
                <w:noProof/>
              </w:rPr>
            </w:pPr>
            <w:r>
              <w:rPr>
                <w:noProof/>
              </w:rPr>
              <w:t>Ministrija ir pabeigusi līdzekļu nodošanu CDP riska kapitālam SGR</w:t>
            </w:r>
          </w:p>
        </w:tc>
      </w:tr>
      <w:tr w:rsidR="00C972CB" w14:paraId="7E234D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DAD49" w14:textId="77777777" w:rsidR="00C972CB" w:rsidRDefault="002457F6">
            <w:pPr>
              <w:pStyle w:val="P68B1DB1-Normal12"/>
              <w:jc w:val="center"/>
              <w:rPr>
                <w:noProof/>
              </w:rPr>
            </w:pPr>
            <w:r>
              <w:rPr>
                <w:noProof/>
              </w:rPr>
              <w:t>M6C1–7</w:t>
            </w:r>
          </w:p>
        </w:tc>
        <w:tc>
          <w:tcPr>
            <w:tcW w:w="3195" w:type="dxa"/>
            <w:tcBorders>
              <w:top w:val="nil"/>
              <w:left w:val="nil"/>
              <w:bottom w:val="single" w:sz="4" w:space="0" w:color="auto"/>
              <w:right w:val="single" w:sz="4" w:space="0" w:color="auto"/>
            </w:tcBorders>
            <w:shd w:val="clear" w:color="auto" w:fill="C6EFCE"/>
            <w:noWrap/>
            <w:vAlign w:val="center"/>
          </w:tcPr>
          <w:p w14:paraId="4B8DA994" w14:textId="77777777" w:rsidR="00C972CB" w:rsidRDefault="002457F6">
            <w:pPr>
              <w:pStyle w:val="P68B1DB1-Normal12"/>
              <w:jc w:val="center"/>
              <w:rPr>
                <w:noProof/>
              </w:rPr>
            </w:pPr>
            <w:r>
              <w:rPr>
                <w:noProof/>
              </w:rPr>
              <w:t>Ieguldījums 1.2: Mājas kā pirmā aprūpes un telemedicīnas vieta</w:t>
            </w:r>
          </w:p>
        </w:tc>
        <w:tc>
          <w:tcPr>
            <w:tcW w:w="1378" w:type="dxa"/>
            <w:tcBorders>
              <w:top w:val="nil"/>
              <w:left w:val="nil"/>
              <w:bottom w:val="single" w:sz="4" w:space="0" w:color="auto"/>
              <w:right w:val="single" w:sz="4" w:space="0" w:color="auto"/>
            </w:tcBorders>
            <w:shd w:val="clear" w:color="auto" w:fill="C6EFCE"/>
            <w:noWrap/>
            <w:vAlign w:val="center"/>
          </w:tcPr>
          <w:p w14:paraId="14AF675D" w14:textId="77777777" w:rsidR="00C972CB" w:rsidRDefault="002457F6">
            <w:pPr>
              <w:pStyle w:val="P68B1DB1-Normal12"/>
              <w:jc w:val="center"/>
              <w:rPr>
                <w:noProof/>
              </w:rPr>
            </w:pPr>
            <w:r>
              <w:rPr>
                <w:noProof/>
              </w:rPr>
              <w:t>Mērķa</w:t>
            </w:r>
          </w:p>
        </w:tc>
        <w:tc>
          <w:tcPr>
            <w:tcW w:w="4166" w:type="dxa"/>
            <w:tcBorders>
              <w:top w:val="nil"/>
              <w:left w:val="nil"/>
              <w:bottom w:val="single" w:sz="4" w:space="0" w:color="auto"/>
              <w:right w:val="single" w:sz="4" w:space="0" w:color="auto"/>
            </w:tcBorders>
            <w:shd w:val="clear" w:color="auto" w:fill="C6EFCE"/>
            <w:noWrap/>
            <w:vAlign w:val="center"/>
          </w:tcPr>
          <w:p w14:paraId="281D1109" w14:textId="77777777" w:rsidR="00C972CB" w:rsidRDefault="002457F6">
            <w:pPr>
              <w:pStyle w:val="P68B1DB1-Normal12"/>
              <w:jc w:val="center"/>
              <w:rPr>
                <w:noProof/>
              </w:rPr>
            </w:pPr>
            <w:r>
              <w:rPr>
                <w:noProof/>
              </w:rPr>
              <w:t>Koordinācijas centri, kas pilnībā darbojas (otrā sērija)</w:t>
            </w:r>
          </w:p>
        </w:tc>
      </w:tr>
      <w:tr w:rsidR="00C972CB" w14:paraId="4FA742E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56846F" w14:textId="77777777" w:rsidR="00C972CB" w:rsidRDefault="002457F6">
            <w:pPr>
              <w:pStyle w:val="P68B1DB1-Normal12"/>
              <w:jc w:val="center"/>
              <w:rPr>
                <w:noProof/>
              </w:rPr>
            </w:pPr>
            <w:r>
              <w:rPr>
                <w:noProof/>
              </w:rPr>
              <w:t>M7–43</w:t>
            </w:r>
          </w:p>
        </w:tc>
        <w:tc>
          <w:tcPr>
            <w:tcW w:w="3195" w:type="dxa"/>
            <w:tcBorders>
              <w:top w:val="nil"/>
              <w:left w:val="nil"/>
              <w:bottom w:val="single" w:sz="4" w:space="0" w:color="auto"/>
              <w:right w:val="single" w:sz="4" w:space="0" w:color="auto"/>
            </w:tcBorders>
            <w:shd w:val="clear" w:color="auto" w:fill="C6EFCE"/>
            <w:noWrap/>
            <w:vAlign w:val="center"/>
          </w:tcPr>
          <w:p w14:paraId="31237290" w14:textId="77777777" w:rsidR="00C972CB" w:rsidRDefault="002457F6">
            <w:pPr>
              <w:pStyle w:val="P68B1DB1-Normal12"/>
              <w:jc w:val="center"/>
              <w:rPr>
                <w:noProof/>
              </w:rPr>
            </w:pPr>
            <w:r>
              <w:rPr>
                <w:noProof/>
              </w:rPr>
              <w:t xml:space="preserve">Ieguldījums 16: Atbalsts </w:t>
            </w:r>
            <w:r>
              <w:rPr>
                <w:noProof/>
              </w:rPr>
              <w:t>MVU pašražošanai no atjaunojamiem enerģijas avotiem</w:t>
            </w:r>
          </w:p>
        </w:tc>
        <w:tc>
          <w:tcPr>
            <w:tcW w:w="1378" w:type="dxa"/>
            <w:tcBorders>
              <w:top w:val="nil"/>
              <w:left w:val="nil"/>
              <w:bottom w:val="single" w:sz="4" w:space="0" w:color="auto"/>
              <w:right w:val="single" w:sz="4" w:space="0" w:color="auto"/>
            </w:tcBorders>
            <w:shd w:val="clear" w:color="auto" w:fill="C6EFCE"/>
            <w:noWrap/>
            <w:vAlign w:val="center"/>
          </w:tcPr>
          <w:p w14:paraId="37EEC8CB"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5E99DC5A" w14:textId="77777777" w:rsidR="00C972CB" w:rsidRDefault="002457F6">
            <w:pPr>
              <w:pStyle w:val="P68B1DB1-Normal12"/>
              <w:jc w:val="center"/>
              <w:rPr>
                <w:noProof/>
              </w:rPr>
            </w:pPr>
            <w:r>
              <w:rPr>
                <w:noProof/>
              </w:rPr>
              <w:t>Īstenošanas nolīgums</w:t>
            </w:r>
          </w:p>
        </w:tc>
      </w:tr>
      <w:tr w:rsidR="00C972CB" w14:paraId="5C2E78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BEB2CB" w14:textId="77777777" w:rsidR="00C972CB" w:rsidRDefault="002457F6">
            <w:pPr>
              <w:pStyle w:val="P68B1DB1-Normal12"/>
              <w:jc w:val="center"/>
              <w:rPr>
                <w:noProof/>
              </w:rPr>
            </w:pPr>
            <w:r>
              <w:rPr>
                <w:noProof/>
              </w:rPr>
              <w:t>M7–44</w:t>
            </w:r>
          </w:p>
        </w:tc>
        <w:tc>
          <w:tcPr>
            <w:tcW w:w="3195" w:type="dxa"/>
            <w:tcBorders>
              <w:top w:val="nil"/>
              <w:left w:val="nil"/>
              <w:bottom w:val="single" w:sz="4" w:space="0" w:color="auto"/>
              <w:right w:val="single" w:sz="4" w:space="0" w:color="auto"/>
            </w:tcBorders>
            <w:shd w:val="clear" w:color="auto" w:fill="C6EFCE"/>
            <w:noWrap/>
            <w:vAlign w:val="center"/>
          </w:tcPr>
          <w:p w14:paraId="54DE00E5" w14:textId="77777777" w:rsidR="00C972CB" w:rsidRDefault="002457F6">
            <w:pPr>
              <w:pStyle w:val="P68B1DB1-Normal12"/>
              <w:jc w:val="center"/>
              <w:rPr>
                <w:noProof/>
              </w:rPr>
            </w:pPr>
            <w:r>
              <w:rPr>
                <w:noProof/>
              </w:rPr>
              <w:t>Ieguldījums 16: Atbalsts MVU pašražošanai no atjaunojamiem enerģijas avotiem</w:t>
            </w:r>
          </w:p>
        </w:tc>
        <w:tc>
          <w:tcPr>
            <w:tcW w:w="1378" w:type="dxa"/>
            <w:tcBorders>
              <w:top w:val="nil"/>
              <w:left w:val="nil"/>
              <w:bottom w:val="single" w:sz="4" w:space="0" w:color="auto"/>
              <w:right w:val="single" w:sz="4" w:space="0" w:color="auto"/>
            </w:tcBorders>
            <w:shd w:val="clear" w:color="auto" w:fill="C6EFCE"/>
            <w:noWrap/>
            <w:vAlign w:val="center"/>
          </w:tcPr>
          <w:p w14:paraId="63D5214A"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026AF465" w14:textId="77777777" w:rsidR="00C972CB" w:rsidRDefault="002457F6">
            <w:pPr>
              <w:pStyle w:val="P68B1DB1-Normal12"/>
              <w:jc w:val="center"/>
              <w:rPr>
                <w:noProof/>
              </w:rPr>
            </w:pPr>
            <w:r>
              <w:rPr>
                <w:noProof/>
              </w:rPr>
              <w:t xml:space="preserve">Itālijas Uzņēmumu un Madu ministrija ir pabeigusi līdzekļu </w:t>
            </w:r>
            <w:r>
              <w:rPr>
                <w:noProof/>
              </w:rPr>
              <w:t>pārskaitīšanu Invitalia</w:t>
            </w:r>
          </w:p>
        </w:tc>
      </w:tr>
      <w:tr w:rsidR="00C972CB" w14:paraId="75428B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C9865" w14:textId="77777777" w:rsidR="00C972CB" w:rsidRDefault="002457F6">
            <w:pPr>
              <w:pStyle w:val="P68B1DB1-Normal12"/>
              <w:jc w:val="center"/>
              <w:rPr>
                <w:noProof/>
              </w:rPr>
            </w:pPr>
            <w:r>
              <w:rPr>
                <w:noProof/>
              </w:rPr>
              <w:t>M7–48</w:t>
            </w:r>
          </w:p>
        </w:tc>
        <w:tc>
          <w:tcPr>
            <w:tcW w:w="3195" w:type="dxa"/>
            <w:tcBorders>
              <w:top w:val="nil"/>
              <w:left w:val="nil"/>
              <w:bottom w:val="single" w:sz="4" w:space="0" w:color="auto"/>
              <w:right w:val="single" w:sz="4" w:space="0" w:color="auto"/>
            </w:tcBorders>
            <w:shd w:val="clear" w:color="auto" w:fill="C6EFCE"/>
            <w:noWrap/>
            <w:vAlign w:val="center"/>
          </w:tcPr>
          <w:p w14:paraId="2CFF6144" w14:textId="77777777" w:rsidR="00C972CB" w:rsidRDefault="002457F6">
            <w:pPr>
              <w:pStyle w:val="P68B1DB1-Normal12"/>
              <w:jc w:val="center"/>
              <w:rPr>
                <w:noProof/>
              </w:rPr>
            </w:pPr>
            <w:r>
              <w:rPr>
                <w:noProof/>
              </w:rPr>
              <w:t>Ieguldījums 17: Finanšu instruments publisko un sociālo mājokļu energorenovācijai</w:t>
            </w:r>
          </w:p>
        </w:tc>
        <w:tc>
          <w:tcPr>
            <w:tcW w:w="1378" w:type="dxa"/>
            <w:tcBorders>
              <w:top w:val="nil"/>
              <w:left w:val="nil"/>
              <w:bottom w:val="single" w:sz="4" w:space="0" w:color="auto"/>
              <w:right w:val="single" w:sz="4" w:space="0" w:color="auto"/>
            </w:tcBorders>
            <w:shd w:val="clear" w:color="auto" w:fill="C6EFCE"/>
            <w:noWrap/>
            <w:vAlign w:val="center"/>
          </w:tcPr>
          <w:p w14:paraId="5C4329DF" w14:textId="77777777" w:rsidR="00C972CB" w:rsidRDefault="002457F6">
            <w:pPr>
              <w:pStyle w:val="P68B1DB1-Normal12"/>
              <w:jc w:val="center"/>
              <w:rPr>
                <w:noProof/>
              </w:rPr>
            </w:pPr>
            <w:r>
              <w:rPr>
                <w:noProof/>
              </w:rPr>
              <w:t>Starpposma mērķis</w:t>
            </w:r>
          </w:p>
        </w:tc>
        <w:tc>
          <w:tcPr>
            <w:tcW w:w="4166" w:type="dxa"/>
            <w:tcBorders>
              <w:top w:val="nil"/>
              <w:left w:val="nil"/>
              <w:bottom w:val="single" w:sz="4" w:space="0" w:color="auto"/>
              <w:right w:val="single" w:sz="4" w:space="0" w:color="auto"/>
            </w:tcBorders>
            <w:shd w:val="clear" w:color="auto" w:fill="C6EFCE"/>
            <w:noWrap/>
            <w:vAlign w:val="center"/>
          </w:tcPr>
          <w:p w14:paraId="17AA2462" w14:textId="77777777" w:rsidR="00C972CB" w:rsidRDefault="002457F6">
            <w:pPr>
              <w:pStyle w:val="P68B1DB1-Normal12"/>
              <w:jc w:val="center"/>
              <w:rPr>
                <w:noProof/>
              </w:rPr>
            </w:pPr>
            <w:r>
              <w:rPr>
                <w:noProof/>
              </w:rPr>
              <w:t>Ministrija ir pabeigusi ieguldījumu</w:t>
            </w:r>
          </w:p>
        </w:tc>
      </w:tr>
      <w:tr w:rsidR="00C972CB" w14:paraId="1AC98A4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E72906" w14:textId="77777777" w:rsidR="00C972CB" w:rsidRDefault="00C972C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31D7E0F" w14:textId="77777777" w:rsidR="00C972CB" w:rsidRDefault="00C972CB">
            <w:pPr>
              <w:rPr>
                <w:noProof/>
                <w:color w:val="006100"/>
                <w:sz w:val="20"/>
              </w:rPr>
            </w:pPr>
          </w:p>
        </w:tc>
        <w:tc>
          <w:tcPr>
            <w:tcW w:w="1378" w:type="dxa"/>
            <w:tcBorders>
              <w:top w:val="single" w:sz="4" w:space="0" w:color="auto"/>
              <w:left w:val="nil"/>
              <w:bottom w:val="single" w:sz="4" w:space="0" w:color="auto"/>
              <w:right w:val="single" w:sz="4" w:space="0" w:color="auto"/>
            </w:tcBorders>
            <w:shd w:val="clear" w:color="auto" w:fill="C6EFCE"/>
            <w:noWrap/>
            <w:vAlign w:val="bottom"/>
          </w:tcPr>
          <w:p w14:paraId="1D79C5BD" w14:textId="77777777" w:rsidR="00C972CB" w:rsidRDefault="002457F6">
            <w:pPr>
              <w:pStyle w:val="P68B1DB1-Normal12"/>
              <w:rPr>
                <w:noProof/>
              </w:rPr>
            </w:pPr>
            <w:r>
              <w:rPr>
                <w:noProof/>
              </w:rPr>
              <w:t>Maksājuma summa</w:t>
            </w:r>
          </w:p>
        </w:tc>
        <w:tc>
          <w:tcPr>
            <w:tcW w:w="4166" w:type="dxa"/>
            <w:tcBorders>
              <w:top w:val="single" w:sz="4" w:space="0" w:color="auto"/>
              <w:left w:val="nil"/>
              <w:bottom w:val="single" w:sz="4" w:space="0" w:color="auto"/>
              <w:right w:val="single" w:sz="4" w:space="0" w:color="auto"/>
            </w:tcBorders>
            <w:shd w:val="clear" w:color="auto" w:fill="C6EFCE"/>
            <w:noWrap/>
            <w:vAlign w:val="bottom"/>
          </w:tcPr>
          <w:p w14:paraId="63A3B7A8" w14:textId="0CA23C06" w:rsidR="00C972CB" w:rsidRDefault="002457F6">
            <w:pPr>
              <w:pStyle w:val="P68B1DB1-Normal12"/>
              <w:rPr>
                <w:noProof/>
              </w:rPr>
            </w:pPr>
            <w:r>
              <w:rPr>
                <w:noProof/>
              </w:rPr>
              <w:t>16 555 710 452 EUR</w:t>
            </w:r>
          </w:p>
        </w:tc>
      </w:tr>
    </w:tbl>
    <w:p w14:paraId="46822EE2" w14:textId="261BB3FE" w:rsidR="00C972CB" w:rsidRDefault="002457F6">
      <w:pPr>
        <w:pStyle w:val="P68B1DB1-Normal44"/>
        <w:numPr>
          <w:ilvl w:val="1"/>
          <w:numId w:val="6"/>
        </w:numPr>
        <w:spacing w:before="120" w:after="120"/>
        <w:jc w:val="both"/>
        <w:rPr>
          <w:noProof/>
        </w:rPr>
      </w:pPr>
      <w:r>
        <w:rPr>
          <w:noProof/>
        </w:rPr>
        <w:t>Astotais ieguldījums (aizdevuma atbalsts):</w:t>
      </w:r>
    </w:p>
    <w:tbl>
      <w:tblPr>
        <w:tblW w:w="10015" w:type="dxa"/>
        <w:tblInd w:w="113" w:type="dxa"/>
        <w:tblLook w:val="04A0" w:firstRow="1" w:lastRow="0" w:firstColumn="1" w:lastColumn="0" w:noHBand="0" w:noVBand="1"/>
      </w:tblPr>
      <w:tblGrid>
        <w:gridCol w:w="1413"/>
        <w:gridCol w:w="3105"/>
        <w:gridCol w:w="1983"/>
        <w:gridCol w:w="4074"/>
      </w:tblGrid>
      <w:tr w:rsidR="00C972CB" w14:paraId="20CB874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CB0B2" w14:textId="77777777" w:rsidR="00C972CB" w:rsidRDefault="002457F6">
            <w:pPr>
              <w:pStyle w:val="P68B1DB1-Normal45"/>
              <w:jc w:val="center"/>
              <w:rPr>
                <w:noProof/>
              </w:rPr>
            </w:pPr>
            <w:r>
              <w:rPr>
                <w:noProof/>
              </w:rPr>
              <w:t xml:space="preserve">Kārtas </w:t>
            </w:r>
            <w:r>
              <w:rPr>
                <w:noProof/>
              </w:rPr>
              <w:t>numurs</w:t>
            </w:r>
          </w:p>
        </w:tc>
        <w:tc>
          <w:tcPr>
            <w:tcW w:w="31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639B26" w14:textId="77777777" w:rsidR="00C972CB" w:rsidRDefault="002457F6">
            <w:pPr>
              <w:pStyle w:val="P68B1DB1-Normal45"/>
              <w:jc w:val="center"/>
              <w:rPr>
                <w:noProof/>
              </w:rPr>
            </w:pPr>
            <w:r>
              <w:rPr>
                <w:noProof/>
              </w:rPr>
              <w:t>Pasākums (reforma vai investīcija)</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43A54C" w14:textId="77777777" w:rsidR="00C972CB" w:rsidRDefault="002457F6">
            <w:pPr>
              <w:pStyle w:val="P68B1DB1-Normal45"/>
              <w:jc w:val="center"/>
              <w:rPr>
                <w:noProof/>
              </w:rPr>
            </w:pPr>
            <w:r>
              <w:rPr>
                <w:noProof/>
              </w:rPr>
              <w:t>Atskaites punkts/mērķrādītājs</w:t>
            </w:r>
          </w:p>
        </w:tc>
        <w:tc>
          <w:tcPr>
            <w:tcW w:w="4074" w:type="dxa"/>
            <w:vMerge w:val="restart"/>
            <w:tcBorders>
              <w:top w:val="single" w:sz="4" w:space="0" w:color="auto"/>
              <w:left w:val="nil"/>
              <w:bottom w:val="single" w:sz="4" w:space="0" w:color="auto"/>
              <w:right w:val="single" w:sz="4" w:space="0" w:color="auto"/>
            </w:tcBorders>
            <w:shd w:val="clear" w:color="auto" w:fill="BDD7EE"/>
            <w:vAlign w:val="center"/>
            <w:hideMark/>
          </w:tcPr>
          <w:p w14:paraId="012919B3" w14:textId="77777777" w:rsidR="00C972CB" w:rsidRDefault="002457F6">
            <w:pPr>
              <w:pStyle w:val="P68B1DB1-Normal45"/>
              <w:jc w:val="center"/>
              <w:rPr>
                <w:noProof/>
              </w:rPr>
            </w:pPr>
            <w:r>
              <w:rPr>
                <w:noProof/>
              </w:rPr>
              <w:t>Uzvārds</w:t>
            </w:r>
          </w:p>
        </w:tc>
      </w:tr>
      <w:tr w:rsidR="00C972CB" w14:paraId="484662C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B115874" w14:textId="77777777" w:rsidR="00C972CB" w:rsidRDefault="00C972CB">
            <w:pPr>
              <w:rPr>
                <w:b/>
                <w:noProof/>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14:paraId="237B3F2F" w14:textId="77777777" w:rsidR="00C972CB" w:rsidRDefault="00C972CB">
            <w:pPr>
              <w:rPr>
                <w:b/>
                <w:noProof/>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4A33B28F" w14:textId="77777777" w:rsidR="00C972CB" w:rsidRDefault="00C972CB">
            <w:pPr>
              <w:rPr>
                <w:b/>
                <w:noProof/>
              </w:rPr>
            </w:pPr>
          </w:p>
        </w:tc>
        <w:tc>
          <w:tcPr>
            <w:tcW w:w="4074" w:type="dxa"/>
            <w:vMerge/>
            <w:tcBorders>
              <w:top w:val="single" w:sz="4" w:space="0" w:color="auto"/>
              <w:left w:val="single" w:sz="4" w:space="0" w:color="auto"/>
              <w:bottom w:val="single" w:sz="4" w:space="0" w:color="auto"/>
              <w:right w:val="single" w:sz="4" w:space="0" w:color="auto"/>
            </w:tcBorders>
            <w:vAlign w:val="center"/>
            <w:hideMark/>
          </w:tcPr>
          <w:p w14:paraId="3C55F28A" w14:textId="77777777" w:rsidR="00C972CB" w:rsidRDefault="00C972CB">
            <w:pPr>
              <w:rPr>
                <w:b/>
                <w:noProof/>
              </w:rPr>
            </w:pPr>
          </w:p>
        </w:tc>
      </w:tr>
      <w:tr w:rsidR="00C972CB" w14:paraId="496D468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7A962" w14:textId="77777777" w:rsidR="00C972CB" w:rsidRDefault="002457F6">
            <w:pPr>
              <w:pStyle w:val="P68B1DB1-Normal12"/>
              <w:jc w:val="center"/>
              <w:rPr>
                <w:noProof/>
              </w:rPr>
            </w:pPr>
            <w:r>
              <w:rPr>
                <w:noProof/>
              </w:rPr>
              <w:t>M5C2–16</w:t>
            </w:r>
          </w:p>
        </w:tc>
        <w:tc>
          <w:tcPr>
            <w:tcW w:w="3105" w:type="dxa"/>
            <w:tcBorders>
              <w:top w:val="single" w:sz="4" w:space="0" w:color="auto"/>
              <w:left w:val="nil"/>
              <w:bottom w:val="single" w:sz="4" w:space="0" w:color="auto"/>
              <w:right w:val="single" w:sz="4" w:space="0" w:color="auto"/>
            </w:tcBorders>
            <w:shd w:val="clear" w:color="auto" w:fill="C6EFCE"/>
            <w:noWrap/>
            <w:vAlign w:val="center"/>
          </w:tcPr>
          <w:p w14:paraId="0B39E694" w14:textId="77777777" w:rsidR="00C972CB" w:rsidRDefault="002457F6">
            <w:pPr>
              <w:pStyle w:val="P68B1DB1-Normal12"/>
              <w:jc w:val="center"/>
              <w:rPr>
                <w:noProof/>
              </w:rPr>
            </w:pPr>
            <w:r>
              <w:rPr>
                <w:noProof/>
              </w:rPr>
              <w:t>Ieguldījums Nr. 5 — Pilsētu integrētie plāni — Nelikumīgu apmetņu pārvarēšana, lai cīnītos pret darbaspēka ekspluatāciju lauksaimniecībā</w:t>
            </w:r>
          </w:p>
        </w:tc>
        <w:tc>
          <w:tcPr>
            <w:tcW w:w="1423" w:type="dxa"/>
            <w:tcBorders>
              <w:top w:val="single" w:sz="4" w:space="0" w:color="auto"/>
              <w:left w:val="nil"/>
              <w:bottom w:val="single" w:sz="4" w:space="0" w:color="auto"/>
              <w:right w:val="single" w:sz="4" w:space="0" w:color="auto"/>
            </w:tcBorders>
            <w:shd w:val="clear" w:color="auto" w:fill="C6EFCE"/>
            <w:noWrap/>
            <w:vAlign w:val="center"/>
          </w:tcPr>
          <w:p w14:paraId="474F644D" w14:textId="77777777" w:rsidR="00C972CB" w:rsidRDefault="002457F6">
            <w:pPr>
              <w:pStyle w:val="P68B1DB1-Normal12"/>
              <w:jc w:val="center"/>
              <w:rPr>
                <w:noProof/>
              </w:rPr>
            </w:pPr>
            <w:r>
              <w:rPr>
                <w:noProof/>
              </w:rPr>
              <w:t>Mērķa</w:t>
            </w:r>
          </w:p>
        </w:tc>
        <w:tc>
          <w:tcPr>
            <w:tcW w:w="4074" w:type="dxa"/>
            <w:tcBorders>
              <w:top w:val="single" w:sz="4" w:space="0" w:color="auto"/>
              <w:left w:val="nil"/>
              <w:bottom w:val="single" w:sz="4" w:space="0" w:color="auto"/>
              <w:right w:val="single" w:sz="4" w:space="0" w:color="auto"/>
            </w:tcBorders>
            <w:shd w:val="clear" w:color="auto" w:fill="C6EFCE"/>
            <w:noWrap/>
            <w:vAlign w:val="center"/>
          </w:tcPr>
          <w:p w14:paraId="4BC7C214" w14:textId="77777777" w:rsidR="00C972CB" w:rsidRDefault="002457F6">
            <w:pPr>
              <w:pStyle w:val="P68B1DB1-Normal12"/>
              <w:jc w:val="center"/>
              <w:rPr>
                <w:noProof/>
              </w:rPr>
            </w:pPr>
            <w:r>
              <w:rPr>
                <w:noProof/>
              </w:rPr>
              <w:t xml:space="preserve">Projekta darbības </w:t>
            </w:r>
            <w:r>
              <w:rPr>
                <w:noProof/>
              </w:rPr>
              <w:t>ir pabeigtas teritorijās, kas vietējos plānos identificētas kā nelikumīgas apmetnes</w:t>
            </w:r>
          </w:p>
        </w:tc>
      </w:tr>
      <w:tr w:rsidR="00C972CB" w14:paraId="76FFB7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371A36" w14:textId="77777777" w:rsidR="00C972CB" w:rsidRDefault="002457F6">
            <w:pPr>
              <w:pStyle w:val="P68B1DB1-Normal12"/>
              <w:jc w:val="center"/>
              <w:rPr>
                <w:noProof/>
              </w:rPr>
            </w:pPr>
            <w:r>
              <w:rPr>
                <w:noProof/>
              </w:rPr>
              <w:t>M7–47</w:t>
            </w:r>
          </w:p>
        </w:tc>
        <w:tc>
          <w:tcPr>
            <w:tcW w:w="3105" w:type="dxa"/>
            <w:tcBorders>
              <w:top w:val="nil"/>
              <w:left w:val="nil"/>
              <w:bottom w:val="single" w:sz="4" w:space="0" w:color="auto"/>
              <w:right w:val="single" w:sz="4" w:space="0" w:color="auto"/>
            </w:tcBorders>
            <w:shd w:val="clear" w:color="auto" w:fill="C6EFCE"/>
            <w:noWrap/>
            <w:vAlign w:val="center"/>
          </w:tcPr>
          <w:p w14:paraId="5CF53E71" w14:textId="77777777" w:rsidR="00C972CB" w:rsidRDefault="002457F6">
            <w:pPr>
              <w:pStyle w:val="P68B1DB1-Normal12"/>
              <w:jc w:val="center"/>
              <w:rPr>
                <w:noProof/>
              </w:rPr>
            </w:pPr>
            <w:r>
              <w:rPr>
                <w:noProof/>
              </w:rPr>
              <w:t>Ieguldījums 17: Finanšu instruments publisko un sociālo mājokļu energorenovācijai</w:t>
            </w:r>
          </w:p>
        </w:tc>
        <w:tc>
          <w:tcPr>
            <w:tcW w:w="1423" w:type="dxa"/>
            <w:tcBorders>
              <w:top w:val="nil"/>
              <w:left w:val="nil"/>
              <w:bottom w:val="single" w:sz="4" w:space="0" w:color="auto"/>
              <w:right w:val="single" w:sz="4" w:space="0" w:color="auto"/>
            </w:tcBorders>
            <w:shd w:val="clear" w:color="auto" w:fill="C6EFCE"/>
            <w:noWrap/>
            <w:vAlign w:val="center"/>
          </w:tcPr>
          <w:p w14:paraId="47695110" w14:textId="77777777" w:rsidR="00C972CB" w:rsidRDefault="002457F6">
            <w:pPr>
              <w:pStyle w:val="P68B1DB1-Normal12"/>
              <w:jc w:val="center"/>
              <w:rPr>
                <w:noProof/>
              </w:rPr>
            </w:pPr>
            <w:r>
              <w:rPr>
                <w:noProof/>
              </w:rPr>
              <w:t>Starpposma mērķis</w:t>
            </w:r>
          </w:p>
        </w:tc>
        <w:tc>
          <w:tcPr>
            <w:tcW w:w="4074" w:type="dxa"/>
            <w:tcBorders>
              <w:top w:val="nil"/>
              <w:left w:val="nil"/>
              <w:bottom w:val="single" w:sz="4" w:space="0" w:color="auto"/>
              <w:right w:val="single" w:sz="4" w:space="0" w:color="auto"/>
            </w:tcBorders>
            <w:shd w:val="clear" w:color="auto" w:fill="C6EFCE"/>
            <w:noWrap/>
            <w:vAlign w:val="center"/>
          </w:tcPr>
          <w:p w14:paraId="2E57BD23" w14:textId="77777777" w:rsidR="00C972CB" w:rsidRDefault="002457F6">
            <w:pPr>
              <w:pStyle w:val="P68B1DB1-Normal12"/>
              <w:jc w:val="center"/>
              <w:rPr>
                <w:noProof/>
              </w:rPr>
            </w:pPr>
            <w:r>
              <w:rPr>
                <w:noProof/>
              </w:rPr>
              <w:t>Īstenošanas nolīgums</w:t>
            </w:r>
          </w:p>
        </w:tc>
      </w:tr>
      <w:tr w:rsidR="00C972CB" w14:paraId="7E8F06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3E66F1" w14:textId="77777777" w:rsidR="00C972CB" w:rsidRDefault="002457F6">
            <w:pPr>
              <w:pStyle w:val="P68B1DB1-Normal12"/>
              <w:jc w:val="center"/>
              <w:rPr>
                <w:noProof/>
              </w:rPr>
            </w:pPr>
            <w:r>
              <w:rPr>
                <w:noProof/>
              </w:rPr>
              <w:t>M1C1–144</w:t>
            </w:r>
          </w:p>
        </w:tc>
        <w:tc>
          <w:tcPr>
            <w:tcW w:w="3105" w:type="dxa"/>
            <w:tcBorders>
              <w:top w:val="nil"/>
              <w:left w:val="nil"/>
              <w:bottom w:val="single" w:sz="4" w:space="0" w:color="auto"/>
              <w:right w:val="single" w:sz="4" w:space="0" w:color="auto"/>
            </w:tcBorders>
            <w:shd w:val="clear" w:color="auto" w:fill="C6EFCE"/>
            <w:noWrap/>
            <w:vAlign w:val="center"/>
          </w:tcPr>
          <w:p w14:paraId="33FFFF8C" w14:textId="77777777" w:rsidR="00C972CB" w:rsidRDefault="002457F6">
            <w:pPr>
              <w:pStyle w:val="P68B1DB1-Normal12"/>
              <w:jc w:val="center"/>
              <w:rPr>
                <w:noProof/>
              </w:rPr>
            </w:pPr>
            <w:r>
              <w:rPr>
                <w:noProof/>
              </w:rPr>
              <w:t xml:space="preserve">Ieguldījums 1.4.2. — Iedzīvotāju </w:t>
            </w:r>
            <w:r>
              <w:rPr>
                <w:noProof/>
              </w:rPr>
              <w:t>iekļaušana — digitālo publisko pakalpojumu pieejamības uzlabošana</w:t>
            </w:r>
          </w:p>
        </w:tc>
        <w:tc>
          <w:tcPr>
            <w:tcW w:w="1423" w:type="dxa"/>
            <w:tcBorders>
              <w:top w:val="nil"/>
              <w:left w:val="nil"/>
              <w:bottom w:val="single" w:sz="4" w:space="0" w:color="auto"/>
              <w:right w:val="single" w:sz="4" w:space="0" w:color="auto"/>
            </w:tcBorders>
            <w:shd w:val="clear" w:color="auto" w:fill="C6EFCE"/>
            <w:noWrap/>
            <w:vAlign w:val="center"/>
          </w:tcPr>
          <w:p w14:paraId="7EFB6915"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0DFB58EC" w14:textId="77777777" w:rsidR="00C972CB" w:rsidRDefault="002457F6">
            <w:pPr>
              <w:pStyle w:val="P68B1DB1-Normal12"/>
              <w:jc w:val="center"/>
              <w:rPr>
                <w:noProof/>
              </w:rPr>
            </w:pPr>
            <w:r>
              <w:rPr>
                <w:noProof/>
              </w:rPr>
              <w:t>Digitālo publisko pakalpojumu pieejamības uzlabošana</w:t>
            </w:r>
          </w:p>
        </w:tc>
      </w:tr>
      <w:tr w:rsidR="00C972CB" w14:paraId="051527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05326D" w14:textId="77777777" w:rsidR="00C972CB" w:rsidRDefault="002457F6">
            <w:pPr>
              <w:pStyle w:val="P68B1DB1-Normal12"/>
              <w:jc w:val="center"/>
              <w:rPr>
                <w:noProof/>
              </w:rPr>
            </w:pPr>
            <w:r>
              <w:rPr>
                <w:noProof/>
              </w:rPr>
              <w:t>M1C3–16</w:t>
            </w:r>
          </w:p>
        </w:tc>
        <w:tc>
          <w:tcPr>
            <w:tcW w:w="3105" w:type="dxa"/>
            <w:tcBorders>
              <w:top w:val="nil"/>
              <w:left w:val="nil"/>
              <w:bottom w:val="single" w:sz="4" w:space="0" w:color="auto"/>
              <w:right w:val="single" w:sz="4" w:space="0" w:color="auto"/>
            </w:tcBorders>
            <w:shd w:val="clear" w:color="auto" w:fill="C6EFCE"/>
            <w:noWrap/>
            <w:vAlign w:val="center"/>
          </w:tcPr>
          <w:p w14:paraId="726C69EB" w14:textId="77777777" w:rsidR="00C972CB" w:rsidRDefault="002457F6">
            <w:pPr>
              <w:pStyle w:val="P68B1DB1-Normal12"/>
              <w:jc w:val="center"/>
              <w:rPr>
                <w:noProof/>
              </w:rPr>
            </w:pPr>
            <w:r>
              <w:rPr>
                <w:noProof/>
              </w:rPr>
              <w:t>Ieguldījumi — 2.1. Mazo vēsturisko pilsētu pievilcība</w:t>
            </w:r>
          </w:p>
        </w:tc>
        <w:tc>
          <w:tcPr>
            <w:tcW w:w="1423" w:type="dxa"/>
            <w:tcBorders>
              <w:top w:val="nil"/>
              <w:left w:val="nil"/>
              <w:bottom w:val="single" w:sz="4" w:space="0" w:color="auto"/>
              <w:right w:val="single" w:sz="4" w:space="0" w:color="auto"/>
            </w:tcBorders>
            <w:shd w:val="clear" w:color="auto" w:fill="C6EFCE"/>
            <w:noWrap/>
            <w:vAlign w:val="center"/>
          </w:tcPr>
          <w:p w14:paraId="442852E8"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5A0175E8" w14:textId="77777777" w:rsidR="00C972CB" w:rsidRDefault="002457F6">
            <w:pPr>
              <w:pStyle w:val="P68B1DB1-Normal12"/>
              <w:jc w:val="center"/>
              <w:rPr>
                <w:noProof/>
              </w:rPr>
            </w:pPr>
            <w:r>
              <w:rPr>
                <w:noProof/>
              </w:rPr>
              <w:t xml:space="preserve">Intervences, kas noslēgtas, lai uzlabotu kultūras vai tūrisma </w:t>
            </w:r>
            <w:r>
              <w:rPr>
                <w:noProof/>
              </w:rPr>
              <w:t>objektus</w:t>
            </w:r>
          </w:p>
        </w:tc>
      </w:tr>
      <w:tr w:rsidR="00C972CB" w14:paraId="5D947F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B4C19" w14:textId="77777777" w:rsidR="00C972CB" w:rsidRDefault="002457F6">
            <w:pPr>
              <w:pStyle w:val="P68B1DB1-Normal12"/>
              <w:jc w:val="center"/>
              <w:rPr>
                <w:noProof/>
              </w:rPr>
            </w:pPr>
            <w:r>
              <w:rPr>
                <w:noProof/>
              </w:rPr>
              <w:t>M2C1–23</w:t>
            </w:r>
          </w:p>
        </w:tc>
        <w:tc>
          <w:tcPr>
            <w:tcW w:w="3105" w:type="dxa"/>
            <w:tcBorders>
              <w:top w:val="nil"/>
              <w:left w:val="nil"/>
              <w:bottom w:val="single" w:sz="4" w:space="0" w:color="auto"/>
              <w:right w:val="single" w:sz="4" w:space="0" w:color="auto"/>
            </w:tcBorders>
            <w:shd w:val="clear" w:color="auto" w:fill="C6EFCE"/>
            <w:noWrap/>
            <w:vAlign w:val="center"/>
          </w:tcPr>
          <w:p w14:paraId="55F32183" w14:textId="77777777" w:rsidR="00C972CB" w:rsidRDefault="002457F6">
            <w:pPr>
              <w:pStyle w:val="P68B1DB1-Normal12"/>
              <w:jc w:val="center"/>
              <w:rPr>
                <w:noProof/>
              </w:rPr>
            </w:pPr>
            <w:r>
              <w:rPr>
                <w:noProof/>
              </w:rPr>
              <w:t>Ieguldījums 3.4. Fondo Contratti di Filiera (FCF), lai atbalstītu piegādes ķēžu līgumus lauksaimniecības pārtikas, zvejniecības un akvakultūras, mežsaimniecības, puķkopības un stādaudzētavu nozarē</w:t>
            </w:r>
          </w:p>
        </w:tc>
        <w:tc>
          <w:tcPr>
            <w:tcW w:w="1423" w:type="dxa"/>
            <w:tcBorders>
              <w:top w:val="nil"/>
              <w:left w:val="nil"/>
              <w:bottom w:val="single" w:sz="4" w:space="0" w:color="auto"/>
              <w:right w:val="single" w:sz="4" w:space="0" w:color="auto"/>
            </w:tcBorders>
            <w:shd w:val="clear" w:color="auto" w:fill="C6EFCE"/>
            <w:noWrap/>
            <w:vAlign w:val="center"/>
          </w:tcPr>
          <w:p w14:paraId="6B5994E6" w14:textId="4BD4D90E"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66B2347D" w14:textId="77777777" w:rsidR="00C972CB" w:rsidRDefault="002457F6">
            <w:pPr>
              <w:pStyle w:val="P68B1DB1-Normal12"/>
              <w:jc w:val="center"/>
              <w:rPr>
                <w:noProof/>
              </w:rPr>
            </w:pPr>
            <w:r>
              <w:rPr>
                <w:noProof/>
              </w:rPr>
              <w:t xml:space="preserve">Ar galīgajiem saņēmējiem </w:t>
            </w:r>
            <w:r>
              <w:rPr>
                <w:noProof/>
              </w:rPr>
              <w:t>parakstītie juridiskie nolīgumi</w:t>
            </w:r>
          </w:p>
        </w:tc>
      </w:tr>
      <w:tr w:rsidR="00C972CB" w14:paraId="158235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F9528B" w14:textId="77777777" w:rsidR="00C972CB" w:rsidRDefault="002457F6">
            <w:pPr>
              <w:pStyle w:val="P68B1DB1-Normal12"/>
              <w:jc w:val="center"/>
              <w:rPr>
                <w:noProof/>
              </w:rPr>
            </w:pPr>
            <w:r>
              <w:rPr>
                <w:noProof/>
              </w:rPr>
              <w:t>M2C2–4</w:t>
            </w:r>
          </w:p>
        </w:tc>
        <w:tc>
          <w:tcPr>
            <w:tcW w:w="3105" w:type="dxa"/>
            <w:tcBorders>
              <w:top w:val="nil"/>
              <w:left w:val="nil"/>
              <w:bottom w:val="single" w:sz="4" w:space="0" w:color="auto"/>
              <w:right w:val="single" w:sz="4" w:space="0" w:color="auto"/>
            </w:tcBorders>
            <w:shd w:val="clear" w:color="auto" w:fill="C6EFCE"/>
            <w:noWrap/>
            <w:vAlign w:val="center"/>
          </w:tcPr>
          <w:p w14:paraId="0BE06681" w14:textId="77777777" w:rsidR="00C972CB" w:rsidRDefault="002457F6">
            <w:pPr>
              <w:pStyle w:val="P68B1DB1-Normal12"/>
              <w:jc w:val="center"/>
              <w:rPr>
                <w:noProof/>
              </w:rPr>
            </w:pPr>
            <w:r>
              <w:rPr>
                <w:noProof/>
              </w:rPr>
              <w:t>Ieguldījums 1.4. Biometāna attīstība saskaņā ar aprites ekonomikas veicināšanas kritērijiem</w:t>
            </w:r>
          </w:p>
        </w:tc>
        <w:tc>
          <w:tcPr>
            <w:tcW w:w="1423" w:type="dxa"/>
            <w:tcBorders>
              <w:top w:val="nil"/>
              <w:left w:val="nil"/>
              <w:bottom w:val="single" w:sz="4" w:space="0" w:color="auto"/>
              <w:right w:val="single" w:sz="4" w:space="0" w:color="auto"/>
            </w:tcBorders>
            <w:shd w:val="clear" w:color="auto" w:fill="C6EFCE"/>
            <w:noWrap/>
            <w:vAlign w:val="center"/>
          </w:tcPr>
          <w:p w14:paraId="3AC92BB2"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529E146B" w14:textId="77777777" w:rsidR="00C972CB" w:rsidRDefault="002457F6">
            <w:pPr>
              <w:pStyle w:val="P68B1DB1-Normal12"/>
              <w:jc w:val="center"/>
              <w:rPr>
                <w:noProof/>
              </w:rPr>
            </w:pPr>
            <w:r>
              <w:rPr>
                <w:noProof/>
              </w:rPr>
              <w:t>Papildu biometāna ražošanas jauda</w:t>
            </w:r>
          </w:p>
        </w:tc>
      </w:tr>
      <w:tr w:rsidR="00C972CB" w14:paraId="65475E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38ED17" w14:textId="77777777" w:rsidR="00C972CB" w:rsidRDefault="002457F6">
            <w:pPr>
              <w:pStyle w:val="P68B1DB1-Normal12"/>
              <w:jc w:val="center"/>
              <w:rPr>
                <w:noProof/>
              </w:rPr>
            </w:pPr>
            <w:r>
              <w:rPr>
                <w:noProof/>
              </w:rPr>
              <w:t>M2C4–9</w:t>
            </w:r>
          </w:p>
        </w:tc>
        <w:tc>
          <w:tcPr>
            <w:tcW w:w="3105" w:type="dxa"/>
            <w:tcBorders>
              <w:top w:val="nil"/>
              <w:left w:val="nil"/>
              <w:bottom w:val="single" w:sz="4" w:space="0" w:color="auto"/>
              <w:right w:val="single" w:sz="4" w:space="0" w:color="auto"/>
            </w:tcBorders>
            <w:shd w:val="clear" w:color="auto" w:fill="C6EFCE"/>
            <w:noWrap/>
            <w:vAlign w:val="center"/>
          </w:tcPr>
          <w:p w14:paraId="05EC50E5" w14:textId="77777777" w:rsidR="00C972CB" w:rsidRDefault="002457F6">
            <w:pPr>
              <w:pStyle w:val="P68B1DB1-Normal12"/>
              <w:jc w:val="center"/>
              <w:rPr>
                <w:noProof/>
              </w:rPr>
            </w:pPr>
            <w:r>
              <w:rPr>
                <w:noProof/>
              </w:rPr>
              <w:t>Ieguldījums 1.1. Progresīvas un integrētas uzraudzības un prognozēšanas sist</w:t>
            </w:r>
            <w:r>
              <w:rPr>
                <w:noProof/>
              </w:rPr>
              <w:t>ēmas ieviešana</w:t>
            </w:r>
          </w:p>
        </w:tc>
        <w:tc>
          <w:tcPr>
            <w:tcW w:w="1423" w:type="dxa"/>
            <w:tcBorders>
              <w:top w:val="nil"/>
              <w:left w:val="nil"/>
              <w:bottom w:val="single" w:sz="4" w:space="0" w:color="auto"/>
              <w:right w:val="single" w:sz="4" w:space="0" w:color="auto"/>
            </w:tcBorders>
            <w:shd w:val="clear" w:color="auto" w:fill="C6EFCE"/>
            <w:noWrap/>
            <w:vAlign w:val="center"/>
          </w:tcPr>
          <w:p w14:paraId="55E803E2"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40E9D2C3" w14:textId="77777777" w:rsidR="00C972CB" w:rsidRDefault="002457F6">
            <w:pPr>
              <w:pStyle w:val="P68B1DB1-Normal12"/>
              <w:jc w:val="center"/>
              <w:rPr>
                <w:noProof/>
              </w:rPr>
            </w:pPr>
            <w:r>
              <w:rPr>
                <w:noProof/>
              </w:rPr>
              <w:t xml:space="preserve">Progresīvas un integrētas uzraudzības un prognozēšanas sistēmas ieviešana, lai identificētu hidroloģiskos riskus </w:t>
            </w:r>
          </w:p>
        </w:tc>
      </w:tr>
      <w:tr w:rsidR="00C972CB" w14:paraId="7D69BF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060D84" w14:textId="77777777" w:rsidR="00C972CB" w:rsidRDefault="002457F6">
            <w:pPr>
              <w:pStyle w:val="P68B1DB1-Normal12"/>
              <w:jc w:val="center"/>
              <w:rPr>
                <w:noProof/>
              </w:rPr>
            </w:pPr>
            <w:r>
              <w:rPr>
                <w:noProof/>
              </w:rPr>
              <w:t>M2C4–11bis</w:t>
            </w:r>
          </w:p>
        </w:tc>
        <w:tc>
          <w:tcPr>
            <w:tcW w:w="3105" w:type="dxa"/>
            <w:tcBorders>
              <w:top w:val="nil"/>
              <w:left w:val="nil"/>
              <w:bottom w:val="single" w:sz="4" w:space="0" w:color="auto"/>
              <w:right w:val="single" w:sz="4" w:space="0" w:color="auto"/>
            </w:tcBorders>
            <w:shd w:val="clear" w:color="auto" w:fill="C6EFCE"/>
            <w:noWrap/>
            <w:vAlign w:val="center"/>
          </w:tcPr>
          <w:p w14:paraId="494188A6" w14:textId="77777777" w:rsidR="00C972CB" w:rsidRDefault="002457F6">
            <w:pPr>
              <w:pStyle w:val="P68B1DB1-Normal12"/>
              <w:jc w:val="center"/>
              <w:rPr>
                <w:noProof/>
              </w:rPr>
            </w:pPr>
            <w:r>
              <w:rPr>
                <w:noProof/>
              </w:rPr>
              <w:t xml:space="preserve">Ieguldījums 2.1.a. Pasākumi plūdu un hidroģeoloģiskā riska mazināšanai — intervences pasākumi Emīlijā </w:t>
            </w:r>
            <w:r>
              <w:rPr>
                <w:noProof/>
              </w:rPr>
              <w:t>Romanjā, Toskānā un Markē</w:t>
            </w:r>
          </w:p>
        </w:tc>
        <w:tc>
          <w:tcPr>
            <w:tcW w:w="1423" w:type="dxa"/>
            <w:tcBorders>
              <w:top w:val="nil"/>
              <w:left w:val="nil"/>
              <w:bottom w:val="single" w:sz="4" w:space="0" w:color="auto"/>
              <w:right w:val="single" w:sz="4" w:space="0" w:color="auto"/>
            </w:tcBorders>
            <w:shd w:val="clear" w:color="auto" w:fill="C6EFCE"/>
            <w:noWrap/>
            <w:vAlign w:val="center"/>
          </w:tcPr>
          <w:p w14:paraId="72242058" w14:textId="77777777" w:rsidR="00C972CB" w:rsidRDefault="002457F6">
            <w:pPr>
              <w:pStyle w:val="P68B1DB1-Normal12"/>
              <w:jc w:val="center"/>
              <w:rPr>
                <w:noProof/>
              </w:rPr>
            </w:pPr>
            <w:r>
              <w:rPr>
                <w:noProof/>
              </w:rPr>
              <w:t>Starpposma mērķis</w:t>
            </w:r>
          </w:p>
        </w:tc>
        <w:tc>
          <w:tcPr>
            <w:tcW w:w="4074" w:type="dxa"/>
            <w:tcBorders>
              <w:top w:val="nil"/>
              <w:left w:val="nil"/>
              <w:bottom w:val="single" w:sz="4" w:space="0" w:color="auto"/>
              <w:right w:val="single" w:sz="4" w:space="0" w:color="auto"/>
            </w:tcBorders>
            <w:shd w:val="clear" w:color="auto" w:fill="C6EFCE"/>
            <w:noWrap/>
            <w:vAlign w:val="center"/>
          </w:tcPr>
          <w:p w14:paraId="6EF9BA37" w14:textId="77777777" w:rsidR="00C972CB" w:rsidRDefault="002457F6">
            <w:pPr>
              <w:pStyle w:val="P68B1DB1-Normal12"/>
              <w:jc w:val="center"/>
              <w:rPr>
                <w:noProof/>
              </w:rPr>
            </w:pPr>
            <w:r>
              <w:rPr>
                <w:noProof/>
              </w:rPr>
              <w:t>Visu publiskā iepirkuma līgumu slēgšanas tiesību piešķiršana intervencei Emīlijā-Romanjā, Toskānā un Markē</w:t>
            </w:r>
          </w:p>
        </w:tc>
      </w:tr>
      <w:tr w:rsidR="00C972CB" w14:paraId="6E31DC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C0945" w14:textId="77777777" w:rsidR="00C972CB" w:rsidRDefault="002457F6">
            <w:pPr>
              <w:pStyle w:val="P68B1DB1-Normal12"/>
              <w:jc w:val="center"/>
              <w:rPr>
                <w:noProof/>
              </w:rPr>
            </w:pPr>
            <w:r>
              <w:rPr>
                <w:noProof/>
              </w:rPr>
              <w:t>M2C4–26</w:t>
            </w:r>
          </w:p>
        </w:tc>
        <w:tc>
          <w:tcPr>
            <w:tcW w:w="3105" w:type="dxa"/>
            <w:tcBorders>
              <w:top w:val="nil"/>
              <w:left w:val="nil"/>
              <w:bottom w:val="single" w:sz="4" w:space="0" w:color="auto"/>
              <w:right w:val="single" w:sz="4" w:space="0" w:color="auto"/>
            </w:tcBorders>
            <w:shd w:val="clear" w:color="auto" w:fill="C6EFCE"/>
            <w:noWrap/>
            <w:vAlign w:val="center"/>
          </w:tcPr>
          <w:p w14:paraId="662C94C6" w14:textId="77777777" w:rsidR="00C972CB" w:rsidRDefault="002457F6">
            <w:pPr>
              <w:pStyle w:val="P68B1DB1-Normal12"/>
              <w:jc w:val="center"/>
              <w:rPr>
                <w:noProof/>
              </w:rPr>
            </w:pPr>
            <w:r>
              <w:rPr>
                <w:noProof/>
              </w:rPr>
              <w:t>Ieguldījums 3.5. Jūras gultnes un jūras dzīvotņu atjaunošana un aizsardzība</w:t>
            </w:r>
          </w:p>
        </w:tc>
        <w:tc>
          <w:tcPr>
            <w:tcW w:w="1423" w:type="dxa"/>
            <w:tcBorders>
              <w:top w:val="nil"/>
              <w:left w:val="nil"/>
              <w:bottom w:val="single" w:sz="4" w:space="0" w:color="auto"/>
              <w:right w:val="single" w:sz="4" w:space="0" w:color="auto"/>
            </w:tcBorders>
            <w:shd w:val="clear" w:color="auto" w:fill="C6EFCE"/>
            <w:noWrap/>
            <w:vAlign w:val="center"/>
          </w:tcPr>
          <w:p w14:paraId="575461AB"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5B33D2FB" w14:textId="77777777" w:rsidR="00C972CB" w:rsidRDefault="002457F6">
            <w:pPr>
              <w:pStyle w:val="P68B1DB1-Normal12"/>
              <w:jc w:val="center"/>
              <w:rPr>
                <w:noProof/>
              </w:rPr>
            </w:pPr>
            <w:r>
              <w:rPr>
                <w:noProof/>
              </w:rPr>
              <w:t xml:space="preserve">Jūras gultnes un jūras dzīvotņu atjaunošana un aizsardzība </w:t>
            </w:r>
          </w:p>
        </w:tc>
      </w:tr>
      <w:tr w:rsidR="00C972CB" w14:paraId="01F2D0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B8522" w14:textId="77777777" w:rsidR="00C972CB" w:rsidRDefault="002457F6">
            <w:pPr>
              <w:pStyle w:val="P68B1DB1-Normal12"/>
              <w:jc w:val="center"/>
              <w:rPr>
                <w:noProof/>
              </w:rPr>
            </w:pPr>
            <w:r>
              <w:rPr>
                <w:noProof/>
              </w:rPr>
              <w:t>M3C1–13</w:t>
            </w:r>
          </w:p>
        </w:tc>
        <w:tc>
          <w:tcPr>
            <w:tcW w:w="3105" w:type="dxa"/>
            <w:tcBorders>
              <w:top w:val="nil"/>
              <w:left w:val="nil"/>
              <w:bottom w:val="single" w:sz="4" w:space="0" w:color="auto"/>
              <w:right w:val="single" w:sz="4" w:space="0" w:color="auto"/>
            </w:tcBorders>
            <w:shd w:val="clear" w:color="auto" w:fill="C6EFCE"/>
            <w:noWrap/>
            <w:vAlign w:val="center"/>
          </w:tcPr>
          <w:p w14:paraId="2B5F2A51" w14:textId="77777777" w:rsidR="00C972CB" w:rsidRDefault="002457F6">
            <w:pPr>
              <w:pStyle w:val="P68B1DB1-Normal12"/>
              <w:jc w:val="center"/>
              <w:rPr>
                <w:noProof/>
              </w:rPr>
            </w:pPr>
            <w:r>
              <w:rPr>
                <w:noProof/>
              </w:rPr>
              <w:t>Ieguldījums 1.4. Eiropas Dzelzceļa transporta vadības sistēmas (ERTMS) ieviešana</w:t>
            </w:r>
          </w:p>
        </w:tc>
        <w:tc>
          <w:tcPr>
            <w:tcW w:w="1423" w:type="dxa"/>
            <w:tcBorders>
              <w:top w:val="nil"/>
              <w:left w:val="nil"/>
              <w:bottom w:val="single" w:sz="4" w:space="0" w:color="auto"/>
              <w:right w:val="single" w:sz="4" w:space="0" w:color="auto"/>
            </w:tcBorders>
            <w:shd w:val="clear" w:color="auto" w:fill="C6EFCE"/>
            <w:noWrap/>
            <w:vAlign w:val="center"/>
          </w:tcPr>
          <w:p w14:paraId="7CE72B68"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4B7927A5" w14:textId="77777777" w:rsidR="00C972CB" w:rsidRDefault="002457F6">
            <w:pPr>
              <w:pStyle w:val="P68B1DB1-Normal12"/>
              <w:jc w:val="center"/>
              <w:rPr>
                <w:noProof/>
              </w:rPr>
            </w:pPr>
            <w:r>
              <w:rPr>
                <w:noProof/>
              </w:rPr>
              <w:t>1 400 km dzelzceļa līniju, kas aprīkotas ar Eiropas Dzelzceļa transporta vadības sistēmu</w:t>
            </w:r>
          </w:p>
        </w:tc>
      </w:tr>
      <w:tr w:rsidR="00C972CB" w14:paraId="4F0B98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E7211" w14:textId="77777777" w:rsidR="00C972CB" w:rsidRDefault="002457F6">
            <w:pPr>
              <w:pStyle w:val="P68B1DB1-Normal12"/>
              <w:jc w:val="center"/>
              <w:rPr>
                <w:noProof/>
              </w:rPr>
            </w:pPr>
            <w:r>
              <w:rPr>
                <w:noProof/>
              </w:rPr>
              <w:t>M4C2–6</w:t>
            </w:r>
          </w:p>
        </w:tc>
        <w:tc>
          <w:tcPr>
            <w:tcW w:w="3105" w:type="dxa"/>
            <w:tcBorders>
              <w:top w:val="nil"/>
              <w:left w:val="nil"/>
              <w:bottom w:val="single" w:sz="4" w:space="0" w:color="auto"/>
              <w:right w:val="single" w:sz="4" w:space="0" w:color="auto"/>
            </w:tcBorders>
            <w:shd w:val="clear" w:color="auto" w:fill="C6EFCE"/>
            <w:noWrap/>
            <w:vAlign w:val="center"/>
          </w:tcPr>
          <w:p w14:paraId="1FDACA53" w14:textId="77777777" w:rsidR="00C972CB" w:rsidRDefault="002457F6">
            <w:pPr>
              <w:pStyle w:val="P68B1DB1-Normal12"/>
              <w:jc w:val="center"/>
              <w:rPr>
                <w:noProof/>
              </w:rPr>
            </w:pPr>
            <w:r>
              <w:rPr>
                <w:noProof/>
              </w:rPr>
              <w:t>Ieguldījums 1.1: Valsts nozīmes pētniecības projekti (PRIN)</w:t>
            </w:r>
          </w:p>
        </w:tc>
        <w:tc>
          <w:tcPr>
            <w:tcW w:w="1423" w:type="dxa"/>
            <w:tcBorders>
              <w:top w:val="nil"/>
              <w:left w:val="nil"/>
              <w:bottom w:val="single" w:sz="4" w:space="0" w:color="auto"/>
              <w:right w:val="single" w:sz="4" w:space="0" w:color="auto"/>
            </w:tcBorders>
            <w:shd w:val="clear" w:color="auto" w:fill="C6EFCE"/>
            <w:noWrap/>
            <w:vAlign w:val="center"/>
          </w:tcPr>
          <w:p w14:paraId="27909BF5"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71BBDC9E" w14:textId="77777777" w:rsidR="00C972CB" w:rsidRDefault="002457F6">
            <w:pPr>
              <w:pStyle w:val="P68B1DB1-Normal12"/>
              <w:jc w:val="center"/>
              <w:rPr>
                <w:noProof/>
              </w:rPr>
            </w:pPr>
            <w:r>
              <w:rPr>
                <w:noProof/>
              </w:rPr>
              <w:t>Piešķirto pētniecības projektu skaits</w:t>
            </w:r>
          </w:p>
        </w:tc>
      </w:tr>
      <w:tr w:rsidR="00C972CB" w14:paraId="3267F5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DFC3F" w14:textId="77777777" w:rsidR="00C972CB" w:rsidRDefault="002457F6">
            <w:pPr>
              <w:pStyle w:val="P68B1DB1-Normal12"/>
              <w:jc w:val="center"/>
              <w:rPr>
                <w:noProof/>
              </w:rPr>
            </w:pPr>
            <w:r>
              <w:rPr>
                <w:noProof/>
              </w:rPr>
              <w:t>M4C2–7</w:t>
            </w:r>
          </w:p>
        </w:tc>
        <w:tc>
          <w:tcPr>
            <w:tcW w:w="3105" w:type="dxa"/>
            <w:tcBorders>
              <w:top w:val="nil"/>
              <w:left w:val="nil"/>
              <w:bottom w:val="single" w:sz="4" w:space="0" w:color="auto"/>
              <w:right w:val="single" w:sz="4" w:space="0" w:color="auto"/>
            </w:tcBorders>
            <w:shd w:val="clear" w:color="auto" w:fill="C6EFCE"/>
            <w:noWrap/>
            <w:vAlign w:val="center"/>
          </w:tcPr>
          <w:p w14:paraId="66F2C1F8" w14:textId="77777777" w:rsidR="00C972CB" w:rsidRDefault="002457F6">
            <w:pPr>
              <w:pStyle w:val="P68B1DB1-Normal12"/>
              <w:jc w:val="center"/>
              <w:rPr>
                <w:noProof/>
              </w:rPr>
            </w:pPr>
            <w:r>
              <w:rPr>
                <w:noProof/>
              </w:rPr>
              <w:t>Ieguldījums 1.1: Valsts nozīmes pētniecības projekti (PRIN)</w:t>
            </w:r>
          </w:p>
        </w:tc>
        <w:tc>
          <w:tcPr>
            <w:tcW w:w="1423" w:type="dxa"/>
            <w:tcBorders>
              <w:top w:val="nil"/>
              <w:left w:val="nil"/>
              <w:bottom w:val="single" w:sz="4" w:space="0" w:color="auto"/>
              <w:right w:val="single" w:sz="4" w:space="0" w:color="auto"/>
            </w:tcBorders>
            <w:shd w:val="clear" w:color="auto" w:fill="C6EFCE"/>
            <w:noWrap/>
            <w:vAlign w:val="center"/>
          </w:tcPr>
          <w:p w14:paraId="0A083312"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779BE332" w14:textId="77777777" w:rsidR="00C972CB" w:rsidRDefault="002457F6">
            <w:pPr>
              <w:pStyle w:val="P68B1DB1-Normal12"/>
              <w:jc w:val="center"/>
              <w:rPr>
                <w:noProof/>
              </w:rPr>
            </w:pPr>
            <w:r>
              <w:rPr>
                <w:noProof/>
              </w:rPr>
              <w:t>To pētnieku skaits, kuri pieņemti darbā uz noteiktu laiku</w:t>
            </w:r>
          </w:p>
        </w:tc>
      </w:tr>
      <w:tr w:rsidR="00C972CB" w14:paraId="68B6F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316969" w14:textId="77777777" w:rsidR="00C972CB" w:rsidRDefault="002457F6">
            <w:pPr>
              <w:pStyle w:val="P68B1DB1-Normal12"/>
              <w:jc w:val="center"/>
              <w:rPr>
                <w:noProof/>
              </w:rPr>
            </w:pPr>
            <w:r>
              <w:rPr>
                <w:noProof/>
              </w:rPr>
              <w:t>M4C2–8</w:t>
            </w:r>
          </w:p>
        </w:tc>
        <w:tc>
          <w:tcPr>
            <w:tcW w:w="3105" w:type="dxa"/>
            <w:tcBorders>
              <w:top w:val="nil"/>
              <w:left w:val="nil"/>
              <w:bottom w:val="single" w:sz="4" w:space="0" w:color="auto"/>
              <w:right w:val="single" w:sz="4" w:space="0" w:color="auto"/>
            </w:tcBorders>
            <w:shd w:val="clear" w:color="auto" w:fill="C6EFCE"/>
            <w:noWrap/>
            <w:vAlign w:val="center"/>
          </w:tcPr>
          <w:p w14:paraId="57A5D1FC" w14:textId="77777777" w:rsidR="00C972CB" w:rsidRDefault="002457F6">
            <w:pPr>
              <w:pStyle w:val="P68B1DB1-Normal12"/>
              <w:jc w:val="center"/>
              <w:rPr>
                <w:noProof/>
              </w:rPr>
            </w:pPr>
            <w:r>
              <w:rPr>
                <w:noProof/>
              </w:rPr>
              <w:t xml:space="preserve">Ieguldījums </w:t>
            </w:r>
            <w:r>
              <w:rPr>
                <w:noProof/>
              </w:rPr>
              <w:t>1.3. Partnerības, kas attiecinātas uz universitātēm, pētniecības centriem, uzņēmumiem un fundamentālo pētījumu projektu finansēšanu</w:t>
            </w:r>
          </w:p>
        </w:tc>
        <w:tc>
          <w:tcPr>
            <w:tcW w:w="1423" w:type="dxa"/>
            <w:tcBorders>
              <w:top w:val="nil"/>
              <w:left w:val="nil"/>
              <w:bottom w:val="single" w:sz="4" w:space="0" w:color="auto"/>
              <w:right w:val="single" w:sz="4" w:space="0" w:color="auto"/>
            </w:tcBorders>
            <w:shd w:val="clear" w:color="auto" w:fill="C6EFCE"/>
            <w:noWrap/>
            <w:vAlign w:val="center"/>
          </w:tcPr>
          <w:p w14:paraId="0F759F85"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2E75652B" w14:textId="77777777" w:rsidR="00C972CB" w:rsidRDefault="002457F6">
            <w:pPr>
              <w:pStyle w:val="P68B1DB1-Normal12"/>
              <w:jc w:val="center"/>
              <w:rPr>
                <w:noProof/>
              </w:rPr>
            </w:pPr>
            <w:r>
              <w:rPr>
                <w:noProof/>
              </w:rPr>
              <w:t>To pētnieku skaits, kuri pieņemti darbā uz noteiktu laiku katrā no paredzētajām pamatpētniecības partnerībām, kas para</w:t>
            </w:r>
            <w:r>
              <w:rPr>
                <w:noProof/>
              </w:rPr>
              <w:t>kstītas starp pētniecības institūtiem un privātiem uzņēmumiem</w:t>
            </w:r>
          </w:p>
        </w:tc>
      </w:tr>
      <w:tr w:rsidR="00C972CB" w14:paraId="200D90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3FA0B7" w14:textId="77777777" w:rsidR="00C972CB" w:rsidRDefault="002457F6">
            <w:pPr>
              <w:pStyle w:val="P68B1DB1-Normal12"/>
              <w:jc w:val="center"/>
              <w:rPr>
                <w:noProof/>
              </w:rPr>
            </w:pPr>
            <w:r>
              <w:rPr>
                <w:noProof/>
              </w:rPr>
              <w:t>M4C2–22</w:t>
            </w:r>
          </w:p>
        </w:tc>
        <w:tc>
          <w:tcPr>
            <w:tcW w:w="3105" w:type="dxa"/>
            <w:tcBorders>
              <w:top w:val="nil"/>
              <w:left w:val="nil"/>
              <w:bottom w:val="single" w:sz="4" w:space="0" w:color="auto"/>
              <w:right w:val="single" w:sz="4" w:space="0" w:color="auto"/>
            </w:tcBorders>
            <w:shd w:val="clear" w:color="auto" w:fill="C6EFCE"/>
            <w:noWrap/>
            <w:vAlign w:val="center"/>
          </w:tcPr>
          <w:p w14:paraId="1D055C95" w14:textId="77777777" w:rsidR="00C972CB" w:rsidRDefault="002457F6">
            <w:pPr>
              <w:pStyle w:val="P68B1DB1-Normal12"/>
              <w:jc w:val="center"/>
              <w:rPr>
                <w:noProof/>
              </w:rPr>
            </w:pPr>
            <w:r>
              <w:rPr>
                <w:noProof/>
              </w:rPr>
              <w:t>Ieguldījums 2.1.: IPCEI</w:t>
            </w:r>
          </w:p>
        </w:tc>
        <w:tc>
          <w:tcPr>
            <w:tcW w:w="1423" w:type="dxa"/>
            <w:tcBorders>
              <w:top w:val="nil"/>
              <w:left w:val="nil"/>
              <w:bottom w:val="single" w:sz="4" w:space="0" w:color="auto"/>
              <w:right w:val="single" w:sz="4" w:space="0" w:color="auto"/>
            </w:tcBorders>
            <w:shd w:val="clear" w:color="auto" w:fill="C6EFCE"/>
            <w:noWrap/>
            <w:vAlign w:val="center"/>
          </w:tcPr>
          <w:p w14:paraId="71BD7A45" w14:textId="77777777" w:rsidR="00C972CB" w:rsidRDefault="002457F6">
            <w:pPr>
              <w:pStyle w:val="P68B1DB1-Normal12"/>
              <w:jc w:val="center"/>
              <w:rPr>
                <w:noProof/>
              </w:rPr>
            </w:pPr>
            <w:r>
              <w:rPr>
                <w:noProof/>
              </w:rPr>
              <w:t>Mērķa</w:t>
            </w:r>
          </w:p>
        </w:tc>
        <w:tc>
          <w:tcPr>
            <w:tcW w:w="4074" w:type="dxa"/>
            <w:tcBorders>
              <w:top w:val="nil"/>
              <w:left w:val="nil"/>
              <w:bottom w:val="single" w:sz="4" w:space="0" w:color="auto"/>
              <w:right w:val="single" w:sz="4" w:space="0" w:color="auto"/>
            </w:tcBorders>
            <w:shd w:val="clear" w:color="auto" w:fill="C6EFCE"/>
            <w:noWrap/>
            <w:vAlign w:val="center"/>
          </w:tcPr>
          <w:p w14:paraId="0D08A779" w14:textId="77777777" w:rsidR="00C972CB" w:rsidRDefault="002457F6">
            <w:pPr>
              <w:pStyle w:val="P68B1DB1-Normal12"/>
              <w:jc w:val="center"/>
              <w:rPr>
                <w:noProof/>
              </w:rPr>
            </w:pPr>
            <w:r>
              <w:rPr>
                <w:noProof/>
              </w:rPr>
              <w:t>Atbalstu saņēmušo projektu skaits</w:t>
            </w:r>
          </w:p>
        </w:tc>
      </w:tr>
      <w:tr w:rsidR="00C972CB" w14:paraId="2680DF2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7D578B" w14:textId="77777777" w:rsidR="00C972CB" w:rsidRDefault="00C972CB">
            <w:pPr>
              <w:jc w:val="center"/>
              <w:rPr>
                <w:noProof/>
                <w:color w:val="006100"/>
                <w:sz w:val="20"/>
              </w:rPr>
            </w:pPr>
          </w:p>
        </w:tc>
        <w:tc>
          <w:tcPr>
            <w:tcW w:w="3105" w:type="dxa"/>
            <w:tcBorders>
              <w:top w:val="single" w:sz="4" w:space="0" w:color="auto"/>
              <w:left w:val="nil"/>
              <w:bottom w:val="single" w:sz="4" w:space="0" w:color="auto"/>
              <w:right w:val="single" w:sz="4" w:space="0" w:color="auto"/>
            </w:tcBorders>
            <w:shd w:val="clear" w:color="auto" w:fill="C6EFCE"/>
            <w:noWrap/>
            <w:vAlign w:val="bottom"/>
          </w:tcPr>
          <w:p w14:paraId="3A9456F9" w14:textId="77777777" w:rsidR="00C972CB" w:rsidRDefault="00C972CB">
            <w:pPr>
              <w:rPr>
                <w:noProof/>
                <w:color w:val="006100"/>
                <w:sz w:val="20"/>
              </w:rPr>
            </w:pPr>
          </w:p>
        </w:tc>
        <w:tc>
          <w:tcPr>
            <w:tcW w:w="1423" w:type="dxa"/>
            <w:tcBorders>
              <w:top w:val="single" w:sz="4" w:space="0" w:color="auto"/>
              <w:left w:val="nil"/>
              <w:bottom w:val="single" w:sz="4" w:space="0" w:color="auto"/>
              <w:right w:val="single" w:sz="4" w:space="0" w:color="auto"/>
            </w:tcBorders>
            <w:shd w:val="clear" w:color="auto" w:fill="C6EFCE"/>
            <w:noWrap/>
            <w:vAlign w:val="bottom"/>
          </w:tcPr>
          <w:p w14:paraId="67D96260" w14:textId="77777777" w:rsidR="00C972CB" w:rsidRDefault="002457F6">
            <w:pPr>
              <w:pStyle w:val="P68B1DB1-Normal12"/>
              <w:rPr>
                <w:noProof/>
              </w:rPr>
            </w:pPr>
            <w:r>
              <w:rPr>
                <w:noProof/>
              </w:rPr>
              <w:t>Maksājuma summa</w:t>
            </w:r>
          </w:p>
        </w:tc>
        <w:tc>
          <w:tcPr>
            <w:tcW w:w="4074" w:type="dxa"/>
            <w:tcBorders>
              <w:top w:val="single" w:sz="4" w:space="0" w:color="auto"/>
              <w:left w:val="nil"/>
              <w:bottom w:val="single" w:sz="4" w:space="0" w:color="auto"/>
              <w:right w:val="single" w:sz="4" w:space="0" w:color="auto"/>
            </w:tcBorders>
            <w:shd w:val="clear" w:color="auto" w:fill="C6EFCE"/>
            <w:noWrap/>
            <w:vAlign w:val="bottom"/>
          </w:tcPr>
          <w:p w14:paraId="199FE780" w14:textId="6E770BC9" w:rsidR="00C972CB" w:rsidRDefault="002457F6">
            <w:pPr>
              <w:pStyle w:val="P68B1DB1-Normal12"/>
              <w:rPr>
                <w:noProof/>
              </w:rPr>
            </w:pPr>
            <w:r>
              <w:rPr>
                <w:noProof/>
              </w:rPr>
              <w:t>10 344 827 586 EUR</w:t>
            </w:r>
          </w:p>
        </w:tc>
      </w:tr>
    </w:tbl>
    <w:p w14:paraId="0B4D5CB6" w14:textId="73BD5F09" w:rsidR="00C972CB" w:rsidRDefault="002457F6">
      <w:pPr>
        <w:pStyle w:val="P68B1DB1-Normal44"/>
        <w:numPr>
          <w:ilvl w:val="1"/>
          <w:numId w:val="6"/>
        </w:numPr>
        <w:spacing w:before="120" w:after="120"/>
        <w:jc w:val="both"/>
        <w:rPr>
          <w:noProof/>
        </w:rPr>
      </w:pPr>
      <w:r>
        <w:rPr>
          <w:noProof/>
        </w:rPr>
        <w:t>Devītais ieguldījums (aizdevuma atbalsts):</w:t>
      </w:r>
    </w:p>
    <w:tbl>
      <w:tblPr>
        <w:tblW w:w="10072" w:type="dxa"/>
        <w:tblInd w:w="113" w:type="dxa"/>
        <w:tblLook w:val="04A0" w:firstRow="1" w:lastRow="0" w:firstColumn="1" w:lastColumn="0" w:noHBand="0" w:noVBand="1"/>
      </w:tblPr>
      <w:tblGrid>
        <w:gridCol w:w="1413"/>
        <w:gridCol w:w="3075"/>
        <w:gridCol w:w="1983"/>
        <w:gridCol w:w="4056"/>
      </w:tblGrid>
      <w:tr w:rsidR="00C972CB" w14:paraId="020DF1DC"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DBC9FD" w14:textId="77777777" w:rsidR="00C972CB" w:rsidRDefault="002457F6">
            <w:pPr>
              <w:pStyle w:val="P68B1DB1-Normal45"/>
              <w:jc w:val="center"/>
              <w:rPr>
                <w:noProof/>
              </w:rPr>
            </w:pPr>
            <w:r>
              <w:rPr>
                <w:noProof/>
              </w:rPr>
              <w:t>Kārtas numurs</w:t>
            </w:r>
          </w:p>
        </w:tc>
        <w:tc>
          <w:tcPr>
            <w:tcW w:w="3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AE0C0CE" w14:textId="77777777" w:rsidR="00C972CB" w:rsidRDefault="002457F6">
            <w:pPr>
              <w:pStyle w:val="P68B1DB1-Normal45"/>
              <w:jc w:val="center"/>
              <w:rPr>
                <w:noProof/>
              </w:rPr>
            </w:pPr>
            <w:r>
              <w:rPr>
                <w:noProof/>
              </w:rPr>
              <w:t xml:space="preserve">Pasākums (reforma vai </w:t>
            </w:r>
            <w:r>
              <w:rPr>
                <w:noProof/>
              </w:rPr>
              <w:t>investīcija)</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518D22" w14:textId="77777777" w:rsidR="00C972CB" w:rsidRDefault="002457F6">
            <w:pPr>
              <w:pStyle w:val="P68B1DB1-Normal45"/>
              <w:jc w:val="center"/>
              <w:rPr>
                <w:noProof/>
              </w:rPr>
            </w:pPr>
            <w:r>
              <w:rPr>
                <w:noProof/>
              </w:rPr>
              <w:t>Atskaites punkts/mērķrādītājs</w:t>
            </w:r>
          </w:p>
        </w:tc>
        <w:tc>
          <w:tcPr>
            <w:tcW w:w="40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A01336" w14:textId="77777777" w:rsidR="00C972CB" w:rsidRDefault="002457F6">
            <w:pPr>
              <w:pStyle w:val="P68B1DB1-Normal45"/>
              <w:jc w:val="center"/>
              <w:rPr>
                <w:noProof/>
              </w:rPr>
            </w:pPr>
            <w:r>
              <w:rPr>
                <w:noProof/>
              </w:rPr>
              <w:t>Uzvārds</w:t>
            </w:r>
          </w:p>
        </w:tc>
      </w:tr>
      <w:tr w:rsidR="00C972CB" w14:paraId="5D0FD389"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04467B" w14:textId="77777777" w:rsidR="00C972CB" w:rsidRDefault="00C972CB">
            <w:pPr>
              <w:rPr>
                <w:b/>
                <w:noProof/>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7B10DA6A" w14:textId="77777777" w:rsidR="00C972CB" w:rsidRDefault="00C972CB">
            <w:pPr>
              <w:rPr>
                <w:b/>
                <w:noProof/>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097FD7B" w14:textId="77777777" w:rsidR="00C972CB" w:rsidRDefault="00C972CB">
            <w:pPr>
              <w:rPr>
                <w:b/>
                <w:noProof/>
              </w:rPr>
            </w:pPr>
          </w:p>
        </w:tc>
        <w:tc>
          <w:tcPr>
            <w:tcW w:w="4056" w:type="dxa"/>
            <w:vMerge/>
            <w:tcBorders>
              <w:top w:val="single" w:sz="4" w:space="0" w:color="auto"/>
              <w:left w:val="single" w:sz="4" w:space="0" w:color="auto"/>
              <w:bottom w:val="single" w:sz="4" w:space="0" w:color="auto"/>
              <w:right w:val="single" w:sz="4" w:space="0" w:color="auto"/>
            </w:tcBorders>
            <w:vAlign w:val="center"/>
            <w:hideMark/>
          </w:tcPr>
          <w:p w14:paraId="71E443F4" w14:textId="77777777" w:rsidR="00C972CB" w:rsidRDefault="00C972CB">
            <w:pPr>
              <w:rPr>
                <w:b/>
                <w:noProof/>
              </w:rPr>
            </w:pPr>
          </w:p>
        </w:tc>
      </w:tr>
      <w:tr w:rsidR="00C972CB" w14:paraId="7BE7645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31E30" w14:textId="77777777" w:rsidR="00C972CB" w:rsidRDefault="002457F6">
            <w:pPr>
              <w:pStyle w:val="P68B1DB1-Normal12"/>
              <w:jc w:val="center"/>
              <w:rPr>
                <w:noProof/>
              </w:rPr>
            </w:pPr>
            <w:r>
              <w:rPr>
                <w:noProof/>
              </w:rPr>
              <w:t>M1C1–145</w:t>
            </w:r>
          </w:p>
        </w:tc>
        <w:tc>
          <w:tcPr>
            <w:tcW w:w="3075" w:type="dxa"/>
            <w:tcBorders>
              <w:top w:val="single" w:sz="4" w:space="0" w:color="auto"/>
              <w:left w:val="nil"/>
              <w:bottom w:val="single" w:sz="4" w:space="0" w:color="auto"/>
              <w:right w:val="single" w:sz="4" w:space="0" w:color="auto"/>
            </w:tcBorders>
            <w:shd w:val="clear" w:color="auto" w:fill="C6EFCE"/>
            <w:noWrap/>
            <w:vAlign w:val="center"/>
          </w:tcPr>
          <w:p w14:paraId="1B19F51A" w14:textId="77777777" w:rsidR="00C972CB" w:rsidRDefault="002457F6">
            <w:pPr>
              <w:pStyle w:val="P68B1DB1-Normal12"/>
              <w:jc w:val="center"/>
              <w:rPr>
                <w:noProof/>
              </w:rPr>
            </w:pPr>
            <w:r>
              <w:rPr>
                <w:noProof/>
              </w:rPr>
              <w:t>Ieguldījums 1.4.4. — Valsts digitālās identitātes platformu (SPID, CIE) un valsts reģistra (ANPR) iespēju paplašināšana</w:t>
            </w:r>
          </w:p>
        </w:tc>
        <w:tc>
          <w:tcPr>
            <w:tcW w:w="1528" w:type="dxa"/>
            <w:tcBorders>
              <w:top w:val="single" w:sz="4" w:space="0" w:color="auto"/>
              <w:left w:val="nil"/>
              <w:bottom w:val="single" w:sz="4" w:space="0" w:color="auto"/>
              <w:right w:val="single" w:sz="4" w:space="0" w:color="auto"/>
            </w:tcBorders>
            <w:shd w:val="clear" w:color="auto" w:fill="C6EFCE"/>
            <w:noWrap/>
            <w:vAlign w:val="center"/>
          </w:tcPr>
          <w:p w14:paraId="4DDC9BDE" w14:textId="77777777" w:rsidR="00C972CB" w:rsidRDefault="002457F6">
            <w:pPr>
              <w:pStyle w:val="P68B1DB1-Normal12"/>
              <w:jc w:val="center"/>
              <w:rPr>
                <w:noProof/>
              </w:rPr>
            </w:pPr>
            <w:r>
              <w:rPr>
                <w:noProof/>
              </w:rPr>
              <w:t>Mērķa</w:t>
            </w:r>
          </w:p>
        </w:tc>
        <w:tc>
          <w:tcPr>
            <w:tcW w:w="4056" w:type="dxa"/>
            <w:tcBorders>
              <w:top w:val="single" w:sz="4" w:space="0" w:color="auto"/>
              <w:left w:val="nil"/>
              <w:bottom w:val="single" w:sz="4" w:space="0" w:color="auto"/>
              <w:right w:val="single" w:sz="4" w:space="0" w:color="auto"/>
            </w:tcBorders>
            <w:shd w:val="clear" w:color="auto" w:fill="C6EFCE"/>
            <w:noWrap/>
            <w:vAlign w:val="center"/>
          </w:tcPr>
          <w:p w14:paraId="2354810C" w14:textId="77777777" w:rsidR="00C972CB" w:rsidRDefault="002457F6">
            <w:pPr>
              <w:pStyle w:val="P68B1DB1-Normal12"/>
              <w:jc w:val="center"/>
              <w:rPr>
                <w:noProof/>
              </w:rPr>
            </w:pPr>
            <w:r>
              <w:rPr>
                <w:noProof/>
              </w:rPr>
              <w:t xml:space="preserve">Valsts digitālās identitātes platformas (SPID, CIE) un valsts </w:t>
            </w:r>
            <w:r>
              <w:rPr>
                <w:noProof/>
              </w:rPr>
              <w:t>reģistrs (ANPR)</w:t>
            </w:r>
          </w:p>
        </w:tc>
      </w:tr>
      <w:tr w:rsidR="00C972CB" w14:paraId="27021B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00C27A" w14:textId="77777777" w:rsidR="00C972CB" w:rsidRDefault="002457F6">
            <w:pPr>
              <w:pStyle w:val="P68B1DB1-Normal12"/>
              <w:jc w:val="center"/>
              <w:rPr>
                <w:noProof/>
              </w:rPr>
            </w:pPr>
            <w:r>
              <w:rPr>
                <w:noProof/>
              </w:rPr>
              <w:t>M1C3–17</w:t>
            </w:r>
          </w:p>
        </w:tc>
        <w:tc>
          <w:tcPr>
            <w:tcW w:w="3075" w:type="dxa"/>
            <w:tcBorders>
              <w:top w:val="nil"/>
              <w:left w:val="nil"/>
              <w:bottom w:val="single" w:sz="4" w:space="0" w:color="auto"/>
              <w:right w:val="single" w:sz="4" w:space="0" w:color="auto"/>
            </w:tcBorders>
            <w:shd w:val="clear" w:color="auto" w:fill="C6EFCE"/>
            <w:noWrap/>
            <w:vAlign w:val="center"/>
          </w:tcPr>
          <w:p w14:paraId="7331CC1C" w14:textId="77777777" w:rsidR="00C972CB" w:rsidRDefault="002457F6">
            <w:pPr>
              <w:pStyle w:val="P68B1DB1-Normal12"/>
              <w:jc w:val="center"/>
              <w:rPr>
                <w:noProof/>
              </w:rPr>
            </w:pPr>
            <w:r>
              <w:rPr>
                <w:noProof/>
              </w:rPr>
              <w:t>Ieguldījumi — Lauku arhitektūras un ainavas aizsardzība un uzlabošana</w:t>
            </w:r>
          </w:p>
        </w:tc>
        <w:tc>
          <w:tcPr>
            <w:tcW w:w="1528" w:type="dxa"/>
            <w:tcBorders>
              <w:top w:val="nil"/>
              <w:left w:val="nil"/>
              <w:bottom w:val="single" w:sz="4" w:space="0" w:color="auto"/>
              <w:right w:val="single" w:sz="4" w:space="0" w:color="auto"/>
            </w:tcBorders>
            <w:shd w:val="clear" w:color="auto" w:fill="C6EFCE"/>
            <w:noWrap/>
            <w:vAlign w:val="center"/>
          </w:tcPr>
          <w:p w14:paraId="58704FDF"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67B50808" w14:textId="77777777" w:rsidR="00C972CB" w:rsidRDefault="002457F6">
            <w:pPr>
              <w:pStyle w:val="P68B1DB1-Normal12"/>
              <w:jc w:val="center"/>
              <w:rPr>
                <w:noProof/>
              </w:rPr>
            </w:pPr>
            <w:r>
              <w:rPr>
                <w:noProof/>
              </w:rPr>
              <w:t>Noslēgtas intervences lauku arhitektūras un ainavas aizsardzībai un uzlabošanai</w:t>
            </w:r>
          </w:p>
        </w:tc>
      </w:tr>
      <w:tr w:rsidR="00C972CB" w14:paraId="2BA47D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F6716D" w14:textId="77777777" w:rsidR="00C972CB" w:rsidRDefault="002457F6">
            <w:pPr>
              <w:pStyle w:val="P68B1DB1-Normal12"/>
              <w:jc w:val="center"/>
              <w:rPr>
                <w:noProof/>
              </w:rPr>
            </w:pPr>
            <w:r>
              <w:rPr>
                <w:noProof/>
              </w:rPr>
              <w:t>M1C3–18</w:t>
            </w:r>
          </w:p>
        </w:tc>
        <w:tc>
          <w:tcPr>
            <w:tcW w:w="3075" w:type="dxa"/>
            <w:tcBorders>
              <w:top w:val="nil"/>
              <w:left w:val="nil"/>
              <w:bottom w:val="single" w:sz="4" w:space="0" w:color="auto"/>
              <w:right w:val="single" w:sz="4" w:space="0" w:color="auto"/>
            </w:tcBorders>
            <w:shd w:val="clear" w:color="auto" w:fill="C6EFCE"/>
            <w:noWrap/>
            <w:vAlign w:val="center"/>
          </w:tcPr>
          <w:p w14:paraId="076A0EA9" w14:textId="77777777" w:rsidR="00C972CB" w:rsidRDefault="002457F6">
            <w:pPr>
              <w:pStyle w:val="P68B1DB1-Normal12"/>
              <w:jc w:val="center"/>
              <w:rPr>
                <w:noProof/>
              </w:rPr>
            </w:pPr>
            <w:r>
              <w:rPr>
                <w:noProof/>
              </w:rPr>
              <w:t xml:space="preserve">Ieguldījumi 2.3. Programmas vietu identitātes uzlabošanai: parki </w:t>
            </w:r>
            <w:r>
              <w:rPr>
                <w:noProof/>
              </w:rPr>
              <w:t>un vēsturiskie dārzi</w:t>
            </w:r>
          </w:p>
        </w:tc>
        <w:tc>
          <w:tcPr>
            <w:tcW w:w="1528" w:type="dxa"/>
            <w:tcBorders>
              <w:top w:val="nil"/>
              <w:left w:val="nil"/>
              <w:bottom w:val="single" w:sz="4" w:space="0" w:color="auto"/>
              <w:right w:val="single" w:sz="4" w:space="0" w:color="auto"/>
            </w:tcBorders>
            <w:shd w:val="clear" w:color="auto" w:fill="C6EFCE"/>
            <w:noWrap/>
            <w:vAlign w:val="center"/>
          </w:tcPr>
          <w:p w14:paraId="0AC11562"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2C5DF59E" w14:textId="77777777" w:rsidR="00C972CB" w:rsidRDefault="002457F6">
            <w:pPr>
              <w:pStyle w:val="P68B1DB1-Normal12"/>
              <w:jc w:val="center"/>
              <w:rPr>
                <w:noProof/>
              </w:rPr>
            </w:pPr>
            <w:r>
              <w:rPr>
                <w:noProof/>
              </w:rPr>
              <w:t>Pārkvalificēto parku un vēsturisko dārzu skaits</w:t>
            </w:r>
          </w:p>
        </w:tc>
      </w:tr>
      <w:tr w:rsidR="00C972CB" w14:paraId="28169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7EAFAD" w14:textId="77777777" w:rsidR="00C972CB" w:rsidRDefault="002457F6">
            <w:pPr>
              <w:pStyle w:val="P68B1DB1-Normal12"/>
              <w:jc w:val="center"/>
              <w:rPr>
                <w:noProof/>
              </w:rPr>
            </w:pPr>
            <w:r>
              <w:rPr>
                <w:noProof/>
              </w:rPr>
              <w:t>M1C3–19</w:t>
            </w:r>
          </w:p>
        </w:tc>
        <w:tc>
          <w:tcPr>
            <w:tcW w:w="3075" w:type="dxa"/>
            <w:tcBorders>
              <w:top w:val="nil"/>
              <w:left w:val="nil"/>
              <w:bottom w:val="single" w:sz="4" w:space="0" w:color="auto"/>
              <w:right w:val="single" w:sz="4" w:space="0" w:color="auto"/>
            </w:tcBorders>
            <w:shd w:val="clear" w:color="auto" w:fill="C6EFCE"/>
            <w:noWrap/>
            <w:vAlign w:val="center"/>
          </w:tcPr>
          <w:p w14:paraId="772678DB" w14:textId="77777777" w:rsidR="00C972CB" w:rsidRDefault="002457F6">
            <w:pPr>
              <w:pStyle w:val="P68B1DB1-Normal12"/>
              <w:jc w:val="center"/>
              <w:rPr>
                <w:noProof/>
              </w:rPr>
            </w:pPr>
            <w:r>
              <w:rPr>
                <w:noProof/>
              </w:rPr>
              <w:t>Ieguldījumi — kulta vietu seismiskā drošība, FEC (Fondo Edifici di Culto) mantojuma atjaunošana un mākslas darbu patversmes (atgūšanas māksla)</w:t>
            </w:r>
          </w:p>
        </w:tc>
        <w:tc>
          <w:tcPr>
            <w:tcW w:w="1528" w:type="dxa"/>
            <w:tcBorders>
              <w:top w:val="nil"/>
              <w:left w:val="nil"/>
              <w:bottom w:val="single" w:sz="4" w:space="0" w:color="auto"/>
              <w:right w:val="single" w:sz="4" w:space="0" w:color="auto"/>
            </w:tcBorders>
            <w:shd w:val="clear" w:color="auto" w:fill="C6EFCE"/>
            <w:noWrap/>
            <w:vAlign w:val="center"/>
          </w:tcPr>
          <w:p w14:paraId="19F750D0"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3FE3FABA" w14:textId="77777777" w:rsidR="00C972CB" w:rsidRDefault="002457F6">
            <w:pPr>
              <w:pStyle w:val="P68B1DB1-Normal12"/>
              <w:jc w:val="center"/>
              <w:rPr>
                <w:noProof/>
              </w:rPr>
            </w:pPr>
            <w:r>
              <w:rPr>
                <w:noProof/>
              </w:rPr>
              <w:t xml:space="preserve">Pabeigti pasākumi </w:t>
            </w:r>
            <w:r>
              <w:rPr>
                <w:noProof/>
              </w:rPr>
              <w:t>seismiskās drošības nodrošināšanai kulta vietās, FEC (Fondo Edifici di Culto) mantojuma atjaunošana un mākslas darbu patversmes</w:t>
            </w:r>
          </w:p>
        </w:tc>
      </w:tr>
      <w:tr w:rsidR="00C972CB" w14:paraId="442498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A424AC" w14:textId="77777777" w:rsidR="00C972CB" w:rsidRDefault="002457F6">
            <w:pPr>
              <w:pStyle w:val="P68B1DB1-Normal12"/>
              <w:jc w:val="center"/>
              <w:rPr>
                <w:noProof/>
              </w:rPr>
            </w:pPr>
            <w:r>
              <w:rPr>
                <w:noProof/>
              </w:rPr>
              <w:t>M1C3–28</w:t>
            </w:r>
          </w:p>
        </w:tc>
        <w:tc>
          <w:tcPr>
            <w:tcW w:w="3075" w:type="dxa"/>
            <w:tcBorders>
              <w:top w:val="nil"/>
              <w:left w:val="nil"/>
              <w:bottom w:val="single" w:sz="4" w:space="0" w:color="auto"/>
              <w:right w:val="single" w:sz="4" w:space="0" w:color="auto"/>
            </w:tcBorders>
            <w:shd w:val="clear" w:color="auto" w:fill="C6EFCE"/>
            <w:noWrap/>
            <w:vAlign w:val="center"/>
          </w:tcPr>
          <w:p w14:paraId="281F966E" w14:textId="77777777" w:rsidR="00C972CB" w:rsidRDefault="002457F6">
            <w:pPr>
              <w:pStyle w:val="P68B1DB1-Normal12"/>
              <w:jc w:val="center"/>
              <w:rPr>
                <w:noProof/>
              </w:rPr>
            </w:pPr>
            <w:r>
              <w:rPr>
                <w:noProof/>
              </w:rPr>
              <w:t>Ieguldījums 4.2.:  Fondi tūrisma uzņēmumu konkurētspējai</w:t>
            </w:r>
          </w:p>
        </w:tc>
        <w:tc>
          <w:tcPr>
            <w:tcW w:w="1528" w:type="dxa"/>
            <w:tcBorders>
              <w:top w:val="nil"/>
              <w:left w:val="nil"/>
              <w:bottom w:val="single" w:sz="4" w:space="0" w:color="auto"/>
              <w:right w:val="single" w:sz="4" w:space="0" w:color="auto"/>
            </w:tcBorders>
            <w:shd w:val="clear" w:color="auto" w:fill="C6EFCE"/>
            <w:noWrap/>
            <w:vAlign w:val="center"/>
          </w:tcPr>
          <w:p w14:paraId="5EDAB96C"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08085EAC" w14:textId="77777777" w:rsidR="00C972CB" w:rsidRDefault="002457F6">
            <w:pPr>
              <w:pStyle w:val="P68B1DB1-Normal12"/>
              <w:jc w:val="center"/>
              <w:rPr>
                <w:noProof/>
              </w:rPr>
            </w:pPr>
            <w:r>
              <w:rPr>
                <w:noProof/>
              </w:rPr>
              <w:t xml:space="preserve">To tūrisma uzņēmumu skaits, kuriem piešķirts nodokļu kredīts infrastruktūrai un/vai pakalpojumiem; </w:t>
            </w:r>
          </w:p>
        </w:tc>
      </w:tr>
      <w:tr w:rsidR="00C972CB" w14:paraId="2F320B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F43F3B" w14:textId="77777777" w:rsidR="00C972CB" w:rsidRDefault="002457F6">
            <w:pPr>
              <w:pStyle w:val="P68B1DB1-Normal12"/>
              <w:jc w:val="center"/>
              <w:rPr>
                <w:noProof/>
              </w:rPr>
            </w:pPr>
            <w:r>
              <w:rPr>
                <w:noProof/>
              </w:rPr>
              <w:t>M1C3–32</w:t>
            </w:r>
          </w:p>
        </w:tc>
        <w:tc>
          <w:tcPr>
            <w:tcW w:w="3075" w:type="dxa"/>
            <w:tcBorders>
              <w:top w:val="nil"/>
              <w:left w:val="nil"/>
              <w:bottom w:val="single" w:sz="4" w:space="0" w:color="auto"/>
              <w:right w:val="single" w:sz="4" w:space="0" w:color="auto"/>
            </w:tcBorders>
            <w:shd w:val="clear" w:color="auto" w:fill="C6EFCE"/>
            <w:noWrap/>
            <w:vAlign w:val="center"/>
          </w:tcPr>
          <w:p w14:paraId="172A922D" w14:textId="77777777" w:rsidR="00C972CB" w:rsidRDefault="002457F6">
            <w:pPr>
              <w:pStyle w:val="P68B1DB1-Normal12"/>
              <w:jc w:val="center"/>
              <w:rPr>
                <w:noProof/>
              </w:rPr>
            </w:pPr>
            <w:r>
              <w:rPr>
                <w:noProof/>
              </w:rPr>
              <w:t xml:space="preserve">Ieguldījums 4.2.:  Fondi tūrisma uzņēmumu konkurētspējai </w:t>
            </w:r>
          </w:p>
        </w:tc>
        <w:tc>
          <w:tcPr>
            <w:tcW w:w="1528" w:type="dxa"/>
            <w:tcBorders>
              <w:top w:val="nil"/>
              <w:left w:val="nil"/>
              <w:bottom w:val="single" w:sz="4" w:space="0" w:color="auto"/>
              <w:right w:val="single" w:sz="4" w:space="0" w:color="auto"/>
            </w:tcBorders>
            <w:shd w:val="clear" w:color="auto" w:fill="C6EFCE"/>
            <w:noWrap/>
            <w:vAlign w:val="center"/>
          </w:tcPr>
          <w:p w14:paraId="573696B9" w14:textId="77777777" w:rsidR="00C972CB" w:rsidRDefault="002457F6">
            <w:pPr>
              <w:pStyle w:val="P68B1DB1-Normal12"/>
              <w:jc w:val="center"/>
              <w:rPr>
                <w:noProof/>
              </w:rPr>
            </w:pPr>
            <w:r>
              <w:rPr>
                <w:noProof/>
              </w:rPr>
              <w:t xml:space="preserve">Mērķa </w:t>
            </w:r>
          </w:p>
        </w:tc>
        <w:tc>
          <w:tcPr>
            <w:tcW w:w="4056" w:type="dxa"/>
            <w:tcBorders>
              <w:top w:val="nil"/>
              <w:left w:val="nil"/>
              <w:bottom w:val="single" w:sz="4" w:space="0" w:color="auto"/>
              <w:right w:val="single" w:sz="4" w:space="0" w:color="auto"/>
            </w:tcBorders>
            <w:shd w:val="clear" w:color="auto" w:fill="C6EFCE"/>
            <w:noWrap/>
            <w:vAlign w:val="center"/>
          </w:tcPr>
          <w:p w14:paraId="644110E5" w14:textId="77777777" w:rsidR="00C972CB" w:rsidRDefault="002457F6">
            <w:pPr>
              <w:pStyle w:val="P68B1DB1-Normal12"/>
              <w:jc w:val="center"/>
              <w:rPr>
                <w:noProof/>
              </w:rPr>
            </w:pPr>
            <w:r>
              <w:rPr>
                <w:noProof/>
              </w:rPr>
              <w:t xml:space="preserve"> No MVU garantiju fonda atbalstāmo tūrisma uzņēmumu skaits </w:t>
            </w:r>
          </w:p>
        </w:tc>
      </w:tr>
      <w:tr w:rsidR="00C972CB" w14:paraId="4919F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E7F784" w14:textId="77777777" w:rsidR="00C972CB" w:rsidRDefault="002457F6">
            <w:pPr>
              <w:pStyle w:val="P68B1DB1-Normal12"/>
              <w:jc w:val="center"/>
              <w:rPr>
                <w:noProof/>
              </w:rPr>
            </w:pPr>
            <w:r>
              <w:rPr>
                <w:noProof/>
              </w:rPr>
              <w:t>M1C3–34</w:t>
            </w:r>
          </w:p>
        </w:tc>
        <w:tc>
          <w:tcPr>
            <w:tcW w:w="3075" w:type="dxa"/>
            <w:tcBorders>
              <w:top w:val="nil"/>
              <w:left w:val="nil"/>
              <w:bottom w:val="single" w:sz="4" w:space="0" w:color="auto"/>
              <w:right w:val="single" w:sz="4" w:space="0" w:color="auto"/>
            </w:tcBorders>
            <w:shd w:val="clear" w:color="auto" w:fill="C6EFCE"/>
            <w:noWrap/>
            <w:vAlign w:val="center"/>
          </w:tcPr>
          <w:p w14:paraId="370F506E" w14:textId="77777777" w:rsidR="00C972CB" w:rsidRDefault="002457F6">
            <w:pPr>
              <w:pStyle w:val="P68B1DB1-Normal12"/>
              <w:jc w:val="center"/>
              <w:rPr>
                <w:noProof/>
              </w:rPr>
            </w:pPr>
            <w:r>
              <w:rPr>
                <w:noProof/>
              </w:rPr>
              <w:t xml:space="preserve">Ieguldījums. </w:t>
            </w:r>
            <w:r>
              <w:rPr>
                <w:noProof/>
              </w:rPr>
              <w:t>Tūrisma uzņēmumu konkurētspējas fondi</w:t>
            </w:r>
          </w:p>
        </w:tc>
        <w:tc>
          <w:tcPr>
            <w:tcW w:w="1528" w:type="dxa"/>
            <w:tcBorders>
              <w:top w:val="nil"/>
              <w:left w:val="nil"/>
              <w:bottom w:val="single" w:sz="4" w:space="0" w:color="auto"/>
              <w:right w:val="single" w:sz="4" w:space="0" w:color="auto"/>
            </w:tcBorders>
            <w:shd w:val="clear" w:color="auto" w:fill="C6EFCE"/>
            <w:noWrap/>
            <w:vAlign w:val="center"/>
          </w:tcPr>
          <w:p w14:paraId="618D5EC1" w14:textId="77777777" w:rsidR="00C972CB" w:rsidRDefault="002457F6">
            <w:pPr>
              <w:pStyle w:val="P68B1DB1-Normal12"/>
              <w:jc w:val="center"/>
              <w:rPr>
                <w:noProof/>
              </w:rPr>
            </w:pPr>
            <w:r>
              <w:rPr>
                <w:noProof/>
              </w:rPr>
              <w:t xml:space="preserve">Mērķa </w:t>
            </w:r>
          </w:p>
        </w:tc>
        <w:tc>
          <w:tcPr>
            <w:tcW w:w="4056" w:type="dxa"/>
            <w:tcBorders>
              <w:top w:val="nil"/>
              <w:left w:val="nil"/>
              <w:bottom w:val="single" w:sz="4" w:space="0" w:color="auto"/>
              <w:right w:val="single" w:sz="4" w:space="0" w:color="auto"/>
            </w:tcBorders>
            <w:shd w:val="clear" w:color="auto" w:fill="C6EFCE"/>
            <w:noWrap/>
            <w:vAlign w:val="center"/>
          </w:tcPr>
          <w:p w14:paraId="0779074E" w14:textId="77777777" w:rsidR="00C972CB" w:rsidRDefault="002457F6">
            <w:pPr>
              <w:pStyle w:val="P68B1DB1-Normal12"/>
              <w:jc w:val="center"/>
              <w:rPr>
                <w:noProof/>
              </w:rPr>
            </w:pPr>
            <w:r>
              <w:rPr>
                <w:noProof/>
              </w:rPr>
              <w:t xml:space="preserve"> Valsts Tūrisma fonda tūrisma vajadzībām pārbūvēto nekustamo īpašumu skaits  </w:t>
            </w:r>
          </w:p>
        </w:tc>
      </w:tr>
      <w:tr w:rsidR="00C972CB" w14:paraId="28B24B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69ED8C" w14:textId="77777777" w:rsidR="00C972CB" w:rsidRDefault="002457F6">
            <w:pPr>
              <w:pStyle w:val="P68B1DB1-Normal12"/>
              <w:jc w:val="center"/>
              <w:rPr>
                <w:noProof/>
              </w:rPr>
            </w:pPr>
            <w:r>
              <w:rPr>
                <w:noProof/>
              </w:rPr>
              <w:t>M2C1–17</w:t>
            </w:r>
          </w:p>
        </w:tc>
        <w:tc>
          <w:tcPr>
            <w:tcW w:w="3075" w:type="dxa"/>
            <w:tcBorders>
              <w:top w:val="nil"/>
              <w:left w:val="nil"/>
              <w:bottom w:val="single" w:sz="4" w:space="0" w:color="auto"/>
              <w:right w:val="single" w:sz="4" w:space="0" w:color="auto"/>
            </w:tcBorders>
            <w:shd w:val="clear" w:color="auto" w:fill="C6EFCE"/>
            <w:noWrap/>
            <w:vAlign w:val="center"/>
          </w:tcPr>
          <w:p w14:paraId="11CAD161" w14:textId="77777777" w:rsidR="00C972CB" w:rsidRDefault="002457F6">
            <w:pPr>
              <w:pStyle w:val="P68B1DB1-Normal12"/>
              <w:jc w:val="center"/>
              <w:rPr>
                <w:noProof/>
              </w:rPr>
            </w:pPr>
            <w:r>
              <w:rPr>
                <w:noProof/>
              </w:rPr>
              <w:t>Investīcijas 1.2 — Aprites ekonomikas pamatprojekti</w:t>
            </w:r>
          </w:p>
        </w:tc>
        <w:tc>
          <w:tcPr>
            <w:tcW w:w="1528" w:type="dxa"/>
            <w:tcBorders>
              <w:top w:val="nil"/>
              <w:left w:val="nil"/>
              <w:bottom w:val="single" w:sz="4" w:space="0" w:color="auto"/>
              <w:right w:val="single" w:sz="4" w:space="0" w:color="auto"/>
            </w:tcBorders>
            <w:shd w:val="clear" w:color="auto" w:fill="C6EFCE"/>
            <w:noWrap/>
            <w:vAlign w:val="center"/>
          </w:tcPr>
          <w:p w14:paraId="2CCF2E96"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233AFAC0" w14:textId="77777777" w:rsidR="00C972CB" w:rsidRDefault="002457F6">
            <w:pPr>
              <w:pStyle w:val="P68B1DB1-Normal12"/>
              <w:jc w:val="center"/>
              <w:rPr>
                <w:noProof/>
              </w:rPr>
            </w:pPr>
            <w:r>
              <w:rPr>
                <w:noProof/>
              </w:rPr>
              <w:t xml:space="preserve">Sadzīves atkritumu reciklēšanas rādītāji aprites ekonomikas rīcības plānā  </w:t>
            </w:r>
          </w:p>
        </w:tc>
      </w:tr>
      <w:tr w:rsidR="00C972CB" w14:paraId="2E4BDA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5615A" w14:textId="77777777" w:rsidR="00C972CB" w:rsidRDefault="002457F6">
            <w:pPr>
              <w:pStyle w:val="P68B1DB1-Normal12"/>
              <w:jc w:val="center"/>
              <w:rPr>
                <w:noProof/>
              </w:rPr>
            </w:pPr>
            <w:r>
              <w:rPr>
                <w:noProof/>
              </w:rPr>
              <w:t>M2C1–17.bis</w:t>
            </w:r>
          </w:p>
        </w:tc>
        <w:tc>
          <w:tcPr>
            <w:tcW w:w="3075" w:type="dxa"/>
            <w:tcBorders>
              <w:top w:val="nil"/>
              <w:left w:val="nil"/>
              <w:bottom w:val="single" w:sz="4" w:space="0" w:color="auto"/>
              <w:right w:val="single" w:sz="4" w:space="0" w:color="auto"/>
            </w:tcBorders>
            <w:shd w:val="clear" w:color="auto" w:fill="C6EFCE"/>
            <w:noWrap/>
            <w:vAlign w:val="center"/>
          </w:tcPr>
          <w:p w14:paraId="7874AD15" w14:textId="77777777" w:rsidR="00C972CB" w:rsidRDefault="002457F6">
            <w:pPr>
              <w:pStyle w:val="P68B1DB1-Normal12"/>
              <w:jc w:val="center"/>
              <w:rPr>
                <w:noProof/>
              </w:rPr>
            </w:pPr>
            <w:r>
              <w:rPr>
                <w:noProof/>
              </w:rPr>
              <w:t>Investīcijas 1.2 — Aprites ekonomikas pamatprojekti</w:t>
            </w:r>
          </w:p>
        </w:tc>
        <w:tc>
          <w:tcPr>
            <w:tcW w:w="1528" w:type="dxa"/>
            <w:tcBorders>
              <w:top w:val="nil"/>
              <w:left w:val="nil"/>
              <w:bottom w:val="single" w:sz="4" w:space="0" w:color="auto"/>
              <w:right w:val="single" w:sz="4" w:space="0" w:color="auto"/>
            </w:tcBorders>
            <w:shd w:val="clear" w:color="auto" w:fill="C6EFCE"/>
            <w:noWrap/>
            <w:vAlign w:val="center"/>
          </w:tcPr>
          <w:p w14:paraId="2F20F458"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1E4A953C" w14:textId="77777777" w:rsidR="00C972CB" w:rsidRDefault="002457F6">
            <w:pPr>
              <w:pStyle w:val="P68B1DB1-Normal12"/>
              <w:jc w:val="center"/>
              <w:rPr>
                <w:noProof/>
              </w:rPr>
            </w:pPr>
            <w:r>
              <w:rPr>
                <w:noProof/>
              </w:rPr>
              <w:t>Izlietotā iepakojuma reciklēšanas rādītāji aprites ekonomikas rīcības plānā</w:t>
            </w:r>
          </w:p>
        </w:tc>
      </w:tr>
      <w:tr w:rsidR="00C972CB" w14:paraId="5C4B0A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22B44" w14:textId="77777777" w:rsidR="00C972CB" w:rsidRDefault="002457F6">
            <w:pPr>
              <w:pStyle w:val="P68B1DB1-Normal12"/>
              <w:jc w:val="center"/>
              <w:rPr>
                <w:noProof/>
              </w:rPr>
            </w:pPr>
            <w:r>
              <w:rPr>
                <w:noProof/>
              </w:rPr>
              <w:t>M2C1–17ter</w:t>
            </w:r>
          </w:p>
        </w:tc>
        <w:tc>
          <w:tcPr>
            <w:tcW w:w="3075" w:type="dxa"/>
            <w:tcBorders>
              <w:top w:val="nil"/>
              <w:left w:val="nil"/>
              <w:bottom w:val="single" w:sz="4" w:space="0" w:color="auto"/>
              <w:right w:val="single" w:sz="4" w:space="0" w:color="auto"/>
            </w:tcBorders>
            <w:shd w:val="clear" w:color="auto" w:fill="C6EFCE"/>
            <w:noWrap/>
            <w:vAlign w:val="center"/>
          </w:tcPr>
          <w:p w14:paraId="01429624" w14:textId="77777777" w:rsidR="00C972CB" w:rsidRDefault="002457F6">
            <w:pPr>
              <w:pStyle w:val="P68B1DB1-Normal12"/>
              <w:jc w:val="center"/>
              <w:rPr>
                <w:noProof/>
              </w:rPr>
            </w:pPr>
            <w:r>
              <w:rPr>
                <w:noProof/>
              </w:rPr>
              <w:t>Investīcijas 1.2 — Ap</w:t>
            </w:r>
            <w:r>
              <w:rPr>
                <w:noProof/>
              </w:rPr>
              <w:t>rites ekonomikas pamatprojekti</w:t>
            </w:r>
          </w:p>
        </w:tc>
        <w:tc>
          <w:tcPr>
            <w:tcW w:w="1528" w:type="dxa"/>
            <w:tcBorders>
              <w:top w:val="nil"/>
              <w:left w:val="nil"/>
              <w:bottom w:val="single" w:sz="4" w:space="0" w:color="auto"/>
              <w:right w:val="single" w:sz="4" w:space="0" w:color="auto"/>
            </w:tcBorders>
            <w:shd w:val="clear" w:color="auto" w:fill="C6EFCE"/>
            <w:noWrap/>
            <w:vAlign w:val="center"/>
          </w:tcPr>
          <w:p w14:paraId="72868CA9"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2ECF2855" w14:textId="77777777" w:rsidR="00C972CB" w:rsidRDefault="002457F6">
            <w:pPr>
              <w:pStyle w:val="P68B1DB1-Normal12"/>
              <w:jc w:val="center"/>
              <w:rPr>
                <w:noProof/>
              </w:rPr>
            </w:pPr>
            <w:r>
              <w:rPr>
                <w:noProof/>
              </w:rPr>
              <w:t>Koksnes iepakojuma reciklēšanas rādītāji aprites ekonomikas rīcības plānā</w:t>
            </w:r>
          </w:p>
        </w:tc>
      </w:tr>
      <w:tr w:rsidR="00C972CB" w14:paraId="25DF6E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D86DB1" w14:textId="77777777" w:rsidR="00C972CB" w:rsidRDefault="002457F6">
            <w:pPr>
              <w:pStyle w:val="P68B1DB1-Normal12"/>
              <w:jc w:val="center"/>
              <w:rPr>
                <w:noProof/>
              </w:rPr>
            </w:pPr>
            <w:r>
              <w:rPr>
                <w:noProof/>
              </w:rPr>
              <w:t>M2C1–17quater</w:t>
            </w:r>
          </w:p>
        </w:tc>
        <w:tc>
          <w:tcPr>
            <w:tcW w:w="3075" w:type="dxa"/>
            <w:tcBorders>
              <w:top w:val="nil"/>
              <w:left w:val="nil"/>
              <w:bottom w:val="single" w:sz="4" w:space="0" w:color="auto"/>
              <w:right w:val="single" w:sz="4" w:space="0" w:color="auto"/>
            </w:tcBorders>
            <w:shd w:val="clear" w:color="auto" w:fill="C6EFCE"/>
            <w:noWrap/>
            <w:vAlign w:val="center"/>
          </w:tcPr>
          <w:p w14:paraId="1AF50116" w14:textId="77777777" w:rsidR="00C972CB" w:rsidRDefault="002457F6">
            <w:pPr>
              <w:pStyle w:val="P68B1DB1-Normal12"/>
              <w:jc w:val="center"/>
              <w:rPr>
                <w:noProof/>
              </w:rPr>
            </w:pPr>
            <w:r>
              <w:rPr>
                <w:noProof/>
              </w:rPr>
              <w:t>Investīcijas 1.2 — Aprites ekonomikas pamatprojekti</w:t>
            </w:r>
          </w:p>
        </w:tc>
        <w:tc>
          <w:tcPr>
            <w:tcW w:w="1528" w:type="dxa"/>
            <w:tcBorders>
              <w:top w:val="nil"/>
              <w:left w:val="nil"/>
              <w:bottom w:val="single" w:sz="4" w:space="0" w:color="auto"/>
              <w:right w:val="single" w:sz="4" w:space="0" w:color="auto"/>
            </w:tcBorders>
            <w:shd w:val="clear" w:color="auto" w:fill="C6EFCE"/>
            <w:noWrap/>
            <w:vAlign w:val="center"/>
          </w:tcPr>
          <w:p w14:paraId="44375E0B"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1B1F968D" w14:textId="77777777" w:rsidR="00C972CB" w:rsidRDefault="002457F6">
            <w:pPr>
              <w:pStyle w:val="P68B1DB1-Normal12"/>
              <w:jc w:val="center"/>
              <w:rPr>
                <w:noProof/>
              </w:rPr>
            </w:pPr>
            <w:r>
              <w:rPr>
                <w:noProof/>
              </w:rPr>
              <w:t>Melnā metāla iepakojuma reciklēšanas rādītāji aprites ekonomikas rīcības</w:t>
            </w:r>
            <w:r>
              <w:rPr>
                <w:noProof/>
              </w:rPr>
              <w:t xml:space="preserve"> plānā</w:t>
            </w:r>
          </w:p>
        </w:tc>
      </w:tr>
      <w:tr w:rsidR="00C972CB" w14:paraId="244C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A5E35" w14:textId="77777777" w:rsidR="00C972CB" w:rsidRDefault="002457F6">
            <w:pPr>
              <w:pStyle w:val="P68B1DB1-Normal12"/>
              <w:jc w:val="center"/>
              <w:rPr>
                <w:noProof/>
              </w:rPr>
            </w:pPr>
            <w:r>
              <w:rPr>
                <w:noProof/>
              </w:rPr>
              <w:t>M2C1–17 quinquies</w:t>
            </w:r>
          </w:p>
        </w:tc>
        <w:tc>
          <w:tcPr>
            <w:tcW w:w="3075" w:type="dxa"/>
            <w:tcBorders>
              <w:top w:val="nil"/>
              <w:left w:val="nil"/>
              <w:bottom w:val="single" w:sz="4" w:space="0" w:color="auto"/>
              <w:right w:val="single" w:sz="4" w:space="0" w:color="auto"/>
            </w:tcBorders>
            <w:shd w:val="clear" w:color="auto" w:fill="C6EFCE"/>
            <w:noWrap/>
            <w:vAlign w:val="center"/>
          </w:tcPr>
          <w:p w14:paraId="2DECBF6B" w14:textId="77777777" w:rsidR="00C972CB" w:rsidRDefault="002457F6">
            <w:pPr>
              <w:pStyle w:val="P68B1DB1-Normal12"/>
              <w:jc w:val="center"/>
              <w:rPr>
                <w:noProof/>
              </w:rPr>
            </w:pPr>
            <w:r>
              <w:rPr>
                <w:noProof/>
              </w:rPr>
              <w:t>Investīcijas 1.2 — Aprites ekonomikas pamatprojekti</w:t>
            </w:r>
          </w:p>
        </w:tc>
        <w:tc>
          <w:tcPr>
            <w:tcW w:w="1528" w:type="dxa"/>
            <w:tcBorders>
              <w:top w:val="nil"/>
              <w:left w:val="nil"/>
              <w:bottom w:val="single" w:sz="4" w:space="0" w:color="auto"/>
              <w:right w:val="single" w:sz="4" w:space="0" w:color="auto"/>
            </w:tcBorders>
            <w:shd w:val="clear" w:color="auto" w:fill="C6EFCE"/>
            <w:noWrap/>
            <w:vAlign w:val="center"/>
          </w:tcPr>
          <w:p w14:paraId="6E782D22"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13685336" w14:textId="77777777" w:rsidR="00C972CB" w:rsidRDefault="002457F6">
            <w:pPr>
              <w:pStyle w:val="P68B1DB1-Normal12"/>
              <w:jc w:val="center"/>
              <w:rPr>
                <w:noProof/>
              </w:rPr>
            </w:pPr>
            <w:r>
              <w:rPr>
                <w:noProof/>
              </w:rPr>
              <w:t>Aprites ekonomikas rīcības plāna alumīnija iepakojuma reciklēšanas rādītāji</w:t>
            </w:r>
          </w:p>
        </w:tc>
      </w:tr>
      <w:tr w:rsidR="00C972CB" w14:paraId="6D0806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3DC564" w14:textId="77777777" w:rsidR="00C972CB" w:rsidRDefault="002457F6">
            <w:pPr>
              <w:pStyle w:val="P68B1DB1-Normal12"/>
              <w:jc w:val="center"/>
              <w:rPr>
                <w:noProof/>
              </w:rPr>
            </w:pPr>
            <w:r>
              <w:rPr>
                <w:noProof/>
              </w:rPr>
              <w:t>M2C1–17 seksiji</w:t>
            </w:r>
          </w:p>
        </w:tc>
        <w:tc>
          <w:tcPr>
            <w:tcW w:w="3075" w:type="dxa"/>
            <w:tcBorders>
              <w:top w:val="nil"/>
              <w:left w:val="nil"/>
              <w:bottom w:val="single" w:sz="4" w:space="0" w:color="auto"/>
              <w:right w:val="single" w:sz="4" w:space="0" w:color="auto"/>
            </w:tcBorders>
            <w:shd w:val="clear" w:color="auto" w:fill="C6EFCE"/>
            <w:noWrap/>
            <w:vAlign w:val="center"/>
          </w:tcPr>
          <w:p w14:paraId="34CA5509" w14:textId="77777777" w:rsidR="00C972CB" w:rsidRDefault="002457F6">
            <w:pPr>
              <w:pStyle w:val="P68B1DB1-Normal12"/>
              <w:jc w:val="center"/>
              <w:rPr>
                <w:noProof/>
              </w:rPr>
            </w:pPr>
            <w:r>
              <w:rPr>
                <w:noProof/>
              </w:rPr>
              <w:t>Investīcijas 1.2 — Aprites ekonomikas pamatprojekti</w:t>
            </w:r>
          </w:p>
        </w:tc>
        <w:tc>
          <w:tcPr>
            <w:tcW w:w="1528" w:type="dxa"/>
            <w:tcBorders>
              <w:top w:val="nil"/>
              <w:left w:val="nil"/>
              <w:bottom w:val="single" w:sz="4" w:space="0" w:color="auto"/>
              <w:right w:val="single" w:sz="4" w:space="0" w:color="auto"/>
            </w:tcBorders>
            <w:shd w:val="clear" w:color="auto" w:fill="C6EFCE"/>
            <w:noWrap/>
            <w:vAlign w:val="center"/>
          </w:tcPr>
          <w:p w14:paraId="512D0D97"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486F3318" w14:textId="77777777" w:rsidR="00C972CB" w:rsidRDefault="002457F6">
            <w:pPr>
              <w:pStyle w:val="P68B1DB1-Normal12"/>
              <w:jc w:val="center"/>
              <w:rPr>
                <w:noProof/>
              </w:rPr>
            </w:pPr>
            <w:r>
              <w:rPr>
                <w:noProof/>
              </w:rPr>
              <w:t>Stikla iepakojuma rec</w:t>
            </w:r>
            <w:r>
              <w:rPr>
                <w:noProof/>
              </w:rPr>
              <w:t>iklēšanas rādītāji aprites ekonomikas rīcības plānā</w:t>
            </w:r>
          </w:p>
        </w:tc>
      </w:tr>
      <w:tr w:rsidR="00C972CB" w14:paraId="76D0039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E93E81" w14:textId="77777777" w:rsidR="00C972CB" w:rsidRDefault="002457F6">
            <w:pPr>
              <w:pStyle w:val="P68B1DB1-Normal12"/>
              <w:jc w:val="center"/>
              <w:rPr>
                <w:noProof/>
              </w:rPr>
            </w:pPr>
            <w:r>
              <w:rPr>
                <w:noProof/>
              </w:rPr>
              <w:t>M2C1–17 sept.</w:t>
            </w:r>
          </w:p>
        </w:tc>
        <w:tc>
          <w:tcPr>
            <w:tcW w:w="3075" w:type="dxa"/>
            <w:tcBorders>
              <w:top w:val="nil"/>
              <w:left w:val="nil"/>
              <w:bottom w:val="single" w:sz="4" w:space="0" w:color="auto"/>
              <w:right w:val="single" w:sz="4" w:space="0" w:color="auto"/>
            </w:tcBorders>
            <w:shd w:val="clear" w:color="auto" w:fill="C6EFCE"/>
            <w:noWrap/>
            <w:vAlign w:val="center"/>
          </w:tcPr>
          <w:p w14:paraId="7A0FCC87" w14:textId="77777777" w:rsidR="00C972CB" w:rsidRDefault="002457F6">
            <w:pPr>
              <w:pStyle w:val="P68B1DB1-Normal12"/>
              <w:jc w:val="center"/>
              <w:rPr>
                <w:noProof/>
              </w:rPr>
            </w:pPr>
            <w:r>
              <w:rPr>
                <w:noProof/>
              </w:rPr>
              <w:t>Investīcijas 1.2 — Aprites ekonomikas pamatprojekti</w:t>
            </w:r>
          </w:p>
        </w:tc>
        <w:tc>
          <w:tcPr>
            <w:tcW w:w="1528" w:type="dxa"/>
            <w:tcBorders>
              <w:top w:val="nil"/>
              <w:left w:val="nil"/>
              <w:bottom w:val="single" w:sz="4" w:space="0" w:color="auto"/>
              <w:right w:val="single" w:sz="4" w:space="0" w:color="auto"/>
            </w:tcBorders>
            <w:shd w:val="clear" w:color="auto" w:fill="C6EFCE"/>
            <w:noWrap/>
            <w:vAlign w:val="center"/>
          </w:tcPr>
          <w:p w14:paraId="4B2645F0"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1655DB70" w14:textId="77777777" w:rsidR="00C972CB" w:rsidRDefault="002457F6">
            <w:pPr>
              <w:pStyle w:val="P68B1DB1-Normal12"/>
              <w:jc w:val="center"/>
              <w:rPr>
                <w:noProof/>
              </w:rPr>
            </w:pPr>
            <w:r>
              <w:rPr>
                <w:noProof/>
              </w:rPr>
              <w:t>Papīra un kartona reciklēšanas rādītāji aprites ekonomikas rīcības plānā</w:t>
            </w:r>
          </w:p>
        </w:tc>
      </w:tr>
      <w:tr w:rsidR="00C972CB" w14:paraId="57A90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26C8FE" w14:textId="77777777" w:rsidR="00C972CB" w:rsidRDefault="002457F6">
            <w:pPr>
              <w:pStyle w:val="P68B1DB1-Normal12"/>
              <w:jc w:val="center"/>
              <w:rPr>
                <w:noProof/>
              </w:rPr>
            </w:pPr>
            <w:r>
              <w:rPr>
                <w:noProof/>
              </w:rPr>
              <w:t>M2C1–17 okti</w:t>
            </w:r>
          </w:p>
        </w:tc>
        <w:tc>
          <w:tcPr>
            <w:tcW w:w="3075" w:type="dxa"/>
            <w:tcBorders>
              <w:top w:val="nil"/>
              <w:left w:val="nil"/>
              <w:bottom w:val="single" w:sz="4" w:space="0" w:color="auto"/>
              <w:right w:val="single" w:sz="4" w:space="0" w:color="auto"/>
            </w:tcBorders>
            <w:shd w:val="clear" w:color="auto" w:fill="C6EFCE"/>
            <w:noWrap/>
            <w:vAlign w:val="center"/>
          </w:tcPr>
          <w:p w14:paraId="5BF98BF8" w14:textId="77777777" w:rsidR="00C972CB" w:rsidRDefault="002457F6">
            <w:pPr>
              <w:pStyle w:val="P68B1DB1-Normal12"/>
              <w:jc w:val="center"/>
              <w:rPr>
                <w:noProof/>
              </w:rPr>
            </w:pPr>
            <w:r>
              <w:rPr>
                <w:noProof/>
              </w:rPr>
              <w:t xml:space="preserve">Investīcijas 1.2 — Aprites ekonomikas </w:t>
            </w:r>
            <w:r>
              <w:rPr>
                <w:noProof/>
              </w:rPr>
              <w:t>pamatprojekti</w:t>
            </w:r>
          </w:p>
        </w:tc>
        <w:tc>
          <w:tcPr>
            <w:tcW w:w="1528" w:type="dxa"/>
            <w:tcBorders>
              <w:top w:val="nil"/>
              <w:left w:val="nil"/>
              <w:bottom w:val="single" w:sz="4" w:space="0" w:color="auto"/>
              <w:right w:val="single" w:sz="4" w:space="0" w:color="auto"/>
            </w:tcBorders>
            <w:shd w:val="clear" w:color="auto" w:fill="C6EFCE"/>
            <w:noWrap/>
            <w:vAlign w:val="center"/>
          </w:tcPr>
          <w:p w14:paraId="0F7B7ED1"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0FBCC39D" w14:textId="77777777" w:rsidR="00C972CB" w:rsidRDefault="002457F6">
            <w:pPr>
              <w:pStyle w:val="P68B1DB1-Normal12"/>
              <w:jc w:val="center"/>
              <w:rPr>
                <w:noProof/>
              </w:rPr>
            </w:pPr>
            <w:r>
              <w:rPr>
                <w:noProof/>
              </w:rPr>
              <w:t>Plastmasas iepakojuma reciklēšanas rādītāji aprites ekonomikas rīcības plānā</w:t>
            </w:r>
          </w:p>
        </w:tc>
      </w:tr>
      <w:tr w:rsidR="00C972CB" w14:paraId="5A9B85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9471F" w14:textId="77777777" w:rsidR="00C972CB" w:rsidRDefault="002457F6">
            <w:pPr>
              <w:pStyle w:val="P68B1DB1-Normal12"/>
              <w:jc w:val="center"/>
              <w:rPr>
                <w:noProof/>
              </w:rPr>
            </w:pPr>
            <w:r>
              <w:rPr>
                <w:noProof/>
              </w:rPr>
              <w:t>M2C1–17 valstis</w:t>
            </w:r>
          </w:p>
        </w:tc>
        <w:tc>
          <w:tcPr>
            <w:tcW w:w="3075" w:type="dxa"/>
            <w:tcBorders>
              <w:top w:val="nil"/>
              <w:left w:val="nil"/>
              <w:bottom w:val="single" w:sz="4" w:space="0" w:color="auto"/>
              <w:right w:val="single" w:sz="4" w:space="0" w:color="auto"/>
            </w:tcBorders>
            <w:shd w:val="clear" w:color="auto" w:fill="C6EFCE"/>
            <w:noWrap/>
            <w:vAlign w:val="center"/>
          </w:tcPr>
          <w:p w14:paraId="46AA1786" w14:textId="77777777" w:rsidR="00C972CB" w:rsidRDefault="002457F6">
            <w:pPr>
              <w:pStyle w:val="P68B1DB1-Normal12"/>
              <w:jc w:val="center"/>
              <w:rPr>
                <w:noProof/>
              </w:rPr>
            </w:pPr>
            <w:r>
              <w:rPr>
                <w:noProof/>
              </w:rPr>
              <w:t>Reforma. Valsts aprites ekonomikas programma; Investīcijas 1.2 — Aprites ekonomikas pamatprojekti</w:t>
            </w:r>
          </w:p>
        </w:tc>
        <w:tc>
          <w:tcPr>
            <w:tcW w:w="1528" w:type="dxa"/>
            <w:tcBorders>
              <w:top w:val="nil"/>
              <w:left w:val="nil"/>
              <w:bottom w:val="single" w:sz="4" w:space="0" w:color="auto"/>
              <w:right w:val="single" w:sz="4" w:space="0" w:color="auto"/>
            </w:tcBorders>
            <w:shd w:val="clear" w:color="auto" w:fill="C6EFCE"/>
            <w:noWrap/>
            <w:vAlign w:val="center"/>
          </w:tcPr>
          <w:p w14:paraId="0655506A" w14:textId="77777777" w:rsidR="00C972CB" w:rsidRDefault="002457F6">
            <w:pPr>
              <w:pStyle w:val="P68B1DB1-Normal12"/>
              <w:jc w:val="center"/>
              <w:rPr>
                <w:noProof/>
              </w:rPr>
            </w:pPr>
            <w:r>
              <w:rPr>
                <w:noProof/>
              </w:rPr>
              <w:t>Starpposma mērķis</w:t>
            </w:r>
          </w:p>
        </w:tc>
        <w:tc>
          <w:tcPr>
            <w:tcW w:w="4056" w:type="dxa"/>
            <w:tcBorders>
              <w:top w:val="nil"/>
              <w:left w:val="nil"/>
              <w:bottom w:val="single" w:sz="4" w:space="0" w:color="auto"/>
              <w:right w:val="single" w:sz="4" w:space="0" w:color="auto"/>
            </w:tcBorders>
            <w:shd w:val="clear" w:color="auto" w:fill="C6EFCE"/>
            <w:noWrap/>
            <w:vAlign w:val="center"/>
          </w:tcPr>
          <w:p w14:paraId="11FAB918" w14:textId="77777777" w:rsidR="00C972CB" w:rsidRDefault="002457F6">
            <w:pPr>
              <w:pStyle w:val="P68B1DB1-Normal12"/>
              <w:jc w:val="center"/>
              <w:rPr>
                <w:noProof/>
              </w:rPr>
            </w:pPr>
            <w:r>
              <w:rPr>
                <w:noProof/>
              </w:rPr>
              <w:t xml:space="preserve">Mājsaimniecību un </w:t>
            </w:r>
            <w:r>
              <w:rPr>
                <w:noProof/>
              </w:rPr>
              <w:t>tekstilizstrādājumu radīto bīstamo atkritumu frakciju dalītas savākšanas stāšanās spēkā</w:t>
            </w:r>
          </w:p>
        </w:tc>
      </w:tr>
      <w:tr w:rsidR="00C972CB" w14:paraId="39C165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5365DB" w14:textId="77777777" w:rsidR="00C972CB" w:rsidRDefault="002457F6">
            <w:pPr>
              <w:pStyle w:val="P68B1DB1-Normal12"/>
              <w:jc w:val="center"/>
              <w:rPr>
                <w:noProof/>
              </w:rPr>
            </w:pPr>
            <w:r>
              <w:rPr>
                <w:noProof/>
              </w:rPr>
              <w:t>M2C2–40</w:t>
            </w:r>
          </w:p>
        </w:tc>
        <w:tc>
          <w:tcPr>
            <w:tcW w:w="3075" w:type="dxa"/>
            <w:tcBorders>
              <w:top w:val="nil"/>
              <w:left w:val="nil"/>
              <w:bottom w:val="single" w:sz="4" w:space="0" w:color="auto"/>
              <w:right w:val="single" w:sz="4" w:space="0" w:color="auto"/>
            </w:tcBorders>
            <w:shd w:val="clear" w:color="auto" w:fill="C6EFCE"/>
            <w:noWrap/>
            <w:vAlign w:val="center"/>
          </w:tcPr>
          <w:p w14:paraId="69773D3A" w14:textId="77777777" w:rsidR="00C972CB" w:rsidRDefault="002457F6">
            <w:pPr>
              <w:pStyle w:val="P68B1DB1-Normal12"/>
              <w:jc w:val="center"/>
              <w:rPr>
                <w:noProof/>
              </w:rPr>
            </w:pPr>
            <w:r>
              <w:rPr>
                <w:noProof/>
              </w:rPr>
              <w:t>Ieguldījums 5.1.1.:  Atjaunojamie energoresursi un akumulatori</w:t>
            </w:r>
          </w:p>
        </w:tc>
        <w:tc>
          <w:tcPr>
            <w:tcW w:w="1528" w:type="dxa"/>
            <w:tcBorders>
              <w:top w:val="nil"/>
              <w:left w:val="nil"/>
              <w:bottom w:val="single" w:sz="4" w:space="0" w:color="auto"/>
              <w:right w:val="single" w:sz="4" w:space="0" w:color="auto"/>
            </w:tcBorders>
            <w:shd w:val="clear" w:color="auto" w:fill="C6EFCE"/>
            <w:noWrap/>
            <w:vAlign w:val="center"/>
          </w:tcPr>
          <w:p w14:paraId="1E74BC87"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7F715471" w14:textId="77777777" w:rsidR="00C972CB" w:rsidRDefault="002457F6">
            <w:pPr>
              <w:pStyle w:val="P68B1DB1-Normal12"/>
              <w:jc w:val="center"/>
              <w:rPr>
                <w:noProof/>
              </w:rPr>
            </w:pPr>
            <w:r>
              <w:rPr>
                <w:noProof/>
              </w:rPr>
              <w:t xml:space="preserve">Ar galīgajiem saņēmējiem parakstīti juridiski nolīgumi par fotoelementu vai vēja </w:t>
            </w:r>
            <w:r>
              <w:rPr>
                <w:noProof/>
              </w:rPr>
              <w:t>tehnoloģiju enerģijas ražošanas jaudu</w:t>
            </w:r>
          </w:p>
        </w:tc>
      </w:tr>
      <w:tr w:rsidR="00C972CB" w14:paraId="5A9284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55CE78" w14:textId="77777777" w:rsidR="00C972CB" w:rsidRDefault="002457F6">
            <w:pPr>
              <w:pStyle w:val="P68B1DB1-Normal12"/>
              <w:jc w:val="center"/>
              <w:rPr>
                <w:noProof/>
              </w:rPr>
            </w:pPr>
            <w:r>
              <w:rPr>
                <w:noProof/>
              </w:rPr>
              <w:t>M2C2–46</w:t>
            </w:r>
          </w:p>
        </w:tc>
        <w:tc>
          <w:tcPr>
            <w:tcW w:w="3075" w:type="dxa"/>
            <w:tcBorders>
              <w:top w:val="nil"/>
              <w:left w:val="nil"/>
              <w:bottom w:val="single" w:sz="4" w:space="0" w:color="auto"/>
              <w:right w:val="single" w:sz="4" w:space="0" w:color="auto"/>
            </w:tcBorders>
            <w:shd w:val="clear" w:color="auto" w:fill="C6EFCE"/>
            <w:noWrap/>
            <w:vAlign w:val="center"/>
          </w:tcPr>
          <w:p w14:paraId="35DEAE5B" w14:textId="77777777" w:rsidR="00C972CB" w:rsidRDefault="002457F6">
            <w:pPr>
              <w:pStyle w:val="P68B1DB1-Normal12"/>
              <w:jc w:val="center"/>
              <w:rPr>
                <w:noProof/>
              </w:rPr>
            </w:pPr>
            <w:r>
              <w:rPr>
                <w:noProof/>
              </w:rPr>
              <w:t>Ieguldījums 1.2. Atjaunojamo energoresursu veicināšana energokopienām un atjaunojamo energoresursu enerģijas pašpatērētāju kopīgai rīcībai</w:t>
            </w:r>
          </w:p>
        </w:tc>
        <w:tc>
          <w:tcPr>
            <w:tcW w:w="1528" w:type="dxa"/>
            <w:tcBorders>
              <w:top w:val="nil"/>
              <w:left w:val="nil"/>
              <w:bottom w:val="single" w:sz="4" w:space="0" w:color="auto"/>
              <w:right w:val="single" w:sz="4" w:space="0" w:color="auto"/>
            </w:tcBorders>
            <w:shd w:val="clear" w:color="auto" w:fill="C6EFCE"/>
            <w:noWrap/>
            <w:vAlign w:val="center"/>
          </w:tcPr>
          <w:p w14:paraId="3AD3ADF4" w14:textId="77777777" w:rsidR="00C972CB" w:rsidRDefault="002457F6">
            <w:pPr>
              <w:pStyle w:val="P68B1DB1-Normal12"/>
              <w:jc w:val="center"/>
              <w:rPr>
                <w:noProof/>
              </w:rPr>
            </w:pPr>
            <w:r>
              <w:rPr>
                <w:noProof/>
              </w:rPr>
              <w:t>Starpposma mērķis</w:t>
            </w:r>
          </w:p>
        </w:tc>
        <w:tc>
          <w:tcPr>
            <w:tcW w:w="4056" w:type="dxa"/>
            <w:tcBorders>
              <w:top w:val="nil"/>
              <w:left w:val="nil"/>
              <w:bottom w:val="single" w:sz="4" w:space="0" w:color="auto"/>
              <w:right w:val="single" w:sz="4" w:space="0" w:color="auto"/>
            </w:tcBorders>
            <w:shd w:val="clear" w:color="auto" w:fill="C6EFCE"/>
            <w:noWrap/>
            <w:vAlign w:val="center"/>
          </w:tcPr>
          <w:p w14:paraId="65C53BC3" w14:textId="77777777" w:rsidR="00C972CB" w:rsidRDefault="002457F6">
            <w:pPr>
              <w:pStyle w:val="P68B1DB1-Normal12"/>
              <w:jc w:val="center"/>
              <w:rPr>
                <w:noProof/>
              </w:rPr>
            </w:pPr>
            <w:r>
              <w:rPr>
                <w:noProof/>
              </w:rPr>
              <w:t>Visu publiskā iepirkuma līgumu slēgšanas tiesību pie</w:t>
            </w:r>
            <w:r>
              <w:rPr>
                <w:noProof/>
              </w:rPr>
              <w:t>šķiršana energokopienu intervences pasākumu īstenošanai</w:t>
            </w:r>
          </w:p>
        </w:tc>
      </w:tr>
      <w:tr w:rsidR="00C972CB" w14:paraId="70783F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BCB6" w14:textId="77777777" w:rsidR="00C972CB" w:rsidRDefault="002457F6">
            <w:pPr>
              <w:pStyle w:val="P68B1DB1-Normal12"/>
              <w:jc w:val="center"/>
              <w:rPr>
                <w:noProof/>
              </w:rPr>
            </w:pPr>
            <w:r>
              <w:rPr>
                <w:noProof/>
              </w:rPr>
              <w:t>M3C1–23</w:t>
            </w:r>
          </w:p>
        </w:tc>
        <w:tc>
          <w:tcPr>
            <w:tcW w:w="3075" w:type="dxa"/>
            <w:tcBorders>
              <w:top w:val="nil"/>
              <w:left w:val="nil"/>
              <w:bottom w:val="single" w:sz="4" w:space="0" w:color="auto"/>
              <w:right w:val="single" w:sz="4" w:space="0" w:color="auto"/>
            </w:tcBorders>
            <w:shd w:val="clear" w:color="auto" w:fill="C6EFCE"/>
            <w:noWrap/>
            <w:vAlign w:val="center"/>
          </w:tcPr>
          <w:p w14:paraId="7E6C601D" w14:textId="77777777" w:rsidR="00C972CB" w:rsidRDefault="002457F6">
            <w:pPr>
              <w:pStyle w:val="P68B1DB1-Normal12"/>
              <w:jc w:val="center"/>
              <w:rPr>
                <w:noProof/>
              </w:rPr>
            </w:pPr>
            <w:r>
              <w:rPr>
                <w:noProof/>
              </w:rPr>
              <w:t>Ieguldījums 1.9. Starpreģionālie savienojumi</w:t>
            </w:r>
          </w:p>
        </w:tc>
        <w:tc>
          <w:tcPr>
            <w:tcW w:w="1528" w:type="dxa"/>
            <w:tcBorders>
              <w:top w:val="nil"/>
              <w:left w:val="nil"/>
              <w:bottom w:val="single" w:sz="4" w:space="0" w:color="auto"/>
              <w:right w:val="single" w:sz="4" w:space="0" w:color="auto"/>
            </w:tcBorders>
            <w:shd w:val="clear" w:color="auto" w:fill="C6EFCE"/>
            <w:noWrap/>
            <w:vAlign w:val="center"/>
          </w:tcPr>
          <w:p w14:paraId="1EB03C1D"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69FED683" w14:textId="77777777" w:rsidR="00C972CB" w:rsidRDefault="002457F6">
            <w:pPr>
              <w:pStyle w:val="P68B1DB1-Normal12"/>
              <w:jc w:val="center"/>
              <w:rPr>
                <w:noProof/>
              </w:rPr>
            </w:pPr>
            <w:r>
              <w:rPr>
                <w:noProof/>
              </w:rPr>
              <w:t>Ieguldījums 1.9. Starpreģionālie savienojumi</w:t>
            </w:r>
          </w:p>
        </w:tc>
      </w:tr>
      <w:tr w:rsidR="00C972CB" w14:paraId="1874D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23186A" w14:textId="77777777" w:rsidR="00C972CB" w:rsidRDefault="002457F6">
            <w:pPr>
              <w:pStyle w:val="P68B1DB1-Normal12"/>
              <w:jc w:val="center"/>
              <w:rPr>
                <w:noProof/>
              </w:rPr>
            </w:pPr>
            <w:r>
              <w:rPr>
                <w:noProof/>
              </w:rPr>
              <w:t>M4C2–13</w:t>
            </w:r>
          </w:p>
        </w:tc>
        <w:tc>
          <w:tcPr>
            <w:tcW w:w="3075" w:type="dxa"/>
            <w:tcBorders>
              <w:top w:val="nil"/>
              <w:left w:val="nil"/>
              <w:bottom w:val="single" w:sz="4" w:space="0" w:color="auto"/>
              <w:right w:val="single" w:sz="4" w:space="0" w:color="auto"/>
            </w:tcBorders>
            <w:shd w:val="clear" w:color="auto" w:fill="C6EFCE"/>
            <w:noWrap/>
            <w:vAlign w:val="center"/>
          </w:tcPr>
          <w:p w14:paraId="6D6C87AD" w14:textId="77777777" w:rsidR="00C972CB" w:rsidRDefault="002457F6">
            <w:pPr>
              <w:pStyle w:val="P68B1DB1-Normal12"/>
              <w:jc w:val="center"/>
              <w:rPr>
                <w:noProof/>
              </w:rPr>
            </w:pPr>
            <w:r>
              <w:rPr>
                <w:noProof/>
              </w:rPr>
              <w:t xml:space="preserve">Ieguldījums 2.3. Tehnoloģiju nodošanas centru stiprināšana un nozaru/teritoriāla </w:t>
            </w:r>
            <w:r>
              <w:rPr>
                <w:noProof/>
              </w:rPr>
              <w:t>paplašināšana pa rūpniecības segmentiem</w:t>
            </w:r>
          </w:p>
        </w:tc>
        <w:tc>
          <w:tcPr>
            <w:tcW w:w="1528" w:type="dxa"/>
            <w:tcBorders>
              <w:top w:val="nil"/>
              <w:left w:val="nil"/>
              <w:bottom w:val="single" w:sz="4" w:space="0" w:color="auto"/>
              <w:right w:val="single" w:sz="4" w:space="0" w:color="auto"/>
            </w:tcBorders>
            <w:shd w:val="clear" w:color="auto" w:fill="C6EFCE"/>
            <w:noWrap/>
            <w:vAlign w:val="center"/>
          </w:tcPr>
          <w:p w14:paraId="779DEAA2"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003F538C" w14:textId="77777777" w:rsidR="00C972CB" w:rsidRDefault="002457F6">
            <w:pPr>
              <w:pStyle w:val="P68B1DB1-Normal12"/>
              <w:jc w:val="center"/>
              <w:rPr>
                <w:noProof/>
              </w:rPr>
            </w:pPr>
            <w:r>
              <w:rPr>
                <w:noProof/>
              </w:rPr>
              <w:t>Izveidojamo jauno centru skaits</w:t>
            </w:r>
          </w:p>
        </w:tc>
      </w:tr>
      <w:tr w:rsidR="00C972CB" w14:paraId="455C90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6B076E" w14:textId="77777777" w:rsidR="00C972CB" w:rsidRDefault="002457F6">
            <w:pPr>
              <w:pStyle w:val="P68B1DB1-Normal12"/>
              <w:jc w:val="center"/>
              <w:rPr>
                <w:noProof/>
              </w:rPr>
            </w:pPr>
            <w:r>
              <w:rPr>
                <w:noProof/>
              </w:rPr>
              <w:t>M6C1–9</w:t>
            </w:r>
          </w:p>
        </w:tc>
        <w:tc>
          <w:tcPr>
            <w:tcW w:w="3075" w:type="dxa"/>
            <w:tcBorders>
              <w:top w:val="nil"/>
              <w:left w:val="nil"/>
              <w:bottom w:val="single" w:sz="4" w:space="0" w:color="auto"/>
              <w:right w:val="single" w:sz="4" w:space="0" w:color="auto"/>
            </w:tcBorders>
            <w:shd w:val="clear" w:color="auto" w:fill="C6EFCE"/>
            <w:noWrap/>
            <w:vAlign w:val="center"/>
          </w:tcPr>
          <w:p w14:paraId="6308ED84" w14:textId="77777777" w:rsidR="00C972CB" w:rsidRDefault="002457F6">
            <w:pPr>
              <w:pStyle w:val="P68B1DB1-Normal12"/>
              <w:jc w:val="center"/>
              <w:rPr>
                <w:noProof/>
              </w:rPr>
            </w:pPr>
            <w:r>
              <w:rPr>
                <w:noProof/>
              </w:rPr>
              <w:t>Ieguldījums 1.2: Mājas kā pirmā aprūpes un telemedicīnas vieta</w:t>
            </w:r>
          </w:p>
        </w:tc>
        <w:tc>
          <w:tcPr>
            <w:tcW w:w="1528" w:type="dxa"/>
            <w:tcBorders>
              <w:top w:val="nil"/>
              <w:left w:val="nil"/>
              <w:bottom w:val="single" w:sz="4" w:space="0" w:color="auto"/>
              <w:right w:val="single" w:sz="4" w:space="0" w:color="auto"/>
            </w:tcBorders>
            <w:shd w:val="clear" w:color="auto" w:fill="C6EFCE"/>
            <w:noWrap/>
            <w:vAlign w:val="center"/>
          </w:tcPr>
          <w:p w14:paraId="688CDC35"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7EE8D5BC" w14:textId="77777777" w:rsidR="00C972CB" w:rsidRDefault="002457F6">
            <w:pPr>
              <w:pStyle w:val="P68B1DB1-Normal12"/>
              <w:jc w:val="center"/>
              <w:rPr>
                <w:noProof/>
              </w:rPr>
            </w:pPr>
            <w:r>
              <w:rPr>
                <w:noProof/>
              </w:rPr>
              <w:t>To cilvēku skaits, kuriem palīdz telemedicīnas rīki (trešais kopums)</w:t>
            </w:r>
          </w:p>
        </w:tc>
      </w:tr>
      <w:tr w:rsidR="00C972CB" w14:paraId="0F932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03414" w14:textId="77777777" w:rsidR="00C972CB" w:rsidRDefault="002457F6">
            <w:pPr>
              <w:pStyle w:val="P68B1DB1-Normal12"/>
              <w:jc w:val="center"/>
              <w:rPr>
                <w:noProof/>
              </w:rPr>
            </w:pPr>
            <w:r>
              <w:rPr>
                <w:noProof/>
              </w:rPr>
              <w:t>M6C2–8</w:t>
            </w:r>
          </w:p>
        </w:tc>
        <w:tc>
          <w:tcPr>
            <w:tcW w:w="3075" w:type="dxa"/>
            <w:tcBorders>
              <w:top w:val="nil"/>
              <w:left w:val="nil"/>
              <w:bottom w:val="single" w:sz="4" w:space="0" w:color="auto"/>
              <w:right w:val="single" w:sz="4" w:space="0" w:color="auto"/>
            </w:tcBorders>
            <w:shd w:val="clear" w:color="auto" w:fill="C6EFCE"/>
            <w:noWrap/>
            <w:vAlign w:val="center"/>
          </w:tcPr>
          <w:p w14:paraId="6D7A91DE" w14:textId="77777777" w:rsidR="00C972CB" w:rsidRDefault="002457F6">
            <w:pPr>
              <w:pStyle w:val="P68B1DB1-Normal48"/>
              <w:jc w:val="center"/>
              <w:rPr>
                <w:noProof/>
              </w:rPr>
            </w:pPr>
            <w:r>
              <w:rPr>
                <w:noProof/>
              </w:rPr>
              <w:t xml:space="preserve">Ieguldījums 1.1: </w:t>
            </w:r>
            <w:r>
              <w:rPr>
                <w:noProof/>
              </w:rPr>
              <w:t>Slimnīcu tehnoloģiskā aprīkojuma digitālā atjaunināšana</w:t>
            </w:r>
          </w:p>
        </w:tc>
        <w:tc>
          <w:tcPr>
            <w:tcW w:w="1528" w:type="dxa"/>
            <w:tcBorders>
              <w:top w:val="nil"/>
              <w:left w:val="nil"/>
              <w:bottom w:val="single" w:sz="4" w:space="0" w:color="auto"/>
              <w:right w:val="single" w:sz="4" w:space="0" w:color="auto"/>
            </w:tcBorders>
            <w:shd w:val="clear" w:color="auto" w:fill="C6EFCE"/>
            <w:noWrap/>
            <w:vAlign w:val="center"/>
          </w:tcPr>
          <w:p w14:paraId="123AF11B" w14:textId="77777777" w:rsidR="00C972CB" w:rsidRDefault="002457F6">
            <w:pPr>
              <w:pStyle w:val="P68B1DB1-Normal48"/>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7A404B3B" w14:textId="77777777" w:rsidR="00C972CB" w:rsidRDefault="002457F6">
            <w:pPr>
              <w:pStyle w:val="P68B1DB1-Normal48"/>
              <w:jc w:val="center"/>
              <w:rPr>
                <w:noProof/>
              </w:rPr>
            </w:pPr>
            <w:r>
              <w:rPr>
                <w:noProof/>
              </w:rPr>
              <w:t>Slimnīcas tiek digitalizētas (DEA — Ārkārtas un uzņemšanas departamenti — I un II līmenis)</w:t>
            </w:r>
          </w:p>
        </w:tc>
      </w:tr>
      <w:tr w:rsidR="00C972CB" w14:paraId="6CE049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3F8CB9" w14:textId="77777777" w:rsidR="00C972CB" w:rsidRDefault="002457F6">
            <w:pPr>
              <w:pStyle w:val="P68B1DB1-Normal12"/>
              <w:jc w:val="center"/>
              <w:rPr>
                <w:noProof/>
              </w:rPr>
            </w:pPr>
            <w:r>
              <w:rPr>
                <w:noProof/>
              </w:rPr>
              <w:t>M6C2–11</w:t>
            </w:r>
          </w:p>
        </w:tc>
        <w:tc>
          <w:tcPr>
            <w:tcW w:w="3075" w:type="dxa"/>
            <w:tcBorders>
              <w:top w:val="nil"/>
              <w:left w:val="nil"/>
              <w:bottom w:val="single" w:sz="4" w:space="0" w:color="auto"/>
              <w:right w:val="single" w:sz="4" w:space="0" w:color="auto"/>
            </w:tcBorders>
            <w:shd w:val="clear" w:color="auto" w:fill="C6EFCE"/>
            <w:noWrap/>
            <w:vAlign w:val="center"/>
          </w:tcPr>
          <w:p w14:paraId="13065E31" w14:textId="77777777" w:rsidR="00C972CB" w:rsidRDefault="002457F6">
            <w:pPr>
              <w:pStyle w:val="P68B1DB1-Normal48"/>
              <w:jc w:val="center"/>
              <w:rPr>
                <w:noProof/>
              </w:rPr>
            </w:pPr>
            <w:r>
              <w:rPr>
                <w:noProof/>
              </w:rPr>
              <w:t>Ieguldījums 1.3. Tehnoloģiskās infrastruktūras un datu vākšanas, datu apstrādes, datu analīzes</w:t>
            </w:r>
            <w:r>
              <w:rPr>
                <w:noProof/>
              </w:rPr>
              <w:t xml:space="preserve"> un simulācijas rīku stiprināšana</w:t>
            </w:r>
          </w:p>
        </w:tc>
        <w:tc>
          <w:tcPr>
            <w:tcW w:w="1528" w:type="dxa"/>
            <w:tcBorders>
              <w:top w:val="nil"/>
              <w:left w:val="nil"/>
              <w:bottom w:val="single" w:sz="4" w:space="0" w:color="auto"/>
              <w:right w:val="single" w:sz="4" w:space="0" w:color="auto"/>
            </w:tcBorders>
            <w:shd w:val="clear" w:color="auto" w:fill="C6EFCE"/>
            <w:noWrap/>
            <w:vAlign w:val="center"/>
          </w:tcPr>
          <w:p w14:paraId="76582E20" w14:textId="77777777" w:rsidR="00C972CB" w:rsidRDefault="002457F6">
            <w:pPr>
              <w:pStyle w:val="P68B1DB1-Normal48"/>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2FEE87E6" w14:textId="77777777" w:rsidR="00C972CB" w:rsidRDefault="002457F6">
            <w:pPr>
              <w:pStyle w:val="P68B1DB1-Normal48"/>
              <w:jc w:val="center"/>
              <w:rPr>
                <w:noProof/>
              </w:rPr>
            </w:pPr>
            <w:r>
              <w:rPr>
                <w:noProof/>
              </w:rPr>
              <w:t>Ģimenes ārsti, kas uztur elektronisko veselības karti.</w:t>
            </w:r>
          </w:p>
        </w:tc>
      </w:tr>
      <w:tr w:rsidR="00C972CB" w14:paraId="6D2DCC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58178" w14:textId="77777777" w:rsidR="00C972CB" w:rsidRDefault="002457F6">
            <w:pPr>
              <w:pStyle w:val="P68B1DB1-Normal12"/>
              <w:jc w:val="center"/>
              <w:rPr>
                <w:noProof/>
              </w:rPr>
            </w:pPr>
            <w:r>
              <w:rPr>
                <w:noProof/>
              </w:rPr>
              <w:t>M1C3–33</w:t>
            </w:r>
          </w:p>
        </w:tc>
        <w:tc>
          <w:tcPr>
            <w:tcW w:w="3075" w:type="dxa"/>
            <w:tcBorders>
              <w:top w:val="nil"/>
              <w:left w:val="nil"/>
              <w:bottom w:val="single" w:sz="4" w:space="0" w:color="auto"/>
              <w:right w:val="single" w:sz="4" w:space="0" w:color="auto"/>
            </w:tcBorders>
            <w:shd w:val="clear" w:color="auto" w:fill="C6EFCE"/>
            <w:noWrap/>
            <w:vAlign w:val="center"/>
          </w:tcPr>
          <w:p w14:paraId="1824C551" w14:textId="77777777" w:rsidR="00C972CB" w:rsidRDefault="002457F6">
            <w:pPr>
              <w:pStyle w:val="P68B1DB1-Normal12"/>
              <w:jc w:val="center"/>
              <w:rPr>
                <w:noProof/>
              </w:rPr>
            </w:pPr>
            <w:r>
              <w:rPr>
                <w:noProof/>
              </w:rPr>
              <w:t>Ieguldījums. Tūrisma uzņēmumu konkurētspējas fondi</w:t>
            </w:r>
          </w:p>
        </w:tc>
        <w:tc>
          <w:tcPr>
            <w:tcW w:w="1528" w:type="dxa"/>
            <w:tcBorders>
              <w:top w:val="nil"/>
              <w:left w:val="nil"/>
              <w:bottom w:val="single" w:sz="4" w:space="0" w:color="auto"/>
              <w:right w:val="single" w:sz="4" w:space="0" w:color="auto"/>
            </w:tcBorders>
            <w:shd w:val="clear" w:color="auto" w:fill="C6EFCE"/>
            <w:noWrap/>
            <w:vAlign w:val="center"/>
          </w:tcPr>
          <w:p w14:paraId="55B27D7B" w14:textId="77777777" w:rsidR="00C972CB" w:rsidRDefault="002457F6">
            <w:pPr>
              <w:pStyle w:val="P68B1DB1-Normal12"/>
              <w:jc w:val="center"/>
              <w:rPr>
                <w:noProof/>
              </w:rPr>
            </w:pPr>
            <w:r>
              <w:rPr>
                <w:noProof/>
              </w:rPr>
              <w:t>Mērķa</w:t>
            </w:r>
          </w:p>
        </w:tc>
        <w:tc>
          <w:tcPr>
            <w:tcW w:w="4056" w:type="dxa"/>
            <w:tcBorders>
              <w:top w:val="nil"/>
              <w:left w:val="nil"/>
              <w:bottom w:val="single" w:sz="4" w:space="0" w:color="auto"/>
              <w:right w:val="single" w:sz="4" w:space="0" w:color="auto"/>
            </w:tcBorders>
            <w:shd w:val="clear" w:color="auto" w:fill="C6EFCE"/>
            <w:noWrap/>
            <w:vAlign w:val="center"/>
          </w:tcPr>
          <w:p w14:paraId="3B84B558" w14:textId="77777777" w:rsidR="00C972CB" w:rsidRDefault="002457F6">
            <w:pPr>
              <w:pStyle w:val="P68B1DB1-Normal12"/>
              <w:jc w:val="center"/>
              <w:rPr>
                <w:noProof/>
              </w:rPr>
            </w:pPr>
            <w:r>
              <w:rPr>
                <w:noProof/>
              </w:rPr>
              <w:t xml:space="preserve">To uzņēmumu skaits, kuri tiks atbalstīti ar Fondo rotācijas palīdzību (pirmā partija)  </w:t>
            </w:r>
          </w:p>
        </w:tc>
      </w:tr>
      <w:tr w:rsidR="00C972CB" w14:paraId="53CB460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14F583" w14:textId="77777777" w:rsidR="00C972CB" w:rsidRDefault="00C972CB">
            <w:pPr>
              <w:jc w:val="center"/>
              <w:rPr>
                <w:noProof/>
                <w:color w:val="006100"/>
                <w:sz w:val="20"/>
              </w:rPr>
            </w:pPr>
          </w:p>
        </w:tc>
        <w:tc>
          <w:tcPr>
            <w:tcW w:w="3075" w:type="dxa"/>
            <w:tcBorders>
              <w:top w:val="single" w:sz="4" w:space="0" w:color="auto"/>
              <w:left w:val="nil"/>
              <w:bottom w:val="single" w:sz="4" w:space="0" w:color="auto"/>
              <w:right w:val="single" w:sz="4" w:space="0" w:color="auto"/>
            </w:tcBorders>
            <w:shd w:val="clear" w:color="auto" w:fill="C6EFCE"/>
            <w:noWrap/>
            <w:vAlign w:val="bottom"/>
          </w:tcPr>
          <w:p w14:paraId="6C1B5D8E" w14:textId="77777777" w:rsidR="00C972CB" w:rsidRDefault="00C972CB">
            <w:pPr>
              <w:rPr>
                <w:noProof/>
                <w:color w:val="006100"/>
                <w:sz w:val="20"/>
              </w:rPr>
            </w:pPr>
          </w:p>
        </w:tc>
        <w:tc>
          <w:tcPr>
            <w:tcW w:w="1528" w:type="dxa"/>
            <w:tcBorders>
              <w:top w:val="single" w:sz="4" w:space="0" w:color="auto"/>
              <w:left w:val="nil"/>
              <w:bottom w:val="single" w:sz="4" w:space="0" w:color="auto"/>
              <w:right w:val="single" w:sz="4" w:space="0" w:color="auto"/>
            </w:tcBorders>
            <w:shd w:val="clear" w:color="auto" w:fill="C6EFCE"/>
            <w:noWrap/>
            <w:vAlign w:val="bottom"/>
          </w:tcPr>
          <w:p w14:paraId="70E10EEA" w14:textId="77777777" w:rsidR="00C972CB" w:rsidRDefault="002457F6">
            <w:pPr>
              <w:pStyle w:val="P68B1DB1-Normal12"/>
              <w:rPr>
                <w:noProof/>
              </w:rPr>
            </w:pPr>
            <w:r>
              <w:rPr>
                <w:noProof/>
              </w:rPr>
              <w:t>Maksājuma summa</w:t>
            </w:r>
          </w:p>
        </w:tc>
        <w:tc>
          <w:tcPr>
            <w:tcW w:w="4056" w:type="dxa"/>
            <w:tcBorders>
              <w:top w:val="single" w:sz="4" w:space="0" w:color="auto"/>
              <w:left w:val="nil"/>
              <w:bottom w:val="single" w:sz="4" w:space="0" w:color="auto"/>
              <w:right w:val="single" w:sz="4" w:space="0" w:color="auto"/>
            </w:tcBorders>
            <w:shd w:val="clear" w:color="auto" w:fill="C6EFCE"/>
            <w:noWrap/>
            <w:vAlign w:val="bottom"/>
          </w:tcPr>
          <w:p w14:paraId="05060A71" w14:textId="369D54EE" w:rsidR="00C972CB" w:rsidRDefault="002457F6">
            <w:pPr>
              <w:pStyle w:val="P68B1DB1-Normal12"/>
              <w:rPr>
                <w:noProof/>
              </w:rPr>
            </w:pPr>
            <w:r>
              <w:rPr>
                <w:noProof/>
              </w:rPr>
              <w:t>7 118 464 154 EUR</w:t>
            </w:r>
          </w:p>
        </w:tc>
      </w:tr>
    </w:tbl>
    <w:p w14:paraId="559A5619" w14:textId="20CB1ACB" w:rsidR="00C972CB" w:rsidRDefault="002457F6">
      <w:pPr>
        <w:pStyle w:val="P68B1DB1-Normal44"/>
        <w:numPr>
          <w:ilvl w:val="1"/>
          <w:numId w:val="6"/>
        </w:numPr>
        <w:spacing w:before="120" w:after="120"/>
        <w:jc w:val="both"/>
        <w:rPr>
          <w:noProof/>
        </w:rPr>
      </w:pPr>
      <w:r>
        <w:rPr>
          <w:noProof/>
        </w:rPr>
        <w:t>Desmitā daļa (aizdevuma atbalsts):</w:t>
      </w:r>
    </w:p>
    <w:tbl>
      <w:tblPr>
        <w:tblW w:w="10092" w:type="dxa"/>
        <w:tblInd w:w="113" w:type="dxa"/>
        <w:tblLook w:val="04A0" w:firstRow="1" w:lastRow="0" w:firstColumn="1" w:lastColumn="0" w:noHBand="0" w:noVBand="1"/>
      </w:tblPr>
      <w:tblGrid>
        <w:gridCol w:w="1413"/>
        <w:gridCol w:w="3090"/>
        <w:gridCol w:w="1983"/>
        <w:gridCol w:w="4091"/>
      </w:tblGrid>
      <w:tr w:rsidR="00C972CB" w14:paraId="07C6B69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00CAC8" w14:textId="77777777" w:rsidR="00C972CB" w:rsidRDefault="002457F6">
            <w:pPr>
              <w:pStyle w:val="P68B1DB1-Normal45"/>
              <w:jc w:val="center"/>
              <w:rPr>
                <w:noProof/>
              </w:rPr>
            </w:pPr>
            <w:r>
              <w:rPr>
                <w:noProof/>
              </w:rPr>
              <w:t>Kārtas numurs</w:t>
            </w:r>
          </w:p>
        </w:tc>
        <w:tc>
          <w:tcPr>
            <w:tcW w:w="30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04966" w14:textId="77777777" w:rsidR="00C972CB" w:rsidRDefault="002457F6">
            <w:pPr>
              <w:pStyle w:val="P68B1DB1-Normal45"/>
              <w:jc w:val="center"/>
              <w:rPr>
                <w:noProof/>
              </w:rPr>
            </w:pPr>
            <w:r>
              <w:rPr>
                <w:noProof/>
              </w:rPr>
              <w:t>Pasākums (reforma vai investīcija)</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BCB9DF" w14:textId="77777777" w:rsidR="00C972CB" w:rsidRDefault="002457F6">
            <w:pPr>
              <w:pStyle w:val="P68B1DB1-Normal45"/>
              <w:jc w:val="center"/>
              <w:rPr>
                <w:noProof/>
              </w:rPr>
            </w:pPr>
            <w:r>
              <w:rPr>
                <w:noProof/>
              </w:rPr>
              <w:t>Atskaites punkts/mērķrādītājs</w:t>
            </w:r>
          </w:p>
        </w:tc>
        <w:tc>
          <w:tcPr>
            <w:tcW w:w="40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33AED4" w14:textId="77777777" w:rsidR="00C972CB" w:rsidRDefault="002457F6">
            <w:pPr>
              <w:pStyle w:val="P68B1DB1-Normal45"/>
              <w:jc w:val="center"/>
              <w:rPr>
                <w:noProof/>
              </w:rPr>
            </w:pPr>
            <w:r>
              <w:rPr>
                <w:noProof/>
              </w:rPr>
              <w:t>Uzvārds</w:t>
            </w:r>
          </w:p>
        </w:tc>
      </w:tr>
      <w:tr w:rsidR="00C972CB" w14:paraId="097EAB7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575B7A" w14:textId="77777777" w:rsidR="00C972CB" w:rsidRDefault="00C972CB">
            <w:pPr>
              <w:rPr>
                <w:b/>
                <w:noProof/>
              </w:rPr>
            </w:pPr>
          </w:p>
        </w:tc>
        <w:tc>
          <w:tcPr>
            <w:tcW w:w="3090" w:type="dxa"/>
            <w:vMerge/>
            <w:tcBorders>
              <w:top w:val="single" w:sz="4" w:space="0" w:color="auto"/>
              <w:left w:val="single" w:sz="4" w:space="0" w:color="auto"/>
              <w:bottom w:val="single" w:sz="4" w:space="0" w:color="auto"/>
              <w:right w:val="single" w:sz="4" w:space="0" w:color="auto"/>
            </w:tcBorders>
            <w:vAlign w:val="center"/>
            <w:hideMark/>
          </w:tcPr>
          <w:p w14:paraId="4B5D3FFF" w14:textId="77777777" w:rsidR="00C972CB" w:rsidRDefault="00C972CB">
            <w:pPr>
              <w:rPr>
                <w:b/>
                <w:noProof/>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536CEA09" w14:textId="77777777" w:rsidR="00C972CB" w:rsidRDefault="00C972CB">
            <w:pPr>
              <w:rPr>
                <w:b/>
                <w:noProof/>
              </w:rPr>
            </w:pPr>
          </w:p>
        </w:tc>
        <w:tc>
          <w:tcPr>
            <w:tcW w:w="4091" w:type="dxa"/>
            <w:vMerge/>
            <w:tcBorders>
              <w:top w:val="single" w:sz="4" w:space="0" w:color="auto"/>
              <w:left w:val="single" w:sz="4" w:space="0" w:color="auto"/>
              <w:bottom w:val="single" w:sz="4" w:space="0" w:color="auto"/>
              <w:right w:val="single" w:sz="4" w:space="0" w:color="auto"/>
            </w:tcBorders>
            <w:vAlign w:val="center"/>
            <w:hideMark/>
          </w:tcPr>
          <w:p w14:paraId="145B314A" w14:textId="77777777" w:rsidR="00C972CB" w:rsidRDefault="00C972CB">
            <w:pPr>
              <w:rPr>
                <w:b/>
                <w:noProof/>
              </w:rPr>
            </w:pPr>
          </w:p>
        </w:tc>
      </w:tr>
      <w:tr w:rsidR="00C972CB" w14:paraId="264BB02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3D36F" w14:textId="77777777" w:rsidR="00C972CB" w:rsidRDefault="002457F6">
            <w:pPr>
              <w:pStyle w:val="P68B1DB1-Normal12"/>
              <w:jc w:val="center"/>
              <w:rPr>
                <w:noProof/>
              </w:rPr>
            </w:pPr>
            <w:r>
              <w:rPr>
                <w:noProof/>
              </w:rPr>
              <w:t>M1C1–146</w:t>
            </w:r>
          </w:p>
        </w:tc>
        <w:tc>
          <w:tcPr>
            <w:tcW w:w="3090" w:type="dxa"/>
            <w:tcBorders>
              <w:top w:val="single" w:sz="4" w:space="0" w:color="auto"/>
              <w:left w:val="nil"/>
              <w:bottom w:val="single" w:sz="4" w:space="0" w:color="auto"/>
              <w:right w:val="single" w:sz="4" w:space="0" w:color="auto"/>
            </w:tcBorders>
            <w:shd w:val="clear" w:color="auto" w:fill="C6EFCE"/>
            <w:noWrap/>
            <w:vAlign w:val="center"/>
          </w:tcPr>
          <w:p w14:paraId="6B532ACE" w14:textId="77777777" w:rsidR="00C972CB" w:rsidRDefault="002457F6">
            <w:pPr>
              <w:pStyle w:val="P68B1DB1-Normal12"/>
              <w:jc w:val="center"/>
              <w:rPr>
                <w:noProof/>
              </w:rPr>
            </w:pPr>
            <w:r>
              <w:rPr>
                <w:noProof/>
              </w:rPr>
              <w:t xml:space="preserve">Ieguldījums 1.4.4. — Valsts digitālās identitātes platformu (SPID, CIE) un valsts </w:t>
            </w:r>
            <w:r>
              <w:rPr>
                <w:noProof/>
              </w:rPr>
              <w:t>reģistra (ANPR) pieņemšanas paplašināšana</w:t>
            </w:r>
          </w:p>
        </w:tc>
        <w:tc>
          <w:tcPr>
            <w:tcW w:w="1498" w:type="dxa"/>
            <w:tcBorders>
              <w:top w:val="single" w:sz="4" w:space="0" w:color="auto"/>
              <w:left w:val="nil"/>
              <w:bottom w:val="single" w:sz="4" w:space="0" w:color="auto"/>
              <w:right w:val="single" w:sz="4" w:space="0" w:color="auto"/>
            </w:tcBorders>
            <w:shd w:val="clear" w:color="auto" w:fill="C6EFCE"/>
            <w:noWrap/>
            <w:vAlign w:val="center"/>
          </w:tcPr>
          <w:p w14:paraId="709E06BC" w14:textId="77777777" w:rsidR="00C972CB" w:rsidRDefault="002457F6">
            <w:pPr>
              <w:pStyle w:val="P68B1DB1-Normal12"/>
              <w:jc w:val="center"/>
              <w:rPr>
                <w:noProof/>
              </w:rPr>
            </w:pPr>
            <w:r>
              <w:rPr>
                <w:noProof/>
              </w:rPr>
              <w:t>Mērķa</w:t>
            </w:r>
          </w:p>
        </w:tc>
        <w:tc>
          <w:tcPr>
            <w:tcW w:w="4091" w:type="dxa"/>
            <w:tcBorders>
              <w:top w:val="single" w:sz="4" w:space="0" w:color="auto"/>
              <w:left w:val="nil"/>
              <w:bottom w:val="single" w:sz="4" w:space="0" w:color="auto"/>
              <w:right w:val="single" w:sz="4" w:space="0" w:color="auto"/>
            </w:tcBorders>
            <w:shd w:val="clear" w:color="auto" w:fill="C6EFCE"/>
            <w:noWrap/>
            <w:vAlign w:val="center"/>
          </w:tcPr>
          <w:p w14:paraId="79755BB2" w14:textId="77777777" w:rsidR="00C972CB" w:rsidRDefault="002457F6">
            <w:pPr>
              <w:pStyle w:val="P68B1DB1-Normal12"/>
              <w:jc w:val="center"/>
              <w:rPr>
                <w:noProof/>
              </w:rPr>
            </w:pPr>
            <w:r>
              <w:rPr>
                <w:noProof/>
              </w:rPr>
              <w:t>Valsts digitālās identitātes platformas (SPID, CIE) un valsts reģistrs (ANPR)</w:t>
            </w:r>
          </w:p>
        </w:tc>
      </w:tr>
      <w:tr w:rsidR="00C972CB" w14:paraId="66A3FB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B29992" w14:textId="77777777" w:rsidR="00C972CB" w:rsidRDefault="002457F6">
            <w:pPr>
              <w:pStyle w:val="P68B1DB1-Normal12"/>
              <w:jc w:val="center"/>
              <w:rPr>
                <w:noProof/>
              </w:rPr>
            </w:pPr>
            <w:r>
              <w:rPr>
                <w:noProof/>
              </w:rPr>
              <w:t>M2C3–6</w:t>
            </w:r>
          </w:p>
        </w:tc>
        <w:tc>
          <w:tcPr>
            <w:tcW w:w="3090" w:type="dxa"/>
            <w:tcBorders>
              <w:top w:val="nil"/>
              <w:left w:val="nil"/>
              <w:bottom w:val="single" w:sz="4" w:space="0" w:color="auto"/>
              <w:right w:val="single" w:sz="4" w:space="0" w:color="auto"/>
            </w:tcBorders>
            <w:shd w:val="clear" w:color="auto" w:fill="C6EFCE"/>
            <w:noWrap/>
            <w:vAlign w:val="center"/>
          </w:tcPr>
          <w:p w14:paraId="1EBA4D1C" w14:textId="77777777" w:rsidR="00C972CB" w:rsidRDefault="002457F6">
            <w:pPr>
              <w:pStyle w:val="P68B1DB1-Normal12"/>
              <w:jc w:val="center"/>
              <w:rPr>
                <w:noProof/>
              </w:rPr>
            </w:pPr>
            <w:r>
              <w:rPr>
                <w:noProof/>
              </w:rPr>
              <w:t>Ieguldījums 1.1: Jaunu skolu būvniecība ar ēku nomaiņu</w:t>
            </w:r>
          </w:p>
        </w:tc>
        <w:tc>
          <w:tcPr>
            <w:tcW w:w="1498" w:type="dxa"/>
            <w:tcBorders>
              <w:top w:val="nil"/>
              <w:left w:val="nil"/>
              <w:bottom w:val="single" w:sz="4" w:space="0" w:color="auto"/>
              <w:right w:val="single" w:sz="4" w:space="0" w:color="auto"/>
            </w:tcBorders>
            <w:shd w:val="clear" w:color="auto" w:fill="C6EFCE"/>
            <w:noWrap/>
            <w:vAlign w:val="center"/>
          </w:tcPr>
          <w:p w14:paraId="6C2CE13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0C81395" w14:textId="77777777" w:rsidR="00C972CB" w:rsidRDefault="002457F6">
            <w:pPr>
              <w:pStyle w:val="P68B1DB1-Normal12"/>
              <w:jc w:val="center"/>
              <w:rPr>
                <w:noProof/>
              </w:rPr>
            </w:pPr>
            <w:r>
              <w:rPr>
                <w:noProof/>
              </w:rPr>
              <w:t xml:space="preserve">Ēku nomaiņas ceļā tiek uzbūvēti vismaz 400000 kvadrātmetru </w:t>
            </w:r>
            <w:r>
              <w:rPr>
                <w:noProof/>
              </w:rPr>
              <w:t>jaunu skolu.</w:t>
            </w:r>
          </w:p>
        </w:tc>
      </w:tr>
      <w:tr w:rsidR="00C972CB" w14:paraId="7368A2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F3EBBD" w14:textId="77777777" w:rsidR="00C972CB" w:rsidRDefault="002457F6">
            <w:pPr>
              <w:pStyle w:val="P68B1DB1-Normal12"/>
              <w:jc w:val="center"/>
              <w:rPr>
                <w:noProof/>
              </w:rPr>
            </w:pPr>
            <w:r>
              <w:rPr>
                <w:noProof/>
              </w:rPr>
              <w:t>M2C3–8</w:t>
            </w:r>
          </w:p>
        </w:tc>
        <w:tc>
          <w:tcPr>
            <w:tcW w:w="3090" w:type="dxa"/>
            <w:tcBorders>
              <w:top w:val="nil"/>
              <w:left w:val="nil"/>
              <w:bottom w:val="single" w:sz="4" w:space="0" w:color="auto"/>
              <w:right w:val="single" w:sz="4" w:space="0" w:color="auto"/>
            </w:tcBorders>
            <w:shd w:val="clear" w:color="auto" w:fill="C6EFCE"/>
            <w:noWrap/>
            <w:vAlign w:val="center"/>
          </w:tcPr>
          <w:p w14:paraId="17A778C5" w14:textId="77777777" w:rsidR="00C972CB" w:rsidRDefault="002457F6">
            <w:pPr>
              <w:pStyle w:val="P68B1DB1-Normal12"/>
              <w:jc w:val="center"/>
              <w:rPr>
                <w:noProof/>
              </w:rPr>
            </w:pPr>
            <w:r>
              <w:rPr>
                <w:noProof/>
              </w:rPr>
              <w:t>Ieguldījums 1.2.- Ēku būvniecība, nekustamā īpašuma aktīvu pārkvalificēšana un nostiprināšana tiesvedības jomā</w:t>
            </w:r>
          </w:p>
        </w:tc>
        <w:tc>
          <w:tcPr>
            <w:tcW w:w="1498" w:type="dxa"/>
            <w:tcBorders>
              <w:top w:val="nil"/>
              <w:left w:val="nil"/>
              <w:bottom w:val="single" w:sz="4" w:space="0" w:color="auto"/>
              <w:right w:val="single" w:sz="4" w:space="0" w:color="auto"/>
            </w:tcBorders>
            <w:shd w:val="clear" w:color="auto" w:fill="C6EFCE"/>
            <w:noWrap/>
            <w:vAlign w:val="center"/>
          </w:tcPr>
          <w:p w14:paraId="0ED0DF82"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E1B2BB4" w14:textId="77777777" w:rsidR="00C972CB" w:rsidRDefault="002457F6">
            <w:pPr>
              <w:pStyle w:val="P68B1DB1-Normal12"/>
              <w:jc w:val="center"/>
              <w:rPr>
                <w:noProof/>
              </w:rPr>
            </w:pPr>
            <w:r>
              <w:rPr>
                <w:noProof/>
              </w:rPr>
              <w:t>Ēku būvniecība, nekustamā īpašuma aktīvu pārkvalificēšana un nostiprināšana tiesvedības jomā</w:t>
            </w:r>
          </w:p>
        </w:tc>
      </w:tr>
      <w:tr w:rsidR="00C972CB" w14:paraId="7178D5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B601A" w14:textId="77777777" w:rsidR="00C972CB" w:rsidRDefault="002457F6">
            <w:pPr>
              <w:pStyle w:val="P68B1DB1-Normal12"/>
              <w:jc w:val="center"/>
              <w:rPr>
                <w:noProof/>
              </w:rPr>
            </w:pPr>
            <w:r>
              <w:rPr>
                <w:noProof/>
              </w:rPr>
              <w:t>M2C3–10</w:t>
            </w:r>
          </w:p>
        </w:tc>
        <w:tc>
          <w:tcPr>
            <w:tcW w:w="3090" w:type="dxa"/>
            <w:tcBorders>
              <w:top w:val="nil"/>
              <w:left w:val="nil"/>
              <w:bottom w:val="single" w:sz="4" w:space="0" w:color="auto"/>
              <w:right w:val="single" w:sz="4" w:space="0" w:color="auto"/>
            </w:tcBorders>
            <w:shd w:val="clear" w:color="auto" w:fill="C6EFCE"/>
            <w:noWrap/>
            <w:vAlign w:val="center"/>
          </w:tcPr>
          <w:p w14:paraId="6B1283B5" w14:textId="77777777" w:rsidR="00C972CB" w:rsidRDefault="002457F6">
            <w:pPr>
              <w:pStyle w:val="P68B1DB1-Normal12"/>
              <w:jc w:val="center"/>
              <w:rPr>
                <w:noProof/>
              </w:rPr>
            </w:pPr>
            <w:r>
              <w:rPr>
                <w:noProof/>
              </w:rPr>
              <w:t xml:space="preserve">Ieguldījums </w:t>
            </w:r>
            <w:r>
              <w:rPr>
                <w:noProof/>
              </w:rPr>
              <w:t>3.1.: Efektīvas centralizētās siltumapgādes veicināšana</w:t>
            </w:r>
          </w:p>
        </w:tc>
        <w:tc>
          <w:tcPr>
            <w:tcW w:w="1498" w:type="dxa"/>
            <w:tcBorders>
              <w:top w:val="nil"/>
              <w:left w:val="nil"/>
              <w:bottom w:val="single" w:sz="4" w:space="0" w:color="auto"/>
              <w:right w:val="single" w:sz="4" w:space="0" w:color="auto"/>
            </w:tcBorders>
            <w:shd w:val="clear" w:color="auto" w:fill="C6EFCE"/>
            <w:noWrap/>
            <w:vAlign w:val="center"/>
          </w:tcPr>
          <w:p w14:paraId="4053B4C9"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64B4A93" w14:textId="77777777" w:rsidR="00C972CB" w:rsidRDefault="002457F6">
            <w:pPr>
              <w:pStyle w:val="P68B1DB1-Normal12"/>
              <w:jc w:val="center"/>
              <w:rPr>
                <w:noProof/>
              </w:rPr>
            </w:pPr>
            <w:r>
              <w:rPr>
                <w:noProof/>
              </w:rPr>
              <w:t>Centralizētās siltumapgādes tīklu būvniecība vai paplašināšana</w:t>
            </w:r>
          </w:p>
        </w:tc>
      </w:tr>
      <w:tr w:rsidR="00C972CB" w14:paraId="267304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95F449" w14:textId="77777777" w:rsidR="00C972CB" w:rsidRDefault="002457F6">
            <w:pPr>
              <w:pStyle w:val="P68B1DB1-Normal12"/>
              <w:jc w:val="center"/>
              <w:rPr>
                <w:noProof/>
              </w:rPr>
            </w:pPr>
            <w:r>
              <w:rPr>
                <w:noProof/>
              </w:rPr>
              <w:t>M2C4–23</w:t>
            </w:r>
          </w:p>
        </w:tc>
        <w:tc>
          <w:tcPr>
            <w:tcW w:w="3090" w:type="dxa"/>
            <w:tcBorders>
              <w:top w:val="nil"/>
              <w:left w:val="nil"/>
              <w:bottom w:val="single" w:sz="4" w:space="0" w:color="auto"/>
              <w:right w:val="single" w:sz="4" w:space="0" w:color="auto"/>
            </w:tcBorders>
            <w:shd w:val="clear" w:color="auto" w:fill="C6EFCE"/>
            <w:noWrap/>
            <w:vAlign w:val="center"/>
          </w:tcPr>
          <w:p w14:paraId="6AC97A7F" w14:textId="77777777" w:rsidR="00C972CB" w:rsidRDefault="002457F6">
            <w:pPr>
              <w:pStyle w:val="P68B1DB1-Normal12"/>
              <w:jc w:val="center"/>
              <w:rPr>
                <w:noProof/>
              </w:rPr>
            </w:pPr>
            <w:r>
              <w:rPr>
                <w:noProof/>
              </w:rPr>
              <w:t>Ieguldījums. Apgabala atjaunošana</w:t>
            </w:r>
          </w:p>
        </w:tc>
        <w:tc>
          <w:tcPr>
            <w:tcW w:w="1498" w:type="dxa"/>
            <w:tcBorders>
              <w:top w:val="nil"/>
              <w:left w:val="nil"/>
              <w:bottom w:val="single" w:sz="4" w:space="0" w:color="auto"/>
              <w:right w:val="single" w:sz="4" w:space="0" w:color="auto"/>
            </w:tcBorders>
            <w:shd w:val="clear" w:color="auto" w:fill="C6EFCE"/>
            <w:noWrap/>
            <w:vAlign w:val="center"/>
          </w:tcPr>
          <w:p w14:paraId="4E6D3C24"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FA92165" w14:textId="77777777" w:rsidR="00C972CB" w:rsidRDefault="002457F6">
            <w:pPr>
              <w:pStyle w:val="P68B1DB1-Normal12"/>
              <w:jc w:val="center"/>
              <w:rPr>
                <w:noProof/>
              </w:rPr>
            </w:pPr>
            <w:r>
              <w:rPr>
                <w:noProof/>
              </w:rPr>
              <w:t>Upes gultnes mākslīguma samazināšana Po apgabala T2 atjaunošanai</w:t>
            </w:r>
          </w:p>
        </w:tc>
      </w:tr>
      <w:tr w:rsidR="00C972CB" w14:paraId="789C37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76B596" w14:textId="77777777" w:rsidR="00C972CB" w:rsidRDefault="002457F6">
            <w:pPr>
              <w:pStyle w:val="P68B1DB1-Normal12"/>
              <w:jc w:val="center"/>
              <w:rPr>
                <w:noProof/>
              </w:rPr>
            </w:pPr>
            <w:r>
              <w:rPr>
                <w:noProof/>
              </w:rPr>
              <w:t>M2C4–25</w:t>
            </w:r>
          </w:p>
        </w:tc>
        <w:tc>
          <w:tcPr>
            <w:tcW w:w="3090" w:type="dxa"/>
            <w:tcBorders>
              <w:top w:val="nil"/>
              <w:left w:val="nil"/>
              <w:bottom w:val="single" w:sz="4" w:space="0" w:color="auto"/>
              <w:right w:val="single" w:sz="4" w:space="0" w:color="auto"/>
            </w:tcBorders>
            <w:shd w:val="clear" w:color="auto" w:fill="C6EFCE"/>
            <w:noWrap/>
            <w:vAlign w:val="center"/>
          </w:tcPr>
          <w:p w14:paraId="56210705" w14:textId="77777777" w:rsidR="00C972CB" w:rsidRDefault="002457F6">
            <w:pPr>
              <w:pStyle w:val="P68B1DB1-Normal12"/>
              <w:jc w:val="center"/>
              <w:rPr>
                <w:noProof/>
              </w:rPr>
            </w:pPr>
            <w:r>
              <w:rPr>
                <w:noProof/>
              </w:rPr>
              <w:t>Ieguldījums 3.4. “Augsnes remediācija remediācijā”</w:t>
            </w:r>
          </w:p>
        </w:tc>
        <w:tc>
          <w:tcPr>
            <w:tcW w:w="1498" w:type="dxa"/>
            <w:tcBorders>
              <w:top w:val="nil"/>
              <w:left w:val="nil"/>
              <w:bottom w:val="single" w:sz="4" w:space="0" w:color="auto"/>
              <w:right w:val="single" w:sz="4" w:space="0" w:color="auto"/>
            </w:tcBorders>
            <w:shd w:val="clear" w:color="auto" w:fill="C6EFCE"/>
            <w:noWrap/>
            <w:vAlign w:val="center"/>
          </w:tcPr>
          <w:p w14:paraId="4C172840"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2F700C7F" w14:textId="77777777" w:rsidR="00C972CB" w:rsidRDefault="002457F6">
            <w:pPr>
              <w:pStyle w:val="P68B1DB1-Normal12"/>
              <w:jc w:val="center"/>
              <w:rPr>
                <w:noProof/>
              </w:rPr>
            </w:pPr>
            <w:r>
              <w:rPr>
                <w:noProof/>
              </w:rPr>
              <w:t xml:space="preserve">Nezināmu teritoriju atjaunošana </w:t>
            </w:r>
          </w:p>
        </w:tc>
      </w:tr>
      <w:tr w:rsidR="00C972CB" w14:paraId="0B1C33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0B3C9E" w14:textId="77777777" w:rsidR="00C972CB" w:rsidRDefault="002457F6">
            <w:pPr>
              <w:pStyle w:val="P68B1DB1-Normal12"/>
              <w:jc w:val="center"/>
              <w:rPr>
                <w:noProof/>
              </w:rPr>
            </w:pPr>
            <w:r>
              <w:rPr>
                <w:noProof/>
              </w:rPr>
              <w:t>M2C4–29</w:t>
            </w:r>
          </w:p>
        </w:tc>
        <w:tc>
          <w:tcPr>
            <w:tcW w:w="3090" w:type="dxa"/>
            <w:tcBorders>
              <w:top w:val="nil"/>
              <w:left w:val="nil"/>
              <w:bottom w:val="single" w:sz="4" w:space="0" w:color="auto"/>
              <w:right w:val="single" w:sz="4" w:space="0" w:color="auto"/>
            </w:tcBorders>
            <w:shd w:val="clear" w:color="auto" w:fill="C6EFCE"/>
            <w:noWrap/>
            <w:vAlign w:val="center"/>
          </w:tcPr>
          <w:p w14:paraId="76213590" w14:textId="77777777" w:rsidR="00C972CB" w:rsidRDefault="002457F6">
            <w:pPr>
              <w:pStyle w:val="P68B1DB1-Normal12"/>
              <w:jc w:val="center"/>
              <w:rPr>
                <w:noProof/>
              </w:rPr>
            </w:pPr>
            <w:r>
              <w:rPr>
                <w:noProof/>
              </w:rPr>
              <w:t>Ieguldījums 4.1. Ieguldījumi primārās ūdensapgādes infrastruktūrā ūdensapgādes drošībai</w:t>
            </w:r>
          </w:p>
        </w:tc>
        <w:tc>
          <w:tcPr>
            <w:tcW w:w="1498" w:type="dxa"/>
            <w:tcBorders>
              <w:top w:val="nil"/>
              <w:left w:val="nil"/>
              <w:bottom w:val="single" w:sz="4" w:space="0" w:color="auto"/>
              <w:right w:val="single" w:sz="4" w:space="0" w:color="auto"/>
            </w:tcBorders>
            <w:shd w:val="clear" w:color="auto" w:fill="C6EFCE"/>
            <w:noWrap/>
            <w:vAlign w:val="center"/>
          </w:tcPr>
          <w:p w14:paraId="7310D00B"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70A2437" w14:textId="77777777" w:rsidR="00C972CB" w:rsidRDefault="002457F6">
            <w:pPr>
              <w:pStyle w:val="P68B1DB1-Normal12"/>
              <w:jc w:val="center"/>
              <w:rPr>
                <w:noProof/>
              </w:rPr>
            </w:pPr>
            <w:r>
              <w:rPr>
                <w:noProof/>
              </w:rPr>
              <w:t>Ieguldījumi primārās ūdensapgādes infrastruktūrā ūdensapgādes d</w:t>
            </w:r>
            <w:r>
              <w:rPr>
                <w:noProof/>
              </w:rPr>
              <w:t xml:space="preserve">rošībai </w:t>
            </w:r>
          </w:p>
        </w:tc>
      </w:tr>
      <w:tr w:rsidR="00C972CB" w14:paraId="394CE1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95C07" w14:textId="77777777" w:rsidR="00C972CB" w:rsidRDefault="002457F6">
            <w:pPr>
              <w:pStyle w:val="P68B1DB1-Normal12"/>
              <w:jc w:val="center"/>
              <w:rPr>
                <w:noProof/>
              </w:rPr>
            </w:pPr>
            <w:r>
              <w:rPr>
                <w:noProof/>
              </w:rPr>
              <w:t>M2C4–32</w:t>
            </w:r>
          </w:p>
        </w:tc>
        <w:tc>
          <w:tcPr>
            <w:tcW w:w="3090" w:type="dxa"/>
            <w:tcBorders>
              <w:top w:val="nil"/>
              <w:left w:val="nil"/>
              <w:bottom w:val="single" w:sz="4" w:space="0" w:color="auto"/>
              <w:right w:val="single" w:sz="4" w:space="0" w:color="auto"/>
            </w:tcBorders>
            <w:shd w:val="clear" w:color="auto" w:fill="C6EFCE"/>
            <w:noWrap/>
            <w:vAlign w:val="center"/>
          </w:tcPr>
          <w:p w14:paraId="3A7C5BD3" w14:textId="77777777" w:rsidR="00C972CB" w:rsidRDefault="002457F6">
            <w:pPr>
              <w:pStyle w:val="P68B1DB1-Normal12"/>
              <w:jc w:val="center"/>
              <w:rPr>
                <w:noProof/>
              </w:rPr>
            </w:pPr>
            <w:r>
              <w:rPr>
                <w:noProof/>
              </w:rPr>
              <w:t>Ieguldījums 4.2. Zudumu samazināšana ūdens sadales tīklos, tostarp tīklu digitalizācija un monitorings</w:t>
            </w:r>
          </w:p>
        </w:tc>
        <w:tc>
          <w:tcPr>
            <w:tcW w:w="1498" w:type="dxa"/>
            <w:tcBorders>
              <w:top w:val="nil"/>
              <w:left w:val="nil"/>
              <w:bottom w:val="single" w:sz="4" w:space="0" w:color="auto"/>
              <w:right w:val="single" w:sz="4" w:space="0" w:color="auto"/>
            </w:tcBorders>
            <w:shd w:val="clear" w:color="auto" w:fill="C6EFCE"/>
            <w:noWrap/>
            <w:vAlign w:val="center"/>
          </w:tcPr>
          <w:p w14:paraId="4FDB7AFA"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209B40B" w14:textId="77777777" w:rsidR="00C972CB" w:rsidRDefault="002457F6">
            <w:pPr>
              <w:pStyle w:val="P68B1DB1-Normal12"/>
              <w:jc w:val="center"/>
              <w:rPr>
                <w:noProof/>
              </w:rPr>
            </w:pPr>
            <w:r>
              <w:rPr>
                <w:noProof/>
              </w:rPr>
              <w:t>Intervences ūdens sadales tīklos, tostarp tīklu digitalizācija un monitorings T2</w:t>
            </w:r>
          </w:p>
        </w:tc>
      </w:tr>
      <w:tr w:rsidR="00C972CB" w14:paraId="1B885E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2FF33" w14:textId="77777777" w:rsidR="00C972CB" w:rsidRDefault="002457F6">
            <w:pPr>
              <w:pStyle w:val="P68B1DB1-Normal12"/>
              <w:jc w:val="center"/>
              <w:rPr>
                <w:noProof/>
              </w:rPr>
            </w:pPr>
            <w:r>
              <w:rPr>
                <w:noProof/>
              </w:rPr>
              <w:t>M2C4–35.bis</w:t>
            </w:r>
          </w:p>
        </w:tc>
        <w:tc>
          <w:tcPr>
            <w:tcW w:w="3090" w:type="dxa"/>
            <w:tcBorders>
              <w:top w:val="nil"/>
              <w:left w:val="nil"/>
              <w:bottom w:val="single" w:sz="4" w:space="0" w:color="auto"/>
              <w:right w:val="single" w:sz="4" w:space="0" w:color="auto"/>
            </w:tcBorders>
            <w:shd w:val="clear" w:color="auto" w:fill="C6EFCE"/>
            <w:noWrap/>
            <w:vAlign w:val="center"/>
          </w:tcPr>
          <w:p w14:paraId="51E51FF1" w14:textId="77777777" w:rsidR="00C972CB" w:rsidRDefault="002457F6">
            <w:pPr>
              <w:pStyle w:val="P68B1DB1-Normal12"/>
              <w:jc w:val="center"/>
              <w:rPr>
                <w:noProof/>
              </w:rPr>
            </w:pPr>
            <w:r>
              <w:rPr>
                <w:noProof/>
              </w:rPr>
              <w:t xml:space="preserve">Ieguldījums 4.3. Ieguldījumi </w:t>
            </w:r>
            <w:r>
              <w:rPr>
                <w:noProof/>
              </w:rPr>
              <w:t>apūdeņošanas agrosistēmas noturībā labākai ūdens resursu apsaimniekošanai</w:t>
            </w:r>
          </w:p>
        </w:tc>
        <w:tc>
          <w:tcPr>
            <w:tcW w:w="1498" w:type="dxa"/>
            <w:tcBorders>
              <w:top w:val="nil"/>
              <w:left w:val="nil"/>
              <w:bottom w:val="single" w:sz="4" w:space="0" w:color="auto"/>
              <w:right w:val="single" w:sz="4" w:space="0" w:color="auto"/>
            </w:tcBorders>
            <w:shd w:val="clear" w:color="auto" w:fill="C6EFCE"/>
            <w:noWrap/>
            <w:vAlign w:val="center"/>
          </w:tcPr>
          <w:p w14:paraId="5E074747"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84649C1" w14:textId="77777777" w:rsidR="00C972CB" w:rsidRDefault="002457F6">
            <w:pPr>
              <w:pStyle w:val="P68B1DB1-Normal12"/>
              <w:jc w:val="center"/>
              <w:rPr>
                <w:noProof/>
              </w:rPr>
            </w:pPr>
            <w:r>
              <w:rPr>
                <w:noProof/>
              </w:rPr>
              <w:t>Intervences pasākumi apūdeņošanas agrosistēmas noturībai labākai ūdens resursu apsaimniekošanai T2</w:t>
            </w:r>
          </w:p>
        </w:tc>
      </w:tr>
      <w:tr w:rsidR="00C972CB" w14:paraId="701502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A1626E" w14:textId="77777777" w:rsidR="00C972CB" w:rsidRDefault="002457F6">
            <w:pPr>
              <w:pStyle w:val="P68B1DB1-Normal12"/>
              <w:jc w:val="center"/>
              <w:rPr>
                <w:noProof/>
              </w:rPr>
            </w:pPr>
            <w:r>
              <w:rPr>
                <w:noProof/>
              </w:rPr>
              <w:t>M2C4–38</w:t>
            </w:r>
          </w:p>
        </w:tc>
        <w:tc>
          <w:tcPr>
            <w:tcW w:w="3090" w:type="dxa"/>
            <w:tcBorders>
              <w:top w:val="nil"/>
              <w:left w:val="nil"/>
              <w:bottom w:val="single" w:sz="4" w:space="0" w:color="auto"/>
              <w:right w:val="single" w:sz="4" w:space="0" w:color="auto"/>
            </w:tcBorders>
            <w:shd w:val="clear" w:color="auto" w:fill="C6EFCE"/>
            <w:noWrap/>
            <w:vAlign w:val="center"/>
          </w:tcPr>
          <w:p w14:paraId="1F49E9CF" w14:textId="77777777" w:rsidR="00C972CB" w:rsidRDefault="002457F6">
            <w:pPr>
              <w:pStyle w:val="P68B1DB1-Normal12"/>
              <w:jc w:val="center"/>
              <w:rPr>
                <w:noProof/>
              </w:rPr>
            </w:pPr>
            <w:r>
              <w:rPr>
                <w:noProof/>
              </w:rPr>
              <w:t>Ieguldījums 4.4. Ieguldījumi kanalizācijā un attīrīšanā</w:t>
            </w:r>
          </w:p>
        </w:tc>
        <w:tc>
          <w:tcPr>
            <w:tcW w:w="1498" w:type="dxa"/>
            <w:tcBorders>
              <w:top w:val="nil"/>
              <w:left w:val="nil"/>
              <w:bottom w:val="single" w:sz="4" w:space="0" w:color="auto"/>
              <w:right w:val="single" w:sz="4" w:space="0" w:color="auto"/>
            </w:tcBorders>
            <w:shd w:val="clear" w:color="auto" w:fill="C6EFCE"/>
            <w:noWrap/>
            <w:vAlign w:val="center"/>
          </w:tcPr>
          <w:p w14:paraId="719B677D"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1DE1693" w14:textId="77777777" w:rsidR="00C972CB" w:rsidRDefault="002457F6">
            <w:pPr>
              <w:pStyle w:val="P68B1DB1-Normal12"/>
              <w:jc w:val="center"/>
              <w:rPr>
                <w:noProof/>
              </w:rPr>
            </w:pPr>
            <w:r>
              <w:rPr>
                <w:noProof/>
              </w:rPr>
              <w:t>Kanali</w:t>
            </w:r>
            <w:r>
              <w:rPr>
                <w:noProof/>
              </w:rPr>
              <w:t>zācija un attīrīšana T2</w:t>
            </w:r>
          </w:p>
        </w:tc>
      </w:tr>
      <w:tr w:rsidR="00C972CB" w14:paraId="52B970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C227C" w14:textId="77777777" w:rsidR="00C972CB" w:rsidRDefault="002457F6">
            <w:pPr>
              <w:pStyle w:val="P68B1DB1-Normal12"/>
              <w:jc w:val="center"/>
              <w:rPr>
                <w:noProof/>
              </w:rPr>
            </w:pPr>
            <w:r>
              <w:rPr>
                <w:noProof/>
              </w:rPr>
              <w:t>M5C2–20</w:t>
            </w:r>
          </w:p>
        </w:tc>
        <w:tc>
          <w:tcPr>
            <w:tcW w:w="3090" w:type="dxa"/>
            <w:tcBorders>
              <w:top w:val="nil"/>
              <w:left w:val="nil"/>
              <w:bottom w:val="single" w:sz="4" w:space="0" w:color="auto"/>
              <w:right w:val="single" w:sz="4" w:space="0" w:color="auto"/>
            </w:tcBorders>
            <w:shd w:val="clear" w:color="auto" w:fill="C6EFCE"/>
            <w:noWrap/>
            <w:vAlign w:val="center"/>
          </w:tcPr>
          <w:p w14:paraId="7993E31C" w14:textId="77777777" w:rsidR="00C972CB" w:rsidRDefault="002457F6">
            <w:pPr>
              <w:pStyle w:val="P68B1DB1-Normal12"/>
              <w:jc w:val="center"/>
              <w:rPr>
                <w:noProof/>
              </w:rPr>
            </w:pPr>
            <w:r>
              <w:rPr>
                <w:noProof/>
              </w:rPr>
              <w:t>Ieguldījums — Inovācijas programma mājokļu kvalitātei</w:t>
            </w:r>
          </w:p>
        </w:tc>
        <w:tc>
          <w:tcPr>
            <w:tcW w:w="1498" w:type="dxa"/>
            <w:tcBorders>
              <w:top w:val="nil"/>
              <w:left w:val="nil"/>
              <w:bottom w:val="single" w:sz="4" w:space="0" w:color="auto"/>
              <w:right w:val="single" w:sz="4" w:space="0" w:color="auto"/>
            </w:tcBorders>
            <w:shd w:val="clear" w:color="auto" w:fill="C6EFCE"/>
            <w:noWrap/>
            <w:vAlign w:val="center"/>
          </w:tcPr>
          <w:p w14:paraId="397C90F3"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AD183C7" w14:textId="77777777" w:rsidR="00C972CB" w:rsidRDefault="002457F6">
            <w:pPr>
              <w:pStyle w:val="P68B1DB1-Normal12"/>
              <w:jc w:val="center"/>
              <w:rPr>
                <w:noProof/>
              </w:rPr>
            </w:pPr>
            <w:r>
              <w:rPr>
                <w:noProof/>
              </w:rPr>
              <w:t>Atbalstīto dzīvojamo vienību skaits (gan būvniecības, gan rehabilitācijas ziņā) un atbalstīto sabiedrisko vietu kvadrātmetros</w:t>
            </w:r>
          </w:p>
        </w:tc>
      </w:tr>
      <w:tr w:rsidR="00C972CB" w14:paraId="7E8D3D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27D244" w14:textId="77777777" w:rsidR="00C972CB" w:rsidRDefault="002457F6">
            <w:pPr>
              <w:pStyle w:val="P68B1DB1-Normal12"/>
              <w:jc w:val="center"/>
              <w:rPr>
                <w:noProof/>
              </w:rPr>
            </w:pPr>
            <w:r>
              <w:rPr>
                <w:noProof/>
              </w:rPr>
              <w:t>M1C1–147</w:t>
            </w:r>
          </w:p>
        </w:tc>
        <w:tc>
          <w:tcPr>
            <w:tcW w:w="3090" w:type="dxa"/>
            <w:tcBorders>
              <w:top w:val="nil"/>
              <w:left w:val="nil"/>
              <w:bottom w:val="single" w:sz="4" w:space="0" w:color="auto"/>
              <w:right w:val="single" w:sz="4" w:space="0" w:color="auto"/>
            </w:tcBorders>
            <w:shd w:val="clear" w:color="auto" w:fill="C6EFCE"/>
            <w:noWrap/>
            <w:vAlign w:val="center"/>
          </w:tcPr>
          <w:p w14:paraId="25BA43FC" w14:textId="77777777" w:rsidR="00C972CB" w:rsidRDefault="002457F6">
            <w:pPr>
              <w:pStyle w:val="P68B1DB1-Normal12"/>
              <w:jc w:val="center"/>
              <w:rPr>
                <w:noProof/>
              </w:rPr>
            </w:pPr>
            <w:r>
              <w:rPr>
                <w:noProof/>
              </w:rPr>
              <w:t xml:space="preserve">Ieguldījums 1.2 — </w:t>
            </w:r>
            <w:r>
              <w:rPr>
                <w:noProof/>
              </w:rPr>
              <w:t>Mākoņdatošanas iespējas vietējai Palestīniešu pašpārvaldei</w:t>
            </w:r>
          </w:p>
        </w:tc>
        <w:tc>
          <w:tcPr>
            <w:tcW w:w="1498" w:type="dxa"/>
            <w:tcBorders>
              <w:top w:val="nil"/>
              <w:left w:val="nil"/>
              <w:bottom w:val="single" w:sz="4" w:space="0" w:color="auto"/>
              <w:right w:val="single" w:sz="4" w:space="0" w:color="auto"/>
            </w:tcBorders>
            <w:shd w:val="clear" w:color="auto" w:fill="C6EFCE"/>
            <w:noWrap/>
            <w:vAlign w:val="center"/>
          </w:tcPr>
          <w:p w14:paraId="75CEE6BF"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D77232D" w14:textId="77777777" w:rsidR="00C972CB" w:rsidRDefault="002457F6">
            <w:pPr>
              <w:pStyle w:val="P68B1DB1-Normal12"/>
              <w:jc w:val="center"/>
              <w:rPr>
                <w:noProof/>
              </w:rPr>
            </w:pPr>
            <w:r>
              <w:rPr>
                <w:noProof/>
              </w:rPr>
              <w:t>Mākoņa iespējošana vietējai valsts pārvaldei T2</w:t>
            </w:r>
          </w:p>
        </w:tc>
      </w:tr>
      <w:tr w:rsidR="00C972CB" w14:paraId="174876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D54A2" w14:textId="77777777" w:rsidR="00C972CB" w:rsidRDefault="002457F6">
            <w:pPr>
              <w:pStyle w:val="P68B1DB1-Normal12"/>
              <w:jc w:val="center"/>
              <w:rPr>
                <w:noProof/>
              </w:rPr>
            </w:pPr>
            <w:r>
              <w:rPr>
                <w:noProof/>
              </w:rPr>
              <w:t>M1C1–148</w:t>
            </w:r>
          </w:p>
        </w:tc>
        <w:tc>
          <w:tcPr>
            <w:tcW w:w="3090" w:type="dxa"/>
            <w:tcBorders>
              <w:top w:val="nil"/>
              <w:left w:val="nil"/>
              <w:bottom w:val="single" w:sz="4" w:space="0" w:color="auto"/>
              <w:right w:val="single" w:sz="4" w:space="0" w:color="auto"/>
            </w:tcBorders>
            <w:shd w:val="clear" w:color="auto" w:fill="C6EFCE"/>
            <w:noWrap/>
            <w:vAlign w:val="center"/>
          </w:tcPr>
          <w:p w14:paraId="62248B83" w14:textId="77777777" w:rsidR="00C972CB" w:rsidRDefault="002457F6">
            <w:pPr>
              <w:pStyle w:val="P68B1DB1-Normal12"/>
              <w:jc w:val="center"/>
              <w:rPr>
                <w:noProof/>
              </w:rPr>
            </w:pPr>
            <w:r>
              <w:rPr>
                <w:noProof/>
              </w:rPr>
              <w:t>Ieguldījums 1.4.1. Pilsoņu pieredze — digitālo publisko pakalpojumu kvalitātes un lietojamības uzlabošana</w:t>
            </w:r>
          </w:p>
        </w:tc>
        <w:tc>
          <w:tcPr>
            <w:tcW w:w="1498" w:type="dxa"/>
            <w:tcBorders>
              <w:top w:val="nil"/>
              <w:left w:val="nil"/>
              <w:bottom w:val="single" w:sz="4" w:space="0" w:color="auto"/>
              <w:right w:val="single" w:sz="4" w:space="0" w:color="auto"/>
            </w:tcBorders>
            <w:shd w:val="clear" w:color="auto" w:fill="C6EFCE"/>
            <w:noWrap/>
            <w:vAlign w:val="center"/>
          </w:tcPr>
          <w:p w14:paraId="2F09176D"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AD48D96" w14:textId="77777777" w:rsidR="00C972CB" w:rsidRDefault="002457F6">
            <w:pPr>
              <w:pStyle w:val="P68B1DB1-Normal12"/>
              <w:jc w:val="center"/>
              <w:rPr>
                <w:noProof/>
              </w:rPr>
            </w:pPr>
            <w:r>
              <w:rPr>
                <w:noProof/>
              </w:rPr>
              <w:t>Digitālo publisko pak</w:t>
            </w:r>
            <w:r>
              <w:rPr>
                <w:noProof/>
              </w:rPr>
              <w:t>alpojumu kvalitātes un lietojamības uzlabošana T2</w:t>
            </w:r>
          </w:p>
        </w:tc>
      </w:tr>
      <w:tr w:rsidR="00C972CB" w14:paraId="48A9F3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074E38" w14:textId="77777777" w:rsidR="00C972CB" w:rsidRDefault="002457F6">
            <w:pPr>
              <w:pStyle w:val="P68B1DB1-Normal12"/>
              <w:jc w:val="center"/>
              <w:rPr>
                <w:noProof/>
              </w:rPr>
            </w:pPr>
            <w:r>
              <w:rPr>
                <w:noProof/>
              </w:rPr>
              <w:t>M1C1–149</w:t>
            </w:r>
          </w:p>
        </w:tc>
        <w:tc>
          <w:tcPr>
            <w:tcW w:w="3090" w:type="dxa"/>
            <w:tcBorders>
              <w:top w:val="nil"/>
              <w:left w:val="nil"/>
              <w:bottom w:val="single" w:sz="4" w:space="0" w:color="auto"/>
              <w:right w:val="single" w:sz="4" w:space="0" w:color="auto"/>
            </w:tcBorders>
            <w:shd w:val="clear" w:color="auto" w:fill="C6EFCE"/>
            <w:noWrap/>
            <w:vAlign w:val="center"/>
          </w:tcPr>
          <w:p w14:paraId="7D50984D" w14:textId="77777777" w:rsidR="00C972CB" w:rsidRDefault="002457F6">
            <w:pPr>
              <w:pStyle w:val="P68B1DB1-Normal12"/>
              <w:jc w:val="center"/>
              <w:rPr>
                <w:noProof/>
              </w:rPr>
            </w:pPr>
            <w:r>
              <w:rPr>
                <w:noProof/>
              </w:rPr>
              <w:t>Ieguldījums 1.4.3. PagoPA platformas pakalpojumu un lietotnes “IO” pieņemšana</w:t>
            </w:r>
          </w:p>
        </w:tc>
        <w:tc>
          <w:tcPr>
            <w:tcW w:w="1498" w:type="dxa"/>
            <w:tcBorders>
              <w:top w:val="nil"/>
              <w:left w:val="nil"/>
              <w:bottom w:val="single" w:sz="4" w:space="0" w:color="auto"/>
              <w:right w:val="single" w:sz="4" w:space="0" w:color="auto"/>
            </w:tcBorders>
            <w:shd w:val="clear" w:color="auto" w:fill="C6EFCE"/>
            <w:noWrap/>
            <w:vAlign w:val="center"/>
          </w:tcPr>
          <w:p w14:paraId="17EFB9A3"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2B158D6" w14:textId="77777777" w:rsidR="00C972CB" w:rsidRDefault="002457F6">
            <w:pPr>
              <w:pStyle w:val="P68B1DB1-Normal12"/>
              <w:jc w:val="center"/>
              <w:rPr>
                <w:noProof/>
              </w:rPr>
            </w:pPr>
            <w:r>
              <w:rPr>
                <w:noProof/>
              </w:rPr>
              <w:t>PagoPA platformas pakalpojumu ieviešanas paplašināšana T2</w:t>
            </w:r>
          </w:p>
        </w:tc>
      </w:tr>
      <w:tr w:rsidR="00C972CB" w14:paraId="2720BD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F0E141" w14:textId="77777777" w:rsidR="00C972CB" w:rsidRDefault="002457F6">
            <w:pPr>
              <w:pStyle w:val="P68B1DB1-Normal12"/>
              <w:jc w:val="center"/>
              <w:rPr>
                <w:noProof/>
              </w:rPr>
            </w:pPr>
            <w:r>
              <w:rPr>
                <w:noProof/>
              </w:rPr>
              <w:t>M1C1–150</w:t>
            </w:r>
          </w:p>
        </w:tc>
        <w:tc>
          <w:tcPr>
            <w:tcW w:w="3090" w:type="dxa"/>
            <w:tcBorders>
              <w:top w:val="nil"/>
              <w:left w:val="nil"/>
              <w:bottom w:val="single" w:sz="4" w:space="0" w:color="auto"/>
              <w:right w:val="single" w:sz="4" w:space="0" w:color="auto"/>
            </w:tcBorders>
            <w:shd w:val="clear" w:color="auto" w:fill="C6EFCE"/>
            <w:noWrap/>
            <w:vAlign w:val="center"/>
          </w:tcPr>
          <w:p w14:paraId="45FE5893" w14:textId="77777777" w:rsidR="00C972CB" w:rsidRDefault="002457F6">
            <w:pPr>
              <w:pStyle w:val="P68B1DB1-Normal12"/>
              <w:jc w:val="center"/>
              <w:rPr>
                <w:noProof/>
              </w:rPr>
            </w:pPr>
            <w:r>
              <w:rPr>
                <w:noProof/>
              </w:rPr>
              <w:t xml:space="preserve">Ieguldījums 1.4.3. PagoPA platformas </w:t>
            </w:r>
            <w:r>
              <w:rPr>
                <w:noProof/>
              </w:rPr>
              <w:t>pakalpojumu un lietotnes “IO” pieņemšana</w:t>
            </w:r>
          </w:p>
        </w:tc>
        <w:tc>
          <w:tcPr>
            <w:tcW w:w="1498" w:type="dxa"/>
            <w:tcBorders>
              <w:top w:val="nil"/>
              <w:left w:val="nil"/>
              <w:bottom w:val="single" w:sz="4" w:space="0" w:color="auto"/>
              <w:right w:val="single" w:sz="4" w:space="0" w:color="auto"/>
            </w:tcBorders>
            <w:shd w:val="clear" w:color="auto" w:fill="C6EFCE"/>
            <w:noWrap/>
            <w:vAlign w:val="center"/>
          </w:tcPr>
          <w:p w14:paraId="4998D0B3"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68B3FF1" w14:textId="77777777" w:rsidR="00C972CB" w:rsidRDefault="002457F6">
            <w:pPr>
              <w:pStyle w:val="P68B1DB1-Normal12"/>
              <w:jc w:val="center"/>
              <w:rPr>
                <w:noProof/>
              </w:rPr>
            </w:pPr>
            <w:r>
              <w:rPr>
                <w:noProof/>
              </w:rPr>
              <w:t>“IO” lietotnes T2 pieņemšana</w:t>
            </w:r>
          </w:p>
        </w:tc>
      </w:tr>
      <w:tr w:rsidR="00C972CB" w14:paraId="2E8920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0032B2" w14:textId="77777777" w:rsidR="00C972CB" w:rsidRDefault="002457F6">
            <w:pPr>
              <w:pStyle w:val="P68B1DB1-Normal12"/>
              <w:jc w:val="center"/>
              <w:rPr>
                <w:noProof/>
              </w:rPr>
            </w:pPr>
            <w:r>
              <w:rPr>
                <w:noProof/>
              </w:rPr>
              <w:t>M1C1–151</w:t>
            </w:r>
          </w:p>
        </w:tc>
        <w:tc>
          <w:tcPr>
            <w:tcW w:w="3090" w:type="dxa"/>
            <w:tcBorders>
              <w:top w:val="nil"/>
              <w:left w:val="nil"/>
              <w:bottom w:val="single" w:sz="4" w:space="0" w:color="auto"/>
              <w:right w:val="single" w:sz="4" w:space="0" w:color="auto"/>
            </w:tcBorders>
            <w:shd w:val="clear" w:color="auto" w:fill="C6EFCE"/>
            <w:noWrap/>
            <w:vAlign w:val="center"/>
          </w:tcPr>
          <w:p w14:paraId="58A5B440" w14:textId="77777777" w:rsidR="00C972CB" w:rsidRDefault="002457F6">
            <w:pPr>
              <w:pStyle w:val="P68B1DB1-Normal12"/>
              <w:jc w:val="center"/>
              <w:rPr>
                <w:noProof/>
              </w:rPr>
            </w:pPr>
            <w:r>
              <w:rPr>
                <w:noProof/>
              </w:rPr>
              <w:t>Ieguldījums 1.4.5. Publisko paziņojumu digitalizācija</w:t>
            </w:r>
          </w:p>
        </w:tc>
        <w:tc>
          <w:tcPr>
            <w:tcW w:w="1498" w:type="dxa"/>
            <w:tcBorders>
              <w:top w:val="nil"/>
              <w:left w:val="nil"/>
              <w:bottom w:val="single" w:sz="4" w:space="0" w:color="auto"/>
              <w:right w:val="single" w:sz="4" w:space="0" w:color="auto"/>
            </w:tcBorders>
            <w:shd w:val="clear" w:color="auto" w:fill="C6EFCE"/>
            <w:noWrap/>
            <w:vAlign w:val="center"/>
          </w:tcPr>
          <w:p w14:paraId="6800D01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23B0DB2" w14:textId="77777777" w:rsidR="00C972CB" w:rsidRDefault="002457F6">
            <w:pPr>
              <w:pStyle w:val="P68B1DB1-Normal12"/>
              <w:jc w:val="center"/>
              <w:rPr>
                <w:noProof/>
              </w:rPr>
            </w:pPr>
            <w:r>
              <w:rPr>
                <w:noProof/>
              </w:rPr>
              <w:t>Digitālo publisko paziņojumu T2 pieņemšanas paplašināšana</w:t>
            </w:r>
          </w:p>
        </w:tc>
      </w:tr>
      <w:tr w:rsidR="00C972CB" w14:paraId="2DB36D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75F77" w14:textId="77777777" w:rsidR="00C972CB" w:rsidRDefault="002457F6">
            <w:pPr>
              <w:pStyle w:val="P68B1DB1-Normal12"/>
              <w:jc w:val="center"/>
              <w:rPr>
                <w:noProof/>
              </w:rPr>
            </w:pPr>
            <w:r>
              <w:rPr>
                <w:noProof/>
              </w:rPr>
              <w:t>M1C1–152</w:t>
            </w:r>
          </w:p>
        </w:tc>
        <w:tc>
          <w:tcPr>
            <w:tcW w:w="3090" w:type="dxa"/>
            <w:tcBorders>
              <w:top w:val="nil"/>
              <w:left w:val="nil"/>
              <w:bottom w:val="single" w:sz="4" w:space="0" w:color="auto"/>
              <w:right w:val="single" w:sz="4" w:space="0" w:color="auto"/>
            </w:tcBorders>
            <w:shd w:val="clear" w:color="auto" w:fill="C6EFCE"/>
            <w:noWrap/>
            <w:vAlign w:val="center"/>
          </w:tcPr>
          <w:p w14:paraId="790640C1" w14:textId="77777777" w:rsidR="00C972CB" w:rsidRDefault="002457F6">
            <w:pPr>
              <w:pStyle w:val="P68B1DB1-Normal12"/>
              <w:jc w:val="center"/>
              <w:rPr>
                <w:noProof/>
              </w:rPr>
            </w:pPr>
            <w:r>
              <w:rPr>
                <w:noProof/>
              </w:rPr>
              <w:t>Ieguldījums 1.6.1. — Iekšlietu ministrijas</w:t>
            </w:r>
            <w:r>
              <w:rPr>
                <w:noProof/>
              </w:rPr>
              <w:t xml:space="preserve"> digitalizācija</w:t>
            </w:r>
          </w:p>
        </w:tc>
        <w:tc>
          <w:tcPr>
            <w:tcW w:w="1498" w:type="dxa"/>
            <w:tcBorders>
              <w:top w:val="nil"/>
              <w:left w:val="nil"/>
              <w:bottom w:val="single" w:sz="4" w:space="0" w:color="auto"/>
              <w:right w:val="single" w:sz="4" w:space="0" w:color="auto"/>
            </w:tcBorders>
            <w:shd w:val="clear" w:color="auto" w:fill="C6EFCE"/>
            <w:noWrap/>
            <w:vAlign w:val="center"/>
          </w:tcPr>
          <w:p w14:paraId="7FEF14DC"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20039BB" w14:textId="77777777" w:rsidR="00C972CB" w:rsidRDefault="002457F6">
            <w:pPr>
              <w:pStyle w:val="P68B1DB1-Normal12"/>
              <w:jc w:val="center"/>
              <w:rPr>
                <w:noProof/>
              </w:rPr>
            </w:pPr>
            <w:r>
              <w:rPr>
                <w:noProof/>
              </w:rPr>
              <w:t>Iekšlietu ministrija — pilnīgi pārbūvēti un digitalizēti procesi T2</w:t>
            </w:r>
          </w:p>
        </w:tc>
      </w:tr>
      <w:tr w:rsidR="00C972CB" w14:paraId="412125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7D055E" w14:textId="77777777" w:rsidR="00C972CB" w:rsidRDefault="002457F6">
            <w:pPr>
              <w:pStyle w:val="P68B1DB1-Normal12"/>
              <w:jc w:val="center"/>
              <w:rPr>
                <w:noProof/>
              </w:rPr>
            </w:pPr>
            <w:r>
              <w:rPr>
                <w:noProof/>
              </w:rPr>
              <w:t>M1C1–153</w:t>
            </w:r>
          </w:p>
        </w:tc>
        <w:tc>
          <w:tcPr>
            <w:tcW w:w="3090" w:type="dxa"/>
            <w:tcBorders>
              <w:top w:val="nil"/>
              <w:left w:val="nil"/>
              <w:bottom w:val="single" w:sz="4" w:space="0" w:color="auto"/>
              <w:right w:val="single" w:sz="4" w:space="0" w:color="auto"/>
            </w:tcBorders>
            <w:shd w:val="clear" w:color="auto" w:fill="C6EFCE"/>
            <w:noWrap/>
            <w:vAlign w:val="center"/>
          </w:tcPr>
          <w:p w14:paraId="7243CBA0" w14:textId="77777777" w:rsidR="00C972CB" w:rsidRDefault="002457F6">
            <w:pPr>
              <w:pStyle w:val="P68B1DB1-Normal12"/>
              <w:jc w:val="center"/>
              <w:rPr>
                <w:noProof/>
              </w:rPr>
            </w:pPr>
            <w:r>
              <w:rPr>
                <w:noProof/>
              </w:rPr>
              <w:t>Ieguldījums 1.6.2. — Tieslietu ministrijas digitalizācija</w:t>
            </w:r>
          </w:p>
        </w:tc>
        <w:tc>
          <w:tcPr>
            <w:tcW w:w="1498" w:type="dxa"/>
            <w:tcBorders>
              <w:top w:val="nil"/>
              <w:left w:val="nil"/>
              <w:bottom w:val="single" w:sz="4" w:space="0" w:color="auto"/>
              <w:right w:val="single" w:sz="4" w:space="0" w:color="auto"/>
            </w:tcBorders>
            <w:shd w:val="clear" w:color="auto" w:fill="C6EFCE"/>
            <w:noWrap/>
            <w:vAlign w:val="center"/>
          </w:tcPr>
          <w:p w14:paraId="2DE7A938"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2B5398FE" w14:textId="77777777" w:rsidR="00C972CB" w:rsidRDefault="002457F6">
            <w:pPr>
              <w:pStyle w:val="P68B1DB1-Normal12"/>
              <w:jc w:val="center"/>
              <w:rPr>
                <w:noProof/>
              </w:rPr>
            </w:pPr>
            <w:r>
              <w:rPr>
                <w:noProof/>
              </w:rPr>
              <w:t>Digitalizētas tiesu lietas T2</w:t>
            </w:r>
          </w:p>
        </w:tc>
      </w:tr>
      <w:tr w:rsidR="00C972CB" w14:paraId="33FBF2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A21EA6" w14:textId="77777777" w:rsidR="00C972CB" w:rsidRDefault="002457F6">
            <w:pPr>
              <w:pStyle w:val="P68B1DB1-Normal12"/>
              <w:jc w:val="center"/>
              <w:rPr>
                <w:noProof/>
              </w:rPr>
            </w:pPr>
            <w:r>
              <w:rPr>
                <w:noProof/>
              </w:rPr>
              <w:t>M1C1–154</w:t>
            </w:r>
          </w:p>
        </w:tc>
        <w:tc>
          <w:tcPr>
            <w:tcW w:w="3090" w:type="dxa"/>
            <w:tcBorders>
              <w:top w:val="nil"/>
              <w:left w:val="nil"/>
              <w:bottom w:val="single" w:sz="4" w:space="0" w:color="auto"/>
              <w:right w:val="single" w:sz="4" w:space="0" w:color="auto"/>
            </w:tcBorders>
            <w:shd w:val="clear" w:color="auto" w:fill="C6EFCE"/>
            <w:noWrap/>
            <w:vAlign w:val="center"/>
          </w:tcPr>
          <w:p w14:paraId="797E87F0" w14:textId="77777777" w:rsidR="00C972CB" w:rsidRDefault="002457F6">
            <w:pPr>
              <w:pStyle w:val="P68B1DB1-Normal12"/>
              <w:jc w:val="center"/>
              <w:rPr>
                <w:noProof/>
              </w:rPr>
            </w:pPr>
            <w:r>
              <w:rPr>
                <w:noProof/>
              </w:rPr>
              <w:t>Ieguldījums 1.6.2. — Tieslietu ministrijas digitaliz</w:t>
            </w:r>
            <w:r>
              <w:rPr>
                <w:noProof/>
              </w:rPr>
              <w:t>ācija</w:t>
            </w:r>
          </w:p>
        </w:tc>
        <w:tc>
          <w:tcPr>
            <w:tcW w:w="1498" w:type="dxa"/>
            <w:tcBorders>
              <w:top w:val="nil"/>
              <w:left w:val="nil"/>
              <w:bottom w:val="single" w:sz="4" w:space="0" w:color="auto"/>
              <w:right w:val="single" w:sz="4" w:space="0" w:color="auto"/>
            </w:tcBorders>
            <w:shd w:val="clear" w:color="auto" w:fill="C6EFCE"/>
            <w:noWrap/>
            <w:vAlign w:val="center"/>
          </w:tcPr>
          <w:p w14:paraId="063206E4"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83F0051" w14:textId="77777777" w:rsidR="00C972CB" w:rsidRDefault="002457F6">
            <w:pPr>
              <w:pStyle w:val="P68B1DB1-Normal12"/>
              <w:jc w:val="center"/>
              <w:rPr>
                <w:noProof/>
              </w:rPr>
            </w:pPr>
            <w:r>
              <w:rPr>
                <w:noProof/>
              </w:rPr>
              <w:t>Tiesu datu ezera zināšanu sistēmas T2</w:t>
            </w:r>
          </w:p>
        </w:tc>
      </w:tr>
      <w:tr w:rsidR="00C972CB" w14:paraId="13888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9A9D9C" w14:textId="77777777" w:rsidR="00C972CB" w:rsidRDefault="002457F6">
            <w:pPr>
              <w:pStyle w:val="P68B1DB1-Normal12"/>
              <w:jc w:val="center"/>
              <w:rPr>
                <w:noProof/>
              </w:rPr>
            </w:pPr>
            <w:r>
              <w:rPr>
                <w:noProof/>
              </w:rPr>
              <w:t>M1C1–155</w:t>
            </w:r>
          </w:p>
        </w:tc>
        <w:tc>
          <w:tcPr>
            <w:tcW w:w="3090" w:type="dxa"/>
            <w:tcBorders>
              <w:top w:val="nil"/>
              <w:left w:val="nil"/>
              <w:bottom w:val="single" w:sz="4" w:space="0" w:color="auto"/>
              <w:right w:val="single" w:sz="4" w:space="0" w:color="auto"/>
            </w:tcBorders>
            <w:shd w:val="clear" w:color="auto" w:fill="C6EFCE"/>
            <w:noWrap/>
            <w:vAlign w:val="center"/>
          </w:tcPr>
          <w:p w14:paraId="3D9D48AE" w14:textId="77777777" w:rsidR="00C972CB" w:rsidRDefault="002457F6">
            <w:pPr>
              <w:pStyle w:val="P68B1DB1-Normal12"/>
              <w:jc w:val="center"/>
              <w:rPr>
                <w:noProof/>
              </w:rPr>
            </w:pPr>
            <w:r>
              <w:rPr>
                <w:noProof/>
              </w:rPr>
              <w:t>Ieguldījums 1.6.3. — Valsts sociālā nodrošinājuma institūta (INPS) un Valsts apdrošināšanas institūta pret nelaimes gadījumiem darbā (INAIL) digitalizācija</w:t>
            </w:r>
          </w:p>
        </w:tc>
        <w:tc>
          <w:tcPr>
            <w:tcW w:w="1498" w:type="dxa"/>
            <w:tcBorders>
              <w:top w:val="nil"/>
              <w:left w:val="nil"/>
              <w:bottom w:val="single" w:sz="4" w:space="0" w:color="auto"/>
              <w:right w:val="single" w:sz="4" w:space="0" w:color="auto"/>
            </w:tcBorders>
            <w:shd w:val="clear" w:color="auto" w:fill="C6EFCE"/>
            <w:noWrap/>
            <w:vAlign w:val="center"/>
          </w:tcPr>
          <w:p w14:paraId="55FA2156"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7DDD02F" w14:textId="77777777" w:rsidR="00C972CB" w:rsidRDefault="002457F6">
            <w:pPr>
              <w:pStyle w:val="P68B1DB1-Normal12"/>
              <w:jc w:val="center"/>
              <w:rPr>
                <w:noProof/>
              </w:rPr>
            </w:pPr>
            <w:r>
              <w:rPr>
                <w:noProof/>
              </w:rPr>
              <w:t xml:space="preserve">INAIL — pilnīgi pārbūvēti un </w:t>
            </w:r>
            <w:r>
              <w:rPr>
                <w:noProof/>
              </w:rPr>
              <w:t>digitalizēti procesi/pakalpojumi T2</w:t>
            </w:r>
          </w:p>
        </w:tc>
      </w:tr>
      <w:tr w:rsidR="00C972CB" w14:paraId="4C1E89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1C2E2E" w14:textId="77777777" w:rsidR="00C972CB" w:rsidRDefault="002457F6">
            <w:pPr>
              <w:pStyle w:val="P68B1DB1-Normal12"/>
              <w:jc w:val="center"/>
              <w:rPr>
                <w:noProof/>
              </w:rPr>
            </w:pPr>
            <w:r>
              <w:rPr>
                <w:noProof/>
              </w:rPr>
              <w:t>M1C2–15</w:t>
            </w:r>
          </w:p>
        </w:tc>
        <w:tc>
          <w:tcPr>
            <w:tcW w:w="3090" w:type="dxa"/>
            <w:tcBorders>
              <w:top w:val="nil"/>
              <w:left w:val="nil"/>
              <w:bottom w:val="single" w:sz="4" w:space="0" w:color="auto"/>
              <w:right w:val="single" w:sz="4" w:space="0" w:color="auto"/>
            </w:tcBorders>
            <w:shd w:val="clear" w:color="auto" w:fill="C6EFCE"/>
            <w:noWrap/>
            <w:vAlign w:val="center"/>
          </w:tcPr>
          <w:p w14:paraId="0F2491B3" w14:textId="77777777" w:rsidR="00C972CB" w:rsidRDefault="002457F6">
            <w:pPr>
              <w:pStyle w:val="P68B1DB1-Normal12"/>
              <w:jc w:val="center"/>
              <w:rPr>
                <w:noProof/>
              </w:rPr>
            </w:pPr>
            <w:r>
              <w:rPr>
                <w:noProof/>
              </w:rPr>
              <w:t>Ieguldījums Nr. 2: Mikroelektronikas inovācija un tehnoloģija</w:t>
            </w:r>
          </w:p>
        </w:tc>
        <w:tc>
          <w:tcPr>
            <w:tcW w:w="1498" w:type="dxa"/>
            <w:tcBorders>
              <w:top w:val="nil"/>
              <w:left w:val="nil"/>
              <w:bottom w:val="single" w:sz="4" w:space="0" w:color="auto"/>
              <w:right w:val="single" w:sz="4" w:space="0" w:color="auto"/>
            </w:tcBorders>
            <w:shd w:val="clear" w:color="auto" w:fill="C6EFCE"/>
            <w:noWrap/>
            <w:vAlign w:val="center"/>
          </w:tcPr>
          <w:p w14:paraId="08F64497"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AB2100C" w14:textId="77777777" w:rsidR="00C972CB" w:rsidRDefault="002457F6">
            <w:pPr>
              <w:pStyle w:val="P68B1DB1-Normal12"/>
              <w:jc w:val="center"/>
              <w:rPr>
                <w:noProof/>
              </w:rPr>
            </w:pPr>
            <w:r>
              <w:rPr>
                <w:noProof/>
              </w:rPr>
              <w:t>Silīcija karbīda substrātu ražošanas jauda</w:t>
            </w:r>
          </w:p>
        </w:tc>
      </w:tr>
      <w:tr w:rsidR="00C972CB" w14:paraId="537D38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83735A" w14:textId="77777777" w:rsidR="00C972CB" w:rsidRDefault="002457F6">
            <w:pPr>
              <w:pStyle w:val="P68B1DB1-Normal12"/>
              <w:jc w:val="center"/>
              <w:rPr>
                <w:noProof/>
              </w:rPr>
            </w:pPr>
            <w:r>
              <w:rPr>
                <w:noProof/>
              </w:rPr>
              <w:t>M1C2–17</w:t>
            </w:r>
          </w:p>
        </w:tc>
        <w:tc>
          <w:tcPr>
            <w:tcW w:w="3090" w:type="dxa"/>
            <w:tcBorders>
              <w:top w:val="nil"/>
              <w:left w:val="nil"/>
              <w:bottom w:val="single" w:sz="4" w:space="0" w:color="auto"/>
              <w:right w:val="single" w:sz="4" w:space="0" w:color="auto"/>
            </w:tcBorders>
            <w:shd w:val="clear" w:color="auto" w:fill="C6EFCE"/>
            <w:noWrap/>
            <w:vAlign w:val="center"/>
          </w:tcPr>
          <w:p w14:paraId="2FED1226" w14:textId="77777777" w:rsidR="00C972CB" w:rsidRDefault="002457F6">
            <w:pPr>
              <w:pStyle w:val="P68B1DB1-Normal12"/>
              <w:jc w:val="center"/>
              <w:rPr>
                <w:noProof/>
              </w:rPr>
            </w:pPr>
            <w:r>
              <w:rPr>
                <w:noProof/>
              </w:rPr>
              <w:t>Ieguldījums 3: Ātrā interneta savienojumi (platjosla un 5G)</w:t>
            </w:r>
          </w:p>
        </w:tc>
        <w:tc>
          <w:tcPr>
            <w:tcW w:w="1498" w:type="dxa"/>
            <w:tcBorders>
              <w:top w:val="nil"/>
              <w:left w:val="nil"/>
              <w:bottom w:val="single" w:sz="4" w:space="0" w:color="auto"/>
              <w:right w:val="single" w:sz="4" w:space="0" w:color="auto"/>
            </w:tcBorders>
            <w:shd w:val="clear" w:color="auto" w:fill="C6EFCE"/>
            <w:noWrap/>
            <w:vAlign w:val="center"/>
          </w:tcPr>
          <w:p w14:paraId="34DDF61A"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237030F" w14:textId="77777777" w:rsidR="00C972CB" w:rsidRDefault="002457F6">
            <w:pPr>
              <w:pStyle w:val="P68B1DB1-Normal12"/>
              <w:jc w:val="center"/>
              <w:rPr>
                <w:noProof/>
              </w:rPr>
            </w:pPr>
            <w:r>
              <w:rPr>
                <w:noProof/>
              </w:rPr>
              <w:t xml:space="preserve">Mājas numuri, kas </w:t>
            </w:r>
            <w:r>
              <w:rPr>
                <w:noProof/>
              </w:rPr>
              <w:t>nodrošināti ar 1 Gb/s savienojamību</w:t>
            </w:r>
          </w:p>
        </w:tc>
      </w:tr>
      <w:tr w:rsidR="00C972CB" w14:paraId="078E7E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EBAA76" w14:textId="77777777" w:rsidR="00C972CB" w:rsidRDefault="002457F6">
            <w:pPr>
              <w:pStyle w:val="P68B1DB1-Normal12"/>
              <w:jc w:val="center"/>
              <w:rPr>
                <w:noProof/>
              </w:rPr>
            </w:pPr>
            <w:r>
              <w:rPr>
                <w:noProof/>
              </w:rPr>
              <w:t>M1C2–18</w:t>
            </w:r>
          </w:p>
        </w:tc>
        <w:tc>
          <w:tcPr>
            <w:tcW w:w="3090" w:type="dxa"/>
            <w:tcBorders>
              <w:top w:val="nil"/>
              <w:left w:val="nil"/>
              <w:bottom w:val="single" w:sz="4" w:space="0" w:color="auto"/>
              <w:right w:val="single" w:sz="4" w:space="0" w:color="auto"/>
            </w:tcBorders>
            <w:shd w:val="clear" w:color="auto" w:fill="C6EFCE"/>
            <w:noWrap/>
            <w:vAlign w:val="center"/>
          </w:tcPr>
          <w:p w14:paraId="3CF72F0F" w14:textId="77777777" w:rsidR="00C972CB" w:rsidRDefault="002457F6">
            <w:pPr>
              <w:pStyle w:val="P68B1DB1-Normal12"/>
              <w:jc w:val="center"/>
              <w:rPr>
                <w:noProof/>
              </w:rPr>
            </w:pPr>
            <w:r>
              <w:rPr>
                <w:noProof/>
              </w:rPr>
              <w:t>Ieguldījums 3: Ātrā interneta savienojumi (platjosla un 5G)</w:t>
            </w:r>
          </w:p>
        </w:tc>
        <w:tc>
          <w:tcPr>
            <w:tcW w:w="1498" w:type="dxa"/>
            <w:tcBorders>
              <w:top w:val="nil"/>
              <w:left w:val="nil"/>
              <w:bottom w:val="single" w:sz="4" w:space="0" w:color="auto"/>
              <w:right w:val="single" w:sz="4" w:space="0" w:color="auto"/>
            </w:tcBorders>
            <w:shd w:val="clear" w:color="auto" w:fill="C6EFCE"/>
            <w:noWrap/>
            <w:vAlign w:val="center"/>
          </w:tcPr>
          <w:p w14:paraId="71D52325"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8B23456" w14:textId="77777777" w:rsidR="00C972CB" w:rsidRDefault="002457F6">
            <w:pPr>
              <w:pStyle w:val="P68B1DB1-Normal12"/>
              <w:jc w:val="center"/>
              <w:rPr>
                <w:noProof/>
              </w:rPr>
            </w:pPr>
            <w:r>
              <w:rPr>
                <w:noProof/>
              </w:rPr>
              <w:t>Skolu ēkas un veselības aprūpes iestādes, kam nodrošināta 1 Gb/s savienojamība</w:t>
            </w:r>
          </w:p>
        </w:tc>
      </w:tr>
      <w:tr w:rsidR="00C972CB" w14:paraId="345709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90B050" w14:textId="77777777" w:rsidR="00C972CB" w:rsidRDefault="002457F6">
            <w:pPr>
              <w:pStyle w:val="P68B1DB1-Normal12"/>
              <w:jc w:val="center"/>
              <w:rPr>
                <w:noProof/>
              </w:rPr>
            </w:pPr>
            <w:r>
              <w:rPr>
                <w:noProof/>
              </w:rPr>
              <w:t>M1C2–20</w:t>
            </w:r>
          </w:p>
        </w:tc>
        <w:tc>
          <w:tcPr>
            <w:tcW w:w="3090" w:type="dxa"/>
            <w:tcBorders>
              <w:top w:val="nil"/>
              <w:left w:val="nil"/>
              <w:bottom w:val="single" w:sz="4" w:space="0" w:color="auto"/>
              <w:right w:val="single" w:sz="4" w:space="0" w:color="auto"/>
            </w:tcBorders>
            <w:shd w:val="clear" w:color="auto" w:fill="C6EFCE"/>
            <w:noWrap/>
            <w:vAlign w:val="center"/>
          </w:tcPr>
          <w:p w14:paraId="49C89A18" w14:textId="77777777" w:rsidR="00C972CB" w:rsidRDefault="002457F6">
            <w:pPr>
              <w:pStyle w:val="P68B1DB1-Normal12"/>
              <w:jc w:val="center"/>
              <w:rPr>
                <w:noProof/>
              </w:rPr>
            </w:pPr>
            <w:r>
              <w:rPr>
                <w:noProof/>
              </w:rPr>
              <w:t>Ieguldījums 3: Ātrā interneta savienojumi (platjosla un 5</w:t>
            </w:r>
            <w:r>
              <w:rPr>
                <w:noProof/>
              </w:rPr>
              <w:t>G)</w:t>
            </w:r>
          </w:p>
        </w:tc>
        <w:tc>
          <w:tcPr>
            <w:tcW w:w="1498" w:type="dxa"/>
            <w:tcBorders>
              <w:top w:val="nil"/>
              <w:left w:val="nil"/>
              <w:bottom w:val="single" w:sz="4" w:space="0" w:color="auto"/>
              <w:right w:val="single" w:sz="4" w:space="0" w:color="auto"/>
            </w:tcBorders>
            <w:shd w:val="clear" w:color="auto" w:fill="C6EFCE"/>
            <w:noWrap/>
            <w:vAlign w:val="center"/>
          </w:tcPr>
          <w:p w14:paraId="2FCC6AEE"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02EF417" w14:textId="77777777" w:rsidR="00C972CB" w:rsidRDefault="002457F6">
            <w:pPr>
              <w:pStyle w:val="P68B1DB1-Normal12"/>
              <w:jc w:val="center"/>
              <w:rPr>
                <w:noProof/>
              </w:rPr>
            </w:pPr>
            <w:r>
              <w:rPr>
                <w:noProof/>
              </w:rPr>
              <w:t>Ārpilsētas ceļi un koridori ar 5G pārklājumu</w:t>
            </w:r>
          </w:p>
        </w:tc>
      </w:tr>
      <w:tr w:rsidR="00C972CB" w14:paraId="02D7D0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03D4E7" w14:textId="77777777" w:rsidR="00C972CB" w:rsidRDefault="002457F6">
            <w:pPr>
              <w:pStyle w:val="P68B1DB1-Normal12"/>
              <w:jc w:val="center"/>
              <w:rPr>
                <w:noProof/>
              </w:rPr>
            </w:pPr>
            <w:r>
              <w:rPr>
                <w:noProof/>
              </w:rPr>
              <w:t>M1C2–21</w:t>
            </w:r>
          </w:p>
        </w:tc>
        <w:tc>
          <w:tcPr>
            <w:tcW w:w="3090" w:type="dxa"/>
            <w:tcBorders>
              <w:top w:val="nil"/>
              <w:left w:val="nil"/>
              <w:bottom w:val="single" w:sz="4" w:space="0" w:color="auto"/>
              <w:right w:val="single" w:sz="4" w:space="0" w:color="auto"/>
            </w:tcBorders>
            <w:shd w:val="clear" w:color="auto" w:fill="C6EFCE"/>
            <w:noWrap/>
            <w:vAlign w:val="center"/>
          </w:tcPr>
          <w:p w14:paraId="500B61D5" w14:textId="77777777" w:rsidR="00C972CB" w:rsidRDefault="002457F6">
            <w:pPr>
              <w:pStyle w:val="P68B1DB1-Normal12"/>
              <w:jc w:val="center"/>
              <w:rPr>
                <w:noProof/>
              </w:rPr>
            </w:pPr>
            <w:r>
              <w:rPr>
                <w:noProof/>
              </w:rPr>
              <w:t>Ieguldījums 3: Ātrā interneta savienojumi (platjosla un 5G)</w:t>
            </w:r>
          </w:p>
        </w:tc>
        <w:tc>
          <w:tcPr>
            <w:tcW w:w="1498" w:type="dxa"/>
            <w:tcBorders>
              <w:top w:val="nil"/>
              <w:left w:val="nil"/>
              <w:bottom w:val="single" w:sz="4" w:space="0" w:color="auto"/>
              <w:right w:val="single" w:sz="4" w:space="0" w:color="auto"/>
            </w:tcBorders>
            <w:shd w:val="clear" w:color="auto" w:fill="C6EFCE"/>
            <w:noWrap/>
            <w:vAlign w:val="center"/>
          </w:tcPr>
          <w:p w14:paraId="5FB4FFE5"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DC9D406" w14:textId="77777777" w:rsidR="00C972CB" w:rsidRDefault="002457F6">
            <w:pPr>
              <w:pStyle w:val="P68B1DB1-Normal12"/>
              <w:jc w:val="center"/>
              <w:rPr>
                <w:noProof/>
              </w:rPr>
            </w:pPr>
            <w:r>
              <w:rPr>
                <w:noProof/>
              </w:rPr>
              <w:t>Tirgus nepilnību zonas, kurās iespējama 5G aptvērums</w:t>
            </w:r>
          </w:p>
        </w:tc>
      </w:tr>
      <w:tr w:rsidR="00C972CB" w14:paraId="4B096F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5C5069" w14:textId="77777777" w:rsidR="00C972CB" w:rsidRDefault="002457F6">
            <w:pPr>
              <w:pStyle w:val="P68B1DB1-Normal12"/>
              <w:jc w:val="center"/>
              <w:rPr>
                <w:noProof/>
              </w:rPr>
            </w:pPr>
            <w:r>
              <w:rPr>
                <w:noProof/>
              </w:rPr>
              <w:t>M1C2–23</w:t>
            </w:r>
          </w:p>
        </w:tc>
        <w:tc>
          <w:tcPr>
            <w:tcW w:w="3090" w:type="dxa"/>
            <w:tcBorders>
              <w:top w:val="nil"/>
              <w:left w:val="nil"/>
              <w:bottom w:val="single" w:sz="4" w:space="0" w:color="auto"/>
              <w:right w:val="single" w:sz="4" w:space="0" w:color="auto"/>
            </w:tcBorders>
            <w:shd w:val="clear" w:color="auto" w:fill="C6EFCE"/>
            <w:noWrap/>
            <w:vAlign w:val="center"/>
          </w:tcPr>
          <w:p w14:paraId="6C8591FA" w14:textId="77777777" w:rsidR="00C972CB" w:rsidRDefault="002457F6">
            <w:pPr>
              <w:pStyle w:val="P68B1DB1-Normal12"/>
              <w:jc w:val="center"/>
              <w:rPr>
                <w:noProof/>
              </w:rPr>
            </w:pPr>
            <w:r>
              <w:rPr>
                <w:noProof/>
              </w:rPr>
              <w:t>Ieguldījums Nr. 4: Satelīttehnoloģijas un kosmosa ekonomika</w:t>
            </w:r>
          </w:p>
        </w:tc>
        <w:tc>
          <w:tcPr>
            <w:tcW w:w="1498" w:type="dxa"/>
            <w:tcBorders>
              <w:top w:val="nil"/>
              <w:left w:val="nil"/>
              <w:bottom w:val="single" w:sz="4" w:space="0" w:color="auto"/>
              <w:right w:val="single" w:sz="4" w:space="0" w:color="auto"/>
            </w:tcBorders>
            <w:shd w:val="clear" w:color="auto" w:fill="C6EFCE"/>
            <w:noWrap/>
            <w:vAlign w:val="center"/>
          </w:tcPr>
          <w:p w14:paraId="5B3E1FC0"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954F35F" w14:textId="77777777" w:rsidR="00C972CB" w:rsidRDefault="002457F6">
            <w:pPr>
              <w:pStyle w:val="P68B1DB1-Normal12"/>
              <w:jc w:val="center"/>
              <w:rPr>
                <w:noProof/>
              </w:rPr>
            </w:pPr>
            <w:r>
              <w:rPr>
                <w:noProof/>
              </w:rPr>
              <w:t>Izvietoti zemes teleskopi, operacionālais SST centrs, kosmosa rūpnīca un šķidrās piedziņas demonstrators</w:t>
            </w:r>
          </w:p>
        </w:tc>
      </w:tr>
      <w:tr w:rsidR="00C972CB" w14:paraId="4914AA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99817" w14:textId="77777777" w:rsidR="00C972CB" w:rsidRDefault="002457F6">
            <w:pPr>
              <w:pStyle w:val="P68B1DB1-Normal12"/>
              <w:jc w:val="center"/>
              <w:rPr>
                <w:noProof/>
              </w:rPr>
            </w:pPr>
            <w:r>
              <w:rPr>
                <w:noProof/>
              </w:rPr>
              <w:t>M1C2–24</w:t>
            </w:r>
          </w:p>
        </w:tc>
        <w:tc>
          <w:tcPr>
            <w:tcW w:w="3090" w:type="dxa"/>
            <w:tcBorders>
              <w:top w:val="nil"/>
              <w:left w:val="nil"/>
              <w:bottom w:val="single" w:sz="4" w:space="0" w:color="auto"/>
              <w:right w:val="single" w:sz="4" w:space="0" w:color="auto"/>
            </w:tcBorders>
            <w:shd w:val="clear" w:color="auto" w:fill="C6EFCE"/>
            <w:noWrap/>
            <w:vAlign w:val="center"/>
          </w:tcPr>
          <w:p w14:paraId="3F1C8DB6" w14:textId="77777777" w:rsidR="00C972CB" w:rsidRDefault="002457F6">
            <w:pPr>
              <w:pStyle w:val="P68B1DB1-Normal12"/>
              <w:jc w:val="center"/>
              <w:rPr>
                <w:noProof/>
              </w:rPr>
            </w:pPr>
            <w:r>
              <w:rPr>
                <w:noProof/>
              </w:rPr>
              <w:t>Ieguldījums Nr. 4: Satelīttehnoloģijas un kosmosa ekonomika</w:t>
            </w:r>
          </w:p>
        </w:tc>
        <w:tc>
          <w:tcPr>
            <w:tcW w:w="1498" w:type="dxa"/>
            <w:tcBorders>
              <w:top w:val="nil"/>
              <w:left w:val="nil"/>
              <w:bottom w:val="single" w:sz="4" w:space="0" w:color="auto"/>
              <w:right w:val="single" w:sz="4" w:space="0" w:color="auto"/>
            </w:tcBorders>
            <w:shd w:val="clear" w:color="auto" w:fill="C6EFCE"/>
            <w:noWrap/>
            <w:vAlign w:val="center"/>
          </w:tcPr>
          <w:p w14:paraId="45755369"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10DCA3F" w14:textId="77777777" w:rsidR="00C972CB" w:rsidRDefault="002457F6">
            <w:pPr>
              <w:pStyle w:val="P68B1DB1-Normal12"/>
              <w:jc w:val="center"/>
              <w:rPr>
                <w:noProof/>
              </w:rPr>
            </w:pPr>
            <w:r>
              <w:rPr>
                <w:noProof/>
              </w:rPr>
              <w:t>Izvietoto konstelāciju konstelācijas vai koncepcijas pierādījums</w:t>
            </w:r>
          </w:p>
        </w:tc>
      </w:tr>
      <w:tr w:rsidR="00C972CB" w14:paraId="47FC18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73162" w14:textId="77777777" w:rsidR="00C972CB" w:rsidRDefault="002457F6">
            <w:pPr>
              <w:pStyle w:val="P68B1DB1-Normal12"/>
              <w:jc w:val="center"/>
              <w:rPr>
                <w:noProof/>
              </w:rPr>
            </w:pPr>
            <w:r>
              <w:rPr>
                <w:noProof/>
              </w:rPr>
              <w:t>M1C2–25</w:t>
            </w:r>
          </w:p>
        </w:tc>
        <w:tc>
          <w:tcPr>
            <w:tcW w:w="3090" w:type="dxa"/>
            <w:tcBorders>
              <w:top w:val="nil"/>
              <w:left w:val="nil"/>
              <w:bottom w:val="single" w:sz="4" w:space="0" w:color="auto"/>
              <w:right w:val="single" w:sz="4" w:space="0" w:color="auto"/>
            </w:tcBorders>
            <w:shd w:val="clear" w:color="auto" w:fill="C6EFCE"/>
            <w:noWrap/>
            <w:vAlign w:val="center"/>
          </w:tcPr>
          <w:p w14:paraId="328E406A" w14:textId="77777777" w:rsidR="00C972CB" w:rsidRDefault="002457F6">
            <w:pPr>
              <w:pStyle w:val="P68B1DB1-Normal12"/>
              <w:jc w:val="center"/>
              <w:rPr>
                <w:noProof/>
              </w:rPr>
            </w:pPr>
            <w:r>
              <w:rPr>
                <w:noProof/>
              </w:rPr>
              <w:t>Ieguldījums Nr. 4: Satelīttehnoloģijas un kosmosa ekonomika</w:t>
            </w:r>
          </w:p>
        </w:tc>
        <w:tc>
          <w:tcPr>
            <w:tcW w:w="1498" w:type="dxa"/>
            <w:tcBorders>
              <w:top w:val="nil"/>
              <w:left w:val="nil"/>
              <w:bottom w:val="single" w:sz="4" w:space="0" w:color="auto"/>
              <w:right w:val="single" w:sz="4" w:space="0" w:color="auto"/>
            </w:tcBorders>
            <w:shd w:val="clear" w:color="auto" w:fill="C6EFCE"/>
            <w:noWrap/>
            <w:vAlign w:val="center"/>
          </w:tcPr>
          <w:p w14:paraId="1649E4BF"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2BD93CBE" w14:textId="77777777" w:rsidR="00C972CB" w:rsidRDefault="002457F6">
            <w:pPr>
              <w:pStyle w:val="P68B1DB1-Normal12"/>
              <w:jc w:val="center"/>
              <w:rPr>
                <w:noProof/>
              </w:rPr>
            </w:pPr>
            <w:r>
              <w:rPr>
                <w:noProof/>
              </w:rPr>
              <w:t>Valsts pārvaldes iestādēm sniegtie pakalpojumi</w:t>
            </w:r>
          </w:p>
        </w:tc>
      </w:tr>
      <w:tr w:rsidR="00C972CB" w14:paraId="141A70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90178" w14:textId="77777777" w:rsidR="00C972CB" w:rsidRDefault="002457F6">
            <w:pPr>
              <w:pStyle w:val="P68B1DB1-Normal12"/>
              <w:jc w:val="center"/>
              <w:rPr>
                <w:noProof/>
              </w:rPr>
            </w:pPr>
            <w:r>
              <w:rPr>
                <w:noProof/>
              </w:rPr>
              <w:t>M1C2–32</w:t>
            </w:r>
          </w:p>
        </w:tc>
        <w:tc>
          <w:tcPr>
            <w:tcW w:w="3090" w:type="dxa"/>
            <w:tcBorders>
              <w:top w:val="nil"/>
              <w:left w:val="nil"/>
              <w:bottom w:val="single" w:sz="4" w:space="0" w:color="auto"/>
              <w:right w:val="single" w:sz="4" w:space="0" w:color="auto"/>
            </w:tcBorders>
            <w:shd w:val="clear" w:color="auto" w:fill="C6EFCE"/>
            <w:noWrap/>
            <w:vAlign w:val="center"/>
          </w:tcPr>
          <w:p w14:paraId="7EFA211F" w14:textId="77777777" w:rsidR="00C972CB" w:rsidRDefault="002457F6">
            <w:pPr>
              <w:pStyle w:val="P68B1DB1-Normal12"/>
              <w:jc w:val="center"/>
              <w:rPr>
                <w:noProof/>
              </w:rPr>
            </w:pPr>
            <w:r>
              <w:rPr>
                <w:noProof/>
              </w:rPr>
              <w:t>Ieguldījums 7. Atbalsts ražošanas sistēmai ekoloģiskajai pārejai, neto nulles emisiju tehnoloģijām un stratēģisko piegādes ķēžu konkur</w:t>
            </w:r>
            <w:r>
              <w:rPr>
                <w:noProof/>
              </w:rPr>
              <w:t>ētspējai un noturībai</w:t>
            </w:r>
          </w:p>
        </w:tc>
        <w:tc>
          <w:tcPr>
            <w:tcW w:w="1498" w:type="dxa"/>
            <w:tcBorders>
              <w:top w:val="nil"/>
              <w:left w:val="nil"/>
              <w:bottom w:val="single" w:sz="4" w:space="0" w:color="auto"/>
              <w:right w:val="single" w:sz="4" w:space="0" w:color="auto"/>
            </w:tcBorders>
            <w:shd w:val="clear" w:color="auto" w:fill="C6EFCE"/>
            <w:noWrap/>
            <w:vAlign w:val="center"/>
          </w:tcPr>
          <w:p w14:paraId="5CD59BDE" w14:textId="77777777" w:rsidR="00C972CB" w:rsidRDefault="002457F6">
            <w:pPr>
              <w:pStyle w:val="P68B1DB1-Normal12"/>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9C98C5D" w14:textId="77777777" w:rsidR="00C972CB" w:rsidRDefault="002457F6">
            <w:pPr>
              <w:pStyle w:val="P68B1DB1-Normal12"/>
              <w:rPr>
                <w:noProof/>
              </w:rPr>
            </w:pPr>
            <w:r>
              <w:rPr>
                <w:noProof/>
              </w:rPr>
              <w:t>Ar galīgajiem saņēmējiem parakstītie juridiskie nolīgumi</w:t>
            </w:r>
          </w:p>
        </w:tc>
      </w:tr>
      <w:tr w:rsidR="00C972CB" w14:paraId="5CCA8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637F8" w14:textId="77777777" w:rsidR="00C972CB" w:rsidRDefault="002457F6">
            <w:pPr>
              <w:pStyle w:val="P68B1DB1-Normal12"/>
              <w:jc w:val="center"/>
              <w:rPr>
                <w:noProof/>
              </w:rPr>
            </w:pPr>
            <w:r>
              <w:rPr>
                <w:noProof/>
              </w:rPr>
              <w:t>M1C3–21</w:t>
            </w:r>
          </w:p>
        </w:tc>
        <w:tc>
          <w:tcPr>
            <w:tcW w:w="3090" w:type="dxa"/>
            <w:tcBorders>
              <w:top w:val="nil"/>
              <w:left w:val="nil"/>
              <w:bottom w:val="single" w:sz="4" w:space="0" w:color="auto"/>
              <w:right w:val="single" w:sz="4" w:space="0" w:color="auto"/>
            </w:tcBorders>
            <w:shd w:val="clear" w:color="auto" w:fill="C6EFCE"/>
            <w:noWrap/>
            <w:vAlign w:val="center"/>
          </w:tcPr>
          <w:p w14:paraId="4D7E1A95" w14:textId="77777777" w:rsidR="00C972CB" w:rsidRDefault="002457F6">
            <w:pPr>
              <w:pStyle w:val="P68B1DB1-Normal12"/>
              <w:jc w:val="center"/>
              <w:rPr>
                <w:noProof/>
              </w:rPr>
            </w:pPr>
            <w:r>
              <w:rPr>
                <w:noProof/>
              </w:rPr>
              <w:t>Ieguldījumi — 3.2. Kinematogrāfijas nozares attīstība (Cinecittà projekts)</w:t>
            </w:r>
          </w:p>
        </w:tc>
        <w:tc>
          <w:tcPr>
            <w:tcW w:w="1498" w:type="dxa"/>
            <w:tcBorders>
              <w:top w:val="nil"/>
              <w:left w:val="nil"/>
              <w:bottom w:val="single" w:sz="4" w:space="0" w:color="auto"/>
              <w:right w:val="single" w:sz="4" w:space="0" w:color="auto"/>
            </w:tcBorders>
            <w:shd w:val="clear" w:color="auto" w:fill="C6EFCE"/>
            <w:noWrap/>
            <w:vAlign w:val="center"/>
          </w:tcPr>
          <w:p w14:paraId="79CE98C6"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5C7CB2F" w14:textId="77777777" w:rsidR="00C972CB" w:rsidRDefault="002457F6">
            <w:pPr>
              <w:pStyle w:val="P68B1DB1-Normal12"/>
              <w:jc w:val="center"/>
              <w:rPr>
                <w:noProof/>
              </w:rPr>
            </w:pPr>
            <w:r>
              <w:rPr>
                <w:noProof/>
              </w:rPr>
              <w:t xml:space="preserve">To studiju skaits, kuru rekvalifikācijas, modernizācijas, būvniecības darbi ir </w:t>
            </w:r>
            <w:r>
              <w:rPr>
                <w:noProof/>
              </w:rPr>
              <w:t>pabeigti</w:t>
            </w:r>
          </w:p>
        </w:tc>
      </w:tr>
      <w:tr w:rsidR="00C972CB" w14:paraId="3A2C82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FFC7B8" w14:textId="77777777" w:rsidR="00C972CB" w:rsidRDefault="002457F6">
            <w:pPr>
              <w:pStyle w:val="P68B1DB1-Normal12"/>
              <w:jc w:val="center"/>
              <w:rPr>
                <w:noProof/>
              </w:rPr>
            </w:pPr>
            <w:r>
              <w:rPr>
                <w:noProof/>
              </w:rPr>
              <w:t>M1C3–36</w:t>
            </w:r>
          </w:p>
        </w:tc>
        <w:tc>
          <w:tcPr>
            <w:tcW w:w="3090" w:type="dxa"/>
            <w:tcBorders>
              <w:top w:val="nil"/>
              <w:left w:val="nil"/>
              <w:bottom w:val="single" w:sz="4" w:space="0" w:color="auto"/>
              <w:right w:val="single" w:sz="4" w:space="0" w:color="auto"/>
            </w:tcBorders>
            <w:shd w:val="clear" w:color="auto" w:fill="C6EFCE"/>
            <w:noWrap/>
            <w:vAlign w:val="center"/>
          </w:tcPr>
          <w:p w14:paraId="4F9DC086" w14:textId="77777777" w:rsidR="00C972CB" w:rsidRDefault="002457F6">
            <w:pPr>
              <w:pStyle w:val="P68B1DB1-Normal12"/>
              <w:jc w:val="center"/>
              <w:rPr>
                <w:noProof/>
              </w:rPr>
            </w:pPr>
            <w:r>
              <w:rPr>
                <w:noProof/>
              </w:rPr>
              <w:t>Ieguldījumi — 4.3. Caput Mundi-Next Generation EU tūrisma lieliskiem pasākumiem</w:t>
            </w:r>
          </w:p>
        </w:tc>
        <w:tc>
          <w:tcPr>
            <w:tcW w:w="1498" w:type="dxa"/>
            <w:tcBorders>
              <w:top w:val="nil"/>
              <w:left w:val="nil"/>
              <w:bottom w:val="single" w:sz="4" w:space="0" w:color="auto"/>
              <w:right w:val="single" w:sz="4" w:space="0" w:color="auto"/>
            </w:tcBorders>
            <w:shd w:val="clear" w:color="auto" w:fill="C6EFCE"/>
            <w:noWrap/>
            <w:vAlign w:val="center"/>
          </w:tcPr>
          <w:p w14:paraId="71EFB6FC"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44BC761" w14:textId="77777777" w:rsidR="00C972CB" w:rsidRDefault="002457F6">
            <w:pPr>
              <w:pStyle w:val="P68B1DB1-Normal12"/>
              <w:jc w:val="center"/>
              <w:rPr>
                <w:noProof/>
              </w:rPr>
            </w:pPr>
            <w:r>
              <w:rPr>
                <w:noProof/>
              </w:rPr>
              <w:t xml:space="preserve">To kultūras un tūrisma objektu skaits, kuru pārkvalificēšana ir pabeigta </w:t>
            </w:r>
          </w:p>
        </w:tc>
      </w:tr>
      <w:tr w:rsidR="00C972CB" w14:paraId="2346208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84D2FB" w14:textId="77777777" w:rsidR="00C972CB" w:rsidRDefault="002457F6">
            <w:pPr>
              <w:pStyle w:val="P68B1DB1-Normal12"/>
              <w:jc w:val="center"/>
              <w:rPr>
                <w:noProof/>
              </w:rPr>
            </w:pPr>
            <w:r>
              <w:rPr>
                <w:noProof/>
              </w:rPr>
              <w:t>M2C1–16</w:t>
            </w:r>
          </w:p>
        </w:tc>
        <w:tc>
          <w:tcPr>
            <w:tcW w:w="3090" w:type="dxa"/>
            <w:tcBorders>
              <w:top w:val="nil"/>
              <w:left w:val="nil"/>
              <w:bottom w:val="single" w:sz="4" w:space="0" w:color="auto"/>
              <w:right w:val="single" w:sz="4" w:space="0" w:color="auto"/>
            </w:tcBorders>
            <w:shd w:val="clear" w:color="auto" w:fill="C6EFCE"/>
            <w:noWrap/>
            <w:vAlign w:val="center"/>
          </w:tcPr>
          <w:p w14:paraId="7A9EC6DD" w14:textId="77777777" w:rsidR="00C972CB" w:rsidRDefault="002457F6">
            <w:pPr>
              <w:pStyle w:val="P68B1DB1-Normal12"/>
              <w:jc w:val="center"/>
              <w:rPr>
                <w:noProof/>
              </w:rPr>
            </w:pPr>
            <w:r>
              <w:rPr>
                <w:noProof/>
              </w:rPr>
              <w:t xml:space="preserve">  Ieguldījums 1.1. — Jaunu atkritumu apsaimniekošanas iekārtu ievieša</w:t>
            </w:r>
            <w:r>
              <w:rPr>
                <w:noProof/>
              </w:rPr>
              <w:t>na un esošo iekārtu modernizācija</w:t>
            </w:r>
          </w:p>
        </w:tc>
        <w:tc>
          <w:tcPr>
            <w:tcW w:w="1498" w:type="dxa"/>
            <w:tcBorders>
              <w:top w:val="nil"/>
              <w:left w:val="nil"/>
              <w:bottom w:val="single" w:sz="4" w:space="0" w:color="auto"/>
              <w:right w:val="single" w:sz="4" w:space="0" w:color="auto"/>
            </w:tcBorders>
            <w:shd w:val="clear" w:color="auto" w:fill="C6EFCE"/>
            <w:noWrap/>
            <w:vAlign w:val="center"/>
          </w:tcPr>
          <w:p w14:paraId="38400AC4"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BE9CC0F" w14:textId="77777777" w:rsidR="00C972CB" w:rsidRDefault="002457F6">
            <w:pPr>
              <w:pStyle w:val="P68B1DB1-Normal12"/>
              <w:jc w:val="center"/>
              <w:rPr>
                <w:noProof/>
              </w:rPr>
            </w:pPr>
            <w:r>
              <w:rPr>
                <w:noProof/>
              </w:rPr>
              <w:t xml:space="preserve">  Neregulāri atkritumu poligoni</w:t>
            </w:r>
          </w:p>
        </w:tc>
      </w:tr>
      <w:tr w:rsidR="00C972CB" w14:paraId="40233D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5AED61" w14:textId="77777777" w:rsidR="00C972CB" w:rsidRDefault="002457F6">
            <w:pPr>
              <w:pStyle w:val="P68B1DB1-Normal12"/>
              <w:jc w:val="center"/>
              <w:rPr>
                <w:noProof/>
              </w:rPr>
            </w:pPr>
            <w:r>
              <w:rPr>
                <w:noProof/>
              </w:rPr>
              <w:t>M2C1–19</w:t>
            </w:r>
          </w:p>
        </w:tc>
        <w:tc>
          <w:tcPr>
            <w:tcW w:w="3090" w:type="dxa"/>
            <w:tcBorders>
              <w:top w:val="nil"/>
              <w:left w:val="nil"/>
              <w:bottom w:val="single" w:sz="4" w:space="0" w:color="auto"/>
              <w:right w:val="single" w:sz="4" w:space="0" w:color="auto"/>
            </w:tcBorders>
            <w:shd w:val="clear" w:color="auto" w:fill="C6EFCE"/>
            <w:noWrap/>
            <w:vAlign w:val="center"/>
          </w:tcPr>
          <w:p w14:paraId="3F517243" w14:textId="77777777" w:rsidR="00C972CB" w:rsidRDefault="002457F6">
            <w:pPr>
              <w:pStyle w:val="P68B1DB1-Normal12"/>
              <w:jc w:val="center"/>
              <w:rPr>
                <w:noProof/>
              </w:rPr>
            </w:pPr>
            <w:r>
              <w:rPr>
                <w:noProof/>
              </w:rPr>
              <w:t>Ieguldījums 3.1.: Zaļās salas</w:t>
            </w:r>
          </w:p>
        </w:tc>
        <w:tc>
          <w:tcPr>
            <w:tcW w:w="1498" w:type="dxa"/>
            <w:tcBorders>
              <w:top w:val="nil"/>
              <w:left w:val="nil"/>
              <w:bottom w:val="single" w:sz="4" w:space="0" w:color="auto"/>
              <w:right w:val="single" w:sz="4" w:space="0" w:color="auto"/>
            </w:tcBorders>
            <w:shd w:val="clear" w:color="auto" w:fill="C6EFCE"/>
            <w:noWrap/>
            <w:vAlign w:val="center"/>
          </w:tcPr>
          <w:p w14:paraId="32994DE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E4D8CE7" w14:textId="77777777" w:rsidR="00C972CB" w:rsidRDefault="002457F6">
            <w:pPr>
              <w:pStyle w:val="P68B1DB1-Normal12"/>
              <w:jc w:val="center"/>
              <w:rPr>
                <w:noProof/>
              </w:rPr>
            </w:pPr>
            <w:r>
              <w:rPr>
                <w:noProof/>
              </w:rPr>
              <w:t>Integrētu projektu īstenošana mazās salās</w:t>
            </w:r>
          </w:p>
        </w:tc>
      </w:tr>
      <w:tr w:rsidR="00C972CB" w14:paraId="186515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F871B1" w14:textId="77777777" w:rsidR="00C972CB" w:rsidRDefault="002457F6">
            <w:pPr>
              <w:pStyle w:val="P68B1DB1-Normal12"/>
              <w:jc w:val="center"/>
              <w:rPr>
                <w:noProof/>
              </w:rPr>
            </w:pPr>
            <w:r>
              <w:rPr>
                <w:noProof/>
              </w:rPr>
              <w:t>M2C1–21</w:t>
            </w:r>
          </w:p>
        </w:tc>
        <w:tc>
          <w:tcPr>
            <w:tcW w:w="3090" w:type="dxa"/>
            <w:tcBorders>
              <w:top w:val="nil"/>
              <w:left w:val="nil"/>
              <w:bottom w:val="single" w:sz="4" w:space="0" w:color="auto"/>
              <w:right w:val="single" w:sz="4" w:space="0" w:color="auto"/>
            </w:tcBorders>
            <w:shd w:val="clear" w:color="auto" w:fill="C6EFCE"/>
            <w:noWrap/>
            <w:vAlign w:val="center"/>
          </w:tcPr>
          <w:p w14:paraId="302E46C7" w14:textId="77777777" w:rsidR="00C972CB" w:rsidRDefault="002457F6">
            <w:pPr>
              <w:pStyle w:val="P68B1DB1-Normal12"/>
              <w:jc w:val="center"/>
              <w:rPr>
                <w:noProof/>
              </w:rPr>
            </w:pPr>
            <w:r>
              <w:rPr>
                <w:noProof/>
              </w:rPr>
              <w:t>Ieguldījums 3.2.: Zaļās kopienas</w:t>
            </w:r>
          </w:p>
        </w:tc>
        <w:tc>
          <w:tcPr>
            <w:tcW w:w="1498" w:type="dxa"/>
            <w:tcBorders>
              <w:top w:val="nil"/>
              <w:left w:val="nil"/>
              <w:bottom w:val="single" w:sz="4" w:space="0" w:color="auto"/>
              <w:right w:val="single" w:sz="4" w:space="0" w:color="auto"/>
            </w:tcBorders>
            <w:shd w:val="clear" w:color="auto" w:fill="C6EFCE"/>
            <w:noWrap/>
            <w:vAlign w:val="center"/>
          </w:tcPr>
          <w:p w14:paraId="7A5E11F6"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5E40A20" w14:textId="77777777" w:rsidR="00C972CB" w:rsidRDefault="002457F6">
            <w:pPr>
              <w:pStyle w:val="P68B1DB1-Normal12"/>
              <w:jc w:val="center"/>
              <w:rPr>
                <w:noProof/>
              </w:rPr>
            </w:pPr>
            <w:r>
              <w:rPr>
                <w:noProof/>
              </w:rPr>
              <w:t xml:space="preserve">Zaļo kopienu plānos izklāstīto intervences </w:t>
            </w:r>
            <w:r>
              <w:rPr>
                <w:noProof/>
              </w:rPr>
              <w:t>pasākumu īstenošana</w:t>
            </w:r>
          </w:p>
        </w:tc>
      </w:tr>
      <w:tr w:rsidR="00C972CB" w14:paraId="31B8DC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F90808" w14:textId="77777777" w:rsidR="00C972CB" w:rsidRDefault="002457F6">
            <w:pPr>
              <w:pStyle w:val="P68B1DB1-Normal12"/>
              <w:jc w:val="center"/>
              <w:rPr>
                <w:noProof/>
              </w:rPr>
            </w:pPr>
            <w:r>
              <w:rPr>
                <w:noProof/>
              </w:rPr>
              <w:t>M2C1–24</w:t>
            </w:r>
          </w:p>
        </w:tc>
        <w:tc>
          <w:tcPr>
            <w:tcW w:w="3090" w:type="dxa"/>
            <w:tcBorders>
              <w:top w:val="nil"/>
              <w:left w:val="nil"/>
              <w:bottom w:val="single" w:sz="4" w:space="0" w:color="auto"/>
              <w:right w:val="single" w:sz="4" w:space="0" w:color="auto"/>
            </w:tcBorders>
            <w:shd w:val="clear" w:color="auto" w:fill="C6EFCE"/>
            <w:noWrap/>
            <w:vAlign w:val="center"/>
          </w:tcPr>
          <w:p w14:paraId="04B60921" w14:textId="77777777" w:rsidR="00C972CB" w:rsidRDefault="002457F6">
            <w:pPr>
              <w:pStyle w:val="P68B1DB1-Normal12"/>
              <w:jc w:val="center"/>
              <w:rPr>
                <w:noProof/>
              </w:rPr>
            </w:pPr>
            <w:r>
              <w:rPr>
                <w:noProof/>
              </w:rPr>
              <w:t>Ieguldījums 3.4. Fondo Contratti di Filiera (FCF), lai atbalstītu piegādes ķēžu līgumus lauksaimniecības pārtikas, zvejniecības un akvakultūras, mežsaimniecības, puķkopības un stādaudzētavu nozarē</w:t>
            </w:r>
          </w:p>
        </w:tc>
        <w:tc>
          <w:tcPr>
            <w:tcW w:w="1498" w:type="dxa"/>
            <w:tcBorders>
              <w:top w:val="nil"/>
              <w:left w:val="nil"/>
              <w:bottom w:val="single" w:sz="4" w:space="0" w:color="auto"/>
              <w:right w:val="single" w:sz="4" w:space="0" w:color="auto"/>
            </w:tcBorders>
            <w:shd w:val="clear" w:color="auto" w:fill="C6EFCE"/>
            <w:noWrap/>
            <w:vAlign w:val="center"/>
          </w:tcPr>
          <w:p w14:paraId="5688F1F5" w14:textId="767723FB"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EB71BF8" w14:textId="77777777" w:rsidR="00C972CB" w:rsidRDefault="002457F6">
            <w:pPr>
              <w:pStyle w:val="P68B1DB1-Normal12"/>
              <w:jc w:val="center"/>
              <w:rPr>
                <w:noProof/>
              </w:rPr>
            </w:pPr>
            <w:r>
              <w:rPr>
                <w:noProof/>
              </w:rPr>
              <w:t>Ar galīgajiem saņēmējiem</w:t>
            </w:r>
            <w:r>
              <w:rPr>
                <w:noProof/>
              </w:rPr>
              <w:t xml:space="preserve"> parakstītie juridiskie nolīgumi</w:t>
            </w:r>
          </w:p>
        </w:tc>
      </w:tr>
      <w:tr w:rsidR="00C972CB" w14:paraId="5025A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EB1C34" w14:textId="77777777" w:rsidR="00C972CB" w:rsidRDefault="002457F6">
            <w:pPr>
              <w:pStyle w:val="P68B1DB1-Normal12"/>
              <w:jc w:val="center"/>
              <w:rPr>
                <w:noProof/>
              </w:rPr>
            </w:pPr>
            <w:r>
              <w:rPr>
                <w:noProof/>
              </w:rPr>
              <w:t>M2C2–3</w:t>
            </w:r>
          </w:p>
        </w:tc>
        <w:tc>
          <w:tcPr>
            <w:tcW w:w="3090" w:type="dxa"/>
            <w:tcBorders>
              <w:top w:val="nil"/>
              <w:left w:val="nil"/>
              <w:bottom w:val="single" w:sz="4" w:space="0" w:color="auto"/>
              <w:right w:val="single" w:sz="4" w:space="0" w:color="auto"/>
            </w:tcBorders>
            <w:shd w:val="clear" w:color="auto" w:fill="C6EFCE"/>
            <w:noWrap/>
            <w:vAlign w:val="center"/>
          </w:tcPr>
          <w:p w14:paraId="25A5BBC0" w14:textId="77777777" w:rsidR="00C972CB" w:rsidRDefault="002457F6">
            <w:pPr>
              <w:pStyle w:val="P68B1DB1-Normal12"/>
              <w:jc w:val="center"/>
              <w:rPr>
                <w:noProof/>
              </w:rPr>
            </w:pPr>
            <w:r>
              <w:rPr>
                <w:noProof/>
              </w:rPr>
              <w:t>Ieguldījums 1.4. Biometāna attīstība saskaņā ar aprites ekonomikas veicināšanas kritērijiem</w:t>
            </w:r>
          </w:p>
        </w:tc>
        <w:tc>
          <w:tcPr>
            <w:tcW w:w="1498" w:type="dxa"/>
            <w:tcBorders>
              <w:top w:val="nil"/>
              <w:left w:val="nil"/>
              <w:bottom w:val="single" w:sz="4" w:space="0" w:color="auto"/>
              <w:right w:val="single" w:sz="4" w:space="0" w:color="auto"/>
            </w:tcBorders>
            <w:shd w:val="clear" w:color="auto" w:fill="C6EFCE"/>
            <w:noWrap/>
            <w:vAlign w:val="center"/>
          </w:tcPr>
          <w:p w14:paraId="62208BD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5A0AD51" w14:textId="77777777" w:rsidR="00C972CB" w:rsidRDefault="002457F6">
            <w:pPr>
              <w:pStyle w:val="P68B1DB1-Normal12"/>
              <w:jc w:val="center"/>
              <w:rPr>
                <w:noProof/>
              </w:rPr>
            </w:pPr>
            <w:r>
              <w:rPr>
                <w:noProof/>
              </w:rPr>
              <w:t>Lauksaimniecības traktoru nomaiņa</w:t>
            </w:r>
          </w:p>
        </w:tc>
      </w:tr>
      <w:tr w:rsidR="00C972CB" w14:paraId="13D87A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A3650C" w14:textId="77777777" w:rsidR="00C972CB" w:rsidRDefault="002457F6">
            <w:pPr>
              <w:pStyle w:val="P68B1DB1-Normal12"/>
              <w:jc w:val="center"/>
              <w:rPr>
                <w:noProof/>
              </w:rPr>
            </w:pPr>
            <w:r>
              <w:rPr>
                <w:noProof/>
              </w:rPr>
              <w:t>M2C2–5</w:t>
            </w:r>
          </w:p>
        </w:tc>
        <w:tc>
          <w:tcPr>
            <w:tcW w:w="3090" w:type="dxa"/>
            <w:tcBorders>
              <w:top w:val="nil"/>
              <w:left w:val="nil"/>
              <w:bottom w:val="single" w:sz="4" w:space="0" w:color="auto"/>
              <w:right w:val="single" w:sz="4" w:space="0" w:color="auto"/>
            </w:tcBorders>
            <w:shd w:val="clear" w:color="auto" w:fill="C6EFCE"/>
            <w:noWrap/>
            <w:vAlign w:val="center"/>
          </w:tcPr>
          <w:p w14:paraId="27685853" w14:textId="77777777" w:rsidR="00C972CB" w:rsidRDefault="002457F6">
            <w:pPr>
              <w:pStyle w:val="P68B1DB1-Normal12"/>
              <w:jc w:val="center"/>
              <w:rPr>
                <w:noProof/>
              </w:rPr>
            </w:pPr>
            <w:r>
              <w:rPr>
                <w:noProof/>
              </w:rPr>
              <w:t xml:space="preserve">Ieguldījums 1.4. Biometāna attīstība saskaņā ar aprites ekonomikas </w:t>
            </w:r>
            <w:r>
              <w:rPr>
                <w:noProof/>
              </w:rPr>
              <w:t>veicināšanas kritērijiem</w:t>
            </w:r>
          </w:p>
        </w:tc>
        <w:tc>
          <w:tcPr>
            <w:tcW w:w="1498" w:type="dxa"/>
            <w:tcBorders>
              <w:top w:val="nil"/>
              <w:left w:val="nil"/>
              <w:bottom w:val="single" w:sz="4" w:space="0" w:color="auto"/>
              <w:right w:val="single" w:sz="4" w:space="0" w:color="auto"/>
            </w:tcBorders>
            <w:shd w:val="clear" w:color="auto" w:fill="C6EFCE"/>
            <w:noWrap/>
            <w:vAlign w:val="center"/>
          </w:tcPr>
          <w:p w14:paraId="69112F42"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34EDF47" w14:textId="77777777" w:rsidR="00C972CB" w:rsidRDefault="002457F6">
            <w:pPr>
              <w:pStyle w:val="P68B1DB1-Normal12"/>
              <w:jc w:val="center"/>
              <w:rPr>
                <w:noProof/>
              </w:rPr>
            </w:pPr>
            <w:r>
              <w:rPr>
                <w:noProof/>
              </w:rPr>
              <w:t>Biometāna papildu ražošana</w:t>
            </w:r>
          </w:p>
        </w:tc>
      </w:tr>
      <w:tr w:rsidR="00C972CB" w14:paraId="19B264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E5A2DE" w14:textId="77777777" w:rsidR="00C972CB" w:rsidRDefault="002457F6">
            <w:pPr>
              <w:pStyle w:val="P68B1DB1-Normal12"/>
              <w:jc w:val="center"/>
              <w:rPr>
                <w:noProof/>
              </w:rPr>
            </w:pPr>
            <w:r>
              <w:rPr>
                <w:noProof/>
              </w:rPr>
              <w:t>M2C2–10</w:t>
            </w:r>
          </w:p>
        </w:tc>
        <w:tc>
          <w:tcPr>
            <w:tcW w:w="3090" w:type="dxa"/>
            <w:tcBorders>
              <w:top w:val="nil"/>
              <w:left w:val="nil"/>
              <w:bottom w:val="single" w:sz="4" w:space="0" w:color="auto"/>
              <w:right w:val="single" w:sz="4" w:space="0" w:color="auto"/>
            </w:tcBorders>
            <w:shd w:val="clear" w:color="auto" w:fill="C6EFCE"/>
            <w:noWrap/>
            <w:vAlign w:val="center"/>
          </w:tcPr>
          <w:p w14:paraId="6EA60ED0" w14:textId="77777777" w:rsidR="00C972CB" w:rsidRDefault="002457F6">
            <w:pPr>
              <w:pStyle w:val="P68B1DB1-Normal12"/>
              <w:jc w:val="center"/>
              <w:rPr>
                <w:noProof/>
              </w:rPr>
            </w:pPr>
            <w:r>
              <w:rPr>
                <w:noProof/>
              </w:rPr>
              <w:t>Ieguldījums 2.1. Viedo tīklu stiprināšana</w:t>
            </w:r>
          </w:p>
        </w:tc>
        <w:tc>
          <w:tcPr>
            <w:tcW w:w="1498" w:type="dxa"/>
            <w:tcBorders>
              <w:top w:val="nil"/>
              <w:left w:val="nil"/>
              <w:bottom w:val="single" w:sz="4" w:space="0" w:color="auto"/>
              <w:right w:val="single" w:sz="4" w:space="0" w:color="auto"/>
            </w:tcBorders>
            <w:shd w:val="clear" w:color="auto" w:fill="C6EFCE"/>
            <w:noWrap/>
            <w:vAlign w:val="center"/>
          </w:tcPr>
          <w:p w14:paraId="73933E9D"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2D61361" w14:textId="77777777" w:rsidR="00C972CB" w:rsidRDefault="002457F6">
            <w:pPr>
              <w:pStyle w:val="P68B1DB1-Normal12"/>
              <w:jc w:val="center"/>
              <w:rPr>
                <w:noProof/>
              </w:rPr>
            </w:pPr>
            <w:r>
              <w:rPr>
                <w:noProof/>
              </w:rPr>
              <w:t>Viedtīkli — tīkla jaudas palielināšana atjaunojamo energoresursu sadalei</w:t>
            </w:r>
          </w:p>
        </w:tc>
      </w:tr>
      <w:tr w:rsidR="00C972CB" w14:paraId="05D98A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BEC5BF" w14:textId="77777777" w:rsidR="00C972CB" w:rsidRDefault="002457F6">
            <w:pPr>
              <w:pStyle w:val="P68B1DB1-Normal12"/>
              <w:jc w:val="center"/>
              <w:rPr>
                <w:noProof/>
              </w:rPr>
            </w:pPr>
            <w:r>
              <w:rPr>
                <w:noProof/>
              </w:rPr>
              <w:t>M2C2–11</w:t>
            </w:r>
          </w:p>
        </w:tc>
        <w:tc>
          <w:tcPr>
            <w:tcW w:w="3090" w:type="dxa"/>
            <w:tcBorders>
              <w:top w:val="nil"/>
              <w:left w:val="nil"/>
              <w:bottom w:val="single" w:sz="4" w:space="0" w:color="auto"/>
              <w:right w:val="single" w:sz="4" w:space="0" w:color="auto"/>
            </w:tcBorders>
            <w:shd w:val="clear" w:color="auto" w:fill="C6EFCE"/>
            <w:noWrap/>
            <w:vAlign w:val="center"/>
          </w:tcPr>
          <w:p w14:paraId="10B5202F" w14:textId="77777777" w:rsidR="00C972CB" w:rsidRDefault="002457F6">
            <w:pPr>
              <w:pStyle w:val="P68B1DB1-Normal12"/>
              <w:jc w:val="center"/>
              <w:rPr>
                <w:noProof/>
              </w:rPr>
            </w:pPr>
            <w:r>
              <w:rPr>
                <w:noProof/>
              </w:rPr>
              <w:t>Ieguldījums 2.1. Viedo tīklu stiprināšana</w:t>
            </w:r>
          </w:p>
        </w:tc>
        <w:tc>
          <w:tcPr>
            <w:tcW w:w="1498" w:type="dxa"/>
            <w:tcBorders>
              <w:top w:val="nil"/>
              <w:left w:val="nil"/>
              <w:bottom w:val="single" w:sz="4" w:space="0" w:color="auto"/>
              <w:right w:val="single" w:sz="4" w:space="0" w:color="auto"/>
            </w:tcBorders>
            <w:shd w:val="clear" w:color="auto" w:fill="C6EFCE"/>
            <w:noWrap/>
            <w:vAlign w:val="center"/>
          </w:tcPr>
          <w:p w14:paraId="0FA05EDA"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6639861" w14:textId="77777777" w:rsidR="00C972CB" w:rsidRDefault="002457F6">
            <w:pPr>
              <w:pStyle w:val="P68B1DB1-Normal12"/>
              <w:jc w:val="center"/>
              <w:rPr>
                <w:noProof/>
              </w:rPr>
            </w:pPr>
            <w:r>
              <w:rPr>
                <w:noProof/>
              </w:rPr>
              <w:t>Viedtīkli —</w:t>
            </w:r>
            <w:r>
              <w:rPr>
                <w:noProof/>
              </w:rPr>
              <w:t xml:space="preserve"> enerģijas patēriņa elektrifikācija</w:t>
            </w:r>
          </w:p>
        </w:tc>
      </w:tr>
      <w:tr w:rsidR="00C972CB" w14:paraId="270425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957D2B" w14:textId="77777777" w:rsidR="00C972CB" w:rsidRDefault="002457F6">
            <w:pPr>
              <w:pStyle w:val="P68B1DB1-Normal12"/>
              <w:jc w:val="center"/>
              <w:rPr>
                <w:noProof/>
              </w:rPr>
            </w:pPr>
            <w:r>
              <w:rPr>
                <w:noProof/>
              </w:rPr>
              <w:t>M2C2–13</w:t>
            </w:r>
          </w:p>
        </w:tc>
        <w:tc>
          <w:tcPr>
            <w:tcW w:w="3090" w:type="dxa"/>
            <w:tcBorders>
              <w:top w:val="nil"/>
              <w:left w:val="nil"/>
              <w:bottom w:val="single" w:sz="4" w:space="0" w:color="auto"/>
              <w:right w:val="single" w:sz="4" w:space="0" w:color="auto"/>
            </w:tcBorders>
            <w:shd w:val="clear" w:color="auto" w:fill="C6EFCE"/>
            <w:noWrap/>
            <w:vAlign w:val="center"/>
          </w:tcPr>
          <w:p w14:paraId="52EF9849" w14:textId="77777777" w:rsidR="00C972CB" w:rsidRDefault="002457F6">
            <w:pPr>
              <w:pStyle w:val="P68B1DB1-Normal12"/>
              <w:jc w:val="center"/>
              <w:rPr>
                <w:noProof/>
              </w:rPr>
            </w:pPr>
            <w:r>
              <w:rPr>
                <w:noProof/>
              </w:rPr>
              <w:t>Ieguldījums. Intervences elektrotīkla noturības palielināšanai</w:t>
            </w:r>
          </w:p>
        </w:tc>
        <w:tc>
          <w:tcPr>
            <w:tcW w:w="1498" w:type="dxa"/>
            <w:tcBorders>
              <w:top w:val="nil"/>
              <w:left w:val="nil"/>
              <w:bottom w:val="single" w:sz="4" w:space="0" w:color="auto"/>
              <w:right w:val="single" w:sz="4" w:space="0" w:color="auto"/>
            </w:tcBorders>
            <w:shd w:val="clear" w:color="auto" w:fill="C6EFCE"/>
            <w:noWrap/>
            <w:vAlign w:val="center"/>
          </w:tcPr>
          <w:p w14:paraId="4CB2152A"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6E2D4A2" w14:textId="77777777" w:rsidR="00C972CB" w:rsidRDefault="002457F6">
            <w:pPr>
              <w:pStyle w:val="P68B1DB1-Normal12"/>
              <w:jc w:val="center"/>
              <w:rPr>
                <w:noProof/>
              </w:rPr>
            </w:pPr>
            <w:r>
              <w:rPr>
                <w:noProof/>
              </w:rPr>
              <w:t>Palielināt elektroenerģijas sistēmas tīkla noturību</w:t>
            </w:r>
          </w:p>
        </w:tc>
      </w:tr>
      <w:tr w:rsidR="00C972CB" w14:paraId="15A62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CA4A" w14:textId="77777777" w:rsidR="00C972CB" w:rsidRDefault="002457F6">
            <w:pPr>
              <w:pStyle w:val="P68B1DB1-Normal12"/>
              <w:jc w:val="center"/>
              <w:rPr>
                <w:noProof/>
              </w:rPr>
            </w:pPr>
            <w:r>
              <w:rPr>
                <w:noProof/>
              </w:rPr>
              <w:t>M2C2–15</w:t>
            </w:r>
          </w:p>
        </w:tc>
        <w:tc>
          <w:tcPr>
            <w:tcW w:w="3090" w:type="dxa"/>
            <w:tcBorders>
              <w:top w:val="nil"/>
              <w:left w:val="nil"/>
              <w:bottom w:val="single" w:sz="4" w:space="0" w:color="auto"/>
              <w:right w:val="single" w:sz="4" w:space="0" w:color="auto"/>
            </w:tcBorders>
            <w:shd w:val="clear" w:color="auto" w:fill="C6EFCE"/>
            <w:noWrap/>
            <w:vAlign w:val="center"/>
          </w:tcPr>
          <w:p w14:paraId="75CE696C" w14:textId="77777777" w:rsidR="00C972CB" w:rsidRDefault="002457F6">
            <w:pPr>
              <w:pStyle w:val="P68B1DB1-Normal12"/>
              <w:jc w:val="center"/>
              <w:rPr>
                <w:noProof/>
              </w:rPr>
            </w:pPr>
            <w:r>
              <w:rPr>
                <w:noProof/>
              </w:rPr>
              <w:t>Ieguldījums. Ūdeņraža testēšana autotransportam</w:t>
            </w:r>
          </w:p>
        </w:tc>
        <w:tc>
          <w:tcPr>
            <w:tcW w:w="1498" w:type="dxa"/>
            <w:tcBorders>
              <w:top w:val="nil"/>
              <w:left w:val="nil"/>
              <w:bottom w:val="single" w:sz="4" w:space="0" w:color="auto"/>
              <w:right w:val="single" w:sz="4" w:space="0" w:color="auto"/>
            </w:tcBorders>
            <w:shd w:val="clear" w:color="auto" w:fill="C6EFCE"/>
            <w:noWrap/>
            <w:vAlign w:val="center"/>
          </w:tcPr>
          <w:p w14:paraId="0AAF4DB2"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2446A14" w14:textId="77777777" w:rsidR="00C972CB" w:rsidRDefault="002457F6">
            <w:pPr>
              <w:pStyle w:val="P68B1DB1-Normal12"/>
              <w:jc w:val="center"/>
              <w:rPr>
                <w:noProof/>
              </w:rPr>
            </w:pPr>
            <w:r>
              <w:rPr>
                <w:noProof/>
              </w:rPr>
              <w:t>Ūdeņraža uzlādes staciju iz</w:t>
            </w:r>
            <w:r>
              <w:rPr>
                <w:noProof/>
              </w:rPr>
              <w:t>veide</w:t>
            </w:r>
          </w:p>
        </w:tc>
      </w:tr>
      <w:tr w:rsidR="00C972CB" w14:paraId="0976CD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53996F" w14:textId="77777777" w:rsidR="00C972CB" w:rsidRDefault="002457F6">
            <w:pPr>
              <w:pStyle w:val="P68B1DB1-Normal12"/>
              <w:jc w:val="center"/>
              <w:rPr>
                <w:noProof/>
              </w:rPr>
            </w:pPr>
            <w:r>
              <w:rPr>
                <w:noProof/>
              </w:rPr>
              <w:t>M2C2–17</w:t>
            </w:r>
          </w:p>
        </w:tc>
        <w:tc>
          <w:tcPr>
            <w:tcW w:w="3090" w:type="dxa"/>
            <w:tcBorders>
              <w:top w:val="nil"/>
              <w:left w:val="nil"/>
              <w:bottom w:val="single" w:sz="4" w:space="0" w:color="auto"/>
              <w:right w:val="single" w:sz="4" w:space="0" w:color="auto"/>
            </w:tcBorders>
            <w:shd w:val="clear" w:color="auto" w:fill="C6EFCE"/>
            <w:noWrap/>
            <w:vAlign w:val="center"/>
          </w:tcPr>
          <w:p w14:paraId="5931FE21" w14:textId="77777777" w:rsidR="00C972CB" w:rsidRDefault="002457F6">
            <w:pPr>
              <w:pStyle w:val="P68B1DB1-Normal12"/>
              <w:jc w:val="center"/>
              <w:rPr>
                <w:noProof/>
              </w:rPr>
            </w:pPr>
            <w:r>
              <w:rPr>
                <w:noProof/>
              </w:rPr>
              <w:t>Ieguldījums. Ūdeņraža testēšana dzelzceļa mobilitātei</w:t>
            </w:r>
          </w:p>
        </w:tc>
        <w:tc>
          <w:tcPr>
            <w:tcW w:w="1498" w:type="dxa"/>
            <w:tcBorders>
              <w:top w:val="nil"/>
              <w:left w:val="nil"/>
              <w:bottom w:val="single" w:sz="4" w:space="0" w:color="auto"/>
              <w:right w:val="single" w:sz="4" w:space="0" w:color="auto"/>
            </w:tcBorders>
            <w:shd w:val="clear" w:color="auto" w:fill="C6EFCE"/>
            <w:noWrap/>
            <w:vAlign w:val="center"/>
          </w:tcPr>
          <w:p w14:paraId="6DEF2AC7"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B48F8A0" w14:textId="77777777" w:rsidR="00C972CB" w:rsidRDefault="002457F6">
            <w:pPr>
              <w:pStyle w:val="P68B1DB1-Normal12"/>
              <w:jc w:val="center"/>
              <w:rPr>
                <w:noProof/>
              </w:rPr>
            </w:pPr>
            <w:r>
              <w:rPr>
                <w:noProof/>
              </w:rPr>
              <w:t>Ūdeņraža uzpildes staciju skaits</w:t>
            </w:r>
          </w:p>
        </w:tc>
      </w:tr>
      <w:tr w:rsidR="00C972CB" w14:paraId="6ED742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96822" w14:textId="77777777" w:rsidR="00C972CB" w:rsidRDefault="002457F6">
            <w:pPr>
              <w:pStyle w:val="P68B1DB1-Normal12"/>
              <w:jc w:val="center"/>
              <w:rPr>
                <w:noProof/>
              </w:rPr>
            </w:pPr>
            <w:r>
              <w:rPr>
                <w:noProof/>
              </w:rPr>
              <w:t>M2C2–19</w:t>
            </w:r>
          </w:p>
        </w:tc>
        <w:tc>
          <w:tcPr>
            <w:tcW w:w="3090" w:type="dxa"/>
            <w:tcBorders>
              <w:top w:val="nil"/>
              <w:left w:val="nil"/>
              <w:bottom w:val="single" w:sz="4" w:space="0" w:color="auto"/>
              <w:right w:val="single" w:sz="4" w:space="0" w:color="auto"/>
            </w:tcBorders>
            <w:shd w:val="clear" w:color="auto" w:fill="C6EFCE"/>
            <w:noWrap/>
            <w:vAlign w:val="center"/>
          </w:tcPr>
          <w:p w14:paraId="22ACB88B" w14:textId="77777777" w:rsidR="00C972CB" w:rsidRDefault="002457F6">
            <w:pPr>
              <w:pStyle w:val="P68B1DB1-Normal12"/>
              <w:jc w:val="center"/>
              <w:rPr>
                <w:noProof/>
              </w:rPr>
            </w:pPr>
            <w:r>
              <w:rPr>
                <w:noProof/>
              </w:rPr>
              <w:t>Ieguldījums. Ūdeņraža pētniecība un izstrāde</w:t>
            </w:r>
          </w:p>
        </w:tc>
        <w:tc>
          <w:tcPr>
            <w:tcW w:w="1498" w:type="dxa"/>
            <w:tcBorders>
              <w:top w:val="nil"/>
              <w:left w:val="nil"/>
              <w:bottom w:val="single" w:sz="4" w:space="0" w:color="auto"/>
              <w:right w:val="single" w:sz="4" w:space="0" w:color="auto"/>
            </w:tcBorders>
            <w:shd w:val="clear" w:color="auto" w:fill="C6EFCE"/>
            <w:noWrap/>
            <w:vAlign w:val="center"/>
          </w:tcPr>
          <w:p w14:paraId="57307E5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A6AD0C0" w14:textId="77777777" w:rsidR="00C972CB" w:rsidRDefault="002457F6">
            <w:pPr>
              <w:pStyle w:val="P68B1DB1-Normal12"/>
              <w:jc w:val="center"/>
              <w:rPr>
                <w:noProof/>
              </w:rPr>
            </w:pPr>
            <w:r>
              <w:rPr>
                <w:noProof/>
              </w:rPr>
              <w:t>Ūdeņraža pētniecības un izstrādes projektu skaits</w:t>
            </w:r>
          </w:p>
        </w:tc>
      </w:tr>
      <w:tr w:rsidR="00C972CB" w14:paraId="1C6074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0F85BC" w14:textId="77777777" w:rsidR="00C972CB" w:rsidRDefault="002457F6">
            <w:pPr>
              <w:pStyle w:val="P68B1DB1-Normal12"/>
              <w:jc w:val="center"/>
              <w:rPr>
                <w:noProof/>
              </w:rPr>
            </w:pPr>
            <w:r>
              <w:rPr>
                <w:noProof/>
              </w:rPr>
              <w:t>M2C2–25bis</w:t>
            </w:r>
          </w:p>
        </w:tc>
        <w:tc>
          <w:tcPr>
            <w:tcW w:w="3090" w:type="dxa"/>
            <w:tcBorders>
              <w:top w:val="nil"/>
              <w:left w:val="nil"/>
              <w:bottom w:val="single" w:sz="4" w:space="0" w:color="auto"/>
              <w:right w:val="single" w:sz="4" w:space="0" w:color="auto"/>
            </w:tcBorders>
            <w:shd w:val="clear" w:color="auto" w:fill="C6EFCE"/>
            <w:noWrap/>
            <w:vAlign w:val="center"/>
          </w:tcPr>
          <w:p w14:paraId="158A503F" w14:textId="77777777" w:rsidR="00C972CB" w:rsidRDefault="002457F6">
            <w:pPr>
              <w:pStyle w:val="P68B1DB1-Normal12"/>
              <w:jc w:val="center"/>
              <w:rPr>
                <w:noProof/>
              </w:rPr>
            </w:pPr>
            <w:r>
              <w:rPr>
                <w:noProof/>
              </w:rPr>
              <w:t xml:space="preserve">Ieguldījums. Ātrās masas </w:t>
            </w:r>
            <w:r>
              <w:rPr>
                <w:noProof/>
              </w:rPr>
              <w:t>transporta sistēmu (metro, ielu automobiļa, BRT) attīstība</w:t>
            </w:r>
          </w:p>
        </w:tc>
        <w:tc>
          <w:tcPr>
            <w:tcW w:w="1498" w:type="dxa"/>
            <w:tcBorders>
              <w:top w:val="nil"/>
              <w:left w:val="nil"/>
              <w:bottom w:val="single" w:sz="4" w:space="0" w:color="auto"/>
              <w:right w:val="single" w:sz="4" w:space="0" w:color="auto"/>
            </w:tcBorders>
            <w:shd w:val="clear" w:color="auto" w:fill="C6EFCE"/>
            <w:noWrap/>
            <w:vAlign w:val="center"/>
          </w:tcPr>
          <w:p w14:paraId="76353748"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296C069" w14:textId="77777777" w:rsidR="00C972CB" w:rsidRDefault="002457F6">
            <w:pPr>
              <w:pStyle w:val="P68B1DB1-Normal12"/>
              <w:jc w:val="center"/>
              <w:rPr>
                <w:noProof/>
              </w:rPr>
            </w:pPr>
            <w:r>
              <w:rPr>
                <w:noProof/>
              </w:rPr>
              <w:t>Vismaz 5 intervences ātrdarbīgu masu transporta sistēmu infrastruktūras modernizācijai</w:t>
            </w:r>
          </w:p>
        </w:tc>
      </w:tr>
      <w:tr w:rsidR="00C972CB" w14:paraId="49637E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6A0145" w14:textId="77777777" w:rsidR="00C972CB" w:rsidRDefault="002457F6">
            <w:pPr>
              <w:pStyle w:val="P68B1DB1-Normal12"/>
              <w:jc w:val="center"/>
              <w:rPr>
                <w:noProof/>
              </w:rPr>
            </w:pPr>
            <w:r>
              <w:rPr>
                <w:noProof/>
              </w:rPr>
              <w:t>M2C2–25ter</w:t>
            </w:r>
          </w:p>
        </w:tc>
        <w:tc>
          <w:tcPr>
            <w:tcW w:w="3090" w:type="dxa"/>
            <w:tcBorders>
              <w:top w:val="nil"/>
              <w:left w:val="nil"/>
              <w:bottom w:val="single" w:sz="4" w:space="0" w:color="auto"/>
              <w:right w:val="single" w:sz="4" w:space="0" w:color="auto"/>
            </w:tcBorders>
            <w:shd w:val="clear" w:color="auto" w:fill="C6EFCE"/>
            <w:noWrap/>
            <w:vAlign w:val="center"/>
          </w:tcPr>
          <w:p w14:paraId="6CBF92C6" w14:textId="77777777" w:rsidR="00C972CB" w:rsidRDefault="002457F6">
            <w:pPr>
              <w:pStyle w:val="P68B1DB1-Normal12"/>
              <w:jc w:val="center"/>
              <w:rPr>
                <w:noProof/>
              </w:rPr>
            </w:pPr>
            <w:r>
              <w:rPr>
                <w:noProof/>
              </w:rPr>
              <w:t>Ieguldījums. Ātrās masas transporta sistēmu (metro, ielu automobiļa, BRT) attīstība</w:t>
            </w:r>
          </w:p>
        </w:tc>
        <w:tc>
          <w:tcPr>
            <w:tcW w:w="1498" w:type="dxa"/>
            <w:tcBorders>
              <w:top w:val="nil"/>
              <w:left w:val="nil"/>
              <w:bottom w:val="single" w:sz="4" w:space="0" w:color="auto"/>
              <w:right w:val="single" w:sz="4" w:space="0" w:color="auto"/>
            </w:tcBorders>
            <w:shd w:val="clear" w:color="auto" w:fill="C6EFCE"/>
            <w:noWrap/>
            <w:vAlign w:val="center"/>
          </w:tcPr>
          <w:p w14:paraId="0C6EA68D"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BF82300" w14:textId="77777777" w:rsidR="00C972CB" w:rsidRDefault="002457F6">
            <w:pPr>
              <w:pStyle w:val="P68B1DB1-Normal12"/>
              <w:jc w:val="center"/>
              <w:rPr>
                <w:noProof/>
              </w:rPr>
            </w:pPr>
            <w:r>
              <w:rPr>
                <w:noProof/>
              </w:rPr>
              <w:t>Vismaz 85 ritošā sastāva vienību iegāde ātrai pārvadāšanai</w:t>
            </w:r>
          </w:p>
        </w:tc>
      </w:tr>
      <w:tr w:rsidR="00C972CB" w14:paraId="0A94BC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C99FC" w14:textId="77777777" w:rsidR="00C972CB" w:rsidRDefault="002457F6">
            <w:pPr>
              <w:pStyle w:val="P68B1DB1-Normal12"/>
              <w:jc w:val="center"/>
              <w:rPr>
                <w:noProof/>
              </w:rPr>
            </w:pPr>
            <w:r>
              <w:rPr>
                <w:noProof/>
              </w:rPr>
              <w:t>M2C2–26</w:t>
            </w:r>
          </w:p>
        </w:tc>
        <w:tc>
          <w:tcPr>
            <w:tcW w:w="3090" w:type="dxa"/>
            <w:tcBorders>
              <w:top w:val="nil"/>
              <w:left w:val="nil"/>
              <w:bottom w:val="single" w:sz="4" w:space="0" w:color="auto"/>
              <w:right w:val="single" w:sz="4" w:space="0" w:color="auto"/>
            </w:tcBorders>
            <w:shd w:val="clear" w:color="auto" w:fill="C6EFCE"/>
            <w:noWrap/>
            <w:vAlign w:val="center"/>
          </w:tcPr>
          <w:p w14:paraId="77DC01E7" w14:textId="77777777" w:rsidR="00C972CB" w:rsidRDefault="002457F6">
            <w:pPr>
              <w:pStyle w:val="P68B1DB1-Normal12"/>
              <w:jc w:val="center"/>
              <w:rPr>
                <w:noProof/>
              </w:rPr>
            </w:pPr>
            <w:r>
              <w:rPr>
                <w:noProof/>
              </w:rPr>
              <w:t>Ieguldījums. Ātrās masas transporta sistēmu attīstība (metro, ielu automobiļi, autobusa ātrais tranzīts)</w:t>
            </w:r>
          </w:p>
        </w:tc>
        <w:tc>
          <w:tcPr>
            <w:tcW w:w="1498" w:type="dxa"/>
            <w:tcBorders>
              <w:top w:val="nil"/>
              <w:left w:val="nil"/>
              <w:bottom w:val="single" w:sz="4" w:space="0" w:color="auto"/>
              <w:right w:val="single" w:sz="4" w:space="0" w:color="auto"/>
            </w:tcBorders>
            <w:shd w:val="clear" w:color="auto" w:fill="C6EFCE"/>
            <w:noWrap/>
            <w:vAlign w:val="center"/>
          </w:tcPr>
          <w:p w14:paraId="4E42054F"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5D2946B" w14:textId="77777777" w:rsidR="00C972CB" w:rsidRDefault="002457F6">
            <w:pPr>
              <w:pStyle w:val="P68B1DB1-Normal12"/>
              <w:jc w:val="center"/>
              <w:rPr>
                <w:noProof/>
              </w:rPr>
            </w:pPr>
            <w:r>
              <w:rPr>
                <w:noProof/>
              </w:rPr>
              <w:t>Sabiedriskā transporta infrastruktūras km skaits</w:t>
            </w:r>
          </w:p>
        </w:tc>
      </w:tr>
      <w:tr w:rsidR="00C972CB" w14:paraId="03C3D5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0560AD" w14:textId="77777777" w:rsidR="00C972CB" w:rsidRDefault="002457F6">
            <w:pPr>
              <w:pStyle w:val="P68B1DB1-Normal12"/>
              <w:jc w:val="center"/>
              <w:rPr>
                <w:noProof/>
              </w:rPr>
            </w:pPr>
            <w:r>
              <w:rPr>
                <w:noProof/>
              </w:rPr>
              <w:t>M2C2–35</w:t>
            </w:r>
          </w:p>
        </w:tc>
        <w:tc>
          <w:tcPr>
            <w:tcW w:w="3090" w:type="dxa"/>
            <w:tcBorders>
              <w:top w:val="nil"/>
              <w:left w:val="nil"/>
              <w:bottom w:val="single" w:sz="4" w:space="0" w:color="auto"/>
              <w:right w:val="single" w:sz="4" w:space="0" w:color="auto"/>
            </w:tcBorders>
            <w:shd w:val="clear" w:color="auto" w:fill="C6EFCE"/>
            <w:noWrap/>
            <w:vAlign w:val="center"/>
          </w:tcPr>
          <w:p w14:paraId="745A8664" w14:textId="77777777" w:rsidR="00C972CB" w:rsidRDefault="002457F6">
            <w:pPr>
              <w:pStyle w:val="P68B1DB1-Normal26"/>
              <w:jc w:val="center"/>
              <w:rPr>
                <w:noProof/>
                <w:color w:val="006100"/>
              </w:rPr>
            </w:pPr>
            <w:r>
              <w:rPr>
                <w:noProof/>
                <w:color w:val="006100"/>
              </w:rPr>
              <w:t>Ieguldījums 4.4.1.:</w:t>
            </w:r>
            <w:r>
              <w:rPr>
                <w:noProof/>
                <w:color w:val="006100"/>
              </w:rPr>
              <w:t xml:space="preserve"> Reģionālā sabiedriskā transporta autobusu parka stiprināšana ar</w:t>
            </w:r>
            <w:r>
              <w:rPr>
                <w:noProof/>
                <w:color w:val="000000" w:themeColor="text1"/>
              </w:rPr>
              <w:t xml:space="preserve"> </w:t>
            </w:r>
            <w:r>
              <w:rPr>
                <w:noProof/>
                <w:color w:val="006100"/>
              </w:rPr>
              <w:t>bezemisiju mazemisiju autobusiem —</w:t>
            </w:r>
          </w:p>
        </w:tc>
        <w:tc>
          <w:tcPr>
            <w:tcW w:w="1498" w:type="dxa"/>
            <w:tcBorders>
              <w:top w:val="nil"/>
              <w:left w:val="nil"/>
              <w:bottom w:val="single" w:sz="4" w:space="0" w:color="auto"/>
              <w:right w:val="single" w:sz="4" w:space="0" w:color="auto"/>
            </w:tcBorders>
            <w:shd w:val="clear" w:color="auto" w:fill="C6EFCE"/>
            <w:noWrap/>
            <w:vAlign w:val="center"/>
          </w:tcPr>
          <w:p w14:paraId="4FE29759"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2D51643" w14:textId="77777777" w:rsidR="00C972CB" w:rsidRDefault="002457F6">
            <w:pPr>
              <w:pStyle w:val="P68B1DB1-Normal12"/>
              <w:jc w:val="center"/>
              <w:rPr>
                <w:noProof/>
              </w:rPr>
            </w:pPr>
            <w:r>
              <w:rPr>
                <w:noProof/>
              </w:rPr>
              <w:t>Stājās spēkā T2 bezemisiju mazemisiju autobusu skaits</w:t>
            </w:r>
          </w:p>
        </w:tc>
      </w:tr>
      <w:tr w:rsidR="00C972CB" w14:paraId="518FF6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3063E" w14:textId="77777777" w:rsidR="00C972CB" w:rsidRDefault="002457F6">
            <w:pPr>
              <w:pStyle w:val="P68B1DB1-Normal12"/>
              <w:jc w:val="center"/>
              <w:rPr>
                <w:noProof/>
              </w:rPr>
            </w:pPr>
            <w:r>
              <w:rPr>
                <w:noProof/>
              </w:rPr>
              <w:t>M2C2–35 ter</w:t>
            </w:r>
          </w:p>
        </w:tc>
        <w:tc>
          <w:tcPr>
            <w:tcW w:w="3090" w:type="dxa"/>
            <w:tcBorders>
              <w:top w:val="nil"/>
              <w:left w:val="nil"/>
              <w:bottom w:val="single" w:sz="4" w:space="0" w:color="auto"/>
              <w:right w:val="single" w:sz="4" w:space="0" w:color="auto"/>
            </w:tcBorders>
            <w:shd w:val="clear" w:color="auto" w:fill="C6EFCE"/>
            <w:noWrap/>
            <w:vAlign w:val="center"/>
          </w:tcPr>
          <w:p w14:paraId="42733178" w14:textId="77777777" w:rsidR="00C972CB" w:rsidRDefault="002457F6">
            <w:pPr>
              <w:pStyle w:val="P68B1DB1-Normal12"/>
              <w:jc w:val="center"/>
              <w:rPr>
                <w:noProof/>
              </w:rPr>
            </w:pPr>
            <w:r>
              <w:rPr>
                <w:noProof/>
              </w:rPr>
              <w:t>Ieguldījums 4.4.1.: Reģionālā sabiedriskā transporta autobusu parka stiprināšana ar</w:t>
            </w:r>
            <w:r>
              <w:rPr>
                <w:noProof/>
              </w:rPr>
              <w:t xml:space="preserve"> “tīro degvielu” transportlīdzekļiem</w:t>
            </w:r>
          </w:p>
        </w:tc>
        <w:tc>
          <w:tcPr>
            <w:tcW w:w="1498" w:type="dxa"/>
            <w:tcBorders>
              <w:top w:val="nil"/>
              <w:left w:val="nil"/>
              <w:bottom w:val="single" w:sz="4" w:space="0" w:color="auto"/>
              <w:right w:val="single" w:sz="4" w:space="0" w:color="auto"/>
            </w:tcBorders>
            <w:shd w:val="clear" w:color="auto" w:fill="C6EFCE"/>
            <w:noWrap/>
            <w:vAlign w:val="center"/>
          </w:tcPr>
          <w:p w14:paraId="583DA43B"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FD24AE4" w14:textId="77777777" w:rsidR="00C972CB" w:rsidRDefault="002457F6">
            <w:pPr>
              <w:pStyle w:val="P68B1DB1-Normal12"/>
              <w:jc w:val="center"/>
              <w:rPr>
                <w:noProof/>
              </w:rPr>
            </w:pPr>
            <w:r>
              <w:rPr>
                <w:noProof/>
              </w:rPr>
              <w:t>Bezemisiju un mazemisiju autobusu uzlādes staciju skaits</w:t>
            </w:r>
          </w:p>
        </w:tc>
      </w:tr>
      <w:tr w:rsidR="00C972CB" w14:paraId="2416F7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CA4A3" w14:textId="77777777" w:rsidR="00C972CB" w:rsidRDefault="002457F6">
            <w:pPr>
              <w:pStyle w:val="P68B1DB1-Normal12"/>
              <w:jc w:val="center"/>
              <w:rPr>
                <w:noProof/>
              </w:rPr>
            </w:pPr>
            <w:r>
              <w:rPr>
                <w:noProof/>
              </w:rPr>
              <w:t xml:space="preserve">M2C2–35 bis </w:t>
            </w:r>
          </w:p>
        </w:tc>
        <w:tc>
          <w:tcPr>
            <w:tcW w:w="3090" w:type="dxa"/>
            <w:tcBorders>
              <w:top w:val="nil"/>
              <w:left w:val="nil"/>
              <w:bottom w:val="single" w:sz="4" w:space="0" w:color="auto"/>
              <w:right w:val="single" w:sz="4" w:space="0" w:color="auto"/>
            </w:tcBorders>
            <w:shd w:val="clear" w:color="auto" w:fill="C6EFCE"/>
            <w:noWrap/>
            <w:vAlign w:val="center"/>
          </w:tcPr>
          <w:p w14:paraId="0374C52E" w14:textId="77777777" w:rsidR="00C972CB" w:rsidRDefault="002457F6">
            <w:pPr>
              <w:pStyle w:val="P68B1DB1-Normal12"/>
              <w:jc w:val="center"/>
              <w:rPr>
                <w:noProof/>
              </w:rPr>
            </w:pPr>
            <w:r>
              <w:rPr>
                <w:noProof/>
              </w:rPr>
              <w:t>Ieguldījums 4.4.2.:  Reģionālā sabiedriskā transporta dzelzceļa parka stiprināšana ar bezemisiju vilcieniem un universālo pakalpojumu</w:t>
            </w:r>
          </w:p>
        </w:tc>
        <w:tc>
          <w:tcPr>
            <w:tcW w:w="1498" w:type="dxa"/>
            <w:tcBorders>
              <w:top w:val="nil"/>
              <w:left w:val="nil"/>
              <w:bottom w:val="single" w:sz="4" w:space="0" w:color="auto"/>
              <w:right w:val="single" w:sz="4" w:space="0" w:color="auto"/>
            </w:tcBorders>
            <w:shd w:val="clear" w:color="auto" w:fill="C6EFCE"/>
            <w:noWrap/>
            <w:vAlign w:val="center"/>
          </w:tcPr>
          <w:p w14:paraId="31BD1F86"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F6F18CB" w14:textId="77777777" w:rsidR="00C972CB" w:rsidRDefault="002457F6">
            <w:pPr>
              <w:pStyle w:val="P68B1DB1-Normal12"/>
              <w:jc w:val="center"/>
              <w:rPr>
                <w:noProof/>
              </w:rPr>
            </w:pPr>
            <w:r>
              <w:rPr>
                <w:noProof/>
              </w:rPr>
              <w:t>Be</w:t>
            </w:r>
            <w:r>
              <w:rPr>
                <w:noProof/>
              </w:rPr>
              <w:t xml:space="preserve">zemisiju vilcienu skaits un pārvadājumu skaits universālajam pakalpojumam </w:t>
            </w:r>
          </w:p>
        </w:tc>
      </w:tr>
      <w:tr w:rsidR="00C972CB" w14:paraId="43443B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281F62" w14:textId="77777777" w:rsidR="00C972CB" w:rsidRDefault="002457F6">
            <w:pPr>
              <w:pStyle w:val="P68B1DB1-Normal12"/>
              <w:jc w:val="center"/>
              <w:rPr>
                <w:noProof/>
              </w:rPr>
            </w:pPr>
            <w:r>
              <w:rPr>
                <w:noProof/>
              </w:rPr>
              <w:t>M2C2–36</w:t>
            </w:r>
          </w:p>
        </w:tc>
        <w:tc>
          <w:tcPr>
            <w:tcW w:w="3090" w:type="dxa"/>
            <w:tcBorders>
              <w:top w:val="nil"/>
              <w:left w:val="nil"/>
              <w:bottom w:val="single" w:sz="4" w:space="0" w:color="auto"/>
              <w:right w:val="single" w:sz="4" w:space="0" w:color="auto"/>
            </w:tcBorders>
            <w:shd w:val="clear" w:color="auto" w:fill="C6EFCE"/>
            <w:noWrap/>
            <w:vAlign w:val="center"/>
          </w:tcPr>
          <w:p w14:paraId="3E48B849" w14:textId="77777777" w:rsidR="00C972CB" w:rsidRDefault="002457F6">
            <w:pPr>
              <w:pStyle w:val="P68B1DB1-Normal12"/>
              <w:jc w:val="center"/>
              <w:rPr>
                <w:noProof/>
              </w:rPr>
            </w:pPr>
            <w:r>
              <w:rPr>
                <w:noProof/>
              </w:rPr>
              <w:t>Ieguldījums 4.4.3.: Flotes atjaunošana Valsts ugunsdzēsības brigādes komandai</w:t>
            </w:r>
          </w:p>
        </w:tc>
        <w:tc>
          <w:tcPr>
            <w:tcW w:w="1498" w:type="dxa"/>
            <w:tcBorders>
              <w:top w:val="nil"/>
              <w:left w:val="nil"/>
              <w:bottom w:val="single" w:sz="4" w:space="0" w:color="auto"/>
              <w:right w:val="single" w:sz="4" w:space="0" w:color="auto"/>
            </w:tcBorders>
            <w:shd w:val="clear" w:color="auto" w:fill="C6EFCE"/>
            <w:noWrap/>
            <w:vAlign w:val="center"/>
          </w:tcPr>
          <w:p w14:paraId="06D29F84"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93E3A02" w14:textId="77777777" w:rsidR="00C972CB" w:rsidRDefault="002457F6">
            <w:pPr>
              <w:pStyle w:val="P68B1DB1-Normal12"/>
              <w:jc w:val="center"/>
              <w:rPr>
                <w:noProof/>
              </w:rPr>
            </w:pPr>
            <w:r>
              <w:rPr>
                <w:noProof/>
              </w:rPr>
              <w:t>Tīro transportlīdzekļu skaits parka atjaunošanai valsts ugunsdzēsības brigādes komandai</w:t>
            </w:r>
          </w:p>
        </w:tc>
      </w:tr>
      <w:tr w:rsidR="00C972CB" w14:paraId="2EFE37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25FB2" w14:textId="77777777" w:rsidR="00C972CB" w:rsidRDefault="002457F6">
            <w:pPr>
              <w:pStyle w:val="P68B1DB1-Normal12"/>
              <w:jc w:val="center"/>
              <w:rPr>
                <w:noProof/>
              </w:rPr>
            </w:pPr>
            <w:r>
              <w:rPr>
                <w:noProof/>
              </w:rPr>
              <w:t>M2C2–43</w:t>
            </w:r>
          </w:p>
        </w:tc>
        <w:tc>
          <w:tcPr>
            <w:tcW w:w="3090" w:type="dxa"/>
            <w:tcBorders>
              <w:top w:val="nil"/>
              <w:left w:val="nil"/>
              <w:bottom w:val="single" w:sz="4" w:space="0" w:color="auto"/>
              <w:right w:val="single" w:sz="4" w:space="0" w:color="auto"/>
            </w:tcBorders>
            <w:shd w:val="clear" w:color="auto" w:fill="C6EFCE"/>
            <w:noWrap/>
            <w:vAlign w:val="center"/>
          </w:tcPr>
          <w:p w14:paraId="0F3DE7CA" w14:textId="77777777" w:rsidR="00C972CB" w:rsidRDefault="002457F6">
            <w:pPr>
              <w:pStyle w:val="P68B1DB1-Normal12"/>
              <w:jc w:val="center"/>
              <w:rPr>
                <w:noProof/>
              </w:rPr>
            </w:pPr>
            <w:r>
              <w:rPr>
                <w:noProof/>
              </w:rPr>
              <w:t xml:space="preserve">Ieguldījums 5.4 — Atbalsts jaunuzņēmumiem un riska kapitālam, kas aktīvi darbojas ekoloģiskās pārkārtošanās procesā. </w:t>
            </w:r>
          </w:p>
        </w:tc>
        <w:tc>
          <w:tcPr>
            <w:tcW w:w="1498" w:type="dxa"/>
            <w:tcBorders>
              <w:top w:val="nil"/>
              <w:left w:val="nil"/>
              <w:bottom w:val="single" w:sz="4" w:space="0" w:color="auto"/>
              <w:right w:val="single" w:sz="4" w:space="0" w:color="auto"/>
            </w:tcBorders>
            <w:shd w:val="clear" w:color="auto" w:fill="C6EFCE"/>
            <w:noWrap/>
            <w:vAlign w:val="center"/>
          </w:tcPr>
          <w:p w14:paraId="54F1E5BB"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F071D5C" w14:textId="77777777" w:rsidR="00C972CB" w:rsidRDefault="002457F6">
            <w:pPr>
              <w:pStyle w:val="P68B1DB1-Normal12"/>
              <w:jc w:val="center"/>
              <w:rPr>
                <w:noProof/>
              </w:rPr>
            </w:pPr>
            <w:r>
              <w:rPr>
                <w:noProof/>
              </w:rPr>
              <w:t>Juridiski nolīgumi, kas parakstīti ar riska kapitāla fondiem un jaunuzņēmumiem</w:t>
            </w:r>
          </w:p>
        </w:tc>
      </w:tr>
      <w:tr w:rsidR="00C972CB" w14:paraId="75A385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263F7" w14:textId="77777777" w:rsidR="00C972CB" w:rsidRDefault="002457F6">
            <w:pPr>
              <w:pStyle w:val="P68B1DB1-Normal12"/>
              <w:jc w:val="center"/>
              <w:rPr>
                <w:noProof/>
              </w:rPr>
            </w:pPr>
            <w:r>
              <w:rPr>
                <w:noProof/>
              </w:rPr>
              <w:t>M2C2–45</w:t>
            </w:r>
          </w:p>
        </w:tc>
        <w:tc>
          <w:tcPr>
            <w:tcW w:w="3090" w:type="dxa"/>
            <w:tcBorders>
              <w:top w:val="nil"/>
              <w:left w:val="nil"/>
              <w:bottom w:val="single" w:sz="4" w:space="0" w:color="auto"/>
              <w:right w:val="single" w:sz="4" w:space="0" w:color="auto"/>
            </w:tcBorders>
            <w:shd w:val="clear" w:color="auto" w:fill="C6EFCE"/>
            <w:noWrap/>
            <w:vAlign w:val="center"/>
          </w:tcPr>
          <w:p w14:paraId="7BB1E187" w14:textId="77777777" w:rsidR="00C972CB" w:rsidRDefault="002457F6">
            <w:pPr>
              <w:pStyle w:val="P68B1DB1-Normal12"/>
              <w:jc w:val="center"/>
              <w:rPr>
                <w:noProof/>
              </w:rPr>
            </w:pPr>
            <w:r>
              <w:rPr>
                <w:noProof/>
              </w:rPr>
              <w:t>Ieguldījums 1.1. Lauksaimniecības e</w:t>
            </w:r>
            <w:r>
              <w:rPr>
                <w:noProof/>
              </w:rPr>
              <w:t>nergosistēmu attīstība</w:t>
            </w:r>
          </w:p>
        </w:tc>
        <w:tc>
          <w:tcPr>
            <w:tcW w:w="1498" w:type="dxa"/>
            <w:tcBorders>
              <w:top w:val="nil"/>
              <w:left w:val="nil"/>
              <w:bottom w:val="single" w:sz="4" w:space="0" w:color="auto"/>
              <w:right w:val="single" w:sz="4" w:space="0" w:color="auto"/>
            </w:tcBorders>
            <w:shd w:val="clear" w:color="auto" w:fill="C6EFCE"/>
            <w:noWrap/>
            <w:vAlign w:val="center"/>
          </w:tcPr>
          <w:p w14:paraId="72260056"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6E7CCAB" w14:textId="77777777" w:rsidR="00C972CB" w:rsidRDefault="002457F6">
            <w:pPr>
              <w:pStyle w:val="P68B1DB1-Normal12"/>
              <w:jc w:val="center"/>
              <w:rPr>
                <w:noProof/>
              </w:rPr>
            </w:pPr>
            <w:r>
              <w:rPr>
                <w:noProof/>
              </w:rPr>
              <w:t xml:space="preserve">Saules fotoelementu paneļu uzstādīšana agroelektriskajās sistēmās </w:t>
            </w:r>
          </w:p>
        </w:tc>
      </w:tr>
      <w:tr w:rsidR="00C972CB" w14:paraId="19D992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46C7E" w14:textId="77777777" w:rsidR="00C972CB" w:rsidRDefault="002457F6">
            <w:pPr>
              <w:pStyle w:val="P68B1DB1-Normal12"/>
              <w:jc w:val="center"/>
              <w:rPr>
                <w:noProof/>
              </w:rPr>
            </w:pPr>
            <w:r>
              <w:rPr>
                <w:noProof/>
              </w:rPr>
              <w:t>M2C2–47</w:t>
            </w:r>
          </w:p>
        </w:tc>
        <w:tc>
          <w:tcPr>
            <w:tcW w:w="3090" w:type="dxa"/>
            <w:tcBorders>
              <w:top w:val="nil"/>
              <w:left w:val="nil"/>
              <w:bottom w:val="single" w:sz="4" w:space="0" w:color="auto"/>
              <w:right w:val="single" w:sz="4" w:space="0" w:color="auto"/>
            </w:tcBorders>
            <w:shd w:val="clear" w:color="auto" w:fill="C6EFCE"/>
            <w:noWrap/>
            <w:vAlign w:val="center"/>
          </w:tcPr>
          <w:p w14:paraId="6502E939" w14:textId="77777777" w:rsidR="00C972CB" w:rsidRDefault="002457F6">
            <w:pPr>
              <w:pStyle w:val="P68B1DB1-Normal12"/>
              <w:jc w:val="center"/>
              <w:rPr>
                <w:noProof/>
              </w:rPr>
            </w:pPr>
            <w:r>
              <w:rPr>
                <w:noProof/>
              </w:rPr>
              <w:t>Ieguldījumi 1.2. AER veicināšana energokopienām un atjaunojamo energoresursu enerģijas pašpatērētājiem, kas darbojas kopīgi</w:t>
            </w:r>
          </w:p>
        </w:tc>
        <w:tc>
          <w:tcPr>
            <w:tcW w:w="1498" w:type="dxa"/>
            <w:tcBorders>
              <w:top w:val="nil"/>
              <w:left w:val="nil"/>
              <w:bottom w:val="single" w:sz="4" w:space="0" w:color="auto"/>
              <w:right w:val="single" w:sz="4" w:space="0" w:color="auto"/>
            </w:tcBorders>
            <w:shd w:val="clear" w:color="auto" w:fill="C6EFCE"/>
            <w:noWrap/>
            <w:vAlign w:val="center"/>
          </w:tcPr>
          <w:p w14:paraId="3BBA2C8A"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04B7522" w14:textId="77777777" w:rsidR="00C972CB" w:rsidRDefault="002457F6">
            <w:pPr>
              <w:pStyle w:val="P68B1DB1-Normal12"/>
              <w:jc w:val="center"/>
              <w:rPr>
                <w:noProof/>
              </w:rPr>
            </w:pPr>
            <w:r>
              <w:rPr>
                <w:noProof/>
              </w:rPr>
              <w:t xml:space="preserve">Atjaunojamo </w:t>
            </w:r>
            <w:r>
              <w:rPr>
                <w:noProof/>
              </w:rPr>
              <w:t>energoresursu enerģijas ražošana energokopienās un atjaunīgās enerģijas pašpatērētāji, kas rīkojas kopīgi</w:t>
            </w:r>
          </w:p>
        </w:tc>
      </w:tr>
      <w:tr w:rsidR="00C972CB" w14:paraId="48C07C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DF1A07" w14:textId="77777777" w:rsidR="00C972CB" w:rsidRDefault="002457F6">
            <w:pPr>
              <w:pStyle w:val="P68B1DB1-Normal12"/>
              <w:jc w:val="center"/>
              <w:rPr>
                <w:noProof/>
              </w:rPr>
            </w:pPr>
            <w:r>
              <w:rPr>
                <w:noProof/>
              </w:rPr>
              <w:t>M2C2–49</w:t>
            </w:r>
          </w:p>
        </w:tc>
        <w:tc>
          <w:tcPr>
            <w:tcW w:w="3090" w:type="dxa"/>
            <w:tcBorders>
              <w:top w:val="nil"/>
              <w:left w:val="nil"/>
              <w:bottom w:val="single" w:sz="4" w:space="0" w:color="auto"/>
              <w:right w:val="single" w:sz="4" w:space="0" w:color="auto"/>
            </w:tcBorders>
            <w:shd w:val="clear" w:color="auto" w:fill="C6EFCE"/>
            <w:noWrap/>
            <w:vAlign w:val="center"/>
          </w:tcPr>
          <w:p w14:paraId="6BF64F50" w14:textId="77777777" w:rsidR="00C972CB" w:rsidRDefault="002457F6">
            <w:pPr>
              <w:pStyle w:val="P68B1DB1-Normal12"/>
              <w:jc w:val="center"/>
              <w:rPr>
                <w:noProof/>
              </w:rPr>
            </w:pPr>
            <w:r>
              <w:rPr>
                <w:noProof/>
              </w:rPr>
              <w:t>Investīcija. Ūdeņraža ražošana degradētās teritorijās (Ūdeņraža ielejās)</w:t>
            </w:r>
          </w:p>
        </w:tc>
        <w:tc>
          <w:tcPr>
            <w:tcW w:w="1498" w:type="dxa"/>
            <w:tcBorders>
              <w:top w:val="nil"/>
              <w:left w:val="nil"/>
              <w:bottom w:val="single" w:sz="4" w:space="0" w:color="auto"/>
              <w:right w:val="single" w:sz="4" w:space="0" w:color="auto"/>
            </w:tcBorders>
            <w:shd w:val="clear" w:color="auto" w:fill="C6EFCE"/>
            <w:noWrap/>
            <w:vAlign w:val="center"/>
          </w:tcPr>
          <w:p w14:paraId="634DA8EC"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5563F20" w14:textId="77777777" w:rsidR="00C972CB" w:rsidRDefault="002457F6">
            <w:pPr>
              <w:pStyle w:val="P68B1DB1-Normal12"/>
              <w:jc w:val="center"/>
              <w:rPr>
                <w:noProof/>
              </w:rPr>
            </w:pPr>
            <w:r>
              <w:rPr>
                <w:noProof/>
              </w:rPr>
              <w:t>Ūdeņraža ražošanas projektu pabeigšana rūpniecības apgabalos</w:t>
            </w:r>
          </w:p>
        </w:tc>
      </w:tr>
      <w:tr w:rsidR="00C972CB" w14:paraId="3DCC0C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282F3" w14:textId="77777777" w:rsidR="00C972CB" w:rsidRDefault="002457F6">
            <w:pPr>
              <w:pStyle w:val="P68B1DB1-Normal12"/>
              <w:jc w:val="center"/>
              <w:rPr>
                <w:noProof/>
              </w:rPr>
            </w:pPr>
            <w:r>
              <w:rPr>
                <w:noProof/>
              </w:rPr>
              <w:t>M2C2–51</w:t>
            </w:r>
          </w:p>
        </w:tc>
        <w:tc>
          <w:tcPr>
            <w:tcW w:w="3090" w:type="dxa"/>
            <w:tcBorders>
              <w:top w:val="nil"/>
              <w:left w:val="nil"/>
              <w:bottom w:val="single" w:sz="4" w:space="0" w:color="auto"/>
              <w:right w:val="single" w:sz="4" w:space="0" w:color="auto"/>
            </w:tcBorders>
            <w:shd w:val="clear" w:color="auto" w:fill="C6EFCE"/>
            <w:noWrap/>
            <w:vAlign w:val="center"/>
          </w:tcPr>
          <w:p w14:paraId="78E67040" w14:textId="77777777" w:rsidR="00C972CB" w:rsidRDefault="002457F6">
            <w:pPr>
              <w:pStyle w:val="P68B1DB1-Normal12"/>
              <w:jc w:val="center"/>
              <w:rPr>
                <w:noProof/>
              </w:rPr>
            </w:pPr>
            <w:r>
              <w:rPr>
                <w:noProof/>
              </w:rPr>
              <w:t>Investīcija Nr. 3.2. Ūdeņraža izmantošana grūti dekarbonizējamā rūpniecībā</w:t>
            </w:r>
          </w:p>
        </w:tc>
        <w:tc>
          <w:tcPr>
            <w:tcW w:w="1498" w:type="dxa"/>
            <w:tcBorders>
              <w:top w:val="nil"/>
              <w:left w:val="nil"/>
              <w:bottom w:val="single" w:sz="4" w:space="0" w:color="auto"/>
              <w:right w:val="single" w:sz="4" w:space="0" w:color="auto"/>
            </w:tcBorders>
            <w:shd w:val="clear" w:color="auto" w:fill="C6EFCE"/>
            <w:noWrap/>
            <w:vAlign w:val="center"/>
          </w:tcPr>
          <w:p w14:paraId="3B6D4E7F"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B6932BA" w14:textId="77777777" w:rsidR="00C972CB" w:rsidRDefault="002457F6">
            <w:pPr>
              <w:pStyle w:val="P68B1DB1-Normal12"/>
              <w:jc w:val="center"/>
              <w:rPr>
                <w:noProof/>
              </w:rPr>
            </w:pPr>
            <w:r>
              <w:rPr>
                <w:noProof/>
              </w:rPr>
              <w:t>Ūdeņraža ieviešana rūpnieciskajā procesā</w:t>
            </w:r>
          </w:p>
        </w:tc>
      </w:tr>
      <w:tr w:rsidR="00C972CB" w14:paraId="4BCA14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0A1DD1" w14:textId="77777777" w:rsidR="00C972CB" w:rsidRDefault="002457F6">
            <w:pPr>
              <w:pStyle w:val="P68B1DB1-Normal12"/>
              <w:jc w:val="center"/>
              <w:rPr>
                <w:noProof/>
              </w:rPr>
            </w:pPr>
            <w:r>
              <w:rPr>
                <w:noProof/>
              </w:rPr>
              <w:t>M2C2–53</w:t>
            </w:r>
          </w:p>
        </w:tc>
        <w:tc>
          <w:tcPr>
            <w:tcW w:w="3090" w:type="dxa"/>
            <w:tcBorders>
              <w:top w:val="nil"/>
              <w:left w:val="nil"/>
              <w:bottom w:val="single" w:sz="4" w:space="0" w:color="auto"/>
              <w:right w:val="single" w:sz="4" w:space="0" w:color="auto"/>
            </w:tcBorders>
            <w:shd w:val="clear" w:color="auto" w:fill="C6EFCE"/>
            <w:noWrap/>
            <w:vAlign w:val="center"/>
          </w:tcPr>
          <w:p w14:paraId="1726B54B" w14:textId="77777777" w:rsidR="00C972CB" w:rsidRDefault="002457F6">
            <w:pPr>
              <w:pStyle w:val="P68B1DB1-Normal12"/>
              <w:jc w:val="center"/>
              <w:rPr>
                <w:noProof/>
              </w:rPr>
            </w:pPr>
            <w:r>
              <w:rPr>
                <w:noProof/>
              </w:rPr>
              <w:t>Investīcija 5.2. Ūdeņradis</w:t>
            </w:r>
          </w:p>
        </w:tc>
        <w:tc>
          <w:tcPr>
            <w:tcW w:w="1498" w:type="dxa"/>
            <w:tcBorders>
              <w:top w:val="nil"/>
              <w:left w:val="nil"/>
              <w:bottom w:val="single" w:sz="4" w:space="0" w:color="auto"/>
              <w:right w:val="single" w:sz="4" w:space="0" w:color="auto"/>
            </w:tcBorders>
            <w:shd w:val="clear" w:color="auto" w:fill="C6EFCE"/>
            <w:noWrap/>
            <w:vAlign w:val="center"/>
          </w:tcPr>
          <w:p w14:paraId="4305B3F8"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CD61400" w14:textId="77777777" w:rsidR="00C972CB" w:rsidRDefault="002457F6">
            <w:pPr>
              <w:pStyle w:val="P68B1DB1-Normal12"/>
              <w:jc w:val="center"/>
              <w:rPr>
                <w:noProof/>
              </w:rPr>
            </w:pPr>
            <w:r>
              <w:rPr>
                <w:noProof/>
              </w:rPr>
              <w:t xml:space="preserve">Visu publiskā iepirkuma līgumu slēgšanas tiesību piešķiršana elektrolīzeru ražošanas iekārtu pabeigšanai </w:t>
            </w:r>
          </w:p>
        </w:tc>
      </w:tr>
      <w:tr w:rsidR="00C972CB" w14:paraId="64961C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8EA24C" w14:textId="77777777" w:rsidR="00C972CB" w:rsidRDefault="002457F6">
            <w:pPr>
              <w:pStyle w:val="P68B1DB1-Normal12"/>
              <w:jc w:val="center"/>
              <w:rPr>
                <w:noProof/>
              </w:rPr>
            </w:pPr>
            <w:r>
              <w:rPr>
                <w:noProof/>
              </w:rPr>
              <w:t>M2C4–11ter</w:t>
            </w:r>
          </w:p>
        </w:tc>
        <w:tc>
          <w:tcPr>
            <w:tcW w:w="3090" w:type="dxa"/>
            <w:tcBorders>
              <w:top w:val="nil"/>
              <w:left w:val="nil"/>
              <w:bottom w:val="single" w:sz="4" w:space="0" w:color="auto"/>
              <w:right w:val="single" w:sz="4" w:space="0" w:color="auto"/>
            </w:tcBorders>
            <w:shd w:val="clear" w:color="auto" w:fill="C6EFCE"/>
            <w:noWrap/>
            <w:vAlign w:val="center"/>
          </w:tcPr>
          <w:p w14:paraId="54F512CD" w14:textId="77777777" w:rsidR="00C972CB" w:rsidRDefault="002457F6">
            <w:pPr>
              <w:pStyle w:val="P68B1DB1-Normal12"/>
              <w:jc w:val="center"/>
              <w:rPr>
                <w:noProof/>
              </w:rPr>
            </w:pPr>
            <w:r>
              <w:rPr>
                <w:noProof/>
              </w:rPr>
              <w:t>Ieguldījums 2.1.a. Pasākumi plūdu un hidroģeoloģiskā riska mazināšanai — intervences pasākumi Emīlijā Romanjā, Toskānā un Markē</w:t>
            </w:r>
          </w:p>
        </w:tc>
        <w:tc>
          <w:tcPr>
            <w:tcW w:w="1498" w:type="dxa"/>
            <w:tcBorders>
              <w:top w:val="nil"/>
              <w:left w:val="nil"/>
              <w:bottom w:val="single" w:sz="4" w:space="0" w:color="auto"/>
              <w:right w:val="single" w:sz="4" w:space="0" w:color="auto"/>
            </w:tcBorders>
            <w:shd w:val="clear" w:color="auto" w:fill="C6EFCE"/>
            <w:noWrap/>
            <w:vAlign w:val="center"/>
          </w:tcPr>
          <w:p w14:paraId="58DF3077" w14:textId="77777777" w:rsidR="00C972CB" w:rsidRDefault="002457F6">
            <w:pPr>
              <w:pStyle w:val="P68B1DB1-Normal12"/>
              <w:jc w:val="center"/>
              <w:rPr>
                <w:noProof/>
              </w:rPr>
            </w:pPr>
            <w:r>
              <w:rPr>
                <w:noProof/>
              </w:rPr>
              <w:t>Starpposma</w:t>
            </w:r>
            <w:r>
              <w:rPr>
                <w:noProof/>
              </w:rPr>
              <w:t xml:space="preserve"> mērķis</w:t>
            </w:r>
          </w:p>
        </w:tc>
        <w:tc>
          <w:tcPr>
            <w:tcW w:w="4091" w:type="dxa"/>
            <w:tcBorders>
              <w:top w:val="nil"/>
              <w:left w:val="nil"/>
              <w:bottom w:val="single" w:sz="4" w:space="0" w:color="auto"/>
              <w:right w:val="single" w:sz="4" w:space="0" w:color="auto"/>
            </w:tcBorders>
            <w:shd w:val="clear" w:color="auto" w:fill="C6EFCE"/>
            <w:noWrap/>
            <w:vAlign w:val="center"/>
          </w:tcPr>
          <w:p w14:paraId="055337F3" w14:textId="77777777" w:rsidR="00C972CB" w:rsidRDefault="002457F6">
            <w:pPr>
              <w:pStyle w:val="P68B1DB1-Normal12"/>
              <w:jc w:val="center"/>
              <w:rPr>
                <w:noProof/>
              </w:rPr>
            </w:pPr>
            <w:r>
              <w:rPr>
                <w:noProof/>
              </w:rPr>
              <w:t>Projektu pabeigšana</w:t>
            </w:r>
          </w:p>
        </w:tc>
      </w:tr>
      <w:tr w:rsidR="00C972CB" w14:paraId="5572E4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C78FB4" w14:textId="77777777" w:rsidR="00C972CB" w:rsidRDefault="002457F6">
            <w:pPr>
              <w:pStyle w:val="P68B1DB1-Normal12"/>
              <w:jc w:val="center"/>
              <w:rPr>
                <w:noProof/>
              </w:rPr>
            </w:pPr>
            <w:r>
              <w:rPr>
                <w:noProof/>
              </w:rPr>
              <w:t>M2C4–13</w:t>
            </w:r>
          </w:p>
        </w:tc>
        <w:tc>
          <w:tcPr>
            <w:tcW w:w="3090" w:type="dxa"/>
            <w:tcBorders>
              <w:top w:val="nil"/>
              <w:left w:val="nil"/>
              <w:bottom w:val="single" w:sz="4" w:space="0" w:color="auto"/>
              <w:right w:val="single" w:sz="4" w:space="0" w:color="auto"/>
            </w:tcBorders>
            <w:shd w:val="clear" w:color="auto" w:fill="C6EFCE"/>
            <w:noWrap/>
            <w:vAlign w:val="center"/>
          </w:tcPr>
          <w:p w14:paraId="1BE0EA46" w14:textId="77777777" w:rsidR="00C972CB" w:rsidRDefault="002457F6">
            <w:pPr>
              <w:pStyle w:val="P68B1DB1-Normal12"/>
              <w:jc w:val="center"/>
              <w:rPr>
                <w:noProof/>
              </w:rPr>
            </w:pPr>
            <w:r>
              <w:rPr>
                <w:noProof/>
              </w:rPr>
              <w:t>Ieguldījums 2.1.b — Pasākumi plūdu un hidroģeoloģiskā riska mazināšanai</w:t>
            </w:r>
          </w:p>
        </w:tc>
        <w:tc>
          <w:tcPr>
            <w:tcW w:w="1498" w:type="dxa"/>
            <w:tcBorders>
              <w:top w:val="nil"/>
              <w:left w:val="nil"/>
              <w:bottom w:val="single" w:sz="4" w:space="0" w:color="auto"/>
              <w:right w:val="single" w:sz="4" w:space="0" w:color="auto"/>
            </w:tcBorders>
            <w:shd w:val="clear" w:color="auto" w:fill="C6EFCE"/>
            <w:noWrap/>
            <w:vAlign w:val="center"/>
          </w:tcPr>
          <w:p w14:paraId="1E8838E7"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AFBB59B" w14:textId="77777777" w:rsidR="00C972CB" w:rsidRDefault="002457F6">
            <w:pPr>
              <w:pStyle w:val="P68B1DB1-Normal12"/>
              <w:jc w:val="center"/>
              <w:rPr>
                <w:noProof/>
              </w:rPr>
            </w:pPr>
            <w:r>
              <w:rPr>
                <w:noProof/>
              </w:rPr>
              <w:t>D un E tipa intervenču pabeigšana</w:t>
            </w:r>
          </w:p>
        </w:tc>
      </w:tr>
      <w:tr w:rsidR="00C972CB" w14:paraId="7A5BB3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AC8A6E" w14:textId="77777777" w:rsidR="00C972CB" w:rsidRDefault="002457F6">
            <w:pPr>
              <w:pStyle w:val="P68B1DB1-Normal12"/>
              <w:jc w:val="center"/>
              <w:rPr>
                <w:noProof/>
              </w:rPr>
            </w:pPr>
            <w:r>
              <w:rPr>
                <w:noProof/>
              </w:rPr>
              <w:t>M2C4–20bis</w:t>
            </w:r>
          </w:p>
        </w:tc>
        <w:tc>
          <w:tcPr>
            <w:tcW w:w="3090" w:type="dxa"/>
            <w:tcBorders>
              <w:top w:val="nil"/>
              <w:left w:val="nil"/>
              <w:bottom w:val="single" w:sz="4" w:space="0" w:color="auto"/>
              <w:right w:val="single" w:sz="4" w:space="0" w:color="auto"/>
            </w:tcBorders>
            <w:shd w:val="clear" w:color="auto" w:fill="C6EFCE"/>
            <w:noWrap/>
            <w:vAlign w:val="center"/>
          </w:tcPr>
          <w:p w14:paraId="7D47637E" w14:textId="77777777" w:rsidR="00C972CB" w:rsidRDefault="002457F6">
            <w:pPr>
              <w:pStyle w:val="P68B1DB1-Normal12"/>
              <w:jc w:val="center"/>
              <w:rPr>
                <w:noProof/>
              </w:rPr>
            </w:pPr>
            <w:r>
              <w:rPr>
                <w:noProof/>
              </w:rPr>
              <w:t>Investīcijas. 3.1: Pilsētu un piepilsētu mežu aizsardzība un uzlabošana</w:t>
            </w:r>
          </w:p>
        </w:tc>
        <w:tc>
          <w:tcPr>
            <w:tcW w:w="1498" w:type="dxa"/>
            <w:tcBorders>
              <w:top w:val="nil"/>
              <w:left w:val="nil"/>
              <w:bottom w:val="single" w:sz="4" w:space="0" w:color="auto"/>
              <w:right w:val="single" w:sz="4" w:space="0" w:color="auto"/>
            </w:tcBorders>
            <w:shd w:val="clear" w:color="auto" w:fill="C6EFCE"/>
            <w:noWrap/>
            <w:vAlign w:val="center"/>
          </w:tcPr>
          <w:p w14:paraId="36C0C83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CCCDD8A" w14:textId="77777777" w:rsidR="00C972CB" w:rsidRDefault="002457F6">
            <w:pPr>
              <w:pStyle w:val="P68B1DB1-Normal12"/>
              <w:jc w:val="center"/>
              <w:rPr>
                <w:noProof/>
              </w:rPr>
            </w:pPr>
            <w:r>
              <w:rPr>
                <w:noProof/>
              </w:rPr>
              <w:t xml:space="preserve">Koki pilsētu un piepilsētu zaļo zonu aizsardzībai un valorizācijai T3 </w:t>
            </w:r>
          </w:p>
        </w:tc>
      </w:tr>
      <w:tr w:rsidR="00C972CB" w14:paraId="3260E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304F5" w14:textId="77777777" w:rsidR="00C972CB" w:rsidRDefault="002457F6">
            <w:pPr>
              <w:pStyle w:val="P68B1DB1-Normal12"/>
              <w:jc w:val="center"/>
              <w:rPr>
                <w:noProof/>
              </w:rPr>
            </w:pPr>
            <w:r>
              <w:rPr>
                <w:noProof/>
              </w:rPr>
              <w:t>M2C4–34bis</w:t>
            </w:r>
          </w:p>
        </w:tc>
        <w:tc>
          <w:tcPr>
            <w:tcW w:w="3090" w:type="dxa"/>
            <w:tcBorders>
              <w:top w:val="nil"/>
              <w:left w:val="nil"/>
              <w:bottom w:val="single" w:sz="4" w:space="0" w:color="auto"/>
              <w:right w:val="single" w:sz="4" w:space="0" w:color="auto"/>
            </w:tcBorders>
            <w:shd w:val="clear" w:color="auto" w:fill="C6EFCE"/>
            <w:noWrap/>
            <w:vAlign w:val="center"/>
          </w:tcPr>
          <w:p w14:paraId="2DE1E66C" w14:textId="77777777" w:rsidR="00C972CB" w:rsidRDefault="002457F6">
            <w:pPr>
              <w:pStyle w:val="P68B1DB1-Normal12"/>
              <w:jc w:val="center"/>
              <w:rPr>
                <w:noProof/>
              </w:rPr>
            </w:pPr>
            <w:r>
              <w:rPr>
                <w:noProof/>
              </w:rPr>
              <w:t>Ieguldījums 4.3. Ieguldījumi apūdeņošanas agrosistēmas noturībā labākai ūdens resursu apsaimniekošanai</w:t>
            </w:r>
          </w:p>
        </w:tc>
        <w:tc>
          <w:tcPr>
            <w:tcW w:w="1498" w:type="dxa"/>
            <w:tcBorders>
              <w:top w:val="nil"/>
              <w:left w:val="nil"/>
              <w:bottom w:val="single" w:sz="4" w:space="0" w:color="auto"/>
              <w:right w:val="single" w:sz="4" w:space="0" w:color="auto"/>
            </w:tcBorders>
            <w:shd w:val="clear" w:color="auto" w:fill="C6EFCE"/>
            <w:noWrap/>
            <w:vAlign w:val="center"/>
          </w:tcPr>
          <w:p w14:paraId="4E5198A5"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2B59E2DC" w14:textId="77777777" w:rsidR="00C972CB" w:rsidRDefault="002457F6">
            <w:pPr>
              <w:pStyle w:val="P68B1DB1-Normal12"/>
              <w:jc w:val="center"/>
              <w:rPr>
                <w:noProof/>
              </w:rPr>
            </w:pPr>
            <w:r>
              <w:rPr>
                <w:noProof/>
              </w:rPr>
              <w:t>Intervences pasākumi apūdeņošanas agrosistēmas noturībai labākai</w:t>
            </w:r>
            <w:r>
              <w:rPr>
                <w:noProof/>
              </w:rPr>
              <w:t xml:space="preserve"> ūdens resursu apsaimniekošanai T1</w:t>
            </w:r>
          </w:p>
        </w:tc>
      </w:tr>
      <w:tr w:rsidR="00C972CB" w14:paraId="31099E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B79B3B" w14:textId="77777777" w:rsidR="00C972CB" w:rsidRDefault="002457F6">
            <w:pPr>
              <w:pStyle w:val="P68B1DB1-Normal12"/>
              <w:jc w:val="center"/>
              <w:rPr>
                <w:noProof/>
              </w:rPr>
            </w:pPr>
            <w:r>
              <w:rPr>
                <w:noProof/>
              </w:rPr>
              <w:t>M3C1–6</w:t>
            </w:r>
          </w:p>
        </w:tc>
        <w:tc>
          <w:tcPr>
            <w:tcW w:w="3090" w:type="dxa"/>
            <w:tcBorders>
              <w:top w:val="nil"/>
              <w:left w:val="nil"/>
              <w:bottom w:val="single" w:sz="4" w:space="0" w:color="auto"/>
              <w:right w:val="single" w:sz="4" w:space="0" w:color="auto"/>
            </w:tcBorders>
            <w:shd w:val="clear" w:color="auto" w:fill="C6EFCE"/>
            <w:noWrap/>
            <w:vAlign w:val="center"/>
          </w:tcPr>
          <w:p w14:paraId="23CAF4F6" w14:textId="77777777" w:rsidR="00C972CB" w:rsidRDefault="002457F6">
            <w:pPr>
              <w:pStyle w:val="P68B1DB1-Normal12"/>
              <w:jc w:val="center"/>
              <w:rPr>
                <w:noProof/>
              </w:rPr>
            </w:pPr>
            <w:r>
              <w:rPr>
                <w:noProof/>
              </w:rPr>
              <w:t>Ieguldījums 1.1 — ātrgaitas dzelzceļa savienojumi ar dienvidiem pasažieru un kravu pārvadājumiem</w:t>
            </w:r>
          </w:p>
        </w:tc>
        <w:tc>
          <w:tcPr>
            <w:tcW w:w="1498" w:type="dxa"/>
            <w:tcBorders>
              <w:top w:val="nil"/>
              <w:left w:val="nil"/>
              <w:bottom w:val="single" w:sz="4" w:space="0" w:color="auto"/>
              <w:right w:val="single" w:sz="4" w:space="0" w:color="auto"/>
            </w:tcBorders>
            <w:shd w:val="clear" w:color="auto" w:fill="C6EFCE"/>
            <w:noWrap/>
            <w:vAlign w:val="center"/>
          </w:tcPr>
          <w:p w14:paraId="3C2442A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61CFC58" w14:textId="77777777" w:rsidR="00C972CB" w:rsidRDefault="002457F6">
            <w:pPr>
              <w:pStyle w:val="P68B1DB1-Normal12"/>
              <w:jc w:val="center"/>
              <w:rPr>
                <w:noProof/>
              </w:rPr>
            </w:pPr>
            <w:r>
              <w:rPr>
                <w:noProof/>
              </w:rPr>
              <w:t xml:space="preserve">Ātrgaitas dzelzceļš gan pasažieriem, gan kravu pārvadājumiem līnijās Napoli-Bari, Salerno-Reggio Calabria, </w:t>
            </w:r>
            <w:r>
              <w:rPr>
                <w:noProof/>
              </w:rPr>
              <w:t>Palermo-Catania</w:t>
            </w:r>
          </w:p>
        </w:tc>
      </w:tr>
      <w:tr w:rsidR="00C972CB" w14:paraId="6C7B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CA920" w14:textId="77777777" w:rsidR="00C972CB" w:rsidRDefault="002457F6">
            <w:pPr>
              <w:pStyle w:val="P68B1DB1-Normal12"/>
              <w:jc w:val="center"/>
              <w:rPr>
                <w:noProof/>
              </w:rPr>
            </w:pPr>
            <w:r>
              <w:rPr>
                <w:noProof/>
              </w:rPr>
              <w:t>M3C1–24</w:t>
            </w:r>
          </w:p>
        </w:tc>
        <w:tc>
          <w:tcPr>
            <w:tcW w:w="3090" w:type="dxa"/>
            <w:tcBorders>
              <w:top w:val="nil"/>
              <w:left w:val="nil"/>
              <w:bottom w:val="single" w:sz="4" w:space="0" w:color="auto"/>
              <w:right w:val="single" w:sz="4" w:space="0" w:color="auto"/>
            </w:tcBorders>
            <w:shd w:val="clear" w:color="auto" w:fill="C6EFCE"/>
            <w:noWrap/>
            <w:vAlign w:val="center"/>
          </w:tcPr>
          <w:p w14:paraId="55C126F0" w14:textId="77777777" w:rsidR="00C972CB" w:rsidRDefault="002457F6">
            <w:pPr>
              <w:pStyle w:val="P68B1DB1-Normal12"/>
              <w:jc w:val="center"/>
              <w:rPr>
                <w:noProof/>
              </w:rPr>
            </w:pPr>
            <w:r>
              <w:rPr>
                <w:noProof/>
              </w:rPr>
              <w:t>Ieguldījums 1.9. Starpreģionālie savienojumi</w:t>
            </w:r>
          </w:p>
        </w:tc>
        <w:tc>
          <w:tcPr>
            <w:tcW w:w="1498" w:type="dxa"/>
            <w:tcBorders>
              <w:top w:val="nil"/>
              <w:left w:val="nil"/>
              <w:bottom w:val="single" w:sz="4" w:space="0" w:color="auto"/>
              <w:right w:val="single" w:sz="4" w:space="0" w:color="auto"/>
            </w:tcBorders>
            <w:shd w:val="clear" w:color="auto" w:fill="C6EFCE"/>
            <w:noWrap/>
            <w:vAlign w:val="center"/>
          </w:tcPr>
          <w:p w14:paraId="6DFF97C2"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16DCDC3" w14:textId="77777777" w:rsidR="00C972CB" w:rsidRDefault="002457F6">
            <w:pPr>
              <w:pStyle w:val="P68B1DB1-Normal12"/>
              <w:jc w:val="center"/>
              <w:rPr>
                <w:noProof/>
              </w:rPr>
            </w:pPr>
            <w:r>
              <w:rPr>
                <w:noProof/>
              </w:rPr>
              <w:t>Ieguldījums 1.9. Starpreģionālie savienojumi</w:t>
            </w:r>
          </w:p>
        </w:tc>
      </w:tr>
      <w:tr w:rsidR="00C972CB" w14:paraId="37D95E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64AF0" w14:textId="77777777" w:rsidR="00C972CB" w:rsidRDefault="002457F6">
            <w:pPr>
              <w:pStyle w:val="P68B1DB1-Normal12"/>
              <w:jc w:val="center"/>
              <w:rPr>
                <w:noProof/>
              </w:rPr>
            </w:pPr>
            <w:r>
              <w:rPr>
                <w:noProof/>
              </w:rPr>
              <w:t>M3C1–9</w:t>
            </w:r>
          </w:p>
        </w:tc>
        <w:tc>
          <w:tcPr>
            <w:tcW w:w="3090" w:type="dxa"/>
            <w:tcBorders>
              <w:top w:val="nil"/>
              <w:left w:val="nil"/>
              <w:bottom w:val="single" w:sz="4" w:space="0" w:color="auto"/>
              <w:right w:val="single" w:sz="4" w:space="0" w:color="auto"/>
            </w:tcBorders>
            <w:shd w:val="clear" w:color="auto" w:fill="C6EFCE"/>
            <w:noWrap/>
            <w:vAlign w:val="center"/>
          </w:tcPr>
          <w:p w14:paraId="3EB5CF0D" w14:textId="77777777" w:rsidR="00C972CB" w:rsidRDefault="002457F6">
            <w:pPr>
              <w:pStyle w:val="P68B1DB1-Normal12"/>
              <w:jc w:val="center"/>
              <w:rPr>
                <w:noProof/>
              </w:rPr>
            </w:pPr>
            <w:r>
              <w:rPr>
                <w:noProof/>
              </w:rPr>
              <w:t>Ieguldījums — ātrgaitas līnijas ziemeļos, kas savienojas ar Eiropas pārējo daļu</w:t>
            </w:r>
          </w:p>
        </w:tc>
        <w:tc>
          <w:tcPr>
            <w:tcW w:w="1498" w:type="dxa"/>
            <w:tcBorders>
              <w:top w:val="nil"/>
              <w:left w:val="nil"/>
              <w:bottom w:val="single" w:sz="4" w:space="0" w:color="auto"/>
              <w:right w:val="single" w:sz="4" w:space="0" w:color="auto"/>
            </w:tcBorders>
            <w:shd w:val="clear" w:color="auto" w:fill="C6EFCE"/>
            <w:noWrap/>
            <w:vAlign w:val="center"/>
          </w:tcPr>
          <w:p w14:paraId="5FD4F4D8"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7C1FB7B" w14:textId="77777777" w:rsidR="00C972CB" w:rsidRDefault="002457F6">
            <w:pPr>
              <w:pStyle w:val="P68B1DB1-Normal12"/>
              <w:jc w:val="center"/>
              <w:rPr>
                <w:noProof/>
              </w:rPr>
            </w:pPr>
            <w:r>
              <w:rPr>
                <w:noProof/>
              </w:rPr>
              <w:t xml:space="preserve">Ātrgaitas dzelzceļš gan pasažieriem, gan </w:t>
            </w:r>
            <w:r>
              <w:rPr>
                <w:noProof/>
              </w:rPr>
              <w:t>kravu pārvadājumiem līnijās Breša-Verona-Vicenza-Padova; Ligūrija-Alpi.</w:t>
            </w:r>
          </w:p>
        </w:tc>
      </w:tr>
      <w:tr w:rsidR="00C972CB" w14:paraId="5B84FC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0DEC6B" w14:textId="77777777" w:rsidR="00C972CB" w:rsidRDefault="002457F6">
            <w:pPr>
              <w:pStyle w:val="P68B1DB1-Normal12"/>
              <w:jc w:val="center"/>
              <w:rPr>
                <w:noProof/>
              </w:rPr>
            </w:pPr>
            <w:r>
              <w:rPr>
                <w:noProof/>
              </w:rPr>
              <w:t>M3C1–11</w:t>
            </w:r>
          </w:p>
        </w:tc>
        <w:tc>
          <w:tcPr>
            <w:tcW w:w="3090" w:type="dxa"/>
            <w:tcBorders>
              <w:top w:val="nil"/>
              <w:left w:val="nil"/>
              <w:bottom w:val="single" w:sz="4" w:space="0" w:color="auto"/>
              <w:right w:val="single" w:sz="4" w:space="0" w:color="auto"/>
            </w:tcBorders>
            <w:shd w:val="clear" w:color="auto" w:fill="C6EFCE"/>
            <w:noWrap/>
            <w:vAlign w:val="center"/>
          </w:tcPr>
          <w:p w14:paraId="1633957F" w14:textId="77777777" w:rsidR="00C972CB" w:rsidRDefault="002457F6">
            <w:pPr>
              <w:pStyle w:val="P68B1DB1-Normal12"/>
              <w:jc w:val="center"/>
              <w:rPr>
                <w:noProof/>
              </w:rPr>
            </w:pPr>
            <w:r>
              <w:rPr>
                <w:noProof/>
              </w:rPr>
              <w:t>Ieguldījums 1.3. Diagonālie savienojumi</w:t>
            </w:r>
          </w:p>
        </w:tc>
        <w:tc>
          <w:tcPr>
            <w:tcW w:w="1498" w:type="dxa"/>
            <w:tcBorders>
              <w:top w:val="nil"/>
              <w:left w:val="nil"/>
              <w:bottom w:val="single" w:sz="4" w:space="0" w:color="auto"/>
              <w:right w:val="single" w:sz="4" w:space="0" w:color="auto"/>
            </w:tcBorders>
            <w:shd w:val="clear" w:color="auto" w:fill="C6EFCE"/>
            <w:noWrap/>
            <w:vAlign w:val="center"/>
          </w:tcPr>
          <w:p w14:paraId="53FAEDB2"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C7DA738" w14:textId="77777777" w:rsidR="00C972CB" w:rsidRDefault="002457F6">
            <w:pPr>
              <w:pStyle w:val="P68B1DB1-Normal12"/>
              <w:jc w:val="center"/>
              <w:rPr>
                <w:noProof/>
              </w:rPr>
            </w:pPr>
            <w:r>
              <w:rPr>
                <w:noProof/>
              </w:rPr>
              <w:t>Ātrgaitas dzelzceļš gan pasažieriem, gan kravu pārvadājumiem Orte-Falconara un Taranto-Metaponto-Potenza-Battipaglia</w:t>
            </w:r>
          </w:p>
        </w:tc>
      </w:tr>
      <w:tr w:rsidR="00C972CB" w14:paraId="750EBB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CCA0E6" w14:textId="77777777" w:rsidR="00C972CB" w:rsidRDefault="002457F6">
            <w:pPr>
              <w:pStyle w:val="P68B1DB1-Normal12"/>
              <w:jc w:val="center"/>
              <w:rPr>
                <w:noProof/>
              </w:rPr>
            </w:pPr>
            <w:r>
              <w:rPr>
                <w:noProof/>
              </w:rPr>
              <w:t>M3C1–14</w:t>
            </w:r>
          </w:p>
        </w:tc>
        <w:tc>
          <w:tcPr>
            <w:tcW w:w="3090" w:type="dxa"/>
            <w:tcBorders>
              <w:top w:val="nil"/>
              <w:left w:val="nil"/>
              <w:bottom w:val="single" w:sz="4" w:space="0" w:color="auto"/>
              <w:right w:val="single" w:sz="4" w:space="0" w:color="auto"/>
            </w:tcBorders>
            <w:shd w:val="clear" w:color="auto" w:fill="C6EFCE"/>
            <w:noWrap/>
            <w:vAlign w:val="center"/>
          </w:tcPr>
          <w:p w14:paraId="20456602" w14:textId="77777777" w:rsidR="00C972CB" w:rsidRDefault="002457F6">
            <w:pPr>
              <w:pStyle w:val="P68B1DB1-Normal12"/>
              <w:jc w:val="center"/>
              <w:rPr>
                <w:noProof/>
              </w:rPr>
            </w:pPr>
            <w:r>
              <w:rPr>
                <w:noProof/>
              </w:rPr>
              <w:t>Ieguldījums 1.4. Eiropas Dzelzceļa transporta vadības sistēmas (ERTMS) ieviešana</w:t>
            </w:r>
          </w:p>
        </w:tc>
        <w:tc>
          <w:tcPr>
            <w:tcW w:w="1498" w:type="dxa"/>
            <w:tcBorders>
              <w:top w:val="nil"/>
              <w:left w:val="nil"/>
              <w:bottom w:val="single" w:sz="4" w:space="0" w:color="auto"/>
              <w:right w:val="single" w:sz="4" w:space="0" w:color="auto"/>
            </w:tcBorders>
            <w:shd w:val="clear" w:color="auto" w:fill="C6EFCE"/>
            <w:noWrap/>
            <w:vAlign w:val="center"/>
          </w:tcPr>
          <w:p w14:paraId="21671506"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A9E46CC" w14:textId="77777777" w:rsidR="00C972CB" w:rsidRDefault="002457F6">
            <w:pPr>
              <w:pStyle w:val="P68B1DB1-Normal12"/>
              <w:jc w:val="center"/>
              <w:rPr>
                <w:noProof/>
              </w:rPr>
            </w:pPr>
            <w:r>
              <w:rPr>
                <w:noProof/>
              </w:rPr>
              <w:t>2 785 km dzelzceļa līnijas, kas aprīkotas ar Eiropas Dzelzceļa transporta vadības sistēmu</w:t>
            </w:r>
          </w:p>
        </w:tc>
      </w:tr>
      <w:tr w:rsidR="00C972CB" w14:paraId="04AAEB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45A511" w14:textId="77777777" w:rsidR="00C972CB" w:rsidRDefault="002457F6">
            <w:pPr>
              <w:pStyle w:val="P68B1DB1-Normal12"/>
              <w:jc w:val="center"/>
              <w:rPr>
                <w:noProof/>
              </w:rPr>
            </w:pPr>
            <w:r>
              <w:rPr>
                <w:noProof/>
              </w:rPr>
              <w:t>M3C1–16</w:t>
            </w:r>
          </w:p>
        </w:tc>
        <w:tc>
          <w:tcPr>
            <w:tcW w:w="3090" w:type="dxa"/>
            <w:tcBorders>
              <w:top w:val="nil"/>
              <w:left w:val="nil"/>
              <w:bottom w:val="single" w:sz="4" w:space="0" w:color="auto"/>
              <w:right w:val="single" w:sz="4" w:space="0" w:color="auto"/>
            </w:tcBorders>
            <w:shd w:val="clear" w:color="auto" w:fill="C6EFCE"/>
            <w:noWrap/>
            <w:vAlign w:val="center"/>
          </w:tcPr>
          <w:p w14:paraId="77DA61CD" w14:textId="77777777" w:rsidR="00C972CB" w:rsidRDefault="002457F6">
            <w:pPr>
              <w:pStyle w:val="P68B1DB1-Normal12"/>
              <w:jc w:val="center"/>
              <w:rPr>
                <w:noProof/>
              </w:rPr>
            </w:pPr>
            <w:r>
              <w:rPr>
                <w:noProof/>
              </w:rPr>
              <w:t>Ieguldījums 1.5. Lielpilsētu mezglu un galveno valsts saikņu stiprināš</w:t>
            </w:r>
            <w:r>
              <w:rPr>
                <w:noProof/>
              </w:rPr>
              <w:t>ana</w:t>
            </w:r>
          </w:p>
        </w:tc>
        <w:tc>
          <w:tcPr>
            <w:tcW w:w="1498" w:type="dxa"/>
            <w:tcBorders>
              <w:top w:val="nil"/>
              <w:left w:val="nil"/>
              <w:bottom w:val="single" w:sz="4" w:space="0" w:color="auto"/>
              <w:right w:val="single" w:sz="4" w:space="0" w:color="auto"/>
            </w:tcBorders>
            <w:shd w:val="clear" w:color="auto" w:fill="C6EFCE"/>
            <w:noWrap/>
            <w:vAlign w:val="center"/>
          </w:tcPr>
          <w:p w14:paraId="0FE6F38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2A18636C" w14:textId="77777777" w:rsidR="00C972CB" w:rsidRDefault="002457F6">
            <w:pPr>
              <w:pStyle w:val="P68B1DB1-Normal12"/>
              <w:jc w:val="center"/>
              <w:rPr>
                <w:noProof/>
              </w:rPr>
            </w:pPr>
            <w:r>
              <w:rPr>
                <w:noProof/>
              </w:rPr>
              <w:t>Modernizēti līnijas posmi 1 280 km garumā, kas uzbūvēti lielpilsētu mezglos un galvenajos valsts savienojumos</w:t>
            </w:r>
          </w:p>
        </w:tc>
      </w:tr>
      <w:tr w:rsidR="00C972CB" w14:paraId="6E95A1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1DEDE2" w14:textId="77777777" w:rsidR="00C972CB" w:rsidRDefault="002457F6">
            <w:pPr>
              <w:pStyle w:val="P68B1DB1-Normal12"/>
              <w:jc w:val="center"/>
              <w:rPr>
                <w:noProof/>
              </w:rPr>
            </w:pPr>
            <w:r>
              <w:rPr>
                <w:noProof/>
              </w:rPr>
              <w:t>M3C1–17.bis</w:t>
            </w:r>
          </w:p>
        </w:tc>
        <w:tc>
          <w:tcPr>
            <w:tcW w:w="3090" w:type="dxa"/>
            <w:tcBorders>
              <w:top w:val="nil"/>
              <w:left w:val="nil"/>
              <w:bottom w:val="single" w:sz="4" w:space="0" w:color="auto"/>
              <w:right w:val="single" w:sz="4" w:space="0" w:color="auto"/>
            </w:tcBorders>
            <w:shd w:val="clear" w:color="auto" w:fill="C6EFCE"/>
            <w:noWrap/>
            <w:vAlign w:val="center"/>
          </w:tcPr>
          <w:p w14:paraId="133BB6A5" w14:textId="77777777" w:rsidR="00C972CB" w:rsidRDefault="002457F6">
            <w:pPr>
              <w:pStyle w:val="P68B1DB1-Normal12"/>
              <w:jc w:val="center"/>
              <w:rPr>
                <w:noProof/>
              </w:rPr>
            </w:pPr>
            <w:r>
              <w:rPr>
                <w:noProof/>
              </w:rPr>
              <w:t>Ieguldījums 1.7. Dzelzceļa modernizācija, elektrifikācija un noturība dienvidos</w:t>
            </w:r>
          </w:p>
        </w:tc>
        <w:tc>
          <w:tcPr>
            <w:tcW w:w="1498" w:type="dxa"/>
            <w:tcBorders>
              <w:top w:val="nil"/>
              <w:left w:val="nil"/>
              <w:bottom w:val="single" w:sz="4" w:space="0" w:color="auto"/>
              <w:right w:val="single" w:sz="4" w:space="0" w:color="auto"/>
            </w:tcBorders>
            <w:shd w:val="clear" w:color="auto" w:fill="C6EFCE"/>
            <w:noWrap/>
            <w:vAlign w:val="center"/>
          </w:tcPr>
          <w:p w14:paraId="74DA8C9D"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F515778" w14:textId="77777777" w:rsidR="00C972CB" w:rsidRDefault="002457F6">
            <w:pPr>
              <w:pStyle w:val="P68B1DB1-Normal12"/>
              <w:jc w:val="center"/>
              <w:rPr>
                <w:noProof/>
              </w:rPr>
            </w:pPr>
            <w:r>
              <w:rPr>
                <w:noProof/>
              </w:rPr>
              <w:t xml:space="preserve">650 km garumā pabeigti darbi, kas </w:t>
            </w:r>
            <w:r>
              <w:rPr>
                <w:noProof/>
              </w:rPr>
              <w:t>saistīti ar dzelzceļu modernizāciju, elektrifikāciju un noturību dienvidos, gatavi atļaujas piešķiršanai un ekspluatācijas posmiem.</w:t>
            </w:r>
          </w:p>
        </w:tc>
      </w:tr>
      <w:tr w:rsidR="00C972CB" w14:paraId="735E88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594FBF" w14:textId="77777777" w:rsidR="00C972CB" w:rsidRDefault="002457F6">
            <w:pPr>
              <w:pStyle w:val="P68B1DB1-Normal12"/>
              <w:jc w:val="center"/>
              <w:rPr>
                <w:noProof/>
              </w:rPr>
            </w:pPr>
            <w:r>
              <w:rPr>
                <w:noProof/>
              </w:rPr>
              <w:t>M3C1–18</w:t>
            </w:r>
          </w:p>
        </w:tc>
        <w:tc>
          <w:tcPr>
            <w:tcW w:w="3090" w:type="dxa"/>
            <w:tcBorders>
              <w:top w:val="nil"/>
              <w:left w:val="nil"/>
              <w:bottom w:val="single" w:sz="4" w:space="0" w:color="auto"/>
              <w:right w:val="single" w:sz="4" w:space="0" w:color="auto"/>
            </w:tcBorders>
            <w:shd w:val="clear" w:color="auto" w:fill="C6EFCE"/>
            <w:noWrap/>
            <w:vAlign w:val="center"/>
          </w:tcPr>
          <w:p w14:paraId="665557AF" w14:textId="77777777" w:rsidR="00C972CB" w:rsidRDefault="002457F6">
            <w:pPr>
              <w:pStyle w:val="P68B1DB1-Normal12"/>
              <w:jc w:val="center"/>
              <w:rPr>
                <w:noProof/>
              </w:rPr>
            </w:pPr>
            <w:r>
              <w:rPr>
                <w:noProof/>
              </w:rPr>
              <w:t>Ieguldījums 1.6. Reģionālo līniju stiprināšana — reģionālo dzelzceļu modernizācija (vadības RFI)</w:t>
            </w:r>
          </w:p>
        </w:tc>
        <w:tc>
          <w:tcPr>
            <w:tcW w:w="1498" w:type="dxa"/>
            <w:tcBorders>
              <w:top w:val="nil"/>
              <w:left w:val="nil"/>
              <w:bottom w:val="single" w:sz="4" w:space="0" w:color="auto"/>
              <w:right w:val="single" w:sz="4" w:space="0" w:color="auto"/>
            </w:tcBorders>
            <w:shd w:val="clear" w:color="auto" w:fill="C6EFCE"/>
            <w:noWrap/>
            <w:vAlign w:val="center"/>
          </w:tcPr>
          <w:p w14:paraId="7311B3CE"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92BE0DF" w14:textId="77777777" w:rsidR="00C972CB" w:rsidRDefault="002457F6">
            <w:pPr>
              <w:pStyle w:val="P68B1DB1-Normal12"/>
              <w:jc w:val="center"/>
              <w:rPr>
                <w:noProof/>
              </w:rPr>
            </w:pPr>
            <w:r>
              <w:rPr>
                <w:noProof/>
              </w:rPr>
              <w:t>Modernizētas</w:t>
            </w:r>
            <w:r>
              <w:rPr>
                <w:noProof/>
              </w:rPr>
              <w:t xml:space="preserve"> reģionālās līnijas, gatavas atļaujas piešķiršanai un ekspluatācijas posmiem</w:t>
            </w:r>
          </w:p>
        </w:tc>
      </w:tr>
      <w:tr w:rsidR="00C972CB" w14:paraId="2203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2C204" w14:textId="77777777" w:rsidR="00C972CB" w:rsidRDefault="002457F6">
            <w:pPr>
              <w:pStyle w:val="P68B1DB1-Normal12"/>
              <w:jc w:val="center"/>
              <w:rPr>
                <w:noProof/>
              </w:rPr>
            </w:pPr>
            <w:r>
              <w:rPr>
                <w:noProof/>
              </w:rPr>
              <w:t>M3C1–20</w:t>
            </w:r>
          </w:p>
        </w:tc>
        <w:tc>
          <w:tcPr>
            <w:tcW w:w="3090" w:type="dxa"/>
            <w:tcBorders>
              <w:top w:val="nil"/>
              <w:left w:val="nil"/>
              <w:bottom w:val="single" w:sz="4" w:space="0" w:color="auto"/>
              <w:right w:val="single" w:sz="4" w:space="0" w:color="auto"/>
            </w:tcBorders>
            <w:shd w:val="clear" w:color="auto" w:fill="C6EFCE"/>
            <w:noWrap/>
            <w:vAlign w:val="center"/>
          </w:tcPr>
          <w:p w14:paraId="5AF9BFBC" w14:textId="77777777" w:rsidR="00C972CB" w:rsidRDefault="002457F6">
            <w:pPr>
              <w:pStyle w:val="P68B1DB1-Normal12"/>
              <w:jc w:val="center"/>
              <w:rPr>
                <w:noProof/>
              </w:rPr>
            </w:pPr>
            <w:r>
              <w:rPr>
                <w:noProof/>
              </w:rPr>
              <w:t>Ieguldījums Nr. 1.8 — Dzelzceļa staciju modernizācija (RFI pārvaldība; dienvidos)</w:t>
            </w:r>
          </w:p>
        </w:tc>
        <w:tc>
          <w:tcPr>
            <w:tcW w:w="1498" w:type="dxa"/>
            <w:tcBorders>
              <w:top w:val="nil"/>
              <w:left w:val="nil"/>
              <w:bottom w:val="single" w:sz="4" w:space="0" w:color="auto"/>
              <w:right w:val="single" w:sz="4" w:space="0" w:color="auto"/>
            </w:tcBorders>
            <w:shd w:val="clear" w:color="auto" w:fill="C6EFCE"/>
            <w:noWrap/>
            <w:vAlign w:val="center"/>
          </w:tcPr>
          <w:p w14:paraId="3A3D768C"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2F9BE3C" w14:textId="77777777" w:rsidR="00C972CB" w:rsidRDefault="002457F6">
            <w:pPr>
              <w:pStyle w:val="P68B1DB1-Normal12"/>
              <w:jc w:val="center"/>
              <w:rPr>
                <w:noProof/>
              </w:rPr>
            </w:pPr>
            <w:r>
              <w:rPr>
                <w:noProof/>
              </w:rPr>
              <w:t>Modernizētas un pieejamas dzelzceļa stacijas</w:t>
            </w:r>
          </w:p>
        </w:tc>
      </w:tr>
      <w:tr w:rsidR="00C972CB" w14:paraId="3CE19A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B8B595" w14:textId="77777777" w:rsidR="00C972CB" w:rsidRDefault="002457F6">
            <w:pPr>
              <w:pStyle w:val="P68B1DB1-Normal12"/>
              <w:jc w:val="center"/>
              <w:rPr>
                <w:noProof/>
              </w:rPr>
            </w:pPr>
            <w:r>
              <w:rPr>
                <w:noProof/>
              </w:rPr>
              <w:t>M4C1–30</w:t>
            </w:r>
          </w:p>
        </w:tc>
        <w:tc>
          <w:tcPr>
            <w:tcW w:w="3090" w:type="dxa"/>
            <w:tcBorders>
              <w:top w:val="nil"/>
              <w:left w:val="nil"/>
              <w:bottom w:val="single" w:sz="4" w:space="0" w:color="auto"/>
              <w:right w:val="single" w:sz="4" w:space="0" w:color="auto"/>
            </w:tcBorders>
            <w:shd w:val="clear" w:color="auto" w:fill="C6EFCE"/>
            <w:noWrap/>
            <w:vAlign w:val="center"/>
          </w:tcPr>
          <w:p w14:paraId="021AD054" w14:textId="77777777" w:rsidR="00C972CB" w:rsidRDefault="002457F6">
            <w:pPr>
              <w:pStyle w:val="P68B1DB1-Normal12"/>
              <w:jc w:val="center"/>
              <w:rPr>
                <w:noProof/>
              </w:rPr>
            </w:pPr>
            <w:r>
              <w:rPr>
                <w:noProof/>
              </w:rPr>
              <w:t xml:space="preserve">Reforma. Studentu mājokļu </w:t>
            </w:r>
            <w:r>
              <w:rPr>
                <w:noProof/>
              </w:rPr>
              <w:t>regulējuma reforma un ieguldījumi studentu mājokļos</w:t>
            </w:r>
          </w:p>
        </w:tc>
        <w:tc>
          <w:tcPr>
            <w:tcW w:w="1498" w:type="dxa"/>
            <w:tcBorders>
              <w:top w:val="nil"/>
              <w:left w:val="nil"/>
              <w:bottom w:val="single" w:sz="4" w:space="0" w:color="auto"/>
              <w:right w:val="single" w:sz="4" w:space="0" w:color="auto"/>
            </w:tcBorders>
            <w:shd w:val="clear" w:color="auto" w:fill="C6EFCE"/>
            <w:noWrap/>
            <w:vAlign w:val="center"/>
          </w:tcPr>
          <w:p w14:paraId="59B6C6A9"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3F01850" w14:textId="77777777" w:rsidR="00C972CB" w:rsidRDefault="002457F6">
            <w:pPr>
              <w:pStyle w:val="P68B1DB1-Normal12"/>
              <w:jc w:val="center"/>
              <w:rPr>
                <w:noProof/>
              </w:rPr>
            </w:pPr>
            <w:r>
              <w:rPr>
                <w:noProof/>
              </w:rPr>
              <w:t>Studentu guļamvietas, kas izveidotas saskaņā ar attiecīgajiem tiesību aktiem</w:t>
            </w:r>
          </w:p>
        </w:tc>
      </w:tr>
      <w:tr w:rsidR="00C972CB" w14:paraId="7D0B67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1918C" w14:textId="77777777" w:rsidR="00C972CB" w:rsidRDefault="002457F6">
            <w:pPr>
              <w:pStyle w:val="P68B1DB1-Normal12"/>
              <w:jc w:val="center"/>
              <w:rPr>
                <w:noProof/>
              </w:rPr>
            </w:pPr>
            <w:r>
              <w:rPr>
                <w:noProof/>
              </w:rPr>
              <w:t>M4C2–9</w:t>
            </w:r>
          </w:p>
        </w:tc>
        <w:tc>
          <w:tcPr>
            <w:tcW w:w="3090" w:type="dxa"/>
            <w:tcBorders>
              <w:top w:val="nil"/>
              <w:left w:val="nil"/>
              <w:bottom w:val="single" w:sz="4" w:space="0" w:color="auto"/>
              <w:right w:val="single" w:sz="4" w:space="0" w:color="auto"/>
            </w:tcBorders>
            <w:shd w:val="clear" w:color="auto" w:fill="C6EFCE"/>
            <w:noWrap/>
            <w:vAlign w:val="center"/>
          </w:tcPr>
          <w:p w14:paraId="0F69684D" w14:textId="77777777" w:rsidR="00C972CB" w:rsidRDefault="002457F6">
            <w:pPr>
              <w:pStyle w:val="P68B1DB1-Normal12"/>
              <w:jc w:val="center"/>
              <w:rPr>
                <w:noProof/>
              </w:rPr>
            </w:pPr>
            <w:r>
              <w:rPr>
                <w:noProof/>
              </w:rPr>
              <w:t xml:space="preserve">Ieguldījums 1.4.: Stiprināt pētniecības struktūras un atbalstīt “valstu pētniecības un izstrādes līderu” izveidi </w:t>
            </w:r>
            <w:r>
              <w:rPr>
                <w:noProof/>
              </w:rPr>
              <w:t>attiecībā uz dažām svarīgām pamattehnoloģijām</w:t>
            </w:r>
          </w:p>
        </w:tc>
        <w:tc>
          <w:tcPr>
            <w:tcW w:w="1498" w:type="dxa"/>
            <w:tcBorders>
              <w:top w:val="nil"/>
              <w:left w:val="nil"/>
              <w:bottom w:val="single" w:sz="4" w:space="0" w:color="auto"/>
              <w:right w:val="single" w:sz="4" w:space="0" w:color="auto"/>
            </w:tcBorders>
            <w:shd w:val="clear" w:color="auto" w:fill="C6EFCE"/>
            <w:noWrap/>
            <w:vAlign w:val="center"/>
          </w:tcPr>
          <w:p w14:paraId="59D30D8A"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0BB507C" w14:textId="77777777" w:rsidR="00C972CB" w:rsidRDefault="002457F6">
            <w:pPr>
              <w:pStyle w:val="P68B1DB1-Normal12"/>
              <w:jc w:val="center"/>
              <w:rPr>
                <w:noProof/>
              </w:rPr>
            </w:pPr>
            <w:r>
              <w:rPr>
                <w:noProof/>
              </w:rPr>
              <w:t xml:space="preserve">Valstu centri darbojas, un tos īsteno nacionālie centri svarīgu pamattehnoloģiju jomā. </w:t>
            </w:r>
          </w:p>
        </w:tc>
      </w:tr>
      <w:tr w:rsidR="00C972CB" w14:paraId="260B10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8904BF" w14:textId="77777777" w:rsidR="00C972CB" w:rsidRDefault="002457F6">
            <w:pPr>
              <w:pStyle w:val="P68B1DB1-Normal12"/>
              <w:jc w:val="center"/>
              <w:rPr>
                <w:noProof/>
              </w:rPr>
            </w:pPr>
            <w:r>
              <w:rPr>
                <w:noProof/>
              </w:rPr>
              <w:t>M4C2–14</w:t>
            </w:r>
          </w:p>
        </w:tc>
        <w:tc>
          <w:tcPr>
            <w:tcW w:w="3090" w:type="dxa"/>
            <w:tcBorders>
              <w:top w:val="nil"/>
              <w:left w:val="nil"/>
              <w:bottom w:val="single" w:sz="4" w:space="0" w:color="auto"/>
              <w:right w:val="single" w:sz="4" w:space="0" w:color="auto"/>
            </w:tcBorders>
            <w:shd w:val="clear" w:color="auto" w:fill="C6EFCE"/>
            <w:noWrap/>
            <w:vAlign w:val="center"/>
          </w:tcPr>
          <w:p w14:paraId="5887E26F" w14:textId="77777777" w:rsidR="00C972CB" w:rsidRDefault="002457F6">
            <w:pPr>
              <w:pStyle w:val="P68B1DB1-Normal12"/>
              <w:jc w:val="center"/>
              <w:rPr>
                <w:noProof/>
              </w:rPr>
            </w:pPr>
            <w:r>
              <w:rPr>
                <w:noProof/>
              </w:rPr>
              <w:t xml:space="preserve">Ieguldījums 2.3. Tehnoloģiju nodošanas centru stiprināšana un nozaru/teritoriāla paplašināšana pa </w:t>
            </w:r>
            <w:r>
              <w:rPr>
                <w:noProof/>
              </w:rPr>
              <w:t>rūpniecības segmentiem</w:t>
            </w:r>
          </w:p>
        </w:tc>
        <w:tc>
          <w:tcPr>
            <w:tcW w:w="1498" w:type="dxa"/>
            <w:tcBorders>
              <w:top w:val="nil"/>
              <w:left w:val="nil"/>
              <w:bottom w:val="single" w:sz="4" w:space="0" w:color="auto"/>
              <w:right w:val="single" w:sz="4" w:space="0" w:color="auto"/>
            </w:tcBorders>
            <w:shd w:val="clear" w:color="auto" w:fill="C6EFCE"/>
            <w:noWrap/>
            <w:vAlign w:val="center"/>
          </w:tcPr>
          <w:p w14:paraId="7006AE5D"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B5C1128" w14:textId="77777777" w:rsidR="00C972CB" w:rsidRDefault="002457F6">
            <w:pPr>
              <w:pStyle w:val="P68B1DB1-Normal12"/>
              <w:jc w:val="center"/>
              <w:rPr>
                <w:noProof/>
              </w:rPr>
            </w:pPr>
            <w:r>
              <w:rPr>
                <w:noProof/>
              </w:rPr>
              <w:t xml:space="preserve">Finansiālās vērtības maksājums EUR 307000000 apmērā. </w:t>
            </w:r>
          </w:p>
        </w:tc>
      </w:tr>
      <w:tr w:rsidR="00C972CB" w14:paraId="5EFEE5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890BCA" w14:textId="77777777" w:rsidR="00C972CB" w:rsidRDefault="002457F6">
            <w:pPr>
              <w:pStyle w:val="P68B1DB1-Normal12"/>
              <w:jc w:val="center"/>
              <w:rPr>
                <w:noProof/>
              </w:rPr>
            </w:pPr>
            <w:r>
              <w:rPr>
                <w:noProof/>
              </w:rPr>
              <w:t>M4C2–15</w:t>
            </w:r>
          </w:p>
        </w:tc>
        <w:tc>
          <w:tcPr>
            <w:tcW w:w="3090" w:type="dxa"/>
            <w:tcBorders>
              <w:top w:val="nil"/>
              <w:left w:val="nil"/>
              <w:bottom w:val="single" w:sz="4" w:space="0" w:color="auto"/>
              <w:right w:val="single" w:sz="4" w:space="0" w:color="auto"/>
            </w:tcBorders>
            <w:shd w:val="clear" w:color="auto" w:fill="C6EFCE"/>
            <w:noWrap/>
            <w:vAlign w:val="center"/>
          </w:tcPr>
          <w:p w14:paraId="5195F310" w14:textId="77777777" w:rsidR="00C972CB" w:rsidRDefault="002457F6">
            <w:pPr>
              <w:pStyle w:val="P68B1DB1-Normal12"/>
              <w:jc w:val="center"/>
              <w:rPr>
                <w:noProof/>
              </w:rPr>
            </w:pPr>
            <w:r>
              <w:rPr>
                <w:noProof/>
              </w:rPr>
              <w:t>Ieguldījums 2.3. Tehnoloģiju nodošanas centru stiprināšana un nozaru/teritoriāla paplašināšana pa rūpniecības segmentiem</w:t>
            </w:r>
          </w:p>
        </w:tc>
        <w:tc>
          <w:tcPr>
            <w:tcW w:w="1498" w:type="dxa"/>
            <w:tcBorders>
              <w:top w:val="nil"/>
              <w:left w:val="nil"/>
              <w:bottom w:val="single" w:sz="4" w:space="0" w:color="auto"/>
              <w:right w:val="single" w:sz="4" w:space="0" w:color="auto"/>
            </w:tcBorders>
            <w:shd w:val="clear" w:color="auto" w:fill="C6EFCE"/>
            <w:noWrap/>
            <w:vAlign w:val="center"/>
          </w:tcPr>
          <w:p w14:paraId="009A8CE0"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41B1B9B" w14:textId="77777777" w:rsidR="00C972CB" w:rsidRDefault="002457F6">
            <w:pPr>
              <w:pStyle w:val="P68B1DB1-Normal12"/>
              <w:jc w:val="center"/>
              <w:rPr>
                <w:noProof/>
              </w:rPr>
            </w:pPr>
            <w:r>
              <w:rPr>
                <w:noProof/>
              </w:rPr>
              <w:t>Atbalstīto MVU skaits</w:t>
            </w:r>
          </w:p>
        </w:tc>
      </w:tr>
      <w:tr w:rsidR="00C972CB" w14:paraId="6326F4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C76127" w14:textId="77777777" w:rsidR="00C972CB" w:rsidRDefault="002457F6">
            <w:pPr>
              <w:pStyle w:val="P68B1DB1-Normal12"/>
              <w:jc w:val="center"/>
              <w:rPr>
                <w:noProof/>
              </w:rPr>
            </w:pPr>
            <w:r>
              <w:rPr>
                <w:noProof/>
              </w:rPr>
              <w:t>M4C2–15 bis</w:t>
            </w:r>
          </w:p>
        </w:tc>
        <w:tc>
          <w:tcPr>
            <w:tcW w:w="3090" w:type="dxa"/>
            <w:tcBorders>
              <w:top w:val="nil"/>
              <w:left w:val="nil"/>
              <w:bottom w:val="single" w:sz="4" w:space="0" w:color="auto"/>
              <w:right w:val="single" w:sz="4" w:space="0" w:color="auto"/>
            </w:tcBorders>
            <w:shd w:val="clear" w:color="auto" w:fill="C6EFCE"/>
            <w:noWrap/>
            <w:vAlign w:val="center"/>
          </w:tcPr>
          <w:p w14:paraId="42E70DE1" w14:textId="77777777" w:rsidR="00C972CB" w:rsidRDefault="002457F6">
            <w:pPr>
              <w:pStyle w:val="P68B1DB1-Normal12"/>
              <w:jc w:val="center"/>
              <w:rPr>
                <w:noProof/>
              </w:rPr>
            </w:pPr>
            <w:r>
              <w:rPr>
                <w:noProof/>
              </w:rPr>
              <w:t>Ie</w:t>
            </w:r>
            <w:r>
              <w:rPr>
                <w:noProof/>
              </w:rPr>
              <w:t>guldījums 2.3. Tehnoloģiju nodošanas centru stiprināšana un nozaru/teritoriāla paplašināšana pa rūpniecības segmentiem</w:t>
            </w:r>
          </w:p>
        </w:tc>
        <w:tc>
          <w:tcPr>
            <w:tcW w:w="1498" w:type="dxa"/>
            <w:tcBorders>
              <w:top w:val="nil"/>
              <w:left w:val="nil"/>
              <w:bottom w:val="single" w:sz="4" w:space="0" w:color="auto"/>
              <w:right w:val="single" w:sz="4" w:space="0" w:color="auto"/>
            </w:tcBorders>
            <w:shd w:val="clear" w:color="auto" w:fill="C6EFCE"/>
            <w:noWrap/>
            <w:vAlign w:val="center"/>
          </w:tcPr>
          <w:p w14:paraId="350C3C31" w14:textId="77777777" w:rsidR="00C972CB" w:rsidRDefault="002457F6">
            <w:pPr>
              <w:pStyle w:val="P68B1DB1-Normal12"/>
              <w:jc w:val="center"/>
              <w:rPr>
                <w:noProof/>
              </w:rPr>
            </w:pPr>
            <w:r>
              <w:rPr>
                <w:noProof/>
              </w:rPr>
              <w:t>Starpposma mērķis</w:t>
            </w:r>
          </w:p>
        </w:tc>
        <w:tc>
          <w:tcPr>
            <w:tcW w:w="4091" w:type="dxa"/>
            <w:tcBorders>
              <w:top w:val="nil"/>
              <w:left w:val="nil"/>
              <w:bottom w:val="single" w:sz="4" w:space="0" w:color="auto"/>
              <w:right w:val="single" w:sz="4" w:space="0" w:color="auto"/>
            </w:tcBorders>
            <w:shd w:val="clear" w:color="auto" w:fill="C6EFCE"/>
            <w:noWrap/>
            <w:vAlign w:val="center"/>
          </w:tcPr>
          <w:p w14:paraId="316DFA45" w14:textId="77777777" w:rsidR="00C972CB" w:rsidRDefault="002457F6">
            <w:pPr>
              <w:pStyle w:val="P68B1DB1-Normal12"/>
              <w:jc w:val="center"/>
              <w:rPr>
                <w:noProof/>
              </w:rPr>
            </w:pPr>
            <w:r>
              <w:rPr>
                <w:noProof/>
              </w:rPr>
              <w:t>EDIH un TEF darba pakešu pabeigšana</w:t>
            </w:r>
          </w:p>
        </w:tc>
      </w:tr>
      <w:tr w:rsidR="00C972CB" w14:paraId="313446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E298F" w14:textId="77777777" w:rsidR="00C972CB" w:rsidRDefault="002457F6">
            <w:pPr>
              <w:pStyle w:val="P68B1DB1-Normal12"/>
              <w:jc w:val="center"/>
              <w:rPr>
                <w:noProof/>
              </w:rPr>
            </w:pPr>
            <w:r>
              <w:rPr>
                <w:noProof/>
              </w:rPr>
              <w:t xml:space="preserve">M4C2–16 bis </w:t>
            </w:r>
          </w:p>
        </w:tc>
        <w:tc>
          <w:tcPr>
            <w:tcW w:w="3090" w:type="dxa"/>
            <w:tcBorders>
              <w:top w:val="nil"/>
              <w:left w:val="nil"/>
              <w:bottom w:val="single" w:sz="4" w:space="0" w:color="auto"/>
              <w:right w:val="single" w:sz="4" w:space="0" w:color="auto"/>
            </w:tcBorders>
            <w:shd w:val="clear" w:color="auto" w:fill="C6EFCE"/>
            <w:noWrap/>
            <w:vAlign w:val="center"/>
          </w:tcPr>
          <w:p w14:paraId="653D36AD" w14:textId="77777777" w:rsidR="00C972CB" w:rsidRDefault="002457F6">
            <w:pPr>
              <w:pStyle w:val="P68B1DB1-Normal12"/>
              <w:jc w:val="center"/>
              <w:rPr>
                <w:noProof/>
              </w:rPr>
            </w:pPr>
            <w:r>
              <w:rPr>
                <w:noProof/>
              </w:rPr>
              <w:t xml:space="preserve">Ieguldījums 3.1.: Fonds integrētas pētniecības un inovācijas </w:t>
            </w:r>
            <w:r>
              <w:rPr>
                <w:noProof/>
              </w:rPr>
              <w:t>infrastruktūru sistēmas izveidei</w:t>
            </w:r>
          </w:p>
        </w:tc>
        <w:tc>
          <w:tcPr>
            <w:tcW w:w="1498" w:type="dxa"/>
            <w:tcBorders>
              <w:top w:val="nil"/>
              <w:left w:val="nil"/>
              <w:bottom w:val="single" w:sz="4" w:space="0" w:color="auto"/>
              <w:right w:val="single" w:sz="4" w:space="0" w:color="auto"/>
            </w:tcBorders>
            <w:shd w:val="clear" w:color="auto" w:fill="C6EFCE"/>
            <w:noWrap/>
            <w:vAlign w:val="center"/>
          </w:tcPr>
          <w:p w14:paraId="786781FB"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5F2730B" w14:textId="77777777" w:rsidR="00C972CB" w:rsidRDefault="002457F6">
            <w:pPr>
              <w:pStyle w:val="P68B1DB1-Normal12"/>
              <w:jc w:val="center"/>
              <w:rPr>
                <w:noProof/>
              </w:rPr>
            </w:pPr>
            <w:r>
              <w:rPr>
                <w:noProof/>
              </w:rPr>
              <w:t xml:space="preserve">Izveidoto vai darbību pabeigušo pētniecības un inovācijas infrastruktūru skaits </w:t>
            </w:r>
          </w:p>
        </w:tc>
      </w:tr>
      <w:tr w:rsidR="00C972CB" w14:paraId="17D536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D1231" w14:textId="77777777" w:rsidR="00C972CB" w:rsidRDefault="002457F6">
            <w:pPr>
              <w:pStyle w:val="P68B1DB1-Normal12"/>
              <w:jc w:val="center"/>
              <w:rPr>
                <w:noProof/>
              </w:rPr>
            </w:pPr>
            <w:r>
              <w:rPr>
                <w:noProof/>
              </w:rPr>
              <w:t>M4C2–18 bis</w:t>
            </w:r>
          </w:p>
        </w:tc>
        <w:tc>
          <w:tcPr>
            <w:tcW w:w="3090" w:type="dxa"/>
            <w:tcBorders>
              <w:top w:val="nil"/>
              <w:left w:val="nil"/>
              <w:bottom w:val="single" w:sz="4" w:space="0" w:color="auto"/>
              <w:right w:val="single" w:sz="4" w:space="0" w:color="auto"/>
            </w:tcBorders>
            <w:shd w:val="clear" w:color="auto" w:fill="C6EFCE"/>
            <w:noWrap/>
            <w:vAlign w:val="center"/>
          </w:tcPr>
          <w:p w14:paraId="022FAD8F" w14:textId="77777777" w:rsidR="00C972CB" w:rsidRDefault="002457F6">
            <w:pPr>
              <w:pStyle w:val="P68B1DB1-Normal12"/>
              <w:jc w:val="center"/>
              <w:rPr>
                <w:noProof/>
              </w:rPr>
            </w:pPr>
            <w:r>
              <w:rPr>
                <w:noProof/>
              </w:rPr>
              <w:t xml:space="preserve">Invesments1.5: “Ilgtspēju sekmējošu inovācijas ekosistēmu” izveide un stiprināšana, veidojot “pētniecības un izstrādes </w:t>
            </w:r>
            <w:r>
              <w:rPr>
                <w:noProof/>
              </w:rPr>
              <w:t>teritoriālos līderus”</w:t>
            </w:r>
          </w:p>
        </w:tc>
        <w:tc>
          <w:tcPr>
            <w:tcW w:w="1498" w:type="dxa"/>
            <w:tcBorders>
              <w:top w:val="nil"/>
              <w:left w:val="nil"/>
              <w:bottom w:val="single" w:sz="4" w:space="0" w:color="auto"/>
              <w:right w:val="single" w:sz="4" w:space="0" w:color="auto"/>
            </w:tcBorders>
            <w:shd w:val="clear" w:color="auto" w:fill="C6EFCE"/>
            <w:noWrap/>
            <w:vAlign w:val="center"/>
          </w:tcPr>
          <w:p w14:paraId="7A21EC8F"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27D3134" w14:textId="77777777" w:rsidR="00C972CB" w:rsidRDefault="002457F6">
            <w:pPr>
              <w:pStyle w:val="P68B1DB1-Normal12"/>
              <w:jc w:val="center"/>
              <w:rPr>
                <w:noProof/>
              </w:rPr>
            </w:pPr>
            <w:r>
              <w:rPr>
                <w:noProof/>
              </w:rPr>
              <w:t>Inovācijas ekosistēmu īstenotās darbības</w:t>
            </w:r>
          </w:p>
        </w:tc>
      </w:tr>
      <w:tr w:rsidR="00C972CB" w14:paraId="0F53CF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9FCA84" w14:textId="77777777" w:rsidR="00C972CB" w:rsidRDefault="002457F6">
            <w:pPr>
              <w:pStyle w:val="P68B1DB1-Normal12"/>
              <w:jc w:val="center"/>
              <w:rPr>
                <w:noProof/>
              </w:rPr>
            </w:pPr>
            <w:r>
              <w:rPr>
                <w:noProof/>
              </w:rPr>
              <w:t>M4C2–21</w:t>
            </w:r>
          </w:p>
        </w:tc>
        <w:tc>
          <w:tcPr>
            <w:tcW w:w="3090" w:type="dxa"/>
            <w:tcBorders>
              <w:top w:val="nil"/>
              <w:left w:val="nil"/>
              <w:bottom w:val="single" w:sz="4" w:space="0" w:color="auto"/>
              <w:right w:val="single" w:sz="4" w:space="0" w:color="auto"/>
            </w:tcBorders>
            <w:shd w:val="clear" w:color="auto" w:fill="C6EFCE"/>
            <w:noWrap/>
            <w:vAlign w:val="center"/>
          </w:tcPr>
          <w:p w14:paraId="32290CDC" w14:textId="77777777" w:rsidR="00C972CB" w:rsidRDefault="002457F6">
            <w:pPr>
              <w:pStyle w:val="P68B1DB1-Normal12"/>
              <w:jc w:val="center"/>
              <w:rPr>
                <w:noProof/>
              </w:rPr>
            </w:pPr>
            <w:r>
              <w:rPr>
                <w:noProof/>
              </w:rPr>
              <w:t xml:space="preserve">Ieguldījums 5.4 — Jaunuzņēmumu finansēšana.  </w:t>
            </w:r>
          </w:p>
        </w:tc>
        <w:tc>
          <w:tcPr>
            <w:tcW w:w="1498" w:type="dxa"/>
            <w:tcBorders>
              <w:top w:val="nil"/>
              <w:left w:val="nil"/>
              <w:bottom w:val="single" w:sz="4" w:space="0" w:color="auto"/>
              <w:right w:val="single" w:sz="4" w:space="0" w:color="auto"/>
            </w:tcBorders>
            <w:shd w:val="clear" w:color="auto" w:fill="C6EFCE"/>
            <w:noWrap/>
            <w:vAlign w:val="center"/>
          </w:tcPr>
          <w:p w14:paraId="6BDF24C4" w14:textId="41E7266B"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A927307" w14:textId="77777777" w:rsidR="00C972CB" w:rsidRDefault="002457F6">
            <w:pPr>
              <w:pStyle w:val="P68B1DB1-Normal12"/>
              <w:jc w:val="center"/>
              <w:rPr>
                <w:noProof/>
              </w:rPr>
            </w:pPr>
            <w:r>
              <w:rPr>
                <w:noProof/>
              </w:rPr>
              <w:t xml:space="preserve">Juridiski nolīgumi, kas parakstīti ar jaunuzņēmumiem vai riska kapitāla fondiem </w:t>
            </w:r>
          </w:p>
        </w:tc>
      </w:tr>
      <w:tr w:rsidR="00C972CB" w14:paraId="105192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29FD2" w14:textId="77777777" w:rsidR="00C972CB" w:rsidRDefault="002457F6">
            <w:pPr>
              <w:pStyle w:val="P68B1DB1-Normal12"/>
              <w:jc w:val="center"/>
              <w:rPr>
                <w:noProof/>
              </w:rPr>
            </w:pPr>
            <w:r>
              <w:rPr>
                <w:noProof/>
              </w:rPr>
              <w:t>M5C1–19</w:t>
            </w:r>
          </w:p>
        </w:tc>
        <w:tc>
          <w:tcPr>
            <w:tcW w:w="3090" w:type="dxa"/>
            <w:tcBorders>
              <w:top w:val="nil"/>
              <w:left w:val="nil"/>
              <w:bottom w:val="single" w:sz="4" w:space="0" w:color="auto"/>
              <w:right w:val="single" w:sz="4" w:space="0" w:color="auto"/>
            </w:tcBorders>
            <w:shd w:val="clear" w:color="auto" w:fill="C6EFCE"/>
            <w:noWrap/>
            <w:vAlign w:val="center"/>
          </w:tcPr>
          <w:p w14:paraId="1FF9FF67" w14:textId="77777777" w:rsidR="00C972CB" w:rsidRDefault="002457F6">
            <w:pPr>
              <w:pStyle w:val="P68B1DB1-Normal12"/>
              <w:jc w:val="center"/>
              <w:rPr>
                <w:noProof/>
              </w:rPr>
            </w:pPr>
            <w:r>
              <w:rPr>
                <w:noProof/>
              </w:rPr>
              <w:t xml:space="preserve">Ieguldījums Nr. 5 — Sieviešu </w:t>
            </w:r>
            <w:r>
              <w:rPr>
                <w:noProof/>
              </w:rPr>
              <w:t>uzņēmumu izveide</w:t>
            </w:r>
          </w:p>
        </w:tc>
        <w:tc>
          <w:tcPr>
            <w:tcW w:w="1498" w:type="dxa"/>
            <w:tcBorders>
              <w:top w:val="nil"/>
              <w:left w:val="nil"/>
              <w:bottom w:val="single" w:sz="4" w:space="0" w:color="auto"/>
              <w:right w:val="single" w:sz="4" w:space="0" w:color="auto"/>
            </w:tcBorders>
            <w:shd w:val="clear" w:color="auto" w:fill="C6EFCE"/>
            <w:noWrap/>
            <w:vAlign w:val="center"/>
          </w:tcPr>
          <w:p w14:paraId="54C7CA2A"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FA38C7F" w14:textId="77777777" w:rsidR="00C972CB" w:rsidRDefault="002457F6">
            <w:pPr>
              <w:pStyle w:val="P68B1DB1-Normal12"/>
              <w:jc w:val="center"/>
              <w:rPr>
                <w:noProof/>
              </w:rPr>
            </w:pPr>
            <w:r>
              <w:rPr>
                <w:noProof/>
              </w:rPr>
              <w:t>Uzņēmumi, kas definēti attiecīgajā ieguldījumu politikā, ir saņēmuši finansiālu atbalstu</w:t>
            </w:r>
          </w:p>
        </w:tc>
      </w:tr>
      <w:tr w:rsidR="00C972CB" w14:paraId="4A629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6BDCA2" w14:textId="77777777" w:rsidR="00C972CB" w:rsidRDefault="002457F6">
            <w:pPr>
              <w:pStyle w:val="P68B1DB1-Normal12"/>
              <w:jc w:val="center"/>
              <w:rPr>
                <w:noProof/>
              </w:rPr>
            </w:pPr>
            <w:r>
              <w:rPr>
                <w:noProof/>
              </w:rPr>
              <w:t>M5C2–12</w:t>
            </w:r>
          </w:p>
        </w:tc>
        <w:tc>
          <w:tcPr>
            <w:tcW w:w="3090" w:type="dxa"/>
            <w:tcBorders>
              <w:top w:val="nil"/>
              <w:left w:val="nil"/>
              <w:bottom w:val="single" w:sz="4" w:space="0" w:color="auto"/>
              <w:right w:val="single" w:sz="4" w:space="0" w:color="auto"/>
            </w:tcBorders>
            <w:shd w:val="clear" w:color="auto" w:fill="C6EFCE"/>
            <w:noWrap/>
            <w:vAlign w:val="center"/>
          </w:tcPr>
          <w:p w14:paraId="58FBF5B0" w14:textId="77777777" w:rsidR="00C972CB" w:rsidRDefault="002457F6">
            <w:pPr>
              <w:pStyle w:val="P68B1DB1-Normal12"/>
              <w:jc w:val="center"/>
              <w:rPr>
                <w:noProof/>
              </w:rPr>
            </w:pPr>
            <w:r>
              <w:rPr>
                <w:noProof/>
              </w:rPr>
              <w:t>Ieguldījums. Ieguldījumi pilsētvides atjaunošanas projektos, kuru mērķis ir mazināt marginalizācijas un sociālās degradācijas situācija</w:t>
            </w:r>
            <w:r>
              <w:rPr>
                <w:noProof/>
              </w:rPr>
              <w:t>s</w:t>
            </w:r>
          </w:p>
        </w:tc>
        <w:tc>
          <w:tcPr>
            <w:tcW w:w="1498" w:type="dxa"/>
            <w:tcBorders>
              <w:top w:val="nil"/>
              <w:left w:val="nil"/>
              <w:bottom w:val="single" w:sz="4" w:space="0" w:color="auto"/>
              <w:right w:val="single" w:sz="4" w:space="0" w:color="auto"/>
            </w:tcBorders>
            <w:shd w:val="clear" w:color="auto" w:fill="C6EFCE"/>
            <w:noWrap/>
            <w:vAlign w:val="center"/>
          </w:tcPr>
          <w:p w14:paraId="550D3BAD"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7B73469" w14:textId="77777777" w:rsidR="00C972CB" w:rsidRDefault="002457F6">
            <w:pPr>
              <w:pStyle w:val="P68B1DB1-Normal12"/>
              <w:jc w:val="center"/>
              <w:rPr>
                <w:noProof/>
              </w:rPr>
            </w:pPr>
            <w:r>
              <w:rPr>
                <w:noProof/>
              </w:rPr>
              <w:t>Pilsētu atjaunošanas intervences projekti, kas aptver pašvaldības</w:t>
            </w:r>
          </w:p>
        </w:tc>
      </w:tr>
      <w:tr w:rsidR="00C972CB" w14:paraId="37065B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F39BFF" w14:textId="77777777" w:rsidR="00C972CB" w:rsidRDefault="002457F6">
            <w:pPr>
              <w:pStyle w:val="P68B1DB1-Normal12"/>
              <w:jc w:val="center"/>
              <w:rPr>
                <w:noProof/>
              </w:rPr>
            </w:pPr>
            <w:r>
              <w:rPr>
                <w:noProof/>
              </w:rPr>
              <w:t>M5C2–14</w:t>
            </w:r>
          </w:p>
        </w:tc>
        <w:tc>
          <w:tcPr>
            <w:tcW w:w="3090" w:type="dxa"/>
            <w:tcBorders>
              <w:top w:val="nil"/>
              <w:left w:val="nil"/>
              <w:bottom w:val="single" w:sz="4" w:space="0" w:color="auto"/>
              <w:right w:val="single" w:sz="4" w:space="0" w:color="auto"/>
            </w:tcBorders>
            <w:shd w:val="clear" w:color="auto" w:fill="C6EFCE"/>
            <w:noWrap/>
            <w:vAlign w:val="center"/>
          </w:tcPr>
          <w:p w14:paraId="16B45477" w14:textId="77777777" w:rsidR="00C972CB" w:rsidRDefault="002457F6">
            <w:pPr>
              <w:pStyle w:val="P68B1DB1-Normal12"/>
              <w:jc w:val="center"/>
              <w:rPr>
                <w:noProof/>
              </w:rPr>
            </w:pPr>
            <w:r>
              <w:rPr>
                <w:noProof/>
              </w:rPr>
              <w:t>Ieguldījums Nr. 5 — Pilsētvides integrētie plāni — vispārīgi projekti</w:t>
            </w:r>
          </w:p>
        </w:tc>
        <w:tc>
          <w:tcPr>
            <w:tcW w:w="1498" w:type="dxa"/>
            <w:tcBorders>
              <w:top w:val="nil"/>
              <w:left w:val="nil"/>
              <w:bottom w:val="single" w:sz="4" w:space="0" w:color="auto"/>
              <w:right w:val="single" w:sz="4" w:space="0" w:color="auto"/>
            </w:tcBorders>
            <w:shd w:val="clear" w:color="auto" w:fill="C6EFCE"/>
            <w:noWrap/>
            <w:vAlign w:val="center"/>
          </w:tcPr>
          <w:p w14:paraId="1F19100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F87C7BD" w14:textId="77777777" w:rsidR="00C972CB" w:rsidRDefault="002457F6">
            <w:pPr>
              <w:pStyle w:val="P68B1DB1-Normal12"/>
              <w:jc w:val="center"/>
              <w:rPr>
                <w:noProof/>
              </w:rPr>
            </w:pPr>
            <w:r>
              <w:rPr>
                <w:noProof/>
              </w:rPr>
              <w:t>Pabeigt integrētas plānošanas projektus lielpilsētās</w:t>
            </w:r>
          </w:p>
        </w:tc>
      </w:tr>
      <w:tr w:rsidR="00C972CB" w14:paraId="601BCB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4AC10" w14:textId="77777777" w:rsidR="00C972CB" w:rsidRDefault="002457F6">
            <w:pPr>
              <w:pStyle w:val="P68B1DB1-Normal12"/>
              <w:jc w:val="center"/>
              <w:rPr>
                <w:noProof/>
              </w:rPr>
            </w:pPr>
            <w:r>
              <w:rPr>
                <w:noProof/>
              </w:rPr>
              <w:t>M5C2–18</w:t>
            </w:r>
          </w:p>
        </w:tc>
        <w:tc>
          <w:tcPr>
            <w:tcW w:w="3090" w:type="dxa"/>
            <w:tcBorders>
              <w:top w:val="nil"/>
              <w:left w:val="nil"/>
              <w:bottom w:val="single" w:sz="4" w:space="0" w:color="auto"/>
              <w:right w:val="single" w:sz="4" w:space="0" w:color="auto"/>
            </w:tcBorders>
            <w:shd w:val="clear" w:color="auto" w:fill="C6EFCE"/>
            <w:noWrap/>
            <w:vAlign w:val="center"/>
          </w:tcPr>
          <w:p w14:paraId="24A985B5" w14:textId="77777777" w:rsidR="00C972CB" w:rsidRDefault="002457F6">
            <w:pPr>
              <w:pStyle w:val="P68B1DB1-Normal12"/>
              <w:jc w:val="center"/>
              <w:rPr>
                <w:noProof/>
              </w:rPr>
            </w:pPr>
            <w:r>
              <w:rPr>
                <w:noProof/>
              </w:rPr>
              <w:t xml:space="preserve">Ieguldījums Nr. 5 — Pilsētvides </w:t>
            </w:r>
            <w:r>
              <w:rPr>
                <w:noProof/>
              </w:rPr>
              <w:t>integrētie plāni — EIB fonds — fonds</w:t>
            </w:r>
          </w:p>
        </w:tc>
        <w:tc>
          <w:tcPr>
            <w:tcW w:w="1498" w:type="dxa"/>
            <w:tcBorders>
              <w:top w:val="nil"/>
              <w:left w:val="nil"/>
              <w:bottom w:val="single" w:sz="4" w:space="0" w:color="auto"/>
              <w:right w:val="single" w:sz="4" w:space="0" w:color="auto"/>
            </w:tcBorders>
            <w:shd w:val="clear" w:color="auto" w:fill="C6EFCE"/>
            <w:noWrap/>
            <w:vAlign w:val="center"/>
          </w:tcPr>
          <w:p w14:paraId="167B2475"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D325CB9" w14:textId="77777777" w:rsidR="00C972CB" w:rsidRDefault="002457F6">
            <w:pPr>
              <w:pStyle w:val="P68B1DB1-Normal12"/>
              <w:jc w:val="center"/>
              <w:rPr>
                <w:noProof/>
              </w:rPr>
            </w:pPr>
            <w:r>
              <w:rPr>
                <w:noProof/>
              </w:rPr>
              <w:t>Tematiskā fonda ieguldījuma monetārā vērtība un pilsētu projektu atbalsts</w:t>
            </w:r>
          </w:p>
        </w:tc>
      </w:tr>
      <w:tr w:rsidR="00C972CB" w14:paraId="23E762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68F95D" w14:textId="77777777" w:rsidR="00C972CB" w:rsidRDefault="002457F6">
            <w:pPr>
              <w:pStyle w:val="P68B1DB1-Normal12"/>
              <w:jc w:val="center"/>
              <w:rPr>
                <w:noProof/>
              </w:rPr>
            </w:pPr>
            <w:r>
              <w:rPr>
                <w:noProof/>
              </w:rPr>
              <w:t>M5C2–22</w:t>
            </w:r>
          </w:p>
        </w:tc>
        <w:tc>
          <w:tcPr>
            <w:tcW w:w="3090" w:type="dxa"/>
            <w:tcBorders>
              <w:top w:val="nil"/>
              <w:left w:val="nil"/>
              <w:bottom w:val="single" w:sz="4" w:space="0" w:color="auto"/>
              <w:right w:val="single" w:sz="4" w:space="0" w:color="auto"/>
            </w:tcBorders>
            <w:shd w:val="clear" w:color="auto" w:fill="C6EFCE"/>
            <w:noWrap/>
            <w:vAlign w:val="center"/>
          </w:tcPr>
          <w:p w14:paraId="473325F9" w14:textId="77777777" w:rsidR="00C972CB" w:rsidRDefault="002457F6">
            <w:pPr>
              <w:pStyle w:val="P68B1DB1-Normal12"/>
              <w:jc w:val="center"/>
              <w:rPr>
                <w:noProof/>
              </w:rPr>
            </w:pPr>
            <w:r>
              <w:rPr>
                <w:noProof/>
              </w:rPr>
              <w:t>Ieguldījums. Projekts “Sports un sociālā integrācija”</w:t>
            </w:r>
          </w:p>
        </w:tc>
        <w:tc>
          <w:tcPr>
            <w:tcW w:w="1498" w:type="dxa"/>
            <w:tcBorders>
              <w:top w:val="nil"/>
              <w:left w:val="nil"/>
              <w:bottom w:val="single" w:sz="4" w:space="0" w:color="auto"/>
              <w:right w:val="single" w:sz="4" w:space="0" w:color="auto"/>
            </w:tcBorders>
            <w:shd w:val="clear" w:color="auto" w:fill="C6EFCE"/>
            <w:noWrap/>
            <w:vAlign w:val="center"/>
          </w:tcPr>
          <w:p w14:paraId="10449C59"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32EC279" w14:textId="77777777" w:rsidR="00C972CB" w:rsidRDefault="002457F6">
            <w:pPr>
              <w:pStyle w:val="P68B1DB1-Normal12"/>
              <w:jc w:val="center"/>
              <w:rPr>
                <w:noProof/>
              </w:rPr>
            </w:pPr>
            <w:r>
              <w:rPr>
                <w:noProof/>
              </w:rPr>
              <w:t>Intervences pasākumi, kas saistīti ar līgumiem par sporta inventāru</w:t>
            </w:r>
          </w:p>
        </w:tc>
      </w:tr>
      <w:tr w:rsidR="00C972CB" w14:paraId="369F3D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06EB" w14:textId="77777777" w:rsidR="00C972CB" w:rsidRDefault="002457F6">
            <w:pPr>
              <w:pStyle w:val="P68B1DB1-Normal12"/>
              <w:jc w:val="center"/>
              <w:rPr>
                <w:noProof/>
              </w:rPr>
            </w:pPr>
            <w:r>
              <w:rPr>
                <w:noProof/>
              </w:rPr>
              <w:t>M</w:t>
            </w:r>
            <w:r>
              <w:rPr>
                <w:noProof/>
              </w:rPr>
              <w:t>5C3–13</w:t>
            </w:r>
          </w:p>
        </w:tc>
        <w:tc>
          <w:tcPr>
            <w:tcW w:w="3090" w:type="dxa"/>
            <w:tcBorders>
              <w:top w:val="nil"/>
              <w:left w:val="nil"/>
              <w:bottom w:val="single" w:sz="4" w:space="0" w:color="auto"/>
              <w:right w:val="single" w:sz="4" w:space="0" w:color="auto"/>
            </w:tcBorders>
            <w:shd w:val="clear" w:color="auto" w:fill="C6EFCE"/>
            <w:noWrap/>
            <w:vAlign w:val="center"/>
          </w:tcPr>
          <w:p w14:paraId="0F1E72EA" w14:textId="77777777" w:rsidR="00C972CB" w:rsidRDefault="002457F6">
            <w:pPr>
              <w:pStyle w:val="P68B1DB1-Normal12"/>
              <w:jc w:val="center"/>
              <w:rPr>
                <w:noProof/>
              </w:rPr>
            </w:pPr>
            <w:r>
              <w:rPr>
                <w:noProof/>
              </w:rPr>
              <w:t>Ieguldījums 1.4.: Ieguldījumi infrastruktūrā speciālajā ekonomiskajā zonā</w:t>
            </w:r>
          </w:p>
        </w:tc>
        <w:tc>
          <w:tcPr>
            <w:tcW w:w="1498" w:type="dxa"/>
            <w:tcBorders>
              <w:top w:val="nil"/>
              <w:left w:val="nil"/>
              <w:bottom w:val="single" w:sz="4" w:space="0" w:color="auto"/>
              <w:right w:val="single" w:sz="4" w:space="0" w:color="auto"/>
            </w:tcBorders>
            <w:shd w:val="clear" w:color="auto" w:fill="C6EFCE"/>
            <w:noWrap/>
            <w:vAlign w:val="center"/>
          </w:tcPr>
          <w:p w14:paraId="1E2B3322"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A5554B3" w14:textId="77777777" w:rsidR="00C972CB" w:rsidRDefault="002457F6">
            <w:pPr>
              <w:pStyle w:val="P68B1DB1-Normal12"/>
              <w:jc w:val="center"/>
              <w:rPr>
                <w:noProof/>
              </w:rPr>
            </w:pPr>
            <w:r>
              <w:rPr>
                <w:noProof/>
              </w:rPr>
              <w:t>Infrastruktūras intervences pasākumu pabeigšana speciālajās ekonomiskajās zonās.</w:t>
            </w:r>
          </w:p>
        </w:tc>
      </w:tr>
      <w:tr w:rsidR="00C972CB" w14:paraId="753FFA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0570AC" w14:textId="77777777" w:rsidR="00C972CB" w:rsidRDefault="002457F6">
            <w:pPr>
              <w:pStyle w:val="P68B1DB1-Normal12"/>
              <w:jc w:val="center"/>
              <w:rPr>
                <w:noProof/>
              </w:rPr>
            </w:pPr>
            <w:r>
              <w:rPr>
                <w:noProof/>
              </w:rPr>
              <w:t>M6C1–3</w:t>
            </w:r>
          </w:p>
        </w:tc>
        <w:tc>
          <w:tcPr>
            <w:tcW w:w="3090" w:type="dxa"/>
            <w:tcBorders>
              <w:top w:val="nil"/>
              <w:left w:val="nil"/>
              <w:bottom w:val="single" w:sz="4" w:space="0" w:color="auto"/>
              <w:right w:val="single" w:sz="4" w:space="0" w:color="auto"/>
            </w:tcBorders>
            <w:shd w:val="clear" w:color="auto" w:fill="C6EFCE"/>
            <w:noWrap/>
            <w:vAlign w:val="center"/>
          </w:tcPr>
          <w:p w14:paraId="69C02EAE" w14:textId="77777777" w:rsidR="00C972CB" w:rsidRDefault="002457F6">
            <w:pPr>
              <w:pStyle w:val="P68B1DB1-Normal12"/>
              <w:jc w:val="center"/>
              <w:rPr>
                <w:noProof/>
              </w:rPr>
            </w:pPr>
            <w:r>
              <w:rPr>
                <w:noProof/>
              </w:rPr>
              <w:t xml:space="preserve">Ieguldījums 1.1: Kopienas veselības aprūpes nami, lai uzlabotu teritoriālo </w:t>
            </w:r>
            <w:r>
              <w:rPr>
                <w:noProof/>
              </w:rPr>
              <w:t>palīdzību veselības jomā</w:t>
            </w:r>
          </w:p>
        </w:tc>
        <w:tc>
          <w:tcPr>
            <w:tcW w:w="1498" w:type="dxa"/>
            <w:tcBorders>
              <w:top w:val="nil"/>
              <w:left w:val="nil"/>
              <w:bottom w:val="single" w:sz="4" w:space="0" w:color="auto"/>
              <w:right w:val="single" w:sz="4" w:space="0" w:color="auto"/>
            </w:tcBorders>
            <w:shd w:val="clear" w:color="auto" w:fill="C6EFCE"/>
            <w:noWrap/>
            <w:vAlign w:val="center"/>
          </w:tcPr>
          <w:p w14:paraId="0CCBABE5"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C8E2C21" w14:textId="77777777" w:rsidR="00C972CB" w:rsidRDefault="002457F6">
            <w:pPr>
              <w:pStyle w:val="P68B1DB1-Normal12"/>
              <w:jc w:val="center"/>
              <w:rPr>
                <w:noProof/>
              </w:rPr>
            </w:pPr>
            <w:r>
              <w:rPr>
                <w:noProof/>
              </w:rPr>
              <w:t>Darītas pieejamas un tehnoloģiski aprīkotas kopienas veselības aprūpes nami (pirmā sērija)</w:t>
            </w:r>
          </w:p>
        </w:tc>
      </w:tr>
      <w:tr w:rsidR="00C972CB" w14:paraId="7C9C6C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6D8ADB" w14:textId="77777777" w:rsidR="00C972CB" w:rsidRDefault="002457F6">
            <w:pPr>
              <w:pStyle w:val="P68B1DB1-Normal12"/>
              <w:jc w:val="center"/>
              <w:rPr>
                <w:noProof/>
              </w:rPr>
            </w:pPr>
            <w:r>
              <w:rPr>
                <w:noProof/>
              </w:rPr>
              <w:t>M6C1–6</w:t>
            </w:r>
          </w:p>
        </w:tc>
        <w:tc>
          <w:tcPr>
            <w:tcW w:w="3090" w:type="dxa"/>
            <w:tcBorders>
              <w:top w:val="nil"/>
              <w:left w:val="nil"/>
              <w:bottom w:val="single" w:sz="4" w:space="0" w:color="auto"/>
              <w:right w:val="single" w:sz="4" w:space="0" w:color="auto"/>
            </w:tcBorders>
            <w:shd w:val="clear" w:color="auto" w:fill="C6EFCE"/>
            <w:noWrap/>
            <w:vAlign w:val="center"/>
          </w:tcPr>
          <w:p w14:paraId="2F74CCCD" w14:textId="77777777" w:rsidR="00C972CB" w:rsidRDefault="002457F6">
            <w:pPr>
              <w:pStyle w:val="P68B1DB1-Normal12"/>
              <w:jc w:val="center"/>
              <w:rPr>
                <w:noProof/>
              </w:rPr>
            </w:pPr>
            <w:r>
              <w:rPr>
                <w:noProof/>
              </w:rPr>
              <w:t>Ieguldījums 1.2: Mājas kā pirmā aprūpes un telemedicīnas vieta</w:t>
            </w:r>
          </w:p>
        </w:tc>
        <w:tc>
          <w:tcPr>
            <w:tcW w:w="1498" w:type="dxa"/>
            <w:tcBorders>
              <w:top w:val="nil"/>
              <w:left w:val="nil"/>
              <w:bottom w:val="single" w:sz="4" w:space="0" w:color="auto"/>
              <w:right w:val="single" w:sz="4" w:space="0" w:color="auto"/>
            </w:tcBorders>
            <w:shd w:val="clear" w:color="auto" w:fill="C6EFCE"/>
            <w:noWrap/>
            <w:vAlign w:val="center"/>
          </w:tcPr>
          <w:p w14:paraId="2EE194C3"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F14D0D6" w14:textId="77777777" w:rsidR="00C972CB" w:rsidRDefault="002457F6">
            <w:pPr>
              <w:pStyle w:val="P68B1DB1-Normal12"/>
              <w:jc w:val="center"/>
              <w:rPr>
                <w:noProof/>
              </w:rPr>
            </w:pPr>
            <w:r>
              <w:rPr>
                <w:noProof/>
              </w:rPr>
              <w:t>Papildu cilvēki, kas ārstēti mājās (pirmā partija)</w:t>
            </w:r>
          </w:p>
        </w:tc>
      </w:tr>
      <w:tr w:rsidR="00C972CB" w14:paraId="56A923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0D4E06" w14:textId="77777777" w:rsidR="00C972CB" w:rsidRDefault="002457F6">
            <w:pPr>
              <w:pStyle w:val="P68B1DB1-Normal12"/>
              <w:jc w:val="center"/>
              <w:rPr>
                <w:noProof/>
              </w:rPr>
            </w:pPr>
            <w:r>
              <w:rPr>
                <w:noProof/>
              </w:rPr>
              <w:t>M6C1–</w:t>
            </w:r>
            <w:r>
              <w:rPr>
                <w:noProof/>
              </w:rPr>
              <w:t>11</w:t>
            </w:r>
          </w:p>
        </w:tc>
        <w:tc>
          <w:tcPr>
            <w:tcW w:w="3090" w:type="dxa"/>
            <w:tcBorders>
              <w:top w:val="nil"/>
              <w:left w:val="nil"/>
              <w:bottom w:val="single" w:sz="4" w:space="0" w:color="auto"/>
              <w:right w:val="single" w:sz="4" w:space="0" w:color="auto"/>
            </w:tcBorders>
            <w:shd w:val="clear" w:color="auto" w:fill="C6EFCE"/>
            <w:noWrap/>
            <w:vAlign w:val="center"/>
          </w:tcPr>
          <w:p w14:paraId="5176ED42" w14:textId="77777777" w:rsidR="00C972CB" w:rsidRDefault="002457F6">
            <w:pPr>
              <w:pStyle w:val="P68B1DB1-Normal12"/>
              <w:jc w:val="center"/>
              <w:rPr>
                <w:noProof/>
              </w:rPr>
            </w:pPr>
            <w:r>
              <w:rPr>
                <w:noProof/>
              </w:rPr>
              <w:t>Ieguldījums 1.3. Veselības aprūpes starpniecības un tās telpu stiprināšana (Kopienas slimnīcas)</w:t>
            </w:r>
          </w:p>
        </w:tc>
        <w:tc>
          <w:tcPr>
            <w:tcW w:w="1498" w:type="dxa"/>
            <w:tcBorders>
              <w:top w:val="nil"/>
              <w:left w:val="nil"/>
              <w:bottom w:val="single" w:sz="4" w:space="0" w:color="auto"/>
              <w:right w:val="single" w:sz="4" w:space="0" w:color="auto"/>
            </w:tcBorders>
            <w:shd w:val="clear" w:color="auto" w:fill="C6EFCE"/>
            <w:noWrap/>
            <w:vAlign w:val="center"/>
          </w:tcPr>
          <w:p w14:paraId="5A78D5D7"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8B08347" w14:textId="77777777" w:rsidR="00C972CB" w:rsidRDefault="002457F6">
            <w:pPr>
              <w:pStyle w:val="P68B1DB1-Normal12"/>
              <w:jc w:val="center"/>
              <w:rPr>
                <w:noProof/>
              </w:rPr>
            </w:pPr>
            <w:r>
              <w:rPr>
                <w:noProof/>
              </w:rPr>
              <w:t>Atjaunotas, savstarpēji savienotas un tehnoloģiski aprīkotas Kopienas slimnīcas (pirmā sērija)</w:t>
            </w:r>
          </w:p>
        </w:tc>
      </w:tr>
      <w:tr w:rsidR="00C972CB" w14:paraId="21D8838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FA30C" w14:textId="77777777" w:rsidR="00C972CB" w:rsidRDefault="002457F6">
            <w:pPr>
              <w:pStyle w:val="P68B1DB1-Normal12"/>
              <w:jc w:val="center"/>
              <w:rPr>
                <w:noProof/>
              </w:rPr>
            </w:pPr>
            <w:r>
              <w:rPr>
                <w:noProof/>
              </w:rPr>
              <w:t>M6C2–6</w:t>
            </w:r>
          </w:p>
        </w:tc>
        <w:tc>
          <w:tcPr>
            <w:tcW w:w="3090" w:type="dxa"/>
            <w:tcBorders>
              <w:top w:val="nil"/>
              <w:left w:val="nil"/>
              <w:bottom w:val="single" w:sz="4" w:space="0" w:color="auto"/>
              <w:right w:val="single" w:sz="4" w:space="0" w:color="auto"/>
            </w:tcBorders>
            <w:shd w:val="clear" w:color="auto" w:fill="C6EFCE"/>
            <w:noWrap/>
            <w:vAlign w:val="center"/>
          </w:tcPr>
          <w:p w14:paraId="1FDED688" w14:textId="77777777" w:rsidR="00C972CB" w:rsidRDefault="002457F6">
            <w:pPr>
              <w:pStyle w:val="P68B1DB1-Normal48"/>
              <w:jc w:val="center"/>
              <w:rPr>
                <w:noProof/>
              </w:rPr>
            </w:pPr>
            <w:r>
              <w:rPr>
                <w:noProof/>
              </w:rPr>
              <w:t xml:space="preserve">Ieguldījums 1.1: Slimnīcu tehnoloģiskā </w:t>
            </w:r>
            <w:r>
              <w:rPr>
                <w:noProof/>
              </w:rPr>
              <w:t>aprīkojuma digitālā atjaunināšana</w:t>
            </w:r>
          </w:p>
        </w:tc>
        <w:tc>
          <w:tcPr>
            <w:tcW w:w="1498" w:type="dxa"/>
            <w:tcBorders>
              <w:top w:val="nil"/>
              <w:left w:val="nil"/>
              <w:bottom w:val="single" w:sz="4" w:space="0" w:color="auto"/>
              <w:right w:val="single" w:sz="4" w:space="0" w:color="auto"/>
            </w:tcBorders>
            <w:shd w:val="clear" w:color="auto" w:fill="C6EFCE"/>
            <w:noWrap/>
            <w:vAlign w:val="center"/>
          </w:tcPr>
          <w:p w14:paraId="42D8EAB6" w14:textId="77777777" w:rsidR="00C972CB" w:rsidRDefault="002457F6">
            <w:pPr>
              <w:pStyle w:val="P68B1DB1-Normal48"/>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16B110A7" w14:textId="77777777" w:rsidR="00C972CB" w:rsidRDefault="002457F6">
            <w:pPr>
              <w:pStyle w:val="P68B1DB1-Normal48"/>
              <w:jc w:val="center"/>
              <w:rPr>
                <w:noProof/>
              </w:rPr>
            </w:pPr>
            <w:r>
              <w:rPr>
                <w:noProof/>
              </w:rPr>
              <w:t>Darbojas lielas sanitārās iekārtas</w:t>
            </w:r>
          </w:p>
        </w:tc>
      </w:tr>
      <w:tr w:rsidR="00C972CB" w14:paraId="1F4605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3B8A7F" w14:textId="77777777" w:rsidR="00C972CB" w:rsidRDefault="002457F6">
            <w:pPr>
              <w:pStyle w:val="P68B1DB1-Normal12"/>
              <w:jc w:val="center"/>
              <w:rPr>
                <w:noProof/>
              </w:rPr>
            </w:pPr>
            <w:r>
              <w:rPr>
                <w:noProof/>
              </w:rPr>
              <w:t>M6C2–9</w:t>
            </w:r>
          </w:p>
        </w:tc>
        <w:tc>
          <w:tcPr>
            <w:tcW w:w="3090" w:type="dxa"/>
            <w:tcBorders>
              <w:top w:val="nil"/>
              <w:left w:val="nil"/>
              <w:bottom w:val="single" w:sz="4" w:space="0" w:color="auto"/>
              <w:right w:val="single" w:sz="4" w:space="0" w:color="auto"/>
            </w:tcBorders>
            <w:shd w:val="clear" w:color="auto" w:fill="C6EFCE"/>
            <w:noWrap/>
            <w:vAlign w:val="center"/>
          </w:tcPr>
          <w:p w14:paraId="293CEE8C" w14:textId="77777777" w:rsidR="00C972CB" w:rsidRDefault="002457F6">
            <w:pPr>
              <w:pStyle w:val="P68B1DB1-Normal48"/>
              <w:jc w:val="center"/>
              <w:rPr>
                <w:noProof/>
              </w:rPr>
            </w:pPr>
            <w:r>
              <w:rPr>
                <w:noProof/>
              </w:rPr>
              <w:t>Ieguldījums 1.1: Slimnīcu tehnoloģiskā aprīkojuma digitālā atjaunināšana</w:t>
            </w:r>
          </w:p>
        </w:tc>
        <w:tc>
          <w:tcPr>
            <w:tcW w:w="1498" w:type="dxa"/>
            <w:tcBorders>
              <w:top w:val="nil"/>
              <w:left w:val="nil"/>
              <w:bottom w:val="single" w:sz="4" w:space="0" w:color="auto"/>
              <w:right w:val="single" w:sz="4" w:space="0" w:color="auto"/>
            </w:tcBorders>
            <w:shd w:val="clear" w:color="auto" w:fill="C6EFCE"/>
            <w:noWrap/>
            <w:vAlign w:val="center"/>
          </w:tcPr>
          <w:p w14:paraId="2198447B" w14:textId="77777777" w:rsidR="00C972CB" w:rsidRDefault="002457F6">
            <w:pPr>
              <w:pStyle w:val="P68B1DB1-Normal48"/>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6987F16E" w14:textId="77777777" w:rsidR="00C972CB" w:rsidRDefault="002457F6">
            <w:pPr>
              <w:pStyle w:val="P68B1DB1-Normal48"/>
              <w:jc w:val="center"/>
              <w:rPr>
                <w:noProof/>
              </w:rPr>
            </w:pPr>
            <w:r>
              <w:rPr>
                <w:noProof/>
              </w:rPr>
              <w:t>Papildu gultas, ko nodrošina ICU, un subintensīvā aprūpe</w:t>
            </w:r>
          </w:p>
        </w:tc>
      </w:tr>
      <w:tr w:rsidR="00C972CB" w14:paraId="48E67A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D8844" w14:textId="77777777" w:rsidR="00C972CB" w:rsidRDefault="002457F6">
            <w:pPr>
              <w:pStyle w:val="P68B1DB1-Normal12"/>
              <w:jc w:val="center"/>
              <w:rPr>
                <w:noProof/>
              </w:rPr>
            </w:pPr>
            <w:r>
              <w:rPr>
                <w:noProof/>
              </w:rPr>
              <w:t>M6C2–10</w:t>
            </w:r>
          </w:p>
        </w:tc>
        <w:tc>
          <w:tcPr>
            <w:tcW w:w="3090" w:type="dxa"/>
            <w:tcBorders>
              <w:top w:val="nil"/>
              <w:left w:val="nil"/>
              <w:bottom w:val="single" w:sz="4" w:space="0" w:color="auto"/>
              <w:right w:val="single" w:sz="4" w:space="0" w:color="auto"/>
            </w:tcBorders>
            <w:shd w:val="clear" w:color="auto" w:fill="C6EFCE"/>
            <w:noWrap/>
            <w:vAlign w:val="center"/>
          </w:tcPr>
          <w:p w14:paraId="25717C36" w14:textId="77777777" w:rsidR="00C972CB" w:rsidRDefault="002457F6">
            <w:pPr>
              <w:pStyle w:val="P68B1DB1-Normal48"/>
              <w:jc w:val="center"/>
              <w:rPr>
                <w:noProof/>
              </w:rPr>
            </w:pPr>
            <w:r>
              <w:rPr>
                <w:noProof/>
              </w:rPr>
              <w:t xml:space="preserve">Ieguldījums 1.2: Ceļā uz </w:t>
            </w:r>
            <w:r>
              <w:rPr>
                <w:noProof/>
              </w:rPr>
              <w:t>drošu un ilgtspējīgu slimnīcu</w:t>
            </w:r>
          </w:p>
        </w:tc>
        <w:tc>
          <w:tcPr>
            <w:tcW w:w="1498" w:type="dxa"/>
            <w:tcBorders>
              <w:top w:val="nil"/>
              <w:left w:val="nil"/>
              <w:bottom w:val="single" w:sz="4" w:space="0" w:color="auto"/>
              <w:right w:val="single" w:sz="4" w:space="0" w:color="auto"/>
            </w:tcBorders>
            <w:shd w:val="clear" w:color="auto" w:fill="C6EFCE"/>
            <w:noWrap/>
            <w:vAlign w:val="center"/>
          </w:tcPr>
          <w:p w14:paraId="0DB6DF7D" w14:textId="77777777" w:rsidR="00C972CB" w:rsidRDefault="002457F6">
            <w:pPr>
              <w:pStyle w:val="P68B1DB1-Normal48"/>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BA876E8" w14:textId="77777777" w:rsidR="00C972CB" w:rsidRDefault="002457F6">
            <w:pPr>
              <w:pStyle w:val="P68B1DB1-Normal48"/>
              <w:jc w:val="center"/>
              <w:rPr>
                <w:noProof/>
              </w:rPr>
            </w:pPr>
            <w:r>
              <w:rPr>
                <w:noProof/>
              </w:rPr>
              <w:t>Ir pabeigta antiseismiska iejaukšanās slimnīcu telpās</w:t>
            </w:r>
          </w:p>
        </w:tc>
      </w:tr>
      <w:tr w:rsidR="00C972CB" w14:paraId="2131A1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F545C7" w14:textId="77777777" w:rsidR="00C972CB" w:rsidRDefault="002457F6">
            <w:pPr>
              <w:pStyle w:val="P68B1DB1-Normal12"/>
              <w:jc w:val="center"/>
              <w:rPr>
                <w:noProof/>
              </w:rPr>
            </w:pPr>
            <w:r>
              <w:rPr>
                <w:noProof/>
              </w:rPr>
              <w:t>M6C2–10 bis</w:t>
            </w:r>
          </w:p>
        </w:tc>
        <w:tc>
          <w:tcPr>
            <w:tcW w:w="3090" w:type="dxa"/>
            <w:tcBorders>
              <w:top w:val="nil"/>
              <w:left w:val="nil"/>
              <w:bottom w:val="single" w:sz="4" w:space="0" w:color="auto"/>
              <w:right w:val="single" w:sz="4" w:space="0" w:color="auto"/>
            </w:tcBorders>
            <w:shd w:val="clear" w:color="auto" w:fill="C6EFCE"/>
            <w:noWrap/>
            <w:vAlign w:val="center"/>
          </w:tcPr>
          <w:p w14:paraId="7882CA9E" w14:textId="77777777" w:rsidR="00C972CB" w:rsidRDefault="002457F6">
            <w:pPr>
              <w:pStyle w:val="P68B1DB1-Normal48"/>
              <w:jc w:val="center"/>
              <w:rPr>
                <w:noProof/>
              </w:rPr>
            </w:pPr>
            <w:r>
              <w:rPr>
                <w:noProof/>
              </w:rPr>
              <w:t>Ieguldījums 1.2: Ceļā uz drošu un ilgtspējīgu slimnīcu</w:t>
            </w:r>
          </w:p>
        </w:tc>
        <w:tc>
          <w:tcPr>
            <w:tcW w:w="1498" w:type="dxa"/>
            <w:tcBorders>
              <w:top w:val="nil"/>
              <w:left w:val="nil"/>
              <w:bottom w:val="single" w:sz="4" w:space="0" w:color="auto"/>
              <w:right w:val="single" w:sz="4" w:space="0" w:color="auto"/>
            </w:tcBorders>
            <w:shd w:val="clear" w:color="auto" w:fill="C6EFCE"/>
            <w:noWrap/>
            <w:vAlign w:val="center"/>
          </w:tcPr>
          <w:p w14:paraId="4CA3FBBF" w14:textId="77777777" w:rsidR="00C972CB" w:rsidRDefault="002457F6">
            <w:pPr>
              <w:pStyle w:val="P68B1DB1-Normal48"/>
              <w:jc w:val="center"/>
              <w:rPr>
                <w:noProof/>
              </w:rPr>
            </w:pPr>
            <w:r>
              <w:rPr>
                <w:noProof/>
              </w:rPr>
              <w:t xml:space="preserve">Mērķa </w:t>
            </w:r>
          </w:p>
        </w:tc>
        <w:tc>
          <w:tcPr>
            <w:tcW w:w="4091" w:type="dxa"/>
            <w:tcBorders>
              <w:top w:val="nil"/>
              <w:left w:val="nil"/>
              <w:bottom w:val="single" w:sz="4" w:space="0" w:color="auto"/>
              <w:right w:val="single" w:sz="4" w:space="0" w:color="auto"/>
            </w:tcBorders>
            <w:shd w:val="clear" w:color="auto" w:fill="C6EFCE"/>
            <w:noWrap/>
            <w:vAlign w:val="center"/>
          </w:tcPr>
          <w:p w14:paraId="49FD9B0A" w14:textId="77777777" w:rsidR="00C972CB" w:rsidRDefault="002457F6">
            <w:pPr>
              <w:pStyle w:val="P68B1DB1-Normal48"/>
              <w:jc w:val="center"/>
              <w:rPr>
                <w:noProof/>
              </w:rPr>
            </w:pPr>
            <w:r>
              <w:rPr>
                <w:noProof/>
              </w:rPr>
              <w:t>ANM resursu izmaksa projektiem saskaņā ar Finanšu likuma 67/88 20. pantu “Veselības aprūpes</w:t>
            </w:r>
            <w:r>
              <w:rPr>
                <w:noProof/>
              </w:rPr>
              <w:t xml:space="preserve"> ēka”</w:t>
            </w:r>
          </w:p>
        </w:tc>
      </w:tr>
      <w:tr w:rsidR="00C972CB" w14:paraId="7E257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0DA7A9" w14:textId="77777777" w:rsidR="00C972CB" w:rsidRDefault="002457F6">
            <w:pPr>
              <w:pStyle w:val="P68B1DB1-Normal12"/>
              <w:jc w:val="center"/>
              <w:rPr>
                <w:noProof/>
              </w:rPr>
            </w:pPr>
            <w:r>
              <w:rPr>
                <w:noProof/>
              </w:rPr>
              <w:t>M6C2–12</w:t>
            </w:r>
          </w:p>
        </w:tc>
        <w:tc>
          <w:tcPr>
            <w:tcW w:w="3090" w:type="dxa"/>
            <w:tcBorders>
              <w:top w:val="nil"/>
              <w:left w:val="nil"/>
              <w:bottom w:val="single" w:sz="4" w:space="0" w:color="auto"/>
              <w:right w:val="single" w:sz="4" w:space="0" w:color="auto"/>
            </w:tcBorders>
            <w:shd w:val="clear" w:color="auto" w:fill="C6EFCE"/>
            <w:noWrap/>
            <w:vAlign w:val="center"/>
          </w:tcPr>
          <w:p w14:paraId="0EE5B10D" w14:textId="77777777" w:rsidR="00C972CB" w:rsidRDefault="002457F6">
            <w:pPr>
              <w:pStyle w:val="P68B1DB1-Normal48"/>
              <w:jc w:val="center"/>
              <w:rPr>
                <w:noProof/>
              </w:rPr>
            </w:pPr>
            <w:r>
              <w:rPr>
                <w:noProof/>
              </w:rPr>
              <w:t>Ieguldījums 1.3. Tehnoloģiskās infrastruktūras un datu vākšanas, datu apstrādes, datu analīzes un simulācijas rīku stiprināšana</w:t>
            </w:r>
          </w:p>
        </w:tc>
        <w:tc>
          <w:tcPr>
            <w:tcW w:w="1498" w:type="dxa"/>
            <w:tcBorders>
              <w:top w:val="nil"/>
              <w:left w:val="nil"/>
              <w:bottom w:val="single" w:sz="4" w:space="0" w:color="auto"/>
              <w:right w:val="single" w:sz="4" w:space="0" w:color="auto"/>
            </w:tcBorders>
            <w:shd w:val="clear" w:color="auto" w:fill="C6EFCE"/>
            <w:noWrap/>
            <w:vAlign w:val="center"/>
          </w:tcPr>
          <w:p w14:paraId="1CC5EB1C" w14:textId="77777777" w:rsidR="00C972CB" w:rsidRDefault="002457F6">
            <w:pPr>
              <w:pStyle w:val="P68B1DB1-Normal48"/>
              <w:jc w:val="center"/>
              <w:rPr>
                <w:noProof/>
              </w:rPr>
            </w:pPr>
            <w:r>
              <w:rPr>
                <w:noProof/>
              </w:rPr>
              <w:t>Starpposma mērķis</w:t>
            </w:r>
          </w:p>
        </w:tc>
        <w:tc>
          <w:tcPr>
            <w:tcW w:w="4091" w:type="dxa"/>
            <w:tcBorders>
              <w:top w:val="nil"/>
              <w:left w:val="nil"/>
              <w:bottom w:val="single" w:sz="4" w:space="0" w:color="auto"/>
              <w:right w:val="single" w:sz="4" w:space="0" w:color="auto"/>
            </w:tcBorders>
            <w:shd w:val="clear" w:color="auto" w:fill="C6EFCE"/>
            <w:noWrap/>
            <w:vAlign w:val="center"/>
          </w:tcPr>
          <w:p w14:paraId="6FD94B2A" w14:textId="77777777" w:rsidR="00C972CB" w:rsidRDefault="002457F6">
            <w:pPr>
              <w:pStyle w:val="P68B1DB1-Normal48"/>
              <w:jc w:val="center"/>
              <w:rPr>
                <w:noProof/>
              </w:rPr>
            </w:pPr>
            <w:r>
              <w:rPr>
                <w:noProof/>
              </w:rPr>
              <w:t xml:space="preserve">Veselības apdrošināšanas karšu sistēma un infrastruktūra e-veselības pacienta karšu </w:t>
            </w:r>
            <w:r>
              <w:rPr>
                <w:noProof/>
              </w:rPr>
              <w:t>sadarbspējai pilnībā darbojas.</w:t>
            </w:r>
          </w:p>
        </w:tc>
      </w:tr>
      <w:tr w:rsidR="00C972CB" w14:paraId="5E507B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FDC5" w14:textId="77777777" w:rsidR="00C972CB" w:rsidRDefault="002457F6">
            <w:pPr>
              <w:pStyle w:val="P68B1DB1-Normal12"/>
              <w:jc w:val="center"/>
              <w:rPr>
                <w:noProof/>
              </w:rPr>
            </w:pPr>
            <w:r>
              <w:rPr>
                <w:noProof/>
              </w:rPr>
              <w:t>M6C2–13</w:t>
            </w:r>
          </w:p>
        </w:tc>
        <w:tc>
          <w:tcPr>
            <w:tcW w:w="3090" w:type="dxa"/>
            <w:tcBorders>
              <w:top w:val="nil"/>
              <w:left w:val="nil"/>
              <w:bottom w:val="single" w:sz="4" w:space="0" w:color="auto"/>
              <w:right w:val="single" w:sz="4" w:space="0" w:color="auto"/>
            </w:tcBorders>
            <w:shd w:val="clear" w:color="auto" w:fill="C6EFCE"/>
            <w:noWrap/>
            <w:vAlign w:val="center"/>
          </w:tcPr>
          <w:p w14:paraId="3ED1646E" w14:textId="77777777" w:rsidR="00C972CB" w:rsidRDefault="002457F6">
            <w:pPr>
              <w:pStyle w:val="P68B1DB1-Normal48"/>
              <w:jc w:val="center"/>
              <w:rPr>
                <w:noProof/>
              </w:rPr>
            </w:pPr>
            <w:r>
              <w:rPr>
                <w:noProof/>
              </w:rPr>
              <w:t>Ieguldījums 1.3. Tehnoloģiskās infrastruktūras un datu vākšanas, datu apstrādes, datu analīzes un simulācijas rīku stiprināšana</w:t>
            </w:r>
          </w:p>
        </w:tc>
        <w:tc>
          <w:tcPr>
            <w:tcW w:w="1498" w:type="dxa"/>
            <w:tcBorders>
              <w:top w:val="nil"/>
              <w:left w:val="nil"/>
              <w:bottom w:val="single" w:sz="4" w:space="0" w:color="auto"/>
              <w:right w:val="single" w:sz="4" w:space="0" w:color="auto"/>
            </w:tcBorders>
            <w:shd w:val="clear" w:color="auto" w:fill="C6EFCE"/>
            <w:noWrap/>
            <w:vAlign w:val="center"/>
          </w:tcPr>
          <w:p w14:paraId="02069F2A" w14:textId="77777777" w:rsidR="00C972CB" w:rsidRDefault="002457F6">
            <w:pPr>
              <w:pStyle w:val="P68B1DB1-Normal48"/>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314C182" w14:textId="77777777" w:rsidR="00C972CB" w:rsidRDefault="002457F6">
            <w:pPr>
              <w:pStyle w:val="P68B1DB1-Normal48"/>
              <w:jc w:val="center"/>
              <w:rPr>
                <w:noProof/>
              </w:rPr>
            </w:pPr>
            <w:r>
              <w:rPr>
                <w:noProof/>
              </w:rPr>
              <w:t>Visi reģioni ir pieņēmuši un izmanto EVK</w:t>
            </w:r>
          </w:p>
        </w:tc>
      </w:tr>
      <w:tr w:rsidR="00C972CB" w14:paraId="1E92B9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94ED0" w14:textId="77777777" w:rsidR="00C972CB" w:rsidRDefault="002457F6">
            <w:pPr>
              <w:pStyle w:val="P68B1DB1-Normal12"/>
              <w:jc w:val="center"/>
              <w:rPr>
                <w:noProof/>
              </w:rPr>
            </w:pPr>
            <w:r>
              <w:rPr>
                <w:noProof/>
              </w:rPr>
              <w:t>M6C2–16</w:t>
            </w:r>
          </w:p>
        </w:tc>
        <w:tc>
          <w:tcPr>
            <w:tcW w:w="3090" w:type="dxa"/>
            <w:tcBorders>
              <w:top w:val="nil"/>
              <w:left w:val="nil"/>
              <w:bottom w:val="single" w:sz="4" w:space="0" w:color="auto"/>
              <w:right w:val="single" w:sz="4" w:space="0" w:color="auto"/>
            </w:tcBorders>
            <w:shd w:val="clear" w:color="auto" w:fill="C6EFCE"/>
            <w:noWrap/>
            <w:vAlign w:val="center"/>
          </w:tcPr>
          <w:p w14:paraId="24716BF6" w14:textId="77777777" w:rsidR="00C972CB" w:rsidRDefault="002457F6">
            <w:pPr>
              <w:pStyle w:val="P68B1DB1-Normal48"/>
              <w:jc w:val="center"/>
              <w:rPr>
                <w:noProof/>
              </w:rPr>
            </w:pPr>
            <w:r>
              <w:rPr>
                <w:noProof/>
              </w:rPr>
              <w:t>Ieguldījums 2.2.: Veselības aprū</w:t>
            </w:r>
            <w:r>
              <w:rPr>
                <w:noProof/>
              </w:rPr>
              <w:t>pes sistēmas speciālistu tehnisko, profesionālo, digitālo un vadības prasmju attīstīšana</w:t>
            </w:r>
          </w:p>
        </w:tc>
        <w:tc>
          <w:tcPr>
            <w:tcW w:w="1498" w:type="dxa"/>
            <w:tcBorders>
              <w:top w:val="nil"/>
              <w:left w:val="nil"/>
              <w:bottom w:val="single" w:sz="4" w:space="0" w:color="auto"/>
              <w:right w:val="single" w:sz="4" w:space="0" w:color="auto"/>
            </w:tcBorders>
            <w:shd w:val="clear" w:color="auto" w:fill="C6EFCE"/>
            <w:noWrap/>
            <w:vAlign w:val="center"/>
          </w:tcPr>
          <w:p w14:paraId="2E479383" w14:textId="77777777" w:rsidR="00C972CB" w:rsidRDefault="002457F6">
            <w:pPr>
              <w:pStyle w:val="P68B1DB1-Normal48"/>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0AF2C596" w14:textId="77777777" w:rsidR="00C972CB" w:rsidRDefault="002457F6">
            <w:pPr>
              <w:pStyle w:val="P68B1DB1-Normal48"/>
              <w:jc w:val="center"/>
              <w:rPr>
                <w:noProof/>
              </w:rPr>
            </w:pPr>
            <w:r>
              <w:rPr>
                <w:noProof/>
              </w:rPr>
              <w:t>Valsts veselības dienesta darbiniekiem nodrošinātā apmācība par vadības un digitālajām prasmēm</w:t>
            </w:r>
          </w:p>
        </w:tc>
      </w:tr>
      <w:tr w:rsidR="00C972CB" w14:paraId="34BBF3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E04B55" w14:textId="77777777" w:rsidR="00C972CB" w:rsidRDefault="002457F6">
            <w:pPr>
              <w:pStyle w:val="P68B1DB1-Normal48"/>
              <w:jc w:val="center"/>
              <w:rPr>
                <w:noProof/>
              </w:rPr>
            </w:pPr>
            <w:r>
              <w:rPr>
                <w:noProof/>
              </w:rPr>
              <w:t>M6C2–17</w:t>
            </w:r>
          </w:p>
        </w:tc>
        <w:tc>
          <w:tcPr>
            <w:tcW w:w="3090" w:type="dxa"/>
            <w:tcBorders>
              <w:top w:val="nil"/>
              <w:left w:val="nil"/>
              <w:bottom w:val="single" w:sz="4" w:space="0" w:color="auto"/>
              <w:right w:val="single" w:sz="4" w:space="0" w:color="auto"/>
            </w:tcBorders>
            <w:shd w:val="clear" w:color="auto" w:fill="C6EFCE"/>
            <w:noWrap/>
            <w:vAlign w:val="center"/>
          </w:tcPr>
          <w:p w14:paraId="20B6F9B0" w14:textId="77777777" w:rsidR="00C972CB" w:rsidRDefault="002457F6">
            <w:pPr>
              <w:pStyle w:val="P68B1DB1-Normal48"/>
              <w:jc w:val="center"/>
              <w:rPr>
                <w:noProof/>
              </w:rPr>
            </w:pPr>
            <w:r>
              <w:rPr>
                <w:noProof/>
              </w:rPr>
              <w:t xml:space="preserve">Ieguldījums 2.2.: Veselības aprūpes sistēmas speciālistu </w:t>
            </w:r>
            <w:r>
              <w:rPr>
                <w:noProof/>
              </w:rPr>
              <w:t>tehnisko, profesionālo, digitālo un vadības prasmju attīstīšana</w:t>
            </w:r>
          </w:p>
        </w:tc>
        <w:tc>
          <w:tcPr>
            <w:tcW w:w="1498" w:type="dxa"/>
            <w:tcBorders>
              <w:top w:val="nil"/>
              <w:left w:val="nil"/>
              <w:bottom w:val="single" w:sz="4" w:space="0" w:color="auto"/>
              <w:right w:val="single" w:sz="4" w:space="0" w:color="auto"/>
            </w:tcBorders>
            <w:shd w:val="clear" w:color="auto" w:fill="C6EFCE"/>
            <w:noWrap/>
            <w:vAlign w:val="center"/>
          </w:tcPr>
          <w:p w14:paraId="26958784" w14:textId="77777777" w:rsidR="00C972CB" w:rsidRDefault="002457F6">
            <w:pPr>
              <w:pStyle w:val="P68B1DB1-Normal48"/>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517C9DBB" w14:textId="77777777" w:rsidR="00C972CB" w:rsidRDefault="002457F6">
            <w:pPr>
              <w:pStyle w:val="P68B1DB1-Normal48"/>
              <w:jc w:val="center"/>
              <w:rPr>
                <w:noProof/>
              </w:rPr>
            </w:pPr>
            <w:r>
              <w:rPr>
                <w:noProof/>
              </w:rPr>
              <w:t>Finansēto medicīnisko pakalpojumu līgumu skaits — speciālistu apmācības līgumi</w:t>
            </w:r>
          </w:p>
        </w:tc>
      </w:tr>
      <w:tr w:rsidR="00C972CB" w14:paraId="5390F9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75F33D" w14:textId="77777777" w:rsidR="00C972CB" w:rsidRDefault="002457F6">
            <w:pPr>
              <w:pStyle w:val="P68B1DB1-Normal12"/>
              <w:jc w:val="center"/>
              <w:rPr>
                <w:noProof/>
              </w:rPr>
            </w:pPr>
            <w:r>
              <w:rPr>
                <w:noProof/>
              </w:rPr>
              <w:t>M7–37</w:t>
            </w:r>
          </w:p>
        </w:tc>
        <w:tc>
          <w:tcPr>
            <w:tcW w:w="3090" w:type="dxa"/>
            <w:tcBorders>
              <w:top w:val="nil"/>
              <w:left w:val="nil"/>
              <w:bottom w:val="single" w:sz="4" w:space="0" w:color="auto"/>
              <w:right w:val="single" w:sz="4" w:space="0" w:color="auto"/>
            </w:tcBorders>
            <w:shd w:val="clear" w:color="auto" w:fill="C6EFCE"/>
            <w:noWrap/>
            <w:vAlign w:val="center"/>
          </w:tcPr>
          <w:p w14:paraId="2D013ACF" w14:textId="77777777" w:rsidR="00C972CB" w:rsidRDefault="002457F6">
            <w:pPr>
              <w:pStyle w:val="P68B1DB1-Normal12"/>
              <w:jc w:val="center"/>
              <w:rPr>
                <w:noProof/>
              </w:rPr>
            </w:pPr>
            <w:r>
              <w:rPr>
                <w:noProof/>
              </w:rPr>
              <w:t>Ieguldījums 13: Adrijas jūras līnija, 1. posms (Sulmonas kompresora stacija un Sestino-Minerbio gāze</w:t>
            </w:r>
            <w:r>
              <w:rPr>
                <w:noProof/>
              </w:rPr>
              <w:t>s cauruļvads)</w:t>
            </w:r>
          </w:p>
        </w:tc>
        <w:tc>
          <w:tcPr>
            <w:tcW w:w="1498" w:type="dxa"/>
            <w:tcBorders>
              <w:top w:val="nil"/>
              <w:left w:val="nil"/>
              <w:bottom w:val="single" w:sz="4" w:space="0" w:color="auto"/>
              <w:right w:val="single" w:sz="4" w:space="0" w:color="auto"/>
            </w:tcBorders>
            <w:shd w:val="clear" w:color="auto" w:fill="C6EFCE"/>
            <w:noWrap/>
            <w:vAlign w:val="center"/>
          </w:tcPr>
          <w:p w14:paraId="2339F443" w14:textId="77777777" w:rsidR="00C972CB" w:rsidRDefault="002457F6">
            <w:pPr>
              <w:pStyle w:val="P68B1DB1-Normal12"/>
              <w:jc w:val="center"/>
              <w:rPr>
                <w:noProof/>
              </w:rPr>
            </w:pPr>
            <w:r>
              <w:rPr>
                <w:noProof/>
              </w:rPr>
              <w:t>Starpposma mērķis</w:t>
            </w:r>
          </w:p>
        </w:tc>
        <w:tc>
          <w:tcPr>
            <w:tcW w:w="4091" w:type="dxa"/>
            <w:tcBorders>
              <w:top w:val="nil"/>
              <w:left w:val="nil"/>
              <w:bottom w:val="single" w:sz="4" w:space="0" w:color="auto"/>
              <w:right w:val="single" w:sz="4" w:space="0" w:color="auto"/>
            </w:tcBorders>
            <w:shd w:val="clear" w:color="auto" w:fill="C6EFCE"/>
            <w:noWrap/>
            <w:vAlign w:val="center"/>
          </w:tcPr>
          <w:p w14:paraId="015C78BF" w14:textId="77777777" w:rsidR="00C972CB" w:rsidRDefault="002457F6">
            <w:pPr>
              <w:pStyle w:val="P68B1DB1-Normal12"/>
              <w:jc w:val="center"/>
              <w:rPr>
                <w:noProof/>
              </w:rPr>
            </w:pPr>
            <w:r>
              <w:rPr>
                <w:noProof/>
              </w:rPr>
              <w:t>Darbu pabeigšana</w:t>
            </w:r>
          </w:p>
        </w:tc>
      </w:tr>
      <w:tr w:rsidR="00C972CB" w14:paraId="40976D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AE3983" w14:textId="77777777" w:rsidR="00C972CB" w:rsidRDefault="002457F6">
            <w:pPr>
              <w:pStyle w:val="P68B1DB1-Normal12"/>
              <w:jc w:val="center"/>
              <w:rPr>
                <w:noProof/>
              </w:rPr>
            </w:pPr>
            <w:r>
              <w:rPr>
                <w:noProof/>
              </w:rPr>
              <w:t>M7–39</w:t>
            </w:r>
          </w:p>
        </w:tc>
        <w:tc>
          <w:tcPr>
            <w:tcW w:w="3090" w:type="dxa"/>
            <w:tcBorders>
              <w:top w:val="nil"/>
              <w:left w:val="nil"/>
              <w:bottom w:val="single" w:sz="4" w:space="0" w:color="auto"/>
              <w:right w:val="single" w:sz="4" w:space="0" w:color="auto"/>
            </w:tcBorders>
            <w:shd w:val="clear" w:color="auto" w:fill="C6EFCE"/>
            <w:noWrap/>
            <w:vAlign w:val="center"/>
          </w:tcPr>
          <w:p w14:paraId="65E15631" w14:textId="77777777" w:rsidR="00C972CB" w:rsidRDefault="002457F6">
            <w:pPr>
              <w:pStyle w:val="P68B1DB1-Normal12"/>
              <w:jc w:val="center"/>
              <w:rPr>
                <w:noProof/>
              </w:rPr>
            </w:pPr>
            <w:r>
              <w:rPr>
                <w:noProof/>
              </w:rPr>
              <w:t>Ieguldījums 14: Gāzes pārrobežu eksporta infrastruktūra</w:t>
            </w:r>
          </w:p>
        </w:tc>
        <w:tc>
          <w:tcPr>
            <w:tcW w:w="1498" w:type="dxa"/>
            <w:tcBorders>
              <w:top w:val="nil"/>
              <w:left w:val="nil"/>
              <w:bottom w:val="single" w:sz="4" w:space="0" w:color="auto"/>
              <w:right w:val="single" w:sz="4" w:space="0" w:color="auto"/>
            </w:tcBorders>
            <w:shd w:val="clear" w:color="auto" w:fill="C6EFCE"/>
            <w:noWrap/>
            <w:vAlign w:val="center"/>
          </w:tcPr>
          <w:p w14:paraId="10B47C88" w14:textId="77777777" w:rsidR="00C972CB" w:rsidRDefault="002457F6">
            <w:pPr>
              <w:pStyle w:val="P68B1DB1-Normal12"/>
              <w:jc w:val="center"/>
              <w:rPr>
                <w:noProof/>
              </w:rPr>
            </w:pPr>
            <w:r>
              <w:rPr>
                <w:noProof/>
              </w:rPr>
              <w:t>Starpposma mērķis</w:t>
            </w:r>
          </w:p>
        </w:tc>
        <w:tc>
          <w:tcPr>
            <w:tcW w:w="4091" w:type="dxa"/>
            <w:tcBorders>
              <w:top w:val="nil"/>
              <w:left w:val="nil"/>
              <w:bottom w:val="single" w:sz="4" w:space="0" w:color="auto"/>
              <w:right w:val="single" w:sz="4" w:space="0" w:color="auto"/>
            </w:tcBorders>
            <w:shd w:val="clear" w:color="auto" w:fill="C6EFCE"/>
            <w:noWrap/>
            <w:vAlign w:val="center"/>
          </w:tcPr>
          <w:p w14:paraId="771A2201" w14:textId="77777777" w:rsidR="00C972CB" w:rsidRDefault="002457F6">
            <w:pPr>
              <w:pStyle w:val="P68B1DB1-Normal12"/>
              <w:jc w:val="center"/>
              <w:rPr>
                <w:noProof/>
              </w:rPr>
            </w:pPr>
            <w:r>
              <w:rPr>
                <w:noProof/>
              </w:rPr>
              <w:t>Darbu pabeigšana</w:t>
            </w:r>
          </w:p>
        </w:tc>
      </w:tr>
      <w:tr w:rsidR="00C972CB" w14:paraId="725CD7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5D6CC2" w14:textId="77777777" w:rsidR="00C972CB" w:rsidRDefault="002457F6">
            <w:pPr>
              <w:pStyle w:val="P68B1DB1-Normal12"/>
              <w:jc w:val="center"/>
              <w:rPr>
                <w:noProof/>
              </w:rPr>
            </w:pPr>
            <w:r>
              <w:rPr>
                <w:noProof/>
              </w:rPr>
              <w:t>M7–41</w:t>
            </w:r>
          </w:p>
        </w:tc>
        <w:tc>
          <w:tcPr>
            <w:tcW w:w="3090" w:type="dxa"/>
            <w:tcBorders>
              <w:top w:val="nil"/>
              <w:left w:val="nil"/>
              <w:bottom w:val="single" w:sz="4" w:space="0" w:color="auto"/>
              <w:right w:val="single" w:sz="4" w:space="0" w:color="auto"/>
            </w:tcBorders>
            <w:shd w:val="clear" w:color="auto" w:fill="C6EFCE"/>
            <w:noWrap/>
            <w:vAlign w:val="center"/>
          </w:tcPr>
          <w:p w14:paraId="772202EC" w14:textId="77777777" w:rsidR="00C972CB" w:rsidRDefault="002457F6">
            <w:pPr>
              <w:pStyle w:val="P68B1DB1-Normal12"/>
              <w:jc w:val="center"/>
              <w:rPr>
                <w:noProof/>
              </w:rPr>
            </w:pPr>
            <w:r>
              <w:rPr>
                <w:noProof/>
              </w:rPr>
              <w:t>Ieguldījums 15: Transizione 5.0 zaļa</w:t>
            </w:r>
          </w:p>
        </w:tc>
        <w:tc>
          <w:tcPr>
            <w:tcW w:w="1498" w:type="dxa"/>
            <w:tcBorders>
              <w:top w:val="nil"/>
              <w:left w:val="nil"/>
              <w:bottom w:val="single" w:sz="4" w:space="0" w:color="auto"/>
              <w:right w:val="single" w:sz="4" w:space="0" w:color="auto"/>
            </w:tcBorders>
            <w:shd w:val="clear" w:color="auto" w:fill="C6EFCE"/>
            <w:noWrap/>
            <w:vAlign w:val="center"/>
          </w:tcPr>
          <w:p w14:paraId="6ED71DA1"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D989A1B" w14:textId="77777777" w:rsidR="00C972CB" w:rsidRDefault="002457F6">
            <w:pPr>
              <w:pStyle w:val="P68B1DB1-Normal12"/>
              <w:jc w:val="center"/>
              <w:rPr>
                <w:noProof/>
              </w:rPr>
            </w:pPr>
            <w:r>
              <w:rPr>
                <w:noProof/>
              </w:rPr>
              <w:t>ANM resursu piešķiršana</w:t>
            </w:r>
          </w:p>
        </w:tc>
      </w:tr>
      <w:tr w:rsidR="00C972CB" w14:paraId="3AF997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D54C75" w14:textId="77777777" w:rsidR="00C972CB" w:rsidRDefault="002457F6">
            <w:pPr>
              <w:pStyle w:val="P68B1DB1-Normal12"/>
              <w:jc w:val="center"/>
              <w:rPr>
                <w:noProof/>
              </w:rPr>
            </w:pPr>
            <w:r>
              <w:rPr>
                <w:noProof/>
              </w:rPr>
              <w:t>M7–42</w:t>
            </w:r>
          </w:p>
        </w:tc>
        <w:tc>
          <w:tcPr>
            <w:tcW w:w="3090" w:type="dxa"/>
            <w:tcBorders>
              <w:top w:val="nil"/>
              <w:left w:val="nil"/>
              <w:bottom w:val="single" w:sz="4" w:space="0" w:color="auto"/>
              <w:right w:val="single" w:sz="4" w:space="0" w:color="auto"/>
            </w:tcBorders>
            <w:shd w:val="clear" w:color="auto" w:fill="C6EFCE"/>
            <w:noWrap/>
            <w:vAlign w:val="center"/>
          </w:tcPr>
          <w:p w14:paraId="07E313ED" w14:textId="77777777" w:rsidR="00C972CB" w:rsidRDefault="002457F6">
            <w:pPr>
              <w:pStyle w:val="P68B1DB1-Normal12"/>
              <w:jc w:val="center"/>
              <w:rPr>
                <w:noProof/>
              </w:rPr>
            </w:pPr>
            <w:r>
              <w:rPr>
                <w:noProof/>
              </w:rPr>
              <w:t xml:space="preserve">Ieguldījums 15: Transizione </w:t>
            </w:r>
            <w:r>
              <w:rPr>
                <w:noProof/>
              </w:rPr>
              <w:t>5.0 zaļa</w:t>
            </w:r>
          </w:p>
        </w:tc>
        <w:tc>
          <w:tcPr>
            <w:tcW w:w="1498" w:type="dxa"/>
            <w:tcBorders>
              <w:top w:val="nil"/>
              <w:left w:val="nil"/>
              <w:bottom w:val="single" w:sz="4" w:space="0" w:color="auto"/>
              <w:right w:val="single" w:sz="4" w:space="0" w:color="auto"/>
            </w:tcBorders>
            <w:shd w:val="clear" w:color="auto" w:fill="C6EFCE"/>
            <w:noWrap/>
            <w:vAlign w:val="center"/>
          </w:tcPr>
          <w:p w14:paraId="2D802279"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27B7385A" w14:textId="77777777" w:rsidR="00C972CB" w:rsidRDefault="002457F6">
            <w:pPr>
              <w:pStyle w:val="P68B1DB1-Normal12"/>
              <w:jc w:val="center"/>
              <w:rPr>
                <w:noProof/>
              </w:rPr>
            </w:pPr>
            <w:r>
              <w:rPr>
                <w:noProof/>
              </w:rPr>
              <w:t>0,4 Mtoe enerģijas galapatēriņa ietaupījums 2024.–2026. gada periodā</w:t>
            </w:r>
          </w:p>
        </w:tc>
      </w:tr>
      <w:tr w:rsidR="00C972CB" w14:paraId="32912C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39F705" w14:textId="77777777" w:rsidR="00C972CB" w:rsidRDefault="002457F6">
            <w:pPr>
              <w:pStyle w:val="P68B1DB1-Normal12"/>
              <w:jc w:val="center"/>
              <w:rPr>
                <w:noProof/>
              </w:rPr>
            </w:pPr>
            <w:r>
              <w:rPr>
                <w:noProof/>
              </w:rPr>
              <w:t>M7–45</w:t>
            </w:r>
          </w:p>
        </w:tc>
        <w:tc>
          <w:tcPr>
            <w:tcW w:w="3090" w:type="dxa"/>
            <w:tcBorders>
              <w:top w:val="nil"/>
              <w:left w:val="nil"/>
              <w:bottom w:val="single" w:sz="4" w:space="0" w:color="auto"/>
              <w:right w:val="single" w:sz="4" w:space="0" w:color="auto"/>
            </w:tcBorders>
            <w:shd w:val="clear" w:color="auto" w:fill="C6EFCE"/>
            <w:noWrap/>
            <w:vAlign w:val="center"/>
          </w:tcPr>
          <w:p w14:paraId="0EC628E7" w14:textId="77777777" w:rsidR="00C972CB" w:rsidRDefault="002457F6">
            <w:pPr>
              <w:pStyle w:val="P68B1DB1-Normal12"/>
              <w:jc w:val="center"/>
              <w:rPr>
                <w:noProof/>
              </w:rPr>
            </w:pPr>
            <w:r>
              <w:rPr>
                <w:noProof/>
              </w:rPr>
              <w:t>Ieguldījums 16: Atbalsts MVU pašražošanai no atjaunojamiem enerģijas avotiem</w:t>
            </w:r>
          </w:p>
        </w:tc>
        <w:tc>
          <w:tcPr>
            <w:tcW w:w="1498" w:type="dxa"/>
            <w:tcBorders>
              <w:top w:val="nil"/>
              <w:left w:val="nil"/>
              <w:bottom w:val="single" w:sz="4" w:space="0" w:color="auto"/>
              <w:right w:val="single" w:sz="4" w:space="0" w:color="auto"/>
            </w:tcBorders>
            <w:shd w:val="clear" w:color="auto" w:fill="C6EFCE"/>
            <w:noWrap/>
            <w:vAlign w:val="center"/>
          </w:tcPr>
          <w:p w14:paraId="631BCE3A"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3CC37CA2" w14:textId="77777777" w:rsidR="00C972CB" w:rsidRDefault="002457F6">
            <w:pPr>
              <w:pStyle w:val="P68B1DB1-Normal12"/>
              <w:jc w:val="center"/>
              <w:rPr>
                <w:noProof/>
              </w:rPr>
            </w:pPr>
            <w:r>
              <w:rPr>
                <w:noProof/>
              </w:rPr>
              <w:t>Juridiski nolīgumi ar galasaņēmējiem</w:t>
            </w:r>
          </w:p>
        </w:tc>
      </w:tr>
      <w:tr w:rsidR="00C972CB" w14:paraId="42AF88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3B45D" w14:textId="77777777" w:rsidR="00C972CB" w:rsidRDefault="002457F6">
            <w:pPr>
              <w:pStyle w:val="P68B1DB1-Normal12"/>
              <w:jc w:val="center"/>
              <w:rPr>
                <w:noProof/>
              </w:rPr>
            </w:pPr>
            <w:r>
              <w:rPr>
                <w:noProof/>
              </w:rPr>
              <w:t>M7–49</w:t>
            </w:r>
          </w:p>
        </w:tc>
        <w:tc>
          <w:tcPr>
            <w:tcW w:w="3090" w:type="dxa"/>
            <w:tcBorders>
              <w:top w:val="nil"/>
              <w:left w:val="nil"/>
              <w:bottom w:val="single" w:sz="4" w:space="0" w:color="auto"/>
              <w:right w:val="single" w:sz="4" w:space="0" w:color="auto"/>
            </w:tcBorders>
            <w:shd w:val="clear" w:color="auto" w:fill="C6EFCE"/>
            <w:noWrap/>
            <w:vAlign w:val="center"/>
          </w:tcPr>
          <w:p w14:paraId="3A0B132D" w14:textId="77777777" w:rsidR="00C972CB" w:rsidRDefault="002457F6">
            <w:pPr>
              <w:pStyle w:val="P68B1DB1-Normal12"/>
              <w:jc w:val="center"/>
              <w:rPr>
                <w:noProof/>
              </w:rPr>
            </w:pPr>
            <w:r>
              <w:rPr>
                <w:noProof/>
              </w:rPr>
              <w:t xml:space="preserve">Ieguldījums 17: Finanšu instruments </w:t>
            </w:r>
            <w:r>
              <w:rPr>
                <w:noProof/>
              </w:rPr>
              <w:t>publisko un sociālo mājokļu energorenovācijai</w:t>
            </w:r>
          </w:p>
        </w:tc>
        <w:tc>
          <w:tcPr>
            <w:tcW w:w="1498" w:type="dxa"/>
            <w:tcBorders>
              <w:top w:val="nil"/>
              <w:left w:val="nil"/>
              <w:bottom w:val="single" w:sz="4" w:space="0" w:color="auto"/>
              <w:right w:val="single" w:sz="4" w:space="0" w:color="auto"/>
            </w:tcBorders>
            <w:shd w:val="clear" w:color="auto" w:fill="C6EFCE"/>
            <w:noWrap/>
            <w:vAlign w:val="center"/>
          </w:tcPr>
          <w:p w14:paraId="55EB7273"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44927C18" w14:textId="77777777" w:rsidR="00C972CB" w:rsidRDefault="002457F6">
            <w:pPr>
              <w:pStyle w:val="P68B1DB1-Normal12"/>
              <w:jc w:val="center"/>
              <w:rPr>
                <w:noProof/>
              </w:rPr>
            </w:pPr>
            <w:r>
              <w:rPr>
                <w:noProof/>
              </w:rPr>
              <w:t>Ar galīgajiem saņēmējiem parakstītie juridiskie nolīgumi</w:t>
            </w:r>
          </w:p>
        </w:tc>
      </w:tr>
      <w:tr w:rsidR="00C972CB" w14:paraId="021897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06F511" w14:textId="77777777" w:rsidR="00C972CB" w:rsidRDefault="002457F6">
            <w:pPr>
              <w:pStyle w:val="P68B1DB1-Normal12"/>
              <w:jc w:val="center"/>
              <w:rPr>
                <w:noProof/>
              </w:rPr>
            </w:pPr>
            <w:r>
              <w:rPr>
                <w:noProof/>
              </w:rPr>
              <w:t>M1C3–29</w:t>
            </w:r>
          </w:p>
        </w:tc>
        <w:tc>
          <w:tcPr>
            <w:tcW w:w="3090" w:type="dxa"/>
            <w:tcBorders>
              <w:top w:val="nil"/>
              <w:left w:val="nil"/>
              <w:bottom w:val="single" w:sz="4" w:space="0" w:color="auto"/>
              <w:right w:val="single" w:sz="4" w:space="0" w:color="auto"/>
            </w:tcBorders>
            <w:shd w:val="clear" w:color="auto" w:fill="C6EFCE"/>
            <w:noWrap/>
            <w:vAlign w:val="center"/>
          </w:tcPr>
          <w:p w14:paraId="1CF47029" w14:textId="77777777" w:rsidR="00C972CB" w:rsidRDefault="002457F6">
            <w:pPr>
              <w:pStyle w:val="P68B1DB1-Normal12"/>
              <w:jc w:val="center"/>
              <w:rPr>
                <w:noProof/>
              </w:rPr>
            </w:pPr>
            <w:r>
              <w:rPr>
                <w:noProof/>
              </w:rPr>
              <w:t>Ieguldījums 4.2.:  Fondi tūrisma uzņēmumu konkurētspējai</w:t>
            </w:r>
          </w:p>
        </w:tc>
        <w:tc>
          <w:tcPr>
            <w:tcW w:w="1498" w:type="dxa"/>
            <w:tcBorders>
              <w:top w:val="nil"/>
              <w:left w:val="nil"/>
              <w:bottom w:val="single" w:sz="4" w:space="0" w:color="auto"/>
              <w:right w:val="single" w:sz="4" w:space="0" w:color="auto"/>
            </w:tcBorders>
            <w:shd w:val="clear" w:color="auto" w:fill="C6EFCE"/>
            <w:noWrap/>
            <w:vAlign w:val="center"/>
          </w:tcPr>
          <w:p w14:paraId="687F8658" w14:textId="77777777" w:rsidR="00C972CB" w:rsidRDefault="002457F6">
            <w:pPr>
              <w:pStyle w:val="P68B1DB1-Normal12"/>
              <w:jc w:val="center"/>
              <w:rPr>
                <w:noProof/>
              </w:rPr>
            </w:pPr>
            <w:r>
              <w:rPr>
                <w:noProof/>
              </w:rPr>
              <w:t>Mērķa</w:t>
            </w:r>
          </w:p>
        </w:tc>
        <w:tc>
          <w:tcPr>
            <w:tcW w:w="4091" w:type="dxa"/>
            <w:tcBorders>
              <w:top w:val="nil"/>
              <w:left w:val="nil"/>
              <w:bottom w:val="single" w:sz="4" w:space="0" w:color="auto"/>
              <w:right w:val="single" w:sz="4" w:space="0" w:color="auto"/>
            </w:tcBorders>
            <w:shd w:val="clear" w:color="auto" w:fill="C6EFCE"/>
            <w:noWrap/>
            <w:vAlign w:val="center"/>
          </w:tcPr>
          <w:p w14:paraId="7F51D9AC" w14:textId="77777777" w:rsidR="00C972CB" w:rsidRDefault="002457F6">
            <w:pPr>
              <w:pStyle w:val="P68B1DB1-Normal12"/>
              <w:jc w:val="center"/>
              <w:rPr>
                <w:noProof/>
              </w:rPr>
            </w:pPr>
            <w:r>
              <w:rPr>
                <w:noProof/>
              </w:rPr>
              <w:t xml:space="preserve">No Eiropas Investīciju bankas tematiskajiem fondiem atbalstāmo tūrisma projektu skaits </w:t>
            </w:r>
          </w:p>
        </w:tc>
      </w:tr>
      <w:tr w:rsidR="00C972CB" w14:paraId="013EAB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75A822" w14:textId="77777777" w:rsidR="00C972CB" w:rsidRDefault="002457F6">
            <w:pPr>
              <w:pStyle w:val="P68B1DB1-Normal12"/>
              <w:jc w:val="center"/>
              <w:rPr>
                <w:noProof/>
              </w:rPr>
            </w:pPr>
            <w:r>
              <w:rPr>
                <w:noProof/>
              </w:rPr>
              <w:t xml:space="preserve">M3C2–9 </w:t>
            </w:r>
          </w:p>
        </w:tc>
        <w:tc>
          <w:tcPr>
            <w:tcW w:w="3090" w:type="dxa"/>
            <w:tcBorders>
              <w:top w:val="nil"/>
              <w:left w:val="nil"/>
              <w:bottom w:val="single" w:sz="4" w:space="0" w:color="auto"/>
              <w:right w:val="single" w:sz="4" w:space="0" w:color="auto"/>
            </w:tcBorders>
            <w:shd w:val="clear" w:color="auto" w:fill="C6EFCE"/>
            <w:noWrap/>
            <w:vAlign w:val="center"/>
          </w:tcPr>
          <w:p w14:paraId="30BFE60A" w14:textId="77777777" w:rsidR="00C972CB" w:rsidRDefault="002457F6">
            <w:pPr>
              <w:pStyle w:val="P68B1DB1-Normal12"/>
              <w:jc w:val="center"/>
              <w:rPr>
                <w:noProof/>
              </w:rPr>
            </w:pPr>
            <w:r>
              <w:rPr>
                <w:noProof/>
              </w:rPr>
              <w:t xml:space="preserve">Ieguldījums 1.1: Zaļās ostas: atjaunīgās enerģijas un energoefektivitātes intervences ostās </w:t>
            </w:r>
          </w:p>
        </w:tc>
        <w:tc>
          <w:tcPr>
            <w:tcW w:w="1498" w:type="dxa"/>
            <w:tcBorders>
              <w:top w:val="nil"/>
              <w:left w:val="nil"/>
              <w:bottom w:val="single" w:sz="4" w:space="0" w:color="auto"/>
              <w:right w:val="single" w:sz="4" w:space="0" w:color="auto"/>
            </w:tcBorders>
            <w:shd w:val="clear" w:color="auto" w:fill="C6EFCE"/>
            <w:noWrap/>
            <w:vAlign w:val="center"/>
          </w:tcPr>
          <w:p w14:paraId="4CE8D541" w14:textId="77777777" w:rsidR="00C972CB" w:rsidRDefault="002457F6">
            <w:pPr>
              <w:pStyle w:val="P68B1DB1-Normal12"/>
              <w:jc w:val="center"/>
              <w:rPr>
                <w:noProof/>
              </w:rPr>
            </w:pPr>
            <w:r>
              <w:rPr>
                <w:noProof/>
              </w:rPr>
              <w:t xml:space="preserve">Mērķa </w:t>
            </w:r>
          </w:p>
        </w:tc>
        <w:tc>
          <w:tcPr>
            <w:tcW w:w="4091" w:type="dxa"/>
            <w:tcBorders>
              <w:top w:val="nil"/>
              <w:left w:val="nil"/>
              <w:bottom w:val="single" w:sz="4" w:space="0" w:color="auto"/>
              <w:right w:val="single" w:sz="4" w:space="0" w:color="auto"/>
            </w:tcBorders>
            <w:shd w:val="clear" w:color="auto" w:fill="C6EFCE"/>
            <w:noWrap/>
            <w:vAlign w:val="center"/>
          </w:tcPr>
          <w:p w14:paraId="1B4A0215" w14:textId="77777777" w:rsidR="00C972CB" w:rsidRDefault="002457F6">
            <w:pPr>
              <w:pStyle w:val="P68B1DB1-Normal12"/>
              <w:jc w:val="center"/>
              <w:rPr>
                <w:noProof/>
              </w:rPr>
            </w:pPr>
            <w:r>
              <w:rPr>
                <w:noProof/>
              </w:rPr>
              <w:t>Zaļās ostas: darbu pabeigšana</w:t>
            </w:r>
          </w:p>
        </w:tc>
      </w:tr>
      <w:tr w:rsidR="00C972CB" w14:paraId="7FFB273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38FAF7" w14:textId="77777777" w:rsidR="00C972CB" w:rsidRDefault="00C972CB">
            <w:pPr>
              <w:jc w:val="center"/>
              <w:rPr>
                <w:noProof/>
                <w:color w:val="006100"/>
                <w:sz w:val="20"/>
              </w:rPr>
            </w:pPr>
          </w:p>
        </w:tc>
        <w:tc>
          <w:tcPr>
            <w:tcW w:w="3090" w:type="dxa"/>
            <w:tcBorders>
              <w:top w:val="single" w:sz="4" w:space="0" w:color="auto"/>
              <w:left w:val="nil"/>
              <w:bottom w:val="single" w:sz="4" w:space="0" w:color="auto"/>
              <w:right w:val="single" w:sz="4" w:space="0" w:color="auto"/>
            </w:tcBorders>
            <w:shd w:val="clear" w:color="auto" w:fill="C6EFCE"/>
            <w:noWrap/>
            <w:vAlign w:val="bottom"/>
          </w:tcPr>
          <w:p w14:paraId="1100C2FB" w14:textId="77777777" w:rsidR="00C972CB" w:rsidRDefault="00C972CB">
            <w:pPr>
              <w:rPr>
                <w:noProof/>
                <w:color w:val="006100"/>
                <w:sz w:val="20"/>
              </w:rPr>
            </w:pPr>
          </w:p>
        </w:tc>
        <w:tc>
          <w:tcPr>
            <w:tcW w:w="1498" w:type="dxa"/>
            <w:tcBorders>
              <w:top w:val="single" w:sz="4" w:space="0" w:color="auto"/>
              <w:left w:val="nil"/>
              <w:bottom w:val="single" w:sz="4" w:space="0" w:color="auto"/>
              <w:right w:val="single" w:sz="4" w:space="0" w:color="auto"/>
            </w:tcBorders>
            <w:shd w:val="clear" w:color="auto" w:fill="C6EFCE"/>
            <w:noWrap/>
            <w:vAlign w:val="bottom"/>
          </w:tcPr>
          <w:p w14:paraId="6544CFAD" w14:textId="77777777" w:rsidR="00C972CB" w:rsidRDefault="002457F6">
            <w:pPr>
              <w:pStyle w:val="P68B1DB1-Normal12"/>
              <w:rPr>
                <w:noProof/>
              </w:rPr>
            </w:pPr>
            <w:r>
              <w:rPr>
                <w:noProof/>
              </w:rPr>
              <w:t>Maksājuma summa</w:t>
            </w:r>
          </w:p>
        </w:tc>
        <w:tc>
          <w:tcPr>
            <w:tcW w:w="4091" w:type="dxa"/>
            <w:tcBorders>
              <w:top w:val="single" w:sz="4" w:space="0" w:color="auto"/>
              <w:left w:val="nil"/>
              <w:bottom w:val="single" w:sz="4" w:space="0" w:color="auto"/>
              <w:right w:val="single" w:sz="4" w:space="0" w:color="auto"/>
            </w:tcBorders>
            <w:shd w:val="clear" w:color="auto" w:fill="C6EFCE"/>
            <w:noWrap/>
            <w:vAlign w:val="bottom"/>
          </w:tcPr>
          <w:p w14:paraId="1BE01E67" w14:textId="3C36C142" w:rsidR="00C972CB" w:rsidRDefault="002457F6">
            <w:pPr>
              <w:pStyle w:val="P68B1DB1-Normal12"/>
              <w:rPr>
                <w:noProof/>
              </w:rPr>
            </w:pPr>
            <w:r>
              <w:rPr>
                <w:noProof/>
              </w:rPr>
              <w:t>19 919 595 964 EUR</w:t>
            </w:r>
          </w:p>
        </w:tc>
      </w:tr>
    </w:tbl>
    <w:p w14:paraId="4971E94A" w14:textId="77777777" w:rsidR="00C972CB" w:rsidRDefault="00C972CB">
      <w:pPr>
        <w:spacing w:before="120" w:after="120"/>
        <w:jc w:val="both"/>
        <w:rPr>
          <w:rFonts w:eastAsia="Calibri"/>
          <w:noProof/>
        </w:rPr>
      </w:pPr>
    </w:p>
    <w:p w14:paraId="51BB2FEF" w14:textId="02CDBE01" w:rsidR="00C972CB" w:rsidRDefault="00C972CB">
      <w:pPr>
        <w:spacing w:before="120" w:after="120"/>
        <w:jc w:val="both"/>
        <w:rPr>
          <w:rFonts w:eastAsia="Calibri"/>
          <w:noProof/>
        </w:rPr>
      </w:pPr>
    </w:p>
    <w:p w14:paraId="0B4FF748" w14:textId="77777777" w:rsidR="00C972CB" w:rsidRDefault="002457F6">
      <w:pPr>
        <w:pStyle w:val="P68B1DB1-Normal42"/>
        <w:spacing w:after="200" w:line="276" w:lineRule="auto"/>
        <w:rPr>
          <w:noProof/>
        </w:rPr>
      </w:pPr>
      <w:r>
        <w:rPr>
          <w:noProof/>
        </w:rPr>
        <w:br w:type="page"/>
      </w:r>
    </w:p>
    <w:p w14:paraId="29076BA1" w14:textId="6327DCD6" w:rsidR="00C972CB" w:rsidRDefault="002457F6">
      <w:pPr>
        <w:pStyle w:val="P68B1DB1-Normal42"/>
        <w:spacing w:after="200" w:line="276" w:lineRule="auto"/>
        <w:rPr>
          <w:noProof/>
        </w:rPr>
      </w:pPr>
      <w:r>
        <w:rPr>
          <w:noProof/>
        </w:rPr>
        <w:t xml:space="preserve">3. IEDAĻA. PAPILDU PASĀKUMI </w:t>
      </w:r>
    </w:p>
    <w:p w14:paraId="05299F08" w14:textId="58149A5B" w:rsidR="00C972CB" w:rsidRDefault="002457F6">
      <w:pPr>
        <w:pStyle w:val="P68B1DB1-NumPar149"/>
        <w:numPr>
          <w:ilvl w:val="0"/>
          <w:numId w:val="140"/>
        </w:numPr>
        <w:rPr>
          <w:noProof/>
        </w:rPr>
      </w:pPr>
      <w:r>
        <w:rPr>
          <w:noProof/>
        </w:rPr>
        <w:t>Atveseļošanas un noturības plāna uzraudzības un īstenošanas kārtība</w:t>
      </w:r>
    </w:p>
    <w:p w14:paraId="7817B879" w14:textId="1B097E0C" w:rsidR="00C972CB" w:rsidRDefault="002457F6">
      <w:pPr>
        <w:pStyle w:val="P68B1DB1-Normal44"/>
        <w:spacing w:before="120" w:after="120"/>
        <w:jc w:val="both"/>
        <w:rPr>
          <w:noProof/>
        </w:rPr>
      </w:pPr>
      <w:r>
        <w:rPr>
          <w:noProof/>
        </w:rPr>
        <w:t>Itālijas atveseļošanas un noturības plāna uzraudzība un īstenošana notiek saskaņā ar šādu kārtību.</w:t>
      </w:r>
    </w:p>
    <w:p w14:paraId="3210515C" w14:textId="1AD07786" w:rsidR="00C972CB" w:rsidRDefault="002457F6">
      <w:pPr>
        <w:pStyle w:val="P68B1DB1-Normal44"/>
        <w:spacing w:before="120" w:after="120"/>
        <w:jc w:val="both"/>
        <w:rPr>
          <w:noProof/>
        </w:rPr>
      </w:pPr>
      <w:r>
        <w:rPr>
          <w:noProof/>
        </w:rPr>
        <w:t xml:space="preserve">Kā paredzēts 2021. gada 31. maija </w:t>
      </w:r>
      <w:r>
        <w:rPr>
          <w:noProof/>
        </w:rPr>
        <w:t>Dekrētlikumā Nr. 77, kas grozīts ar 2023. gada 24. februāra Dekrētlikumu Nr. 13, ir izveidotas vairākas koordinācijas struktūras plāna uzraudzībai un īstenošanai. Tie galvenokārt ir šādi: augsta līmeņa koordinācijas komiteja (“cabina di regia”), kas izveid</w:t>
      </w:r>
      <w:r>
        <w:rPr>
          <w:noProof/>
        </w:rPr>
        <w:t>ota Ministru padomes prezidentūras laikā un kuras galvenais uzdevums ir vadīt un koordinēt plāna īstenošanu; (II) vismaz uz plāna darbības laiku Ministru padomes prezidentūras laikā izveidota misijas struktūra, kas ir pilnvarota darboties kā centrālā koord</w:t>
      </w:r>
      <w:r>
        <w:rPr>
          <w:noProof/>
        </w:rPr>
        <w:t>inācijas struktūra plāna īstenošanai un uzraudzībai; ekonomikas un finanšu ministrijas tehniskā struktūra, kas veic plāna īstenošanas operatīvo uzraudzību, procedūru un izdevumu pareizības kontroli un ziņošanu, kā arī tehnisko un operatīvo atbalstu īstenoš</w:t>
      </w:r>
      <w:r>
        <w:rPr>
          <w:noProof/>
        </w:rPr>
        <w:t xml:space="preserve">anas posmam. Misiju struktūra Ministru padomes prezidentūras laikā darbojas kā vienots kontaktpunkts valstu līmenī Eiropas Komisijai. Ekonomikas un finanšu ministrija nodrošina plāna rezultātu novērtēšanu. Sociālie partneri un citas ieinteresētās personas </w:t>
      </w:r>
      <w:r>
        <w:rPr>
          <w:noProof/>
        </w:rPr>
        <w:t>piedalās īpašās “cabina di regia” sanāksmēs, lai nodrošinātu to iesaistīšanos plāna īstenošanā. Turklāt koordinācijas struktūras ir noteiktas katras centrālās administrācijas līmenī, kura ir atbildīga par plānā iekļautajiem pasākumiem un kuru uzdevums ir a</w:t>
      </w:r>
      <w:r>
        <w:rPr>
          <w:noProof/>
        </w:rPr>
        <w:t>ttiecīgo intervenču pārvaldība, uzraudzība, ziņošana un kontrole, tostarp attiecībā uz īstenošanas uzraudzību un progresu atskaites punktu un mērķrādītāju sasniegšanā. Visbeidzot, ir paredzēti izpildes mehānismi īstenošanas problēmu gadījumā, tostarp izman</w:t>
      </w:r>
      <w:r>
        <w:rPr>
          <w:noProof/>
        </w:rPr>
        <w:t>tojot aizstāšanas pilnvaras attiecībā uz administrācijām, kas atbild par plāna pasākumiem, lai garantētu savlaicīgu un efektīvu projektu īstenošanu, un ir ieviesti ex ante mehānismi konfliktu risināšanai.</w:t>
      </w:r>
    </w:p>
    <w:p w14:paraId="1F2C9135" w14:textId="77777777" w:rsidR="00C972CB" w:rsidRDefault="002457F6">
      <w:pPr>
        <w:pStyle w:val="P68B1DB1-Normal44"/>
        <w:spacing w:before="120" w:after="120"/>
        <w:jc w:val="both"/>
        <w:rPr>
          <w:noProof/>
        </w:rPr>
      </w:pPr>
      <w:r>
        <w:rPr>
          <w:noProof/>
        </w:rPr>
        <w:t>Lai stiprinātu uzraudzības un īstenošanas administr</w:t>
      </w:r>
      <w:r>
        <w:rPr>
          <w:noProof/>
        </w:rPr>
        <w:t>atīvās spējas, ir paredzēta pagaidu darbinieku pieņemšana darbā, tostarp attiecībā uz centrālajām administrācijām, kas atbild par plāna intervencēm, un Ekonomikas un finanšu ministriju (tostarp attiecībā uz centrālo koordinācijas struktūru un Valsts grāmat</w:t>
      </w:r>
      <w:r>
        <w:rPr>
          <w:noProof/>
        </w:rPr>
        <w:t>vedības departamentu), kā paredzēts 2021. gada 9. jūnija Dekrētlikumā Nr. 80, kā arī attiecībā uz Itālijas dienvidu administrācijām, kuras, paredzams, pastiprinās cilvēkkapitālu, kas iesaistīts ES līdzekļu plānošanā un izlietošanā, kā paredzēts jo īpaši 20</w:t>
      </w:r>
      <w:r>
        <w:rPr>
          <w:noProof/>
        </w:rPr>
        <w:t>20. gada Likumā Nr. 178. Turklāt resursi tiek piešķirti misiju struktūrai, kas izveidota Ministru padomes prezidentūras laikā, lai nodrošinātu tās efektīvu darbību, kā paredzēts 2023. gada 24. februāra Dekrētlikumā Nr. 13. Visbeidzot, projektu īstenošanā i</w:t>
      </w:r>
      <w:r>
        <w:rPr>
          <w:noProof/>
        </w:rPr>
        <w:t>r paredzēts tehniskais un operatīvais atbalsts centrālajām un vietējām pārvaldes iestādēm, tostarp izmantojot valsts kapitāla sabiedrības, ekspertu kopumu tehniskajai palīdzībai un iespēju izmantot ārējus ekspertus. Līdztekus šīm darbībām tiek īstenoti pas</w:t>
      </w:r>
      <w:r>
        <w:rPr>
          <w:noProof/>
        </w:rPr>
        <w:t xml:space="preserve">ākumi birokrātijas mazināšanai un administratīvo procedūru vienkāršošanai, kā paredzēts 2021. gada 31. maija Dekrētlikumā Nr. 77 un 2023. gada 24. februāra Dekrētlikumā Nr. 13. </w:t>
      </w:r>
    </w:p>
    <w:p w14:paraId="27E8FF9C" w14:textId="0BCB52C8" w:rsidR="00C972CB" w:rsidRDefault="002457F6">
      <w:pPr>
        <w:pStyle w:val="P68B1DB1-Normal44"/>
        <w:spacing w:before="120" w:after="120"/>
        <w:jc w:val="both"/>
        <w:rPr>
          <w:noProof/>
        </w:rPr>
      </w:pPr>
      <w:r>
        <w:rPr>
          <w:noProof/>
        </w:rPr>
        <w:t>Vienošanās paredz arī integrētas IT sistēmas (“ReGiS”) izmantošanu. Ekonomikas</w:t>
      </w:r>
      <w:r>
        <w:rPr>
          <w:noProof/>
        </w:rPr>
        <w:t xml:space="preserve"> un finanšu ministrijas Finanšu attiecību ģenerālinspektorāta (IGRUE) uzdevums ir koordinēt revīzijas sistēmas un veikt kontroli ar Valsts teritoriālo kontu biroja (RTS) atbalstu. Tiks saglabātas uzlabotas vienošanās ar Guardia di Finanza un attiecīgām nea</w:t>
      </w:r>
      <w:r>
        <w:rPr>
          <w:noProof/>
        </w:rPr>
        <w:t>tkarīgām iestādēm, piemēram, valsts korupcijas apkarošanas aģentūru ANAC, tādējādi nostiprinot lomu, ko Itālijas tiesību sistēma jau piešķir šīm iestādēm saistībā ar publisko finanšu, tostarp ES, finanšu aizsardzību.</w:t>
      </w:r>
    </w:p>
    <w:p w14:paraId="30A2C529" w14:textId="77777777" w:rsidR="00C972CB" w:rsidRDefault="002457F6">
      <w:pPr>
        <w:pStyle w:val="P68B1DB1-NumPar143"/>
        <w:numPr>
          <w:ilvl w:val="0"/>
          <w:numId w:val="140"/>
        </w:numPr>
        <w:rPr>
          <w:noProof/>
        </w:rPr>
      </w:pPr>
      <w:r>
        <w:rPr>
          <w:noProof/>
        </w:rPr>
        <w:t>Kārtība, kādā Komisijai nodrošina pilnī</w:t>
      </w:r>
      <w:r>
        <w:rPr>
          <w:noProof/>
        </w:rPr>
        <w:t>gu piekļuvi pamatojošajiem datiem</w:t>
      </w:r>
    </w:p>
    <w:p w14:paraId="0DF28859" w14:textId="77777777" w:rsidR="00C972CB" w:rsidRDefault="002457F6">
      <w:pPr>
        <w:pStyle w:val="P68B1DB1-Normal44"/>
        <w:spacing w:before="120" w:after="120"/>
        <w:jc w:val="both"/>
        <w:rPr>
          <w:noProof/>
        </w:rPr>
      </w:pPr>
      <w:r>
        <w:rPr>
          <w:noProof/>
        </w:rPr>
        <w:t>Lai nodrošinātu Komisijai pilnīgu piekļuvi attiecīgajiem pamatā esošajiem datiem, Itālija veic šādus pasākumus.</w:t>
      </w:r>
    </w:p>
    <w:p w14:paraId="58293D3C" w14:textId="170264B4" w:rsidR="00C972CB" w:rsidRDefault="002457F6">
      <w:pPr>
        <w:pStyle w:val="P68B1DB1-Normal44"/>
        <w:spacing w:before="120" w:after="120"/>
        <w:jc w:val="both"/>
        <w:rPr>
          <w:noProof/>
        </w:rPr>
      </w:pPr>
      <w:r>
        <w:rPr>
          <w:noProof/>
        </w:rPr>
        <w:t xml:space="preserve">Ekonomikas un finanšu ministrija darbojas kā tehniska struktūra, kas uzrauga atskaites punktu un mērķrādītāju </w:t>
      </w:r>
      <w:r>
        <w:rPr>
          <w:noProof/>
        </w:rPr>
        <w:t>sasniegšanu un attiecīgā gadījumā īsteno kontroles un revīzijas darbības, kā arī sniedz ziņojumus un maksājumu pieprasījumus. Tā koordinē ziņošanu par atskaites punktiem un mērķrādītājiem, attiecīgajiem rādītājiem, kā arī kvalitatīvu finanšu informāciju un</w:t>
      </w:r>
      <w:r>
        <w:rPr>
          <w:noProof/>
        </w:rPr>
        <w:t xml:space="preserve"> citiem datiem, piemēram, par galasaņēmējiem. Datu kodēšana notiek par plāna pasākumiem atbildīgo centrālo administrāciju līmenī, kuras paziņo vajadzīgos datus Ekonomikas un finanšu ministrijai. Kā paredzēts Regulas (ES) 2021/241 24. panta 2. punktā, Itāli</w:t>
      </w:r>
      <w:r>
        <w:rPr>
          <w:noProof/>
        </w:rPr>
        <w:t xml:space="preserve">ja pēc tam, kad ir izpildīti attiecīgie saskaņotie atskaites punkti un mērķrādītāji, kas izklāstīti šā pielikuma 2.1. iedaļā, iesniedz Komisijai pienācīgi pamatotu finanšu iemaksas un attiecīgā gadījumā aizdevuma maksājuma pieprasījumu. Itālija nodrošina, </w:t>
      </w:r>
      <w:r>
        <w:rPr>
          <w:noProof/>
        </w:rPr>
        <w:t xml:space="preserve">ka Komisijai pēc pieprasījuma ir pilnīga piekļuve attiecīgajiem pamatā esošajiem datiem, kas pamato maksājuma pieprasījuma pienācīgu pamatojumu, gan maksājuma pieprasījuma novērtēšanai saskaņā ar Regulas (ES) 2021/241 24. panta 3. punktu, gan revīzijas un </w:t>
      </w:r>
      <w:r>
        <w:rPr>
          <w:noProof/>
        </w:rPr>
        <w:t>kontroles nolūkos.</w:t>
      </w:r>
    </w:p>
    <w:sectPr w:rsidR="00C972CB">
      <w:headerReference w:type="even" r:id="rId411"/>
      <w:headerReference w:type="default" r:id="rId412"/>
      <w:footerReference w:type="even" r:id="rId413"/>
      <w:footerReference w:type="default" r:id="rId414"/>
      <w:headerReference w:type="first" r:id="rId415"/>
      <w:footerReference w:type="first" r:id="rId416"/>
      <w:pgSz w:w="11906" w:h="16838" w:code="12"/>
      <w:pgMar w:top="1440" w:right="1440" w:bottom="144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08A9C" w14:textId="77777777" w:rsidR="00555E58" w:rsidRDefault="00555E58">
      <w:r>
        <w:separator/>
      </w:r>
    </w:p>
  </w:endnote>
  <w:endnote w:type="continuationSeparator" w:id="0">
    <w:p w14:paraId="60364D28" w14:textId="77777777" w:rsidR="00555E58" w:rsidRDefault="00555E58">
      <w:r>
        <w:continuationSeparator/>
      </w:r>
    </w:p>
  </w:endnote>
  <w:endnote w:type="continuationNotice" w:id="1">
    <w:p w14:paraId="5139FE49" w14:textId="77777777" w:rsidR="00555E58" w:rsidRDefault="00555E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EC Square Sans Pro">
    <w:altName w:val="Calibri"/>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1341F" w14:textId="1AEEE5B1" w:rsidR="00644AF4" w:rsidRPr="002457F6" w:rsidRDefault="00644AF4" w:rsidP="002457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A5A9" w14:textId="77777777" w:rsidR="00C972CB" w:rsidRDefault="00C972CB">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F145" w14:textId="77777777" w:rsidR="00C972CB" w:rsidRDefault="00C972CB">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55929"/>
      <w:docPartObj>
        <w:docPartGallery w:val="Page Numbers (Bottom of Page)"/>
        <w:docPartUnique/>
      </w:docPartObj>
    </w:sdtPr>
    <w:sdtEndPr>
      <w:rPr>
        <w:noProof/>
      </w:rPr>
    </w:sdtEndPr>
    <w:sdtContent>
      <w:p w14:paraId="1E8E03AA" w14:textId="0FBFDC8B"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790E9627" w14:textId="77777777" w:rsidR="00C972CB" w:rsidRDefault="00C972CB">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82C3F" w14:textId="77777777" w:rsidR="00C972CB" w:rsidRDefault="00C972CB">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A167" w14:textId="77777777" w:rsidR="00C972CB" w:rsidRDefault="00C972CB">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761838"/>
      <w:docPartObj>
        <w:docPartGallery w:val="Page Numbers (Bottom of Page)"/>
        <w:docPartUnique/>
      </w:docPartObj>
    </w:sdtPr>
    <w:sdtEndPr>
      <w:rPr>
        <w:noProof/>
      </w:rPr>
    </w:sdtEndPr>
    <w:sdtContent>
      <w:p w14:paraId="06AAACBF" w14:textId="6DEE8F2F" w:rsidR="00C972CB" w:rsidRDefault="002457F6">
        <w:pPr>
          <w:pStyle w:val="Footer"/>
          <w:jc w:val="center"/>
        </w:pPr>
        <w:r>
          <w:fldChar w:fldCharType="begin"/>
        </w:r>
        <w:r>
          <w:instrText xml:space="preserve"> P</w:instrText>
        </w:r>
        <w:r>
          <w:instrText xml:space="preserve">AGE   \* MERGEFORMAT </w:instrText>
        </w:r>
        <w:r>
          <w:fldChar w:fldCharType="separate"/>
        </w:r>
        <w:r>
          <w:t>2</w:t>
        </w:r>
        <w:r>
          <w:fldChar w:fldCharType="end"/>
        </w:r>
      </w:p>
    </w:sdtContent>
  </w:sdt>
  <w:p w14:paraId="4F5B7083" w14:textId="77777777" w:rsidR="00C972CB" w:rsidRDefault="00C972CB">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9A34" w14:textId="77777777" w:rsidR="00C972CB" w:rsidRDefault="00C972CB">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8A012" w14:textId="77777777" w:rsidR="00C972CB" w:rsidRDefault="00C972CB">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02621"/>
      <w:docPartObj>
        <w:docPartGallery w:val="Page Numbers (Bottom of Page)"/>
        <w:docPartUnique/>
      </w:docPartObj>
    </w:sdtPr>
    <w:sdtEndPr>
      <w:rPr>
        <w:noProof/>
      </w:rPr>
    </w:sdtEndPr>
    <w:sdtContent>
      <w:p w14:paraId="302314E7" w14:textId="6D31053D"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344A9CD3" w14:textId="77777777" w:rsidR="00C972CB" w:rsidRDefault="00C972CB">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9511" w14:textId="77777777" w:rsidR="00C972CB" w:rsidRDefault="00C972CB">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C153" w14:textId="77777777" w:rsidR="00C972CB" w:rsidRDefault="00C972C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41270"/>
      <w:docPartObj>
        <w:docPartGallery w:val="Page Numbers (Bottom of Page)"/>
        <w:docPartUnique/>
      </w:docPartObj>
    </w:sdtPr>
    <w:sdtEndPr>
      <w:rPr>
        <w:noProof/>
      </w:rPr>
    </w:sdtEndPr>
    <w:sdtContent>
      <w:p w14:paraId="1B5C284C" w14:textId="09FAE9A2"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7A3E9C4" w14:textId="77777777" w:rsidR="00C972CB" w:rsidRDefault="00C972CB">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54378"/>
      <w:docPartObj>
        <w:docPartGallery w:val="Page Numbers (Bottom of Page)"/>
        <w:docPartUnique/>
      </w:docPartObj>
    </w:sdtPr>
    <w:sdtEndPr>
      <w:rPr>
        <w:noProof/>
      </w:rPr>
    </w:sdtEndPr>
    <w:sdtContent>
      <w:p w14:paraId="56DB56FE" w14:textId="35205C55"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7ED044CB" w14:textId="77777777" w:rsidR="00C972CB" w:rsidRDefault="00C972CB">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24B07" w14:textId="77777777" w:rsidR="00C972CB" w:rsidRDefault="00C972CB">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BE37" w14:textId="77777777" w:rsidR="00C972CB" w:rsidRDefault="00C972CB">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72772"/>
      <w:docPartObj>
        <w:docPartGallery w:val="Page Numbers (Bottom of Page)"/>
        <w:docPartUnique/>
      </w:docPartObj>
    </w:sdtPr>
    <w:sdtEndPr>
      <w:rPr>
        <w:noProof/>
      </w:rPr>
    </w:sdtEndPr>
    <w:sdtContent>
      <w:p w14:paraId="1275405D" w14:textId="0A42554A"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FF29663" w14:textId="77777777" w:rsidR="00C972CB" w:rsidRDefault="00C972CB">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A677" w14:textId="77777777" w:rsidR="00C972CB" w:rsidRDefault="00C972CB">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EF8F0" w14:textId="77777777" w:rsidR="00C972CB" w:rsidRDefault="00C972CB">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776444"/>
      <w:docPartObj>
        <w:docPartGallery w:val="Page Numbers (Bottom of Page)"/>
        <w:docPartUnique/>
      </w:docPartObj>
    </w:sdtPr>
    <w:sdtEndPr>
      <w:rPr>
        <w:noProof/>
      </w:rPr>
    </w:sdtEndPr>
    <w:sdtContent>
      <w:p w14:paraId="7F47593E" w14:textId="5EBE8E50" w:rsidR="00C972CB" w:rsidRDefault="002457F6">
        <w:pPr>
          <w:pStyle w:val="Footer"/>
          <w:jc w:val="center"/>
        </w:pPr>
        <w:r>
          <w:fldChar w:fldCharType="begin"/>
        </w:r>
        <w:r>
          <w:instrText xml:space="preserve"> PAGE   \* MERGE</w:instrText>
        </w:r>
        <w:r>
          <w:instrText xml:space="preserve">FORMAT </w:instrText>
        </w:r>
        <w:r>
          <w:fldChar w:fldCharType="separate"/>
        </w:r>
        <w:r>
          <w:t>2</w:t>
        </w:r>
        <w:r>
          <w:fldChar w:fldCharType="end"/>
        </w:r>
      </w:p>
    </w:sdtContent>
  </w:sdt>
  <w:p w14:paraId="54F71BD2" w14:textId="77777777" w:rsidR="00C972CB" w:rsidRDefault="00C972CB">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8B4B" w14:textId="77777777" w:rsidR="00C972CB" w:rsidRDefault="00C972CB">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301A" w14:textId="77777777" w:rsidR="00C972CB" w:rsidRDefault="00C972CB">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905090"/>
      <w:docPartObj>
        <w:docPartGallery w:val="Page Numbers (Bottom of Page)"/>
        <w:docPartUnique/>
      </w:docPartObj>
    </w:sdtPr>
    <w:sdtEndPr>
      <w:rPr>
        <w:noProof/>
      </w:rPr>
    </w:sdtEndPr>
    <w:sdtContent>
      <w:p w14:paraId="2835A281" w14:textId="502CB129"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0C4E19EC" w14:textId="77777777" w:rsidR="00C972CB" w:rsidRDefault="00C972CB">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B9ED" w14:textId="77777777" w:rsidR="00C972CB" w:rsidRDefault="00C972CB">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EEAC" w14:textId="77777777" w:rsidR="00C972CB" w:rsidRDefault="00C972CB">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ABB2" w14:textId="77777777" w:rsidR="00C972CB" w:rsidRDefault="00C972CB">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25283"/>
      <w:docPartObj>
        <w:docPartGallery w:val="Page Numbers (Bottom of Page)"/>
        <w:docPartUnique/>
      </w:docPartObj>
    </w:sdtPr>
    <w:sdtEndPr>
      <w:rPr>
        <w:noProof/>
      </w:rPr>
    </w:sdtEndPr>
    <w:sdtContent>
      <w:p w14:paraId="6F024400" w14:textId="13AE0DFA"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4A4DF9E3" w14:textId="77777777" w:rsidR="00C972CB" w:rsidRDefault="00C972CB">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378B" w14:textId="77777777" w:rsidR="00C972CB" w:rsidRDefault="00C972CB">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89F20" w14:textId="77777777" w:rsidR="00C972CB" w:rsidRDefault="00C972CB">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506053"/>
      <w:docPartObj>
        <w:docPartGallery w:val="Page Numbers (Bottom of Page)"/>
        <w:docPartUnique/>
      </w:docPartObj>
    </w:sdtPr>
    <w:sdtEndPr>
      <w:rPr>
        <w:noProof/>
      </w:rPr>
    </w:sdtEndPr>
    <w:sdtContent>
      <w:p w14:paraId="2C28EEA5" w14:textId="2D5B53C1"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4D3B12B8" w14:textId="77777777" w:rsidR="00C972CB" w:rsidRDefault="00C972CB">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B56C" w14:textId="77777777" w:rsidR="00C972CB" w:rsidRDefault="00C972CB">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8636" w14:textId="77777777" w:rsidR="00C972CB" w:rsidRDefault="00C972CB">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864134"/>
      <w:docPartObj>
        <w:docPartGallery w:val="Page Numbers (Bottom of Page)"/>
        <w:docPartUnique/>
      </w:docPartObj>
    </w:sdtPr>
    <w:sdtEndPr>
      <w:rPr>
        <w:noProof/>
      </w:rPr>
    </w:sdtEndPr>
    <w:sdtContent>
      <w:p w14:paraId="1EE79B98" w14:textId="5AFFF60C"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3E65F3BA" w14:textId="77777777" w:rsidR="00C972CB" w:rsidRDefault="00C972CB">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E60E" w14:textId="77777777" w:rsidR="00C972CB" w:rsidRDefault="00C972C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547A" w14:textId="77777777" w:rsidR="00C972CB" w:rsidRDefault="00C972CB">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9C4ED" w14:textId="77777777" w:rsidR="00C972CB" w:rsidRDefault="00C972CB">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000603"/>
      <w:docPartObj>
        <w:docPartGallery w:val="Page Numbers (Bottom of Page)"/>
        <w:docPartUnique/>
      </w:docPartObj>
    </w:sdtPr>
    <w:sdtEndPr>
      <w:rPr>
        <w:noProof/>
      </w:rPr>
    </w:sdtEndPr>
    <w:sdtContent>
      <w:p w14:paraId="1092769C" w14:textId="6CD657DB"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0ADE765A" w14:textId="77777777" w:rsidR="00C972CB" w:rsidRDefault="00C972CB">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B449" w14:textId="77777777" w:rsidR="00C972CB" w:rsidRDefault="00C972CB">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63625" w14:textId="77777777" w:rsidR="00C972CB" w:rsidRDefault="00C972CB">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7633"/>
      <w:docPartObj>
        <w:docPartGallery w:val="Page Numbers (Bottom of Page)"/>
        <w:docPartUnique/>
      </w:docPartObj>
    </w:sdtPr>
    <w:sdtEndPr>
      <w:rPr>
        <w:noProof/>
      </w:rPr>
    </w:sdtEndPr>
    <w:sdtContent>
      <w:p w14:paraId="079666A6" w14:textId="4ACF07C4"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7AD46F90" w14:textId="77777777" w:rsidR="00C972CB" w:rsidRDefault="00C972CB">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1EE2" w14:textId="77777777" w:rsidR="00C972CB" w:rsidRDefault="00C972CB">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9070" w14:textId="77777777" w:rsidR="00C972CB" w:rsidRDefault="00C972CB">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422175"/>
      <w:docPartObj>
        <w:docPartGallery w:val="Page Numbers (Bottom of Page)"/>
        <w:docPartUnique/>
      </w:docPartObj>
    </w:sdtPr>
    <w:sdtEndPr>
      <w:rPr>
        <w:noProof/>
      </w:rPr>
    </w:sdtEndPr>
    <w:sdtContent>
      <w:p w14:paraId="45F1587F" w14:textId="68A613FF"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A7D9256" w14:textId="77777777" w:rsidR="00C972CB" w:rsidRDefault="00C972CB">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917F" w14:textId="77777777" w:rsidR="00C972CB" w:rsidRDefault="00C972CB">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1DDA" w14:textId="77777777" w:rsidR="00C972CB" w:rsidRDefault="00C972C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846756"/>
      <w:docPartObj>
        <w:docPartGallery w:val="Page Numbers (Bottom of Page)"/>
        <w:docPartUnique/>
      </w:docPartObj>
    </w:sdtPr>
    <w:sdtEndPr>
      <w:rPr>
        <w:noProof/>
      </w:rPr>
    </w:sdtEndPr>
    <w:sdtContent>
      <w:p w14:paraId="3DED0DEB" w14:textId="4606E768"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05E3ECB6" w14:textId="77777777" w:rsidR="00C972CB" w:rsidRDefault="00C972CB">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701415"/>
      <w:docPartObj>
        <w:docPartGallery w:val="Page Numbers (Bottom of Page)"/>
        <w:docPartUnique/>
      </w:docPartObj>
    </w:sdtPr>
    <w:sdtEndPr>
      <w:rPr>
        <w:noProof/>
      </w:rPr>
    </w:sdtEndPr>
    <w:sdtContent>
      <w:p w14:paraId="594F92BB" w14:textId="6851F11F"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7D47400" w14:textId="77777777" w:rsidR="00C972CB" w:rsidRDefault="00C972CB">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4765" w14:textId="77777777" w:rsidR="00C972CB" w:rsidRDefault="00C972CB">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3C54" w14:textId="77777777" w:rsidR="00C972CB" w:rsidRDefault="00C972CB">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310983"/>
      <w:docPartObj>
        <w:docPartGallery w:val="Page Numbers (Bottom of Page)"/>
        <w:docPartUnique/>
      </w:docPartObj>
    </w:sdtPr>
    <w:sdtEndPr>
      <w:rPr>
        <w:noProof/>
      </w:rPr>
    </w:sdtEndPr>
    <w:sdtContent>
      <w:p w14:paraId="6EBE8763" w14:textId="6053C287"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D3F56BD" w14:textId="77777777" w:rsidR="00C972CB" w:rsidRDefault="00C972CB">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0CF2" w14:textId="77777777" w:rsidR="00C972CB" w:rsidRDefault="00C972CB">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64A6F" w14:textId="77777777" w:rsidR="00C972CB" w:rsidRDefault="00C972CB">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68358"/>
      <w:docPartObj>
        <w:docPartGallery w:val="Page Numbers (Bottom of Page)"/>
        <w:docPartUnique/>
      </w:docPartObj>
    </w:sdtPr>
    <w:sdtEndPr>
      <w:rPr>
        <w:noProof/>
      </w:rPr>
    </w:sdtEndPr>
    <w:sdtContent>
      <w:p w14:paraId="0B4494CE" w14:textId="0FC818AB"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D99B123" w14:textId="77777777" w:rsidR="00C972CB" w:rsidRDefault="00C972CB">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9730" w14:textId="77777777" w:rsidR="00C972CB" w:rsidRDefault="00C972CB">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50A57" w14:textId="77777777" w:rsidR="00C972CB" w:rsidRDefault="00C972CB">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42668"/>
      <w:docPartObj>
        <w:docPartGallery w:val="Page Numbers (Bottom of Page)"/>
        <w:docPartUnique/>
      </w:docPartObj>
    </w:sdtPr>
    <w:sdtEndPr>
      <w:rPr>
        <w:noProof/>
      </w:rPr>
    </w:sdtEndPr>
    <w:sdtContent>
      <w:p w14:paraId="22CD21A9" w14:textId="25FD997D"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633451A6" w14:textId="77777777" w:rsidR="00C972CB" w:rsidRDefault="00C972CB">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2650" w14:textId="77777777" w:rsidR="00C972CB" w:rsidRDefault="00C972CB">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DB2C" w14:textId="77777777" w:rsidR="00C972CB" w:rsidRDefault="00C972CB">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96ED" w14:textId="77777777" w:rsidR="00C972CB" w:rsidRDefault="00C972CB">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843319"/>
      <w:docPartObj>
        <w:docPartGallery w:val="Page Numbers (Bottom of Page)"/>
        <w:docPartUnique/>
      </w:docPartObj>
    </w:sdtPr>
    <w:sdtEndPr>
      <w:rPr>
        <w:noProof/>
      </w:rPr>
    </w:sdtEndPr>
    <w:sdtContent>
      <w:p w14:paraId="45B54252" w14:textId="72FEA2F1"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962D9E9" w14:textId="77777777" w:rsidR="00C972CB" w:rsidRDefault="00C972CB">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8D41" w14:textId="77777777" w:rsidR="00C972CB" w:rsidRDefault="00C972CB">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AF73" w14:textId="77777777" w:rsidR="00C972CB" w:rsidRDefault="00C972CB">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311618"/>
      <w:docPartObj>
        <w:docPartGallery w:val="Page Numbers (Bottom of Page)"/>
        <w:docPartUnique/>
      </w:docPartObj>
    </w:sdtPr>
    <w:sdtEndPr>
      <w:rPr>
        <w:noProof/>
      </w:rPr>
    </w:sdtEndPr>
    <w:sdtContent>
      <w:p w14:paraId="50F1F433" w14:textId="324820A3"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09E6BF17" w14:textId="77777777" w:rsidR="00C972CB" w:rsidRDefault="00C972CB">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EFB9" w14:textId="77777777" w:rsidR="00C972CB" w:rsidRDefault="00C972CB">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3A10" w14:textId="77777777" w:rsidR="00C972CB" w:rsidRDefault="00C972CB">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634477"/>
      <w:docPartObj>
        <w:docPartGallery w:val="Page Numbers (Bottom of Page)"/>
        <w:docPartUnique/>
      </w:docPartObj>
    </w:sdtPr>
    <w:sdtEndPr>
      <w:rPr>
        <w:noProof/>
      </w:rPr>
    </w:sdtEndPr>
    <w:sdtContent>
      <w:p w14:paraId="043C1866" w14:textId="5D234ACE"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0A036C4E" w14:textId="77777777" w:rsidR="00C972CB" w:rsidRDefault="00C972CB">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7495" w14:textId="77777777" w:rsidR="00C972CB" w:rsidRDefault="00C972C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CCA5" w14:textId="77777777" w:rsidR="00C972CB" w:rsidRDefault="00C972CB">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6FA" w14:textId="77777777" w:rsidR="00C972CB" w:rsidRDefault="00C972CB">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569420"/>
      <w:docPartObj>
        <w:docPartGallery w:val="Page Numbers (Bottom of Page)"/>
        <w:docPartUnique/>
      </w:docPartObj>
    </w:sdtPr>
    <w:sdtEndPr>
      <w:rPr>
        <w:noProof/>
      </w:rPr>
    </w:sdtEndPr>
    <w:sdtContent>
      <w:p w14:paraId="6FE9AF82" w14:textId="5A6425D7"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3E9CAF78" w14:textId="77777777" w:rsidR="00C972CB" w:rsidRDefault="00C972CB">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FD63C" w14:textId="77777777" w:rsidR="00C972CB" w:rsidRDefault="00C972CB">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C426" w14:textId="77777777" w:rsidR="00C972CB" w:rsidRDefault="00C972CB">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0870"/>
      <w:docPartObj>
        <w:docPartGallery w:val="Page Numbers (Bottom of Page)"/>
        <w:docPartUnique/>
      </w:docPartObj>
    </w:sdtPr>
    <w:sdtEndPr>
      <w:rPr>
        <w:noProof/>
      </w:rPr>
    </w:sdtEndPr>
    <w:sdtContent>
      <w:p w14:paraId="6CF26EFF" w14:textId="5BF91008"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1075F14D" w14:textId="77777777" w:rsidR="00C972CB" w:rsidRDefault="00C972CB">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EABA" w14:textId="77777777" w:rsidR="00C972CB" w:rsidRDefault="00C972CB">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D604" w14:textId="77777777" w:rsidR="00C972CB" w:rsidRDefault="00C972CB">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39456"/>
      <w:docPartObj>
        <w:docPartGallery w:val="Page Numbers (Bottom of Page)"/>
        <w:docPartUnique/>
      </w:docPartObj>
    </w:sdtPr>
    <w:sdtEndPr>
      <w:rPr>
        <w:noProof/>
      </w:rPr>
    </w:sdtEndPr>
    <w:sdtContent>
      <w:p w14:paraId="15652E0F" w14:textId="7AC348B0"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4205C484" w14:textId="77777777" w:rsidR="00C972CB" w:rsidRDefault="00C972CB">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24CF" w14:textId="77777777" w:rsidR="00C972CB" w:rsidRDefault="00C972CB">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61484" w14:textId="77777777" w:rsidR="00C972CB" w:rsidRDefault="00C972C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024959"/>
      <w:docPartObj>
        <w:docPartGallery w:val="Page Numbers (Bottom of Page)"/>
        <w:docPartUnique/>
      </w:docPartObj>
    </w:sdtPr>
    <w:sdtEndPr>
      <w:rPr>
        <w:noProof/>
      </w:rPr>
    </w:sdtEndPr>
    <w:sdtContent>
      <w:p w14:paraId="5F1DF751" w14:textId="661F45DB" w:rsidR="00C972CB" w:rsidRDefault="002457F6">
        <w:pPr>
          <w:pStyle w:val="Footer"/>
          <w:jc w:val="center"/>
        </w:pPr>
        <w:r>
          <w:fldChar w:fldCharType="begin"/>
        </w:r>
        <w:r>
          <w:instrText xml:space="preserve"> PAGE</w:instrText>
        </w:r>
        <w:r>
          <w:instrText xml:space="preserve">   \* MERGEFORMAT </w:instrText>
        </w:r>
        <w:r>
          <w:fldChar w:fldCharType="separate"/>
        </w:r>
        <w:r>
          <w:t>2</w:t>
        </w:r>
        <w:r>
          <w:fldChar w:fldCharType="end"/>
        </w:r>
      </w:p>
    </w:sdtContent>
  </w:sdt>
  <w:p w14:paraId="2A96A7FF" w14:textId="77777777" w:rsidR="00C972CB" w:rsidRDefault="00C972CB">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696771"/>
      <w:docPartObj>
        <w:docPartGallery w:val="Page Numbers (Bottom of Page)"/>
        <w:docPartUnique/>
      </w:docPartObj>
    </w:sdtPr>
    <w:sdtEndPr>
      <w:rPr>
        <w:noProof/>
      </w:rPr>
    </w:sdtEndPr>
    <w:sdtContent>
      <w:p w14:paraId="6EAB4DD1" w14:textId="74DF355E"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27A5C50" w14:textId="77777777" w:rsidR="00C972CB" w:rsidRDefault="00C972CB">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089FC" w14:textId="77777777" w:rsidR="00C972CB" w:rsidRDefault="00C972CB">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01CC" w14:textId="77777777" w:rsidR="00C972CB" w:rsidRDefault="00C972CB">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177671"/>
      <w:docPartObj>
        <w:docPartGallery w:val="Page Numbers (Bottom of Page)"/>
        <w:docPartUnique/>
      </w:docPartObj>
    </w:sdtPr>
    <w:sdtEndPr>
      <w:rPr>
        <w:noProof/>
      </w:rPr>
    </w:sdtEndPr>
    <w:sdtContent>
      <w:p w14:paraId="5BA988A3" w14:textId="03505C8F"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621C87AB" w14:textId="77777777" w:rsidR="00C972CB" w:rsidRDefault="00C972CB">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6A1A4" w14:textId="77777777" w:rsidR="00C972CB" w:rsidRDefault="00C972CB">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0DD37" w14:textId="77777777" w:rsidR="00C972CB" w:rsidRDefault="00C972CB">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216714"/>
      <w:docPartObj>
        <w:docPartGallery w:val="Page Numbers (Bottom of Page)"/>
        <w:docPartUnique/>
      </w:docPartObj>
    </w:sdtPr>
    <w:sdtEndPr>
      <w:rPr>
        <w:noProof/>
      </w:rPr>
    </w:sdtEndPr>
    <w:sdtContent>
      <w:p w14:paraId="29D8BFE9" w14:textId="11971F93"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41349BE8" w14:textId="77777777" w:rsidR="00C972CB" w:rsidRDefault="00C972CB">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CB7F" w14:textId="77777777" w:rsidR="00C972CB" w:rsidRDefault="00C972CB">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CCE" w14:textId="77777777" w:rsidR="00C972CB" w:rsidRDefault="00C972CB">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52613"/>
      <w:docPartObj>
        <w:docPartGallery w:val="Page Numbers (Bottom of Page)"/>
        <w:docPartUnique/>
      </w:docPartObj>
    </w:sdtPr>
    <w:sdtEndPr>
      <w:rPr>
        <w:noProof/>
      </w:rPr>
    </w:sdtEndPr>
    <w:sdtContent>
      <w:p w14:paraId="7065576C" w14:textId="5EF1C350"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79A6A6F0" w14:textId="77777777" w:rsidR="00C972CB" w:rsidRDefault="00C972CB">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532D" w14:textId="77777777" w:rsidR="00C972CB" w:rsidRDefault="00C972CB">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74B9" w14:textId="77777777" w:rsidR="00C972CB" w:rsidRDefault="00C972CB">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7AC0C" w14:textId="77777777" w:rsidR="00C972CB" w:rsidRDefault="00C972CB">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851151"/>
      <w:docPartObj>
        <w:docPartGallery w:val="Page Numbers (Bottom of Page)"/>
        <w:docPartUnique/>
      </w:docPartObj>
    </w:sdtPr>
    <w:sdtEndPr>
      <w:rPr>
        <w:noProof/>
      </w:rPr>
    </w:sdtEndPr>
    <w:sdtContent>
      <w:p w14:paraId="5FAFAF17" w14:textId="13CC9D32"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671EB21C" w14:textId="77777777" w:rsidR="00C972CB" w:rsidRDefault="00C972CB">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B7ED6" w14:textId="77777777" w:rsidR="00C972CB" w:rsidRDefault="00C972CB">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B174" w14:textId="77777777" w:rsidR="00C972CB" w:rsidRDefault="00C972CB">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037246"/>
      <w:docPartObj>
        <w:docPartGallery w:val="Page Numbers (Bottom of Page)"/>
        <w:docPartUnique/>
      </w:docPartObj>
    </w:sdtPr>
    <w:sdtEndPr>
      <w:rPr>
        <w:noProof/>
      </w:rPr>
    </w:sdtEndPr>
    <w:sdtContent>
      <w:p w14:paraId="4F99145C" w14:textId="5E0CB007"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6C7D4CF8" w14:textId="77777777" w:rsidR="00C972CB" w:rsidRDefault="00C972CB">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CEB2" w14:textId="77777777" w:rsidR="00C972CB" w:rsidRDefault="00C972CB">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C444" w14:textId="77777777" w:rsidR="00C972CB" w:rsidRDefault="00C972CB">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407945"/>
      <w:docPartObj>
        <w:docPartGallery w:val="Page Numbers (Bottom of Page)"/>
        <w:docPartUnique/>
      </w:docPartObj>
    </w:sdtPr>
    <w:sdtEndPr>
      <w:rPr>
        <w:noProof/>
      </w:rPr>
    </w:sdtEndPr>
    <w:sdtContent>
      <w:p w14:paraId="48689A91" w14:textId="3998B483"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3D84F8B1" w14:textId="77777777" w:rsidR="00C972CB" w:rsidRDefault="00C972CB">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34C2" w14:textId="77777777" w:rsidR="00C972CB" w:rsidRDefault="00C972C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A50B" w14:textId="77777777" w:rsidR="00C972CB" w:rsidRDefault="00C972CB">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122B" w14:textId="77777777" w:rsidR="00C972CB" w:rsidRDefault="00C972CB">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58264"/>
      <w:docPartObj>
        <w:docPartGallery w:val="Page Numbers (Bottom of Page)"/>
        <w:docPartUnique/>
      </w:docPartObj>
    </w:sdtPr>
    <w:sdtEndPr>
      <w:rPr>
        <w:noProof/>
      </w:rPr>
    </w:sdtEndPr>
    <w:sdtContent>
      <w:p w14:paraId="0E4CEC8D" w14:textId="20856DE3"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E9F25D4" w14:textId="77777777" w:rsidR="00C972CB" w:rsidRDefault="00C972CB">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F22E" w14:textId="77777777" w:rsidR="00C972CB" w:rsidRDefault="00C972CB">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AC95" w14:textId="77777777" w:rsidR="00C972CB" w:rsidRDefault="00C972CB">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32625"/>
      <w:docPartObj>
        <w:docPartGallery w:val="Page Numbers (Bottom of Page)"/>
        <w:docPartUnique/>
      </w:docPartObj>
    </w:sdtPr>
    <w:sdtEndPr>
      <w:rPr>
        <w:noProof/>
      </w:rPr>
    </w:sdtEndPr>
    <w:sdtContent>
      <w:p w14:paraId="4B55682C" w14:textId="4CC19AEB"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0E90B596" w14:textId="77777777" w:rsidR="00C972CB" w:rsidRDefault="00C972CB">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D7F7" w14:textId="77777777" w:rsidR="00C972CB" w:rsidRDefault="00C972CB">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220F" w14:textId="77777777" w:rsidR="00C972CB" w:rsidRDefault="00C972CB">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103585"/>
      <w:docPartObj>
        <w:docPartGallery w:val="Page Numbers (Bottom of Page)"/>
        <w:docPartUnique/>
      </w:docPartObj>
    </w:sdtPr>
    <w:sdtEndPr>
      <w:rPr>
        <w:noProof/>
      </w:rPr>
    </w:sdtEndPr>
    <w:sdtContent>
      <w:p w14:paraId="6F1C2A27" w14:textId="3ADC533B"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7AD207C" w14:textId="77777777" w:rsidR="00C972CB" w:rsidRDefault="00C972CB">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AA81" w14:textId="77777777" w:rsidR="00C972CB" w:rsidRDefault="00C972CB">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75DC" w14:textId="77777777" w:rsidR="00C972CB" w:rsidRDefault="00C972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B139" w14:textId="2CFBA984" w:rsidR="00644AF4" w:rsidRPr="002457F6" w:rsidRDefault="002457F6" w:rsidP="002457F6">
    <w:pPr>
      <w:pStyle w:val="FooterCoverPage"/>
      <w:rPr>
        <w:rFonts w:ascii="Arial" w:hAnsi="Arial" w:cs="Arial"/>
        <w:b/>
        <w:sz w:val="48"/>
      </w:rPr>
    </w:pPr>
    <w:r w:rsidRPr="002457F6">
      <w:rPr>
        <w:rFonts w:ascii="Arial" w:hAnsi="Arial" w:cs="Arial"/>
        <w:b/>
        <w:sz w:val="48"/>
      </w:rPr>
      <w:t>LV</w:t>
    </w:r>
    <w:r w:rsidRPr="002457F6">
      <w:rPr>
        <w:rFonts w:ascii="Arial" w:hAnsi="Arial" w:cs="Arial"/>
        <w:b/>
        <w:sz w:val="48"/>
      </w:rPr>
      <w:tab/>
    </w:r>
    <w:r w:rsidRPr="002457F6">
      <w:rPr>
        <w:rFonts w:ascii="Arial" w:hAnsi="Arial" w:cs="Arial"/>
        <w:b/>
        <w:sz w:val="48"/>
      </w:rPr>
      <w:tab/>
    </w:r>
    <w:r w:rsidRPr="002457F6">
      <w:tab/>
    </w:r>
    <w:r w:rsidRPr="002457F6">
      <w:rPr>
        <w:rFonts w:ascii="Arial" w:hAnsi="Arial" w:cs="Arial"/>
        <w:b/>
        <w:sz w:val="48"/>
      </w:rPr>
      <w:t>LV</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067995"/>
      <w:docPartObj>
        <w:docPartGallery w:val="Page Numbers (Bottom of Page)"/>
        <w:docPartUnique/>
      </w:docPartObj>
    </w:sdtPr>
    <w:sdtEndPr>
      <w:rPr>
        <w:noProof/>
      </w:rPr>
    </w:sdtEndPr>
    <w:sdtContent>
      <w:p w14:paraId="145FA333" w14:textId="489F96FD"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7E7E9D68" w14:textId="77777777" w:rsidR="00C972CB" w:rsidRDefault="00C972CB">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298421"/>
      <w:docPartObj>
        <w:docPartGallery w:val="Page Numbers (Bottom of Page)"/>
        <w:docPartUnique/>
      </w:docPartObj>
    </w:sdtPr>
    <w:sdtEndPr>
      <w:rPr>
        <w:noProof/>
      </w:rPr>
    </w:sdtEndPr>
    <w:sdtContent>
      <w:p w14:paraId="50133747" w14:textId="75FF39B7"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926E2B9" w14:textId="77777777" w:rsidR="00C972CB" w:rsidRDefault="00C972CB">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53D3" w14:textId="77777777" w:rsidR="00C972CB" w:rsidRDefault="00C972C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F976" w14:textId="77777777" w:rsidR="00C972CB" w:rsidRDefault="00C972C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4BB2" w14:textId="77777777" w:rsidR="00C972CB" w:rsidRDefault="00C972C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68056"/>
      <w:docPartObj>
        <w:docPartGallery w:val="Page Numbers (Bottom of Page)"/>
        <w:docPartUnique/>
      </w:docPartObj>
    </w:sdtPr>
    <w:sdtEndPr>
      <w:rPr>
        <w:noProof/>
      </w:rPr>
    </w:sdtEndPr>
    <w:sdtContent>
      <w:p w14:paraId="23A5768F" w14:textId="2AA1A498"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8F6BD7D" w14:textId="77777777" w:rsidR="00C972CB" w:rsidRDefault="00C972CB">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94E0" w14:textId="77777777" w:rsidR="00C972CB" w:rsidRDefault="00C972C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658E" w14:textId="77777777" w:rsidR="00C972CB" w:rsidRDefault="00C972C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970650"/>
      <w:docPartObj>
        <w:docPartGallery w:val="Page Numbers (Bottom of Page)"/>
        <w:docPartUnique/>
      </w:docPartObj>
    </w:sdtPr>
    <w:sdtEndPr>
      <w:rPr>
        <w:noProof/>
      </w:rPr>
    </w:sdtEndPr>
    <w:sdtContent>
      <w:p w14:paraId="628E42DA" w14:textId="7C083D5F"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4E3C0FA7" w14:textId="77777777" w:rsidR="00C972CB" w:rsidRDefault="00C972CB">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1562" w14:textId="77777777" w:rsidR="00C972CB" w:rsidRDefault="00C972C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83A3" w14:textId="77777777" w:rsidR="00C972CB" w:rsidRDefault="00C972C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5000"/>
      <w:docPartObj>
        <w:docPartGallery w:val="Page Numbers (Bottom of Page)"/>
        <w:docPartUnique/>
      </w:docPartObj>
    </w:sdtPr>
    <w:sdtEndPr>
      <w:rPr>
        <w:noProof/>
      </w:rPr>
    </w:sdtEndPr>
    <w:sdtContent>
      <w:p w14:paraId="3AA27D58" w14:textId="28262EC5"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04A6F2F7" w14:textId="77777777" w:rsidR="00C972CB" w:rsidRDefault="00C972CB">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9261C" w14:textId="77777777" w:rsidR="002457F6" w:rsidRPr="002457F6" w:rsidRDefault="002457F6" w:rsidP="002457F6">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678D" w14:textId="77777777" w:rsidR="00C972CB" w:rsidRDefault="00C972C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B51A" w14:textId="77777777" w:rsidR="00C972CB" w:rsidRDefault="00C972C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806931"/>
      <w:docPartObj>
        <w:docPartGallery w:val="Page Numbers (Bottom of Page)"/>
        <w:docPartUnique/>
      </w:docPartObj>
    </w:sdtPr>
    <w:sdtEndPr>
      <w:rPr>
        <w:noProof/>
      </w:rPr>
    </w:sdtEndPr>
    <w:sdtContent>
      <w:p w14:paraId="10A733DF" w14:textId="54F6CBDB"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2A32950" w14:textId="77777777" w:rsidR="00C972CB" w:rsidRDefault="00C972CB">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5601" w14:textId="77777777" w:rsidR="00C972CB" w:rsidRDefault="00C972C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214E" w14:textId="77777777" w:rsidR="00C972CB" w:rsidRDefault="00C972C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443019"/>
      <w:docPartObj>
        <w:docPartGallery w:val="Page Numbers (Bottom of Page)"/>
        <w:docPartUnique/>
      </w:docPartObj>
    </w:sdtPr>
    <w:sdtEndPr>
      <w:rPr>
        <w:noProof/>
      </w:rPr>
    </w:sdtEndPr>
    <w:sdtContent>
      <w:p w14:paraId="1B71F9E7" w14:textId="5BFA7F60"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C648EFB" w14:textId="77777777" w:rsidR="00C972CB" w:rsidRDefault="00C972CB">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B5395" w14:textId="77777777" w:rsidR="00C972CB" w:rsidRDefault="00C972C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456CF" w14:textId="77777777" w:rsidR="00C972CB" w:rsidRDefault="00C972C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644875"/>
      <w:docPartObj>
        <w:docPartGallery w:val="Page Numbers (Bottom of Page)"/>
        <w:docPartUnique/>
      </w:docPartObj>
    </w:sdtPr>
    <w:sdtEndPr>
      <w:rPr>
        <w:noProof/>
      </w:rPr>
    </w:sdtEndPr>
    <w:sdtContent>
      <w:p w14:paraId="4F1325C5" w14:textId="06EBB7AC"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30635581" w14:textId="77777777" w:rsidR="00C972CB" w:rsidRDefault="00C972CB">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09A5D" w14:textId="77777777" w:rsidR="00C972CB" w:rsidRDefault="00C972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CA53" w14:textId="77777777" w:rsidR="00C972CB" w:rsidRDefault="00C972C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A4A8" w14:textId="77777777" w:rsidR="00C972CB" w:rsidRDefault="00C972C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63458"/>
      <w:docPartObj>
        <w:docPartGallery w:val="Page Numbers (Bottom of Page)"/>
        <w:docPartUnique/>
      </w:docPartObj>
    </w:sdtPr>
    <w:sdtEndPr>
      <w:rPr>
        <w:noProof/>
      </w:rPr>
    </w:sdtEndPr>
    <w:sdtContent>
      <w:p w14:paraId="0B6634F9" w14:textId="195212A3"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3B255385" w14:textId="77777777" w:rsidR="00C972CB" w:rsidRDefault="00C972CB">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3E17" w14:textId="77777777" w:rsidR="00C972CB" w:rsidRDefault="00C972C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227D3" w14:textId="77777777" w:rsidR="00C972CB" w:rsidRDefault="00C972C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1656"/>
      <w:docPartObj>
        <w:docPartGallery w:val="Page Numbers (Bottom of Page)"/>
        <w:docPartUnique/>
      </w:docPartObj>
    </w:sdtPr>
    <w:sdtEndPr>
      <w:rPr>
        <w:noProof/>
      </w:rPr>
    </w:sdtEndPr>
    <w:sdtContent>
      <w:p w14:paraId="53CE5A0B" w14:textId="279E50DF"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6D88276F" w14:textId="77777777" w:rsidR="00C972CB" w:rsidRDefault="00C972CB">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7080" w14:textId="77777777" w:rsidR="00C972CB" w:rsidRDefault="00C972C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63E68" w14:textId="77777777" w:rsidR="00C972CB" w:rsidRDefault="00C972C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72904"/>
      <w:docPartObj>
        <w:docPartGallery w:val="Page Numbers (Bottom of Page)"/>
        <w:docPartUnique/>
      </w:docPartObj>
    </w:sdtPr>
    <w:sdtEndPr>
      <w:rPr>
        <w:noProof/>
      </w:rPr>
    </w:sdtEndPr>
    <w:sdtContent>
      <w:p w14:paraId="515B5279" w14:textId="030A30F8"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61BA791F" w14:textId="77777777" w:rsidR="00C972CB" w:rsidRDefault="00C972CB">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CA14" w14:textId="77777777" w:rsidR="00C972CB" w:rsidRDefault="00C972C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74043" w14:textId="77777777" w:rsidR="00C972CB" w:rsidRDefault="00C972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748456"/>
      <w:docPartObj>
        <w:docPartGallery w:val="Page Numbers (Bottom of Page)"/>
        <w:docPartUnique/>
      </w:docPartObj>
    </w:sdtPr>
    <w:sdtEndPr>
      <w:rPr>
        <w:noProof/>
      </w:rPr>
    </w:sdtEndPr>
    <w:sdtContent>
      <w:p w14:paraId="7D3FDEBE" w14:textId="14D1721A" w:rsidR="00C972CB" w:rsidRDefault="002457F6">
        <w:pPr>
          <w:pStyle w:val="Footer"/>
          <w:jc w:val="center"/>
        </w:pPr>
        <w:r>
          <w:fldChar w:fldCharType="begin"/>
        </w:r>
        <w:r>
          <w:instrText xml:space="preserve"> PAGE   \* MERGEFORMAT </w:instrText>
        </w:r>
        <w:r>
          <w:fldChar w:fldCharType="separate"/>
        </w:r>
        <w:r>
          <w:rPr>
            <w:noProof/>
          </w:rPr>
          <w:t>6</w:t>
        </w:r>
        <w:r>
          <w:fldChar w:fldCharType="end"/>
        </w:r>
      </w:p>
    </w:sdtContent>
  </w:sdt>
  <w:p w14:paraId="3DB8397B" w14:textId="77777777" w:rsidR="00C972CB" w:rsidRDefault="00C972CB">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916510"/>
      <w:docPartObj>
        <w:docPartGallery w:val="Page Numbers (Bottom of Page)"/>
        <w:docPartUnique/>
      </w:docPartObj>
    </w:sdtPr>
    <w:sdtEndPr>
      <w:rPr>
        <w:noProof/>
      </w:rPr>
    </w:sdtEndPr>
    <w:sdtContent>
      <w:p w14:paraId="11A02371" w14:textId="25476AB7"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058E1C3" w14:textId="77777777" w:rsidR="00C972CB" w:rsidRDefault="00C972CB">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D64A6" w14:textId="77777777" w:rsidR="00C972CB" w:rsidRDefault="00C972C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6287" w14:textId="77777777" w:rsidR="00C972CB" w:rsidRDefault="00C972C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397303"/>
      <w:docPartObj>
        <w:docPartGallery w:val="Page Numbers (Bottom of Page)"/>
        <w:docPartUnique/>
      </w:docPartObj>
    </w:sdtPr>
    <w:sdtEndPr>
      <w:rPr>
        <w:noProof/>
      </w:rPr>
    </w:sdtEndPr>
    <w:sdtContent>
      <w:p w14:paraId="027DA675" w14:textId="7DE7AC8C"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17921B2" w14:textId="77777777" w:rsidR="00C972CB" w:rsidRDefault="00C972CB">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0AAA" w14:textId="77777777" w:rsidR="00C972CB" w:rsidRDefault="00C972C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C877" w14:textId="77777777" w:rsidR="00C972CB" w:rsidRDefault="00C972C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077335"/>
      <w:docPartObj>
        <w:docPartGallery w:val="Page Numbers (Bottom of Page)"/>
        <w:docPartUnique/>
      </w:docPartObj>
    </w:sdtPr>
    <w:sdtEndPr>
      <w:rPr>
        <w:noProof/>
      </w:rPr>
    </w:sdtEndPr>
    <w:sdtContent>
      <w:p w14:paraId="4BF25CD9" w14:textId="05E2C808"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19B69B2E" w14:textId="77777777" w:rsidR="00C972CB" w:rsidRDefault="00C972CB">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BF94" w14:textId="77777777" w:rsidR="00C972CB" w:rsidRDefault="00C972C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E77C" w14:textId="77777777" w:rsidR="00C972CB" w:rsidRDefault="00C972C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454727"/>
      <w:docPartObj>
        <w:docPartGallery w:val="Page Numbers (Bottom of Page)"/>
        <w:docPartUnique/>
      </w:docPartObj>
    </w:sdtPr>
    <w:sdtEndPr>
      <w:rPr>
        <w:noProof/>
      </w:rPr>
    </w:sdtEndPr>
    <w:sdtContent>
      <w:p w14:paraId="73DD249B" w14:textId="5B1C006E"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99BD63B" w14:textId="77777777" w:rsidR="00C972CB" w:rsidRDefault="00C972CB">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15BF" w14:textId="77777777" w:rsidR="00C972CB" w:rsidRDefault="00C972C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BE1B" w14:textId="77777777" w:rsidR="00C972CB" w:rsidRDefault="00C972C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7CCB" w14:textId="77777777" w:rsidR="00C972CB" w:rsidRDefault="00C972C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599711"/>
      <w:docPartObj>
        <w:docPartGallery w:val="Page Numbers (Bottom of Page)"/>
        <w:docPartUnique/>
      </w:docPartObj>
    </w:sdtPr>
    <w:sdtEndPr>
      <w:rPr>
        <w:noProof/>
      </w:rPr>
    </w:sdtEndPr>
    <w:sdtContent>
      <w:p w14:paraId="6500AEE4" w14:textId="2B0D3758"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6092564" w14:textId="77777777" w:rsidR="00C972CB" w:rsidRDefault="00C972CB">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6E84" w14:textId="77777777" w:rsidR="00C972CB" w:rsidRDefault="00C972C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A405" w14:textId="77777777" w:rsidR="00C972CB" w:rsidRDefault="00C972CB">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068623"/>
      <w:docPartObj>
        <w:docPartGallery w:val="Page Numbers (Bottom of Page)"/>
        <w:docPartUnique/>
      </w:docPartObj>
    </w:sdtPr>
    <w:sdtEndPr>
      <w:rPr>
        <w:noProof/>
      </w:rPr>
    </w:sdtEndPr>
    <w:sdtContent>
      <w:p w14:paraId="0371BEE9" w14:textId="1248B5AE"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72ADBD04" w14:textId="77777777" w:rsidR="00C972CB" w:rsidRDefault="00C972CB">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4121" w14:textId="77777777" w:rsidR="00C972CB" w:rsidRDefault="00C972CB">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9711" w14:textId="77777777" w:rsidR="00C972CB" w:rsidRDefault="00C972CB">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860024"/>
      <w:docPartObj>
        <w:docPartGallery w:val="Page Numbers (Bottom of Page)"/>
        <w:docPartUnique/>
      </w:docPartObj>
    </w:sdtPr>
    <w:sdtEndPr>
      <w:rPr>
        <w:noProof/>
      </w:rPr>
    </w:sdtEndPr>
    <w:sdtContent>
      <w:p w14:paraId="56AD7EBC" w14:textId="7407D9B2"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6FA81FF4" w14:textId="77777777" w:rsidR="00C972CB" w:rsidRDefault="00C972CB">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1750" w14:textId="77777777" w:rsidR="00C972CB" w:rsidRDefault="00C972C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CB3D" w14:textId="77777777" w:rsidR="00C972CB" w:rsidRDefault="00C972CB">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6D2C" w14:textId="77777777" w:rsidR="00C972CB" w:rsidRDefault="00C972CB">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119408"/>
      <w:docPartObj>
        <w:docPartGallery w:val="Page Numbers (Bottom of Page)"/>
        <w:docPartUnique/>
      </w:docPartObj>
    </w:sdtPr>
    <w:sdtEndPr>
      <w:rPr>
        <w:noProof/>
      </w:rPr>
    </w:sdtEndPr>
    <w:sdtContent>
      <w:p w14:paraId="757D10B2" w14:textId="14DA375C"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4CB09866" w14:textId="77777777" w:rsidR="00C972CB" w:rsidRDefault="00C972CB">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73D8" w14:textId="77777777" w:rsidR="00C972CB" w:rsidRDefault="00C972CB">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386C" w14:textId="77777777" w:rsidR="00C972CB" w:rsidRDefault="00C972CB">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73972"/>
      <w:docPartObj>
        <w:docPartGallery w:val="Page Numbers (Bottom of Page)"/>
        <w:docPartUnique/>
      </w:docPartObj>
    </w:sdtPr>
    <w:sdtEndPr>
      <w:rPr>
        <w:noProof/>
      </w:rPr>
    </w:sdtEndPr>
    <w:sdtContent>
      <w:p w14:paraId="2D44E036" w14:textId="68AB0B95"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069F4A94" w14:textId="77777777" w:rsidR="00C972CB" w:rsidRDefault="00C972CB">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E04F" w14:textId="77777777" w:rsidR="00C972CB" w:rsidRDefault="00C972C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66D0F" w14:textId="77777777" w:rsidR="00C972CB" w:rsidRDefault="00C972CB">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79270"/>
      <w:docPartObj>
        <w:docPartGallery w:val="Page Numbers (Bottom of Page)"/>
        <w:docPartUnique/>
      </w:docPartObj>
    </w:sdtPr>
    <w:sdtEndPr>
      <w:rPr>
        <w:noProof/>
      </w:rPr>
    </w:sdtEndPr>
    <w:sdtContent>
      <w:p w14:paraId="6E9062C6" w14:textId="6C032C76"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0911B324" w14:textId="77777777" w:rsidR="00C972CB" w:rsidRDefault="00C972CB">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DDAC" w14:textId="77777777" w:rsidR="00C972CB" w:rsidRDefault="00C972CB">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061D" w14:textId="77777777" w:rsidR="00C972CB" w:rsidRDefault="00C972C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592301"/>
      <w:docPartObj>
        <w:docPartGallery w:val="Page Numbers (Bottom of Page)"/>
        <w:docPartUnique/>
      </w:docPartObj>
    </w:sdtPr>
    <w:sdtEndPr>
      <w:rPr>
        <w:noProof/>
      </w:rPr>
    </w:sdtEndPr>
    <w:sdtContent>
      <w:p w14:paraId="419BD5A8" w14:textId="69439B7A" w:rsidR="00C972CB" w:rsidRDefault="002457F6">
        <w:pPr>
          <w:pStyle w:val="Footer"/>
          <w:jc w:val="center"/>
        </w:pPr>
        <w:r>
          <w:fldChar w:fldCharType="begin"/>
        </w:r>
        <w:r>
          <w:instrText xml:space="preserve"> PAGE   \* MERGEFORMAT </w:instrText>
        </w:r>
        <w:r>
          <w:fldChar w:fldCharType="separate"/>
        </w:r>
        <w:r>
          <w:rPr>
            <w:noProof/>
          </w:rPr>
          <w:t>11</w:t>
        </w:r>
        <w:r>
          <w:fldChar w:fldCharType="end"/>
        </w:r>
      </w:p>
    </w:sdtContent>
  </w:sdt>
  <w:p w14:paraId="1A571AC5" w14:textId="77777777" w:rsidR="00C972CB" w:rsidRDefault="00C972CB">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095486"/>
      <w:docPartObj>
        <w:docPartGallery w:val="Page Numbers (Bottom of Page)"/>
        <w:docPartUnique/>
      </w:docPartObj>
    </w:sdtPr>
    <w:sdtEndPr>
      <w:rPr>
        <w:noProof/>
      </w:rPr>
    </w:sdtEndPr>
    <w:sdtContent>
      <w:p w14:paraId="1B2F04DC" w14:textId="0D6763A8"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B510444" w14:textId="77777777" w:rsidR="00C972CB" w:rsidRDefault="00C972CB">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B8EC8" w14:textId="77777777" w:rsidR="00C972CB" w:rsidRDefault="00C972CB">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7AD4" w14:textId="77777777" w:rsidR="00C972CB" w:rsidRDefault="00C972CB">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078944"/>
      <w:docPartObj>
        <w:docPartGallery w:val="Page Numbers (Bottom of Page)"/>
        <w:docPartUnique/>
      </w:docPartObj>
    </w:sdtPr>
    <w:sdtEndPr>
      <w:rPr>
        <w:noProof/>
      </w:rPr>
    </w:sdtEndPr>
    <w:sdtContent>
      <w:p w14:paraId="727896BE" w14:textId="637E9081"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2B320250" w14:textId="77777777" w:rsidR="00C972CB" w:rsidRDefault="00C972CB">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2207" w14:textId="77777777" w:rsidR="00C972CB" w:rsidRDefault="00C972CB">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A121" w14:textId="77777777" w:rsidR="00C972CB" w:rsidRDefault="00C972CB">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868140"/>
      <w:docPartObj>
        <w:docPartGallery w:val="Page Numbers (Bottom of Page)"/>
        <w:docPartUnique/>
      </w:docPartObj>
    </w:sdtPr>
    <w:sdtEndPr>
      <w:rPr>
        <w:noProof/>
      </w:rPr>
    </w:sdtEndPr>
    <w:sdtContent>
      <w:p w14:paraId="0311AF99" w14:textId="07E657D1"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6B64C49F" w14:textId="77777777" w:rsidR="00C972CB" w:rsidRDefault="00C972CB">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94C7" w14:textId="77777777" w:rsidR="00C972CB" w:rsidRDefault="00C972CB">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78EE" w14:textId="77777777" w:rsidR="00C972CB" w:rsidRDefault="00C972CB">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25245"/>
      <w:docPartObj>
        <w:docPartGallery w:val="Page Numbers (Bottom of Page)"/>
        <w:docPartUnique/>
      </w:docPartObj>
    </w:sdtPr>
    <w:sdtEndPr>
      <w:rPr>
        <w:noProof/>
      </w:rPr>
    </w:sdtEndPr>
    <w:sdtContent>
      <w:p w14:paraId="3E04695A" w14:textId="1CD07E86"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5E21FEA" w14:textId="77777777" w:rsidR="00C972CB" w:rsidRDefault="00C972CB">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7451" w14:textId="77777777" w:rsidR="00C972CB" w:rsidRDefault="00C972CB">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6B1BF" w14:textId="77777777" w:rsidR="00C972CB" w:rsidRDefault="00C972CB">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22C4" w14:textId="77777777" w:rsidR="00C972CB" w:rsidRDefault="00C972CB">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08734"/>
      <w:docPartObj>
        <w:docPartGallery w:val="Page Numbers (Bottom of Page)"/>
        <w:docPartUnique/>
      </w:docPartObj>
    </w:sdtPr>
    <w:sdtEndPr>
      <w:rPr>
        <w:noProof/>
      </w:rPr>
    </w:sdtEndPr>
    <w:sdtContent>
      <w:p w14:paraId="556E0FFA" w14:textId="24D940D8"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1E76B210" w14:textId="77777777" w:rsidR="00C972CB" w:rsidRDefault="00C972CB">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6383" w14:textId="77777777" w:rsidR="00C972CB" w:rsidRDefault="00C972CB">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E457F" w14:textId="77777777" w:rsidR="00C972CB" w:rsidRDefault="00C972CB">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295293"/>
      <w:docPartObj>
        <w:docPartGallery w:val="Page Numbers (Bottom of Page)"/>
        <w:docPartUnique/>
      </w:docPartObj>
    </w:sdtPr>
    <w:sdtEndPr>
      <w:rPr>
        <w:noProof/>
      </w:rPr>
    </w:sdtEndPr>
    <w:sdtContent>
      <w:p w14:paraId="21E37B27" w14:textId="33F99097"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59CFA528" w14:textId="77777777" w:rsidR="00C972CB" w:rsidRDefault="00C972CB">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F04D" w14:textId="77777777" w:rsidR="00C972CB" w:rsidRDefault="00C972CB">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AD0F" w14:textId="77777777" w:rsidR="00C972CB" w:rsidRDefault="00C972CB">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84790"/>
      <w:docPartObj>
        <w:docPartGallery w:val="Page Numbers (Bottom of Page)"/>
        <w:docPartUnique/>
      </w:docPartObj>
    </w:sdtPr>
    <w:sdtEndPr>
      <w:rPr>
        <w:noProof/>
      </w:rPr>
    </w:sdtEndPr>
    <w:sdtContent>
      <w:p w14:paraId="6AE50132" w14:textId="07C7939B" w:rsidR="00C972CB" w:rsidRDefault="002457F6">
        <w:pPr>
          <w:pStyle w:val="Footer"/>
          <w:jc w:val="center"/>
        </w:pPr>
        <w:r>
          <w:fldChar w:fldCharType="begin"/>
        </w:r>
        <w:r>
          <w:instrText xml:space="preserve"> PAGE   \* MERGEFORMAT </w:instrText>
        </w:r>
        <w:r>
          <w:fldChar w:fldCharType="separate"/>
        </w:r>
        <w:r>
          <w:t>2</w:t>
        </w:r>
        <w:r>
          <w:fldChar w:fldCharType="end"/>
        </w:r>
      </w:p>
    </w:sdtContent>
  </w:sdt>
  <w:p w14:paraId="472F030E" w14:textId="77777777" w:rsidR="00C972CB" w:rsidRDefault="00C972CB">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DE30" w14:textId="77777777" w:rsidR="00C972CB" w:rsidRDefault="00C972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8A53A" w14:textId="77777777" w:rsidR="00555E58" w:rsidRDefault="00555E58">
      <w:r>
        <w:separator/>
      </w:r>
    </w:p>
  </w:footnote>
  <w:footnote w:type="continuationSeparator" w:id="0">
    <w:p w14:paraId="11B25166" w14:textId="77777777" w:rsidR="00555E58" w:rsidRDefault="00555E58">
      <w:r>
        <w:continuationSeparator/>
      </w:r>
    </w:p>
  </w:footnote>
  <w:footnote w:type="continuationNotice" w:id="1">
    <w:p w14:paraId="15B8F5A0" w14:textId="77777777" w:rsidR="00555E58" w:rsidRDefault="00555E58"/>
  </w:footnote>
  <w:footnote w:id="2">
    <w:p w14:paraId="01660C3B" w14:textId="77777777" w:rsidR="00C972CB" w:rsidRDefault="002457F6">
      <w:pPr>
        <w:pStyle w:val="FootnoteText"/>
        <w:ind w:left="0" w:firstLine="0"/>
      </w:pPr>
      <w:r>
        <w:rPr>
          <w:rStyle w:val="FootnoteReference"/>
        </w:rPr>
        <w:footnoteRef/>
      </w:r>
      <w:r>
        <w:t xml:space="preserve"> Izņemot a) šā pasākuma projektus elektroenerģijas un/vai siltuma ražošanas jomā, kā arī saistīto pārvades un sadales infrastruktūru, kurā izmanto dabasgāzi un kuri atbilst tehnisko norādījumu “nenodari būtisku kaitējumu” (2021/C58/01) III pielikumā izklās</w:t>
      </w:r>
      <w:r>
        <w:t>tītajiem nosacījumiem, un b) darbības un aktīvus saskaņā ar ii) punktu, kuros fosilā kurināmā izmantošana ir īslaicīga un tehniski nenovēršama, lai laikus pārietu uz ekspluatāciju bez fosilā kurināmā.</w:t>
      </w:r>
    </w:p>
  </w:footnote>
  <w:footnote w:id="3">
    <w:p w14:paraId="42EFD6CD" w14:textId="77777777" w:rsidR="00C972CB" w:rsidRDefault="002457F6">
      <w:pPr>
        <w:pStyle w:val="FootnoteText"/>
        <w:ind w:left="0" w:firstLine="0"/>
      </w:pPr>
      <w:r>
        <w:rPr>
          <w:rStyle w:val="FootnoteReference"/>
        </w:rPr>
        <w:footnoteRef/>
      </w:r>
      <w:r>
        <w:t xml:space="preserve"> Ja atbalstītā darbība sasniedz prognozētās siltumnīce</w:t>
      </w:r>
      <w:r>
        <w:t>fekta gāzu emisijas, kas nav ievērojami zemākas par attiecīgajām līmeņatzīmēm, būtu jāsniedz paskaidrojums par iemesliem, kāpēc tas nav iespējams. Līmeņatzīmes, kas noteiktas bezmaksas kvotu piešķiršanai darbībām, kuras ietilpst emisijas kvotu tirdzniecība</w:t>
      </w:r>
      <w:r>
        <w:t>s sistēmas darbības jomā, kā noteikts Komisijas Īstenošanas regulā (ES) 2021/447.</w:t>
      </w:r>
    </w:p>
  </w:footnote>
  <w:footnote w:id="4">
    <w:p w14:paraId="3E8B0584" w14:textId="7B6A07B9"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nepārstrādājamu bīstamo atkritumu apstrādei, un esošām iekārtām, ja darbības saska</w:t>
      </w:r>
      <w:r>
        <w:t>ņā ar šo pasākumu ir paredzētas, lai palielinātu energoefektivitāti, uztvertu dūmgāzes glabāšanai vai izmantošanai, vai reģenerētu materiālus no sadedzināšanas pelniem, ar noteikumu, ka šādas darbības saskaņā ar šo pasākumu nepalielina iekārtu atkritumu pā</w:t>
      </w:r>
      <w:r>
        <w:t>rstrādes jaudu vai nepagarina iekārtu darbmūžu; par kuriem ir sniegti pierādījumi ražotnes līmenī</w:t>
      </w:r>
    </w:p>
  </w:footnote>
  <w:footnote w:id="5">
    <w:p w14:paraId="395EFBCA" w14:textId="77777777"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paredzēt</w:t>
      </w:r>
      <w:r>
        <w:t>as, lai palielinātu energoefektivitāti vai modernizētu dalīto atkritumu pārstrādes darbības, tos pārveidojot par komposta bioatkritumiem un bioatkritumu anaerobo noārdīšanu, ar noteikumu, ka šādas darbības saskaņā ar šo pasākumu nepalielina iekārtu atkritu</w:t>
      </w:r>
      <w:r>
        <w:t>mu pārstrādes jaudu vai nepagarina iekārtu darbmūžu; par kuriem ir sniegti pierādījumi uzņēmuma līmenī.</w:t>
      </w:r>
    </w:p>
  </w:footnote>
  <w:footnote w:id="6">
    <w:p w14:paraId="22BCB45A" w14:textId="77777777" w:rsidR="00C972CB" w:rsidRDefault="002457F6">
      <w:pPr>
        <w:jc w:val="both"/>
      </w:pPr>
      <w:r>
        <w:footnoteRef/>
      </w:r>
      <w:r>
        <w:rPr>
          <w:sz w:val="20"/>
        </w:rPr>
        <w:t>Izņemot projektus saskaņā ar šo pasākumu elektroenerģijas un/vai siltuma ražošanā, kā arī saistītajā pārvades un sadales infrastruktūrā, izmantojot dab</w:t>
      </w:r>
      <w:r>
        <w:rPr>
          <w:sz w:val="20"/>
        </w:rPr>
        <w:t>asgāzi, kas atbilst tehnisko vadlīniju “Nenodari būtisku kaitējumu” (2021/C58/01) III pielikumā izklāstītajiem nosacījumiem.</w:t>
      </w:r>
    </w:p>
  </w:footnote>
  <w:footnote w:id="7">
    <w:p w14:paraId="3C5FA3D5" w14:textId="77777777" w:rsidR="00C972CB" w:rsidRDefault="002457F6">
      <w:pPr>
        <w:jc w:val="both"/>
        <w:rPr>
          <w:sz w:val="20"/>
        </w:rPr>
      </w:pPr>
      <w:r>
        <w:footnoteRef/>
      </w:r>
      <w:r>
        <w:rPr>
          <w:sz w:val="20"/>
        </w:rPr>
        <w:t xml:space="preserve">Ja atbalstītā darbība sasniedz prognozētās siltumnīcefekta gāzu emisijas, kas nav ievērojami zemākas par attiecīgajām </w:t>
      </w:r>
      <w:r>
        <w:rPr>
          <w:sz w:val="20"/>
        </w:rPr>
        <w:t>līmeņatzīmēm, būtu jāsniedz paskaidrojums par iemesliem, kāpēc tas nav iespējams. Līmeņatzīmes, kas noteiktas bezmaksas kvotu piešķiršanai darbībām, kuras ietilpst emisijas kvotu tirdzniecības sistēmas darbības jomā, kā noteikts Komisijas Īstenošanas regul</w:t>
      </w:r>
      <w:r>
        <w:rPr>
          <w:sz w:val="20"/>
        </w:rPr>
        <w:t>ā (ES) 2021/447.</w:t>
      </w:r>
    </w:p>
  </w:footnote>
  <w:footnote w:id="8">
    <w:p w14:paraId="3C1CF2A1" w14:textId="77777777" w:rsidR="00C972CB" w:rsidRDefault="002457F6">
      <w:pPr>
        <w:jc w:val="both"/>
        <w:rPr>
          <w:sz w:val="20"/>
        </w:rPr>
      </w:pPr>
      <w:r>
        <w:footnoteRef/>
      </w:r>
      <w:r>
        <w:rPr>
          <w:sz w:val="20"/>
        </w:rPr>
        <w:t>Šis izņēmums neattiecas uz darbībām saskaņā ar šo pasākumu iekārtās, kas paredzētas tikai nepārstrādājamu bīstamo atkritumu apstrādei, un esošām iekārtām, ja darbības saskaņā ar šo pasākumu ir paredzētas, lai palielinātu energoefektivitāt</w:t>
      </w:r>
      <w:r>
        <w:rPr>
          <w:sz w:val="20"/>
        </w:rPr>
        <w:t>i, uztvertu dūmgāzes glabāšanai vai izmantošanai, vai reģenerētu materiālus no sadedzināšanas pelniem, ar noteikumu, ka šādas darbības saskaņā ar šo pasākumu nepalielina iekārtu atkritumu pārstrādes jaudu vai nepagarina iekārtu darbmūžu; par kuriem ir snie</w:t>
      </w:r>
      <w:r>
        <w:rPr>
          <w:sz w:val="20"/>
        </w:rPr>
        <w:t>gti pierādījumi uzņēmuma līmenī.</w:t>
      </w:r>
    </w:p>
  </w:footnote>
  <w:footnote w:id="9">
    <w:p w14:paraId="3D94D292" w14:textId="77777777" w:rsidR="00C972CB" w:rsidRDefault="002457F6">
      <w:pPr>
        <w:jc w:val="both"/>
        <w:rPr>
          <w:sz w:val="20"/>
        </w:rPr>
      </w:pPr>
      <w:r>
        <w:footnoteRef/>
      </w:r>
      <w:r>
        <w:rPr>
          <w:sz w:val="20"/>
        </w:rPr>
        <w:t>Šis izņēmums neattiecas uz darbībām saskaņā ar šo pasākumu esošajās mehāniski bioloģiskās apstrādes iekārtās, ja darbības saskaņā ar šo pasākumu ir paredzētas, lai palielinātu energoefektivitāti vai modernizētu dalīto atkr</w:t>
      </w:r>
      <w:r>
        <w:rPr>
          <w:sz w:val="20"/>
        </w:rPr>
        <w:t>itumu pārstrādes darbības, tos pārveidojot par komposta bioatkritumiem un bioatkritumu anaerobo noārdīšanu, ar noteikumu, ka šādas darbības saskaņā ar šo pasākumu nepalielina iekārtu atkritumu pārstrādes jaudu vai nepagarina iekārtu darbmūžu; par kuriem ir</w:t>
      </w:r>
      <w:r>
        <w:rPr>
          <w:sz w:val="20"/>
        </w:rPr>
        <w:t xml:space="preserve"> sniegti pierādījumi uzņēmuma līmenī.</w:t>
      </w:r>
    </w:p>
  </w:footnote>
  <w:footnote w:id="10">
    <w:p w14:paraId="115EFAD7" w14:textId="77777777" w:rsidR="00C972CB" w:rsidRDefault="002457F6">
      <w:pPr>
        <w:pStyle w:val="FootnoteText"/>
        <w:ind w:left="0" w:firstLine="0"/>
      </w:pPr>
      <w:r>
        <w:rPr>
          <w:rStyle w:val="FootnoteReference"/>
        </w:rPr>
        <w:footnoteRef/>
      </w:r>
      <w:r>
        <w:t xml:space="preserve"> Izņemot a) aktīvus un darbības elektroenerģijas un/vai siltuma ražošanas jomā, kā arī saistīto pārvades un sadales infrastruktūru, izmantojot dabasgāzi, kas atbilst tehnisko norādījumu “nenodari būtisku kaitējumu” (2</w:t>
      </w:r>
      <w:r>
        <w:t>021/C58/01) III pielikumā izklāstītajiem nosacījumiem, un b) darbības un aktīvus saskaņā ar ii) punktu, kuros fosilā kurināmā izmantošana ir īslaicīga un tehniski nenovēršama, lai laikus pārietu uz ekspluatāciju bez fosilā kurināmā.</w:t>
      </w:r>
    </w:p>
  </w:footnote>
  <w:footnote w:id="11">
    <w:p w14:paraId="03C9CEBE" w14:textId="77777777" w:rsidR="00C972CB" w:rsidRDefault="002457F6">
      <w:pPr>
        <w:pStyle w:val="FootnoteText"/>
        <w:ind w:left="0" w:firstLine="0"/>
      </w:pPr>
      <w:r>
        <w:rPr>
          <w:rStyle w:val="FootnoteReference"/>
        </w:rPr>
        <w:footnoteRef/>
      </w:r>
      <w:r>
        <w:t xml:space="preserve"> Ja atbalstītā darbība</w:t>
      </w:r>
      <w:r>
        <w:t xml:space="preserve"> sasniedz prognozētās siltumnīcefekta gāzu emisijas, kas nav ievērojami zemākas par attiecīgajām līmeņatzīmēm, sniedz paskaidrojumu par iemesliem, kāpēc tas nav iespējams. Līmeņatzīmes, kas noteiktas bezmaksas kvotu piešķiršanai darbībām, kuras ietilpst em</w:t>
      </w:r>
      <w:r>
        <w:t>isijas kvotu tirdzniecības sistēmas darbības jomā, kā noteikts Komisijas Īstenošanas regulā (ES) 2021/447.</w:t>
      </w:r>
    </w:p>
  </w:footnote>
  <w:footnote w:id="12">
    <w:p w14:paraId="700D112F" w14:textId="77777777"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nepārstrādājamu bīstamo atkritumu apstrādei, un esošām ie</w:t>
      </w:r>
      <w:r>
        <w:t>kārtām, ja darbības saskaņā ar šo pasākumu ir paredzētas, lai palielinātu energoefektivitāti, uztvertu dūmgāzes glabāšanai vai izmantošanai, vai reģenerētu materiālus no sadedzināšanas pelniem, ar noteikumu, ka šādas darbības saskaņā ar šo pasākumu nepalie</w:t>
      </w:r>
      <w:r>
        <w:t>lina iekārtu atkritumu pārstrādes jaudu vai nepagarina iekārtu darbmūžu; par kuriem ir sniegti pierādījumi uzņēmuma līmenī. </w:t>
      </w:r>
    </w:p>
  </w:footnote>
  <w:footnote w:id="13">
    <w:p w14:paraId="405920D3" w14:textId="77777777"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w:t>
      </w:r>
      <w:r>
        <w:t xml:space="preserve"> ar šo pasākumu ir paredzētas, lai palielinātu energoefektivitāti vai modernizētu dalīto atkritumu pārstrādes darbības, tos pārveidojot par komposta bioatkritumiem un bioatkritumu anaerobo noārdīšanu, ar noteikumu, ka šādas darbības saskaņā ar šo pasākumu </w:t>
      </w:r>
      <w:r>
        <w:t>nepalielina iekārtu atkritumu pārstrādes jaudu vai nepagarina iekārtu darbmūžu; par kuriem ir sniegti pierādījumi uzņēmuma līmenī. </w:t>
      </w:r>
    </w:p>
  </w:footnote>
  <w:footnote w:id="14">
    <w:p w14:paraId="7E7F7679" w14:textId="6929D1A4" w:rsidR="00C972CB" w:rsidRDefault="002457F6">
      <w:pPr>
        <w:pStyle w:val="FootnoteText"/>
        <w:ind w:left="0" w:firstLine="0"/>
      </w:pPr>
      <w:r>
        <w:rPr>
          <w:rStyle w:val="FootnoteReference"/>
        </w:rPr>
        <w:footnoteRef/>
      </w:r>
      <w:r>
        <w:t xml:space="preserve"> Lai aprēķinātu ieguldījumu klimata jomā, galīgajiem saņēmējiem, kas saistīti ar konkrētiem projektiem, katram atbalstītaja</w:t>
      </w:r>
      <w:r>
        <w:t>m projektam ir jāsniedz izvēlētās intervences jomas pamatojums, kā arī projekta apraksts.</w:t>
      </w:r>
    </w:p>
  </w:footnote>
  <w:footnote w:id="15">
    <w:p w14:paraId="7D366F45" w14:textId="0E8DF3A3" w:rsidR="00C972CB" w:rsidRDefault="002457F6">
      <w:pPr>
        <w:pStyle w:val="FootnoteText"/>
        <w:ind w:left="0" w:firstLine="0"/>
      </w:pPr>
      <w:r>
        <w:rPr>
          <w:rStyle w:val="FootnoteReference"/>
        </w:rPr>
        <w:footnoteRef/>
      </w:r>
      <w:r>
        <w:t xml:space="preserve"> Izņemot a) aktīvus un darbības elektroenerģijas un/vai siltuma ražošanas jomā, kā arī saistīto pārvades un sadales infrastruktūru, izmantojot dabasgāzi, kas atbilst</w:t>
      </w:r>
      <w:r>
        <w:t xml:space="preserve"> tehnisko norādījumu “nenodari būtisku kaitējumu” (2021/C58/01) III pielikumā izklāstītajiem nosacījumiem, un b) darbības un aktīvus saskaņā ar ii) punktu, kuros fosilā kurināmā izmantošana ir īslaicīga un tehniski nenovēršama, lai laikus pārietu uz eksplu</w:t>
      </w:r>
      <w:r>
        <w:t>atāciju bez fosilā kurināmā.</w:t>
      </w:r>
    </w:p>
  </w:footnote>
  <w:footnote w:id="16">
    <w:p w14:paraId="5B9D5729" w14:textId="260CB279"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sniedz paskaidrojumu par iemesliem, kāpēc tas nav iespējams. Līmeņatzīmes, kas noteiktas bezm</w:t>
      </w:r>
      <w:r>
        <w:t>aksas kvotu piešķiršanai darbībām, kuras ietilpst emisijas kvotu tirdzniecības sistēmas darbības jomā, kā noteikts Komisijas Īstenošanas regulā (ES) 2021/447.</w:t>
      </w:r>
    </w:p>
  </w:footnote>
  <w:footnote w:id="17">
    <w:p w14:paraId="630678AB" w14:textId="58701999"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nepārstrādājamu bīstamo atkritumu apstrādei, un esošām iekārtām, ja darbības saskaņā ar šo pasākumu ir paredzētas, lai palielinātu energoefektivitāti, uztvertu dūmgā</w:t>
      </w:r>
      <w:r>
        <w:t>zes glabāšanai vai izmantošanai, vai reģenerētu materiālus no sadedzināšanas pelniem, ar noteikumu, ka šādas darbības saskaņā ar šo pasākumu nepalielina iekārtu atkritumu pārstrādes jaudu vai nepagarina iekārtu darbmūžu; par kuriem ir sniegti pierādījumi u</w:t>
      </w:r>
      <w:r>
        <w:t>zņēmuma līmenī.</w:t>
      </w:r>
    </w:p>
  </w:footnote>
  <w:footnote w:id="18">
    <w:p w14:paraId="39974E27" w14:textId="692A6217"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paredzētas, lai palielinātu energoefektivitāti vai modernizētu dalīto atkritumu pārstrādes</w:t>
      </w:r>
      <w:r>
        <w:t xml:space="preserve"> darbības, tos pārveidojot par komposta bioatkritumiem un bioatkritumu anaerobo noārdīšanu, ar noteikumu, ka šādas darbības saskaņā ar šo pasākumu nepalielina iekārtu atkritumu pārstrādes jaudu vai nepagarina iekārtu darbmūžu; par kuriem ir sniegti pierādī</w:t>
      </w:r>
      <w:r>
        <w:t>jumi uzņēmuma līmenī.</w:t>
      </w:r>
    </w:p>
  </w:footnote>
  <w:footnote w:id="19">
    <w:p w14:paraId="6028BB2A" w14:textId="100A831D" w:rsidR="00C972CB" w:rsidRDefault="002457F6">
      <w:pPr>
        <w:pStyle w:val="FootnoteText"/>
        <w:ind w:left="0" w:firstLine="0"/>
      </w:pPr>
      <w:r>
        <w:rPr>
          <w:rStyle w:val="FootnoteReference"/>
        </w:rPr>
        <w:footnoteRef/>
      </w:r>
      <w:r>
        <w:t xml:space="preserve"> Izņemot a) šā pasākuma projektus elektroenerģijas un/vai siltuma ražošanas jomā, kā arī saistīto pārvades un sadales infrastruktūru, kurā izmanto dabasgāzi un kuri atbilst tehnisko norādījumu “nenodari būtisku kaitējumu” (2021/C58/0</w:t>
      </w:r>
      <w:r>
        <w:t>1) III pielikumā izklāstītajiem nosacījumiem, un b) darbības un aktīvus saskaņā ar ii) punktu, kuros fosilā kurināmā izmantošana ir īslaicīga un tehniski nenovēršama, lai laikus pārietu uz ekspluatāciju bez fosilā kurināmā.</w:t>
      </w:r>
    </w:p>
  </w:footnote>
  <w:footnote w:id="20">
    <w:p w14:paraId="15A12BA1" w14:textId="26FEF5AB" w:rsidR="00C972CB" w:rsidRDefault="002457F6">
      <w:pPr>
        <w:pStyle w:val="FootnoteText"/>
        <w:ind w:left="0" w:firstLine="0"/>
      </w:pPr>
      <w:r>
        <w:rPr>
          <w:rStyle w:val="FootnoteReference"/>
        </w:rPr>
        <w:footnoteRef/>
      </w:r>
      <w:r>
        <w:t xml:space="preserve"> Ja atbalstītā darbība sasniedz</w:t>
      </w:r>
      <w:r>
        <w:t xml:space="preserve"> prognozētās siltumnīcefekta gāzu emisijas, kas nav ievērojami zemākas par attiecīgajām līmeņatzīmēm, būtu jāsniedz paskaidrojums par iemesliem, kāpēc tas nav iespējams. Līmeņatzīmes, kas noteiktas bezmaksas kvotu piešķiršanai darbībām, kuras ietilpst emis</w:t>
      </w:r>
      <w:r>
        <w:t>ijas kvotu tirdzniecības sistēmas darbības jomā, kā noteikts Komisijas Īstenošanas regulā (ES) 2021/447.</w:t>
      </w:r>
    </w:p>
  </w:footnote>
  <w:footnote w:id="21">
    <w:p w14:paraId="63136C25" w14:textId="5DA4C475" w:rsidR="00C972CB" w:rsidRDefault="002457F6">
      <w:pPr>
        <w:pStyle w:val="P68B1DB1-Normal26"/>
        <w:jc w:val="both"/>
      </w:pPr>
      <w:r>
        <w:rPr>
          <w:vertAlign w:val="superscript"/>
        </w:rPr>
        <w:t>20</w:t>
      </w:r>
      <w:r>
        <w:t xml:space="preserve"> Šis izņēmums neattiecas uz darbībām saskaņā ar šo pasākumu iekārtās, kas paredzētas tikai nepārstrādājamu bīstamo atkritumu apstrādei, un esošās iek</w:t>
      </w:r>
      <w:r>
        <w:t>ārtās, ja darbības saskaņā ar šo pasākumu ir vērstas uz energoefektivitātes palielināšanu, izplūdes gāzu uztveršanu glabāšanai vai izmantošanai vai materiālu reģenerāciju no incinerācijas pelniem, ar noteikumu, ka šādas darbības saskaņā ar šo pasākumu nepa</w:t>
      </w:r>
      <w:r>
        <w:t>lielina iekārtu atkritumu pārstrādes jaudu vai nepagarina iekārtu darbmūžu; par kuriem ir sniegti pierādījumi uzņēmuma līmenī.</w:t>
      </w:r>
    </w:p>
  </w:footnote>
  <w:footnote w:id="22">
    <w:p w14:paraId="7B28AB2B" w14:textId="0000DE69"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w:t>
      </w:r>
      <w:r>
        <w:t>ņā ar šo pasākumu ir paredzētas, lai palielinātu energoefektivitāti vai modernizētu dalīto atkritumu pārstrādes darbības, tos pārveidojot par komposta bioatkritumiem un bioatkritumu anaerobo noārdīšanu, ar noteikumu, ka šādas darbības saskaņā ar šo pasākum</w:t>
      </w:r>
      <w:r>
        <w:t>u nepalielina iekārtu atkritumu pārstrādes jaudu vai nepagarina iekārtu darbmūžu; par kuriem ir sniegti pierādījumi uzņēmuma līmenī.</w:t>
      </w:r>
    </w:p>
  </w:footnote>
  <w:footnote w:id="23">
    <w:p w14:paraId="7B3CA30D" w14:textId="45FD840F" w:rsidR="00C972CB" w:rsidRDefault="002457F6">
      <w:pPr>
        <w:pStyle w:val="FootnoteText"/>
        <w:ind w:left="0" w:firstLine="0"/>
      </w:pPr>
      <w:r>
        <w:rPr>
          <w:rStyle w:val="FootnoteReference"/>
        </w:rPr>
        <w:footnoteRef/>
      </w:r>
      <w:r>
        <w:t xml:space="preserve"> Izņemot a) šā pasākuma projektus elektroenerģijas un/vai siltuma ražošanas jomā, kā arī saistīto pārvades un sadales infr</w:t>
      </w:r>
      <w:r>
        <w:t xml:space="preserve">astruktūru, kurā izmanto dabasgāzi un kuri atbilst tehnisko norādījumu “nenodari būtisku kaitējumu” (2021/C58/01) III pielikumā izklāstītajiem nosacījumiem, un b) darbības un aktīvus saskaņā ar ii) punktu, kuros fosilā kurināmā izmantošana ir īslaicīga un </w:t>
      </w:r>
      <w:r>
        <w:t>tehniski nenovēršama, lai laikus pārietu uz ekspluatāciju bez fosilā kurināmā.</w:t>
      </w:r>
    </w:p>
  </w:footnote>
  <w:footnote w:id="24">
    <w:p w14:paraId="60481372" w14:textId="52781DFB"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jāsniedz paskaidrojums par iemesliem, </w:t>
      </w:r>
      <w:r>
        <w:t>kāpēc tas nav iespējams. Līmeņatzīmes, kas noteiktas bezmaksas kvotu piešķiršanai darbībām, kuras ietilpst emisijas kvotu tirdzniecības sistēmas darbības jomā, kā noteikts Komisijas Īstenošanas regulā (ES) 2021/447.</w:t>
      </w:r>
    </w:p>
  </w:footnote>
  <w:footnote w:id="25">
    <w:p w14:paraId="481EE1A4" w14:textId="7371511F" w:rsidR="00C972CB" w:rsidRDefault="002457F6">
      <w:pPr>
        <w:pStyle w:val="P68B1DB1-Normal26"/>
        <w:jc w:val="both"/>
      </w:pPr>
      <w:r>
        <w:rPr>
          <w:vertAlign w:val="superscript"/>
        </w:rPr>
        <w:t>24</w:t>
      </w:r>
      <w:r>
        <w:t xml:space="preserve"> Šis izņēmums neattiecas uz darbībām s</w:t>
      </w:r>
      <w:r>
        <w:t>askaņā ar šo pasākumu iekārtās, kas paredzētas tikai nepārstrādājamu bīstamo atkritumu apstrādei, un esošās iekārtās, ja darbības saskaņā ar šo pasākumu ir vērstas uz energoefektivitātes palielināšanu, izplūdes gāzu uztveršanu glabāšanai vai izmantošanai v</w:t>
      </w:r>
      <w:r>
        <w:t>ai materiālu reģenerāciju no incinerācijas pelniem, ar noteikumu, ka šādas darbības saskaņā ar šo pasākumu nepalielina iekārtu atkritumu pārstrādes jaudu vai nepagarina iekārtu darbmūžu; par kuriem ir sniegti pierādījumi uzņēmuma līmenī.</w:t>
      </w:r>
    </w:p>
  </w:footnote>
  <w:footnote w:id="26">
    <w:p w14:paraId="63C339A0" w14:textId="4C8330B5" w:rsidR="00C972CB" w:rsidRDefault="002457F6">
      <w:pPr>
        <w:pStyle w:val="FootnoteText"/>
        <w:ind w:left="0" w:firstLine="0"/>
      </w:pPr>
      <w:r>
        <w:rPr>
          <w:rStyle w:val="FootnoteReference"/>
        </w:rPr>
        <w:footnoteRef/>
      </w:r>
      <w:r>
        <w:t xml:space="preserve"> Šis izņēmums nea</w:t>
      </w:r>
      <w:r>
        <w:t>ttiecas uz darbībām saskaņā ar šo pasākumu esošajās mehāniski bioloģiskās apstrādes iekārtās, ja darbības saskaņā ar šo pasākumu ir paredzētas, lai palielinātu energoefektivitāti vai modernizētu dalīto atkritumu pārstrādes darbības, tos pārveidojot par kom</w:t>
      </w:r>
      <w:r>
        <w:t>posta bioatkritumiem un bioatkritumu anaerobo noārdīšanu, ar noteikumu, ka šādas darbības saskaņā ar šo pasākumu nepalielina iekārtu atkritumu pārstrādes jaudu vai nepagarina iekārtu darbmūžu; par kuriem ir sniegti pierādījumi uzņēmuma līmenī.</w:t>
      </w:r>
    </w:p>
  </w:footnote>
  <w:footnote w:id="27">
    <w:p w14:paraId="4472B526" w14:textId="7577BF29" w:rsidR="00C972CB" w:rsidRDefault="002457F6">
      <w:pPr>
        <w:pStyle w:val="FootnoteText"/>
        <w:ind w:left="0" w:firstLine="0"/>
      </w:pPr>
      <w:r>
        <w:rPr>
          <w:rStyle w:val="FootnoteReference"/>
        </w:rPr>
        <w:footnoteRef/>
      </w:r>
      <w:r>
        <w:t xml:space="preserve"> Izņemot a)</w:t>
      </w:r>
      <w:r>
        <w:t xml:space="preserve"> šā pasākuma projektus elektroenerģijas un/vai siltuma ražošanas jomā, kā arī saistīto pārvades un sadales infrastruktūru, kurā izmanto dabasgāzi un kuri atbilst tehnisko norādījumu “nenodari būtisku kaitējumu” (2021/C58/01) III pielikumā izklāstītajiem no</w:t>
      </w:r>
      <w:r>
        <w:t>sacījumiem, un b) darbības un aktīvus saskaņā ar ii) punktu, kuros fosilā kurināmā izmantošana ir īslaicīga un tehniski nenovēršama, lai laikus pārietu uz ekspluatāciju bez fosilā kurināmā.</w:t>
      </w:r>
    </w:p>
  </w:footnote>
  <w:footnote w:id="28">
    <w:p w14:paraId="7F9C4718" w14:textId="601F1442" w:rsidR="00C972CB" w:rsidRDefault="002457F6">
      <w:pPr>
        <w:pStyle w:val="FootnoteText"/>
        <w:ind w:left="0" w:firstLine="0"/>
      </w:pPr>
      <w:r>
        <w:rPr>
          <w:rStyle w:val="FootnoteReference"/>
        </w:rPr>
        <w:footnoteRef/>
      </w:r>
      <w:r>
        <w:t xml:space="preserve"> Ja atbalstītā darbība sasniedz prognozētās siltumnīcefekta gāzu </w:t>
      </w:r>
      <w:r>
        <w:t xml:space="preserve">emisijas, kas nav ievērojami zemākas par attiecīgajām līmeņatzīmēm, būtu jāsniedz paskaidrojums par iemesliem, kāpēc tas nav iespējams. Līmeņatzīmes, kas noteiktas bezmaksas kvotu piešķiršanai darbībām, kuras ietilpst emisijas kvotu tirdzniecības sistēmas </w:t>
      </w:r>
      <w:r>
        <w:t>darbības jomā, kā noteikts Komisijas Īstenošanas regulā (ES) 2021/447.</w:t>
      </w:r>
    </w:p>
  </w:footnote>
  <w:footnote w:id="29">
    <w:p w14:paraId="2960712F" w14:textId="3CC8A46A" w:rsidR="00C972CB" w:rsidRDefault="002457F6">
      <w:pPr>
        <w:pStyle w:val="P68B1DB1-Normal26"/>
        <w:jc w:val="both"/>
      </w:pPr>
      <w:r>
        <w:t>Šis izņēmums neattiecas uz darbībām saskaņā ar šo pasākumu iekārtās, kas paredzētas tikai nepārstrādājamu bīstamo atkritumu apstrādei, un esošām iekārtām, ja darbības saskaņā ar šo pasā</w:t>
      </w:r>
      <w:r>
        <w:t>kumu ir paredzētas, lai palielinātu energoefektivitāti, uztvertu dūmgāzes glabāšanai vai izmantošanai, vai reģenerētu materiālus no sadedzināšanas pelniem, ar noteikumu, ka šādas darbības saskaņā ar šo pasākumu nepalielina iekārtu atkritumu pārstrādes jaud</w:t>
      </w:r>
      <w:r>
        <w:t>u vai nepagarina iekārtu darbmūžu; par kuriem ir sniegti pierādījumi uzņēmuma līmenī.</w:t>
      </w:r>
    </w:p>
  </w:footnote>
  <w:footnote w:id="30">
    <w:p w14:paraId="73E2EF83" w14:textId="2B2493C2"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paredzētas, lai pali</w:t>
      </w:r>
      <w:r>
        <w:t>elinātu energoefektivitāti vai modernizētu dalīto atkritumu pārstrādes darbības, tos pārveidojot par komposta bioatkritumiem un bioatkritumu anaerobo noārdīšanu, ar noteikumu, ka šādas darbības saskaņā ar šo pasākumu nepalielina iekārtu atkritumu pārstrāde</w:t>
      </w:r>
      <w:r>
        <w:t>s jaudu vai nepagarina iekārtu darbmūžu; par kuriem ir sniegti pierādījumi uzņēmuma līmenī.</w:t>
      </w:r>
    </w:p>
  </w:footnote>
  <w:footnote w:id="31">
    <w:p w14:paraId="13B1F3ED" w14:textId="2E873EFA" w:rsidR="00C972CB" w:rsidRDefault="002457F6">
      <w:pPr>
        <w:pStyle w:val="FootnoteText"/>
        <w:ind w:left="0" w:firstLine="0"/>
      </w:pPr>
      <w:r>
        <w:rPr>
          <w:rStyle w:val="FootnoteReference"/>
        </w:rPr>
        <w:footnoteRef/>
      </w:r>
      <w:r>
        <w:t xml:space="preserve"> Izņemot a) šā pasākuma projektus elektroenerģijas un/vai siltuma ražošanas jomā, kā arī saistīto pārvades un sadales infrastruktūru, kurā izmanto dabasgāzi un kur</w:t>
      </w:r>
      <w:r>
        <w:t xml:space="preserve">i atbilst tehnisko norādījumu “nenodari būtisku kaitējumu” (2021/C58/01) III pielikumā izklāstītajiem nosacījumiem, un b) darbības un aktīvus saskaņā ar ii) punktu, kuros fosilā kurināmā izmantošana ir īslaicīga un tehniski nenovēršama, lai laikus pārietu </w:t>
      </w:r>
      <w:r>
        <w:t>uz ekspluatāciju bez fosilā kurināmā.</w:t>
      </w:r>
    </w:p>
  </w:footnote>
  <w:footnote w:id="32">
    <w:p w14:paraId="57E3F8B2" w14:textId="64B2AC60"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jāsniedz paskaidrojums par iemesliem, kāpēc tas nav iespējams. Līmeņatzīmes, ka</w:t>
      </w:r>
      <w:r>
        <w:t>s noteiktas bezmaksas kvotu piešķiršanai darbībām, kuras ietilpst emisijas kvotu tirdzniecības sistēmas darbības jomā, kā noteikts Komisijas Īstenošanas regulā (ES) 2021/447.</w:t>
      </w:r>
    </w:p>
  </w:footnote>
  <w:footnote w:id="33">
    <w:p w14:paraId="5FC8BC19" w14:textId="4A40F843" w:rsidR="00C972CB" w:rsidRDefault="002457F6">
      <w:pPr>
        <w:pStyle w:val="FootnoteText"/>
        <w:ind w:left="0" w:firstLine="0"/>
      </w:pPr>
      <w:r>
        <w:rPr>
          <w:vertAlign w:val="superscript"/>
        </w:rPr>
        <w:t>32</w:t>
      </w:r>
      <w:r>
        <w:t xml:space="preserve"> Šis izņēmums neattiecas uz darbībām saskaņā ar šo pasākumu iekārtās, kas pared</w:t>
      </w:r>
      <w:r>
        <w:t>zētas tikai nepārstrādājamu bīstamo atkritumu apstrādei, un esošās iekārtās, ja darbības saskaņā ar šo pasākumu ir vērstas uz energoefektivitātes palielināšanu, izplūdes gāzu uztveršanu glabāšanai vai izmantošanai vai materiālu reģenerāciju no incinerācija</w:t>
      </w:r>
      <w:r>
        <w:t>s pelniem, ar noteikumu, ka šādas darbības saskaņā ar šo pasākumu nepalielina iekārtu atkritumu pārstrādes jaudu vai nepagarina iekārtu darbmūžu; par kuriem ir sniegti pierādījumi uzņēmuma līmenī.</w:t>
      </w:r>
    </w:p>
  </w:footnote>
  <w:footnote w:id="34">
    <w:p w14:paraId="32E4F974" w14:textId="2648699F" w:rsidR="00C972CB" w:rsidRDefault="002457F6">
      <w:pPr>
        <w:pStyle w:val="FootnoteText"/>
        <w:ind w:left="0" w:firstLine="0"/>
      </w:pPr>
      <w:r>
        <w:rPr>
          <w:rStyle w:val="FootnoteReference"/>
        </w:rPr>
        <w:footnoteRef/>
      </w:r>
      <w:r>
        <w:t xml:space="preserve"> Šis izņēmums neattiecas uz darbībām saskaņā ar šo pasākum</w:t>
      </w:r>
      <w:r>
        <w:t>u esošajās mehāniski bioloģiskās apstrādes iekārtās, ja darbības saskaņā ar šo pasākumu ir paredzētas, lai palielinātu energoefektivitāti vai modernizētu dalīto atkritumu pārstrādes darbības, tos pārveidojot par komposta bioatkritumiem un bioatkritumu anae</w:t>
      </w:r>
      <w:r>
        <w:t>robo noārdīšanu, ar noteikumu, ka šādas darbības saskaņā ar šo pasākumu nepalielina iekārtu atkritumu pārstrādes jaudu vai nepagarina iekārtu darbmūžu; par kuriem ir sniegti pierādījumi uzņēmuma līmenī.</w:t>
      </w:r>
    </w:p>
  </w:footnote>
  <w:footnote w:id="35">
    <w:p w14:paraId="45728081" w14:textId="30FF8209" w:rsidR="00C972CB" w:rsidRDefault="002457F6">
      <w:pPr>
        <w:pStyle w:val="FootnoteText"/>
        <w:ind w:left="0" w:firstLine="0"/>
      </w:pPr>
      <w:r>
        <w:rPr>
          <w:rStyle w:val="FootnoteReference"/>
        </w:rPr>
        <w:footnoteRef/>
      </w:r>
      <w:r>
        <w:t xml:space="preserve"> Izņemot a) šā pasākuma projektus elektroenerģijas u</w:t>
      </w:r>
      <w:r>
        <w:t>n/vai siltuma ražošanas jomā, kā arī saistīto pārvades un sadales infrastruktūru, kurā izmanto dabasgāzi un kuri atbilst tehnisko norādījumu “nenodari būtisku kaitējumu” (2021/C58/01) III pielikumā izklāstītajiem nosacījumiem, un b) darbības un aktīvus sas</w:t>
      </w:r>
      <w:r>
        <w:t>kaņā ar ii) punktu, kuros fosilā kurināmā izmantošana ir īslaicīga un tehniski nenovēršama, lai laikus pārietu uz ekspluatāciju bez fosilā kurināmā.</w:t>
      </w:r>
    </w:p>
  </w:footnote>
  <w:footnote w:id="36">
    <w:p w14:paraId="1A4466CA" w14:textId="03E70D9D"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w:t>
      </w:r>
      <w:r>
        <w:t>attiecīgajām līmeņatzīmēm, būtu jāsniedz paskaidrojums par iemesliem, kāpēc tas nav iespējams. Līmeņatzīmes, kas noteiktas bezmaksas kvotu piešķiršanai darbībām, kuras ietilpst emisijas kvotu tirdzniecības sistēmas darbības jomā, kā noteikts Komisijas Īste</w:t>
      </w:r>
      <w:r>
        <w:t>nošanas regulā (ES) 2021/447.</w:t>
      </w:r>
    </w:p>
  </w:footnote>
  <w:footnote w:id="37">
    <w:p w14:paraId="6FBD7C4E" w14:textId="5CD7C16C"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nepārstrādājamu bīstamo atkritumu apstrādei, un esošām iekārtām, ja darbības saskaņā ar šo pasākumu ir paredzētas, lai palielinātu ene</w:t>
      </w:r>
      <w:r>
        <w:t xml:space="preserve">rgoefektivitāti, uztvertu dūmgāzes glabāšanai vai izmantošanai, vai reģenerētu materiālus no sadedzināšanas pelniem, ar noteikumu, ka šādas darbības saskaņā ar šo pasākumu nepalielina iekārtu atkritumu pārstrādes jaudu vai nepagarina iekārtu darbmūžu; par </w:t>
      </w:r>
      <w:r>
        <w:t>kuriem ir sniegti pierādījumi uzņēmuma līmenī.</w:t>
      </w:r>
    </w:p>
  </w:footnote>
  <w:footnote w:id="38">
    <w:p w14:paraId="35230404" w14:textId="4BBC78BA"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paredzētas, lai palielinātu energoefektivitāti vai modernizētu dalīto atkritumu pārstrādes darbības, tos pā</w:t>
      </w:r>
      <w:r>
        <w:t>rveidojot par komposta bioatkritumiem un bioatkritumu anaerobo noārdīšanu, ar noteikumu, ka šādas darbības saskaņā ar šo pasākumu nepalielina iekārtu atkritumu pārstrādes jaudu vai nepagarina iekārtu darbmūžu; par kuriem ir sniegti pierādījumi uzņēmuma līm</w:t>
      </w:r>
      <w:r>
        <w:t>enī.</w:t>
      </w:r>
    </w:p>
  </w:footnote>
  <w:footnote w:id="39">
    <w:p w14:paraId="20CFAB51" w14:textId="53A43024" w:rsidR="00C972CB" w:rsidRDefault="002457F6">
      <w:pPr>
        <w:pStyle w:val="FootnoteText"/>
        <w:ind w:left="0" w:firstLine="0"/>
      </w:pPr>
      <w:r>
        <w:rPr>
          <w:rStyle w:val="FootnoteReference"/>
        </w:rPr>
        <w:footnoteRef/>
      </w:r>
      <w:r>
        <w:t xml:space="preserve"> Izņemot a) šā pasākuma projektus elektroenerģijas un/vai siltuma ražošanas jomā, kā arī saistīto pārvades un sadales infrastruktūru, kurā izmanto dabasgāzi un kuri atbilst tehnisko norādījumu “nenodari būtisku kaitējumu” (2021/C58/01) III pielikumā </w:t>
      </w:r>
      <w:r>
        <w:t>izklāstītajiem nosacījumiem, un b) darbības un aktīvus saskaņā ar ii) punktu, kuros fosilā kurināmā izmantošana ir īslaicīga un tehniski nenovēršama, lai laikus pārietu uz ekspluatāciju bez fosilā kurināmā.</w:t>
      </w:r>
    </w:p>
  </w:footnote>
  <w:footnote w:id="40">
    <w:p w14:paraId="484CF115" w14:textId="50057053" w:rsidR="00C972CB" w:rsidRDefault="002457F6">
      <w:pPr>
        <w:pStyle w:val="FootnoteText"/>
        <w:ind w:left="0" w:firstLine="0"/>
      </w:pPr>
      <w:r>
        <w:rPr>
          <w:rStyle w:val="FootnoteReference"/>
        </w:rPr>
        <w:footnoteRef/>
      </w:r>
      <w:r>
        <w:t xml:space="preserve"> Ja atbalstītā darbība sasniedz prognozētās silt</w:t>
      </w:r>
      <w:r>
        <w:t>umnīcefekta gāzu emisijas, kas nav ievērojami zemākas par attiecīgajām līmeņatzīmēm, būtu jāsniedz paskaidrojums par iemesliem, kāpēc tas nav iespējams. Līmeņatzīmes, kas noteiktas bezmaksas kvotu piešķiršanai darbībām, kuras ietilpst emisijas kvotu tirdzn</w:t>
      </w:r>
      <w:r>
        <w:t>iecības sistēmas darbības jomā, kā noteikts Komisijas Īstenošanas regulā (ES) 2021/447.</w:t>
      </w:r>
    </w:p>
  </w:footnote>
  <w:footnote w:id="41">
    <w:p w14:paraId="74FC51B7" w14:textId="36275B36"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nepārstrādājamu bīstamo atkritumu apstrādei, un esošām iekārtām, ja darbības</w:t>
      </w:r>
      <w:r>
        <w:t xml:space="preserve"> saskaņā ar šo pasākumu ir paredzētas, lai palielinātu energoefektivitāti, uztvertu dūmgāzes glabāšanai vai izmantošanai, vai reģenerētu materiālus no sadedzināšanas pelniem, ar noteikumu, ka šādas darbības saskaņā ar šo pasākumu nepalielina iekārtu atkrit</w:t>
      </w:r>
      <w:r>
        <w:t>umu pārstrādes jaudu vai nepagarina iekārtu darbmūžu; par kuriem ir sniegti pierādījumi uzņēmuma līmenī.</w:t>
      </w:r>
    </w:p>
  </w:footnote>
  <w:footnote w:id="42">
    <w:p w14:paraId="2D4C4C7B" w14:textId="759CEB4D"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w:t>
      </w:r>
      <w:r>
        <w:t xml:space="preserve">aredzētas, lai palielinātu energoefektivitāti vai modernizētu dalīto atkritumu pārstrādes darbības, tos pārveidojot par komposta bioatkritumiem un bioatkritumu anaerobo noārdīšanu, ar noteikumu, ka šādas darbības saskaņā ar šo pasākumu nepalielina iekārtu </w:t>
      </w:r>
      <w:r>
        <w:t>atkritumu pārstrādes jaudu vai nepagarina iekārtu darbmūžu; par kuriem ir sniegti pierādījumi uzņēmuma līmenī.</w:t>
      </w:r>
    </w:p>
  </w:footnote>
  <w:footnote w:id="43">
    <w:p w14:paraId="794FFFEA" w14:textId="4AB4B2C0" w:rsidR="00C972CB" w:rsidRDefault="002457F6">
      <w:pPr>
        <w:pStyle w:val="FootnoteText"/>
        <w:ind w:left="0" w:firstLine="0"/>
      </w:pPr>
      <w:r>
        <w:rPr>
          <w:rStyle w:val="FootnoteReference"/>
        </w:rPr>
        <w:footnoteRef/>
      </w:r>
      <w:r>
        <w:t xml:space="preserve"> Izņemot a) aktīvus un darbības elektroenerģijas un/vai siltuma ražošanas jomā, kā arī saistīto pārvades un sadales infrastruktūru, izmantojot d</w:t>
      </w:r>
      <w:r>
        <w:t>abasgāzi, kas atbilst tehnisko norādījumu “nenodari būtisku kaitējumu” (2021/C58/01) III pielikumā izklāstītajiem nosacījumiem, un b) darbības un aktīvus saskaņā ar ii) punktu, kuros fosilā kurināmā izmantošana ir īslaicīga un tehniski nenovēršama, lai lai</w:t>
      </w:r>
      <w:r>
        <w:t>kus pārietu uz ekspluatāciju bez fosilā kurināmā.</w:t>
      </w:r>
    </w:p>
  </w:footnote>
  <w:footnote w:id="44">
    <w:p w14:paraId="372A422D" w14:textId="7963FBE7"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sniedz paskaidrojumu par iemesliem, kāpēc tas nav iespējams. Līmeņatzīme</w:t>
      </w:r>
      <w:r>
        <w:t>s, kas noteiktas bezmaksas kvotu piešķiršanai darbībām, kuras ietilpst emisijas kvotu tirdzniecības sistēmas darbības jomā, kā noteikts Komisijas Īstenošanas regulā (ES) 2021/447.</w:t>
      </w:r>
    </w:p>
  </w:footnote>
  <w:footnote w:id="45">
    <w:p w14:paraId="2CF6F44E" w14:textId="4234EF89"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nepārstrādājamu bīstamo atkritumu apstrādei, un esošām iekārtām, ja darbības saskaņā ar šo pasākumu ir paredzētas, lai palielinātu energoefektivitāti, uztvertu dūmgā</w:t>
      </w:r>
      <w:r>
        <w:t>zes glabāšanai vai izmantošanai, vai reģenerētu materiālus no sadedzināšanas pelniem, ar noteikumu, ka šādas darbības saskaņā ar šo pasākumu nepalielina iekārtu atkritumu pārstrādes jaudu vai nepagarina iekārtu darbmūžu; par kuriem ir sniegti pierādījumi u</w:t>
      </w:r>
      <w:r>
        <w:t>zņēmuma līmenī. </w:t>
      </w:r>
    </w:p>
  </w:footnote>
  <w:footnote w:id="46">
    <w:p w14:paraId="26B265FF" w14:textId="1E4FF3F4"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paredzētas, lai palielinātu energoefektivitāti vai modernizētu dalīto atkritumu pārstrāde</w:t>
      </w:r>
      <w:r>
        <w:t>s darbības, tos pārveidojot par komposta bioatkritumiem un bioatkritumu anaerobo noārdīšanu, ar noteikumu, ka šādas darbības saskaņā ar šo pasākumu nepalielina iekārtu atkritumu pārstrādes jaudu vai nepagarina iekārtu darbmūžu; par kuriem ir sniegti pierād</w:t>
      </w:r>
      <w:r>
        <w:t>ījumi uzņēmuma līmenī. </w:t>
      </w:r>
    </w:p>
  </w:footnote>
  <w:footnote w:id="47">
    <w:p w14:paraId="1143EFB0" w14:textId="38A1A97E" w:rsidR="00C972CB" w:rsidRDefault="002457F6">
      <w:pPr>
        <w:pStyle w:val="FootnoteText"/>
        <w:ind w:left="0" w:firstLine="0"/>
      </w:pPr>
      <w:r>
        <w:rPr>
          <w:rStyle w:val="FootnoteReference"/>
        </w:rPr>
        <w:footnoteRef/>
      </w:r>
      <w:r>
        <w:t xml:space="preserve"> Lai aprēķinātu ieguldījumu klimata jomā, galīgajiem saņēmējiem, kas saistīti ar konkrētiem projektiem, katram atbalstītajam projektam ir jāsniedz izvēlētās intervences jomas pamatojums, kā arī projekta apraksts. Lai aprēķinātu ieg</w:t>
      </w:r>
      <w:r>
        <w:t>uldījumu klimata jomā, galasaņēmēji no pašu kapitāla, kvazikapitāla, uzņēmumu obligācijām vai līdzvērtīgiem instrumentiem, kas nav paredzēti konkrētiem projektiem, sniedz pamatojumu izvēlētajai(-ām) intervences jomai(-ām). Īstenošanas partnerim ir arī jāie</w:t>
      </w:r>
      <w:r>
        <w:t>sniedz dalībvalstij pusgada ziņojums par katra projekta/darbības īstenošanu.</w:t>
      </w:r>
    </w:p>
    <w:p w14:paraId="476C5E4D" w14:textId="77777777" w:rsidR="00C972CB" w:rsidRDefault="00C972CB">
      <w:pPr>
        <w:pStyle w:val="FootnoteText"/>
      </w:pPr>
    </w:p>
  </w:footnote>
  <w:footnote w:id="48">
    <w:p w14:paraId="31CEFE93" w14:textId="77777777" w:rsidR="00C972CB" w:rsidRDefault="002457F6">
      <w:pPr>
        <w:pStyle w:val="FootnoteText"/>
        <w:ind w:left="0" w:firstLine="0"/>
      </w:pPr>
      <w:r>
        <w:rPr>
          <w:rStyle w:val="FootnoteReference"/>
        </w:rPr>
        <w:footnoteRef/>
      </w:r>
      <w:r>
        <w:t xml:space="preserve"> Šajā pasākumā lielpilsētu teritorijas ir domātas kā “funkcionālas pilsētu teritorijas”, kā definēts Eiropas Komisijas un ESAO datubāzē (Dijkstra, L., H. Poelman un P. Veneri (2</w:t>
      </w:r>
      <w:r>
        <w:t xml:space="preserve">019), “The EU-OECD definition of a functional urban area”, ESAO Reģionālās attīstības darba dokumenti Nr. 2019/11, OECD Publishing, Parīze, https://doi.org/10.1787/d58cb34d-en). </w:t>
      </w:r>
    </w:p>
  </w:footnote>
  <w:footnote w:id="49">
    <w:p w14:paraId="3700C86E" w14:textId="77777777" w:rsidR="00C972CB" w:rsidRDefault="002457F6">
      <w:pPr>
        <w:pStyle w:val="FootnoteText"/>
      </w:pPr>
      <w:r>
        <w:rPr>
          <w:rStyle w:val="FootnoteReference"/>
        </w:rPr>
        <w:footnoteRef/>
      </w:r>
      <w:r>
        <w:t xml:space="preserve"> Saskaņā ar Regulas (ES) 2021/241 VI pielikuma 72.a intervences jomu tā atti</w:t>
      </w:r>
      <w:r>
        <w:t>ecas arī uz divmodu vilcieniem.</w:t>
      </w:r>
    </w:p>
  </w:footnote>
  <w:footnote w:id="50">
    <w:p w14:paraId="44B927F7" w14:textId="77777777" w:rsidR="00C972CB" w:rsidRDefault="002457F6">
      <w:pPr>
        <w:pStyle w:val="FootnoteText"/>
        <w:ind w:left="0" w:firstLine="0"/>
      </w:pPr>
      <w:r>
        <w:rPr>
          <w:rStyle w:val="FootnoteReference"/>
        </w:rPr>
        <w:footnoteRef/>
      </w:r>
      <w:r>
        <w:t xml:space="preserve"> Lielpilsētu teritorijas šajā pasākumā ir domātas kā “funkcionālas pilsētu teritorijas”, kā definēts Eiropas Komisijas un ESAO datubāzē (Dijkstra, L., H. Poelman un P. Veneri (2019)).</w:t>
      </w:r>
    </w:p>
  </w:footnote>
  <w:footnote w:id="51">
    <w:p w14:paraId="15E23C07" w14:textId="77777777" w:rsidR="00C972CB" w:rsidRDefault="002457F6">
      <w:pPr>
        <w:pStyle w:val="FootnoteText"/>
      </w:pPr>
      <w:r>
        <w:rPr>
          <w:rStyle w:val="FootnoteReference"/>
        </w:rPr>
        <w:footnoteRef/>
      </w:r>
      <w:r>
        <w:t xml:space="preserve"> Saskaņā ar Regulas (ES) 2021/241 VI p</w:t>
      </w:r>
      <w:r>
        <w:t>ielikuma 72.a intervences jomu to piemēro arī divmodu vilcieniem.</w:t>
      </w:r>
    </w:p>
  </w:footnote>
  <w:footnote w:id="52">
    <w:p w14:paraId="2325A2A6" w14:textId="77777777" w:rsidR="00C972CB" w:rsidRDefault="002457F6">
      <w:pPr>
        <w:pStyle w:val="FootnoteText"/>
        <w:ind w:left="0" w:firstLine="0"/>
      </w:pPr>
      <w:r>
        <w:rPr>
          <w:rStyle w:val="FootnoteReference"/>
        </w:rPr>
        <w:footnoteRef/>
      </w:r>
      <w:r>
        <w:t xml:space="preserve"> Izņemot a) aktīvus un darbības elektroenerģijas un/vai siltuma ražošanas jomā, kā arī saistīto pārvades un sadales infrastruktūru, izmantojot dabasgāzi, kas atbilst tehnisko norādījumu “ne</w:t>
      </w:r>
      <w:r>
        <w:t>nodari būtisku kaitējumu” (2021/C58/01) III pielikumā izklāstītajiem nosacījumiem, un b) darbības un aktīvus saskaņā ar ii) punktu, kuros fosilā kurināmā izmantošana ir īslaicīga un tehniski nenovēršama, lai laikus pārietu uz ekspluatāciju bez fosilā kurin</w:t>
      </w:r>
      <w:r>
        <w:t>āmā.</w:t>
      </w:r>
    </w:p>
  </w:footnote>
  <w:footnote w:id="53">
    <w:p w14:paraId="54F6DDD2" w14:textId="200ED838"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sniedz paskaidrojumu par iemesliem, kāpēc tas nav iespējams. Līmeņatzīmes, kas noteiktas bezmaksas kvotu piešķiršanai</w:t>
      </w:r>
      <w:r>
        <w:t xml:space="preserve"> darbībām, kuras ietilpst emisijas kvotu tirdzniecības sistēmas darbības jomā, kā noteikts Komisijas Īstenošanas regulā (ES) 2021/447.</w:t>
      </w:r>
    </w:p>
  </w:footnote>
  <w:footnote w:id="54">
    <w:p w14:paraId="1DA8AA0B" w14:textId="27333904"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nepārstrādājamu bīstamo atkri</w:t>
      </w:r>
      <w:r>
        <w:t>tumu apstrādei, un esošām iekārtām, ja darbības saskaņā ar šo pasākumu ir paredzētas, lai palielinātu energoefektivitāti, uztvertu dūmgāzes glabāšanai vai izmantošanai, vai reģenerētu materiālus no sadedzināšanas pelniem, ar noteikumu, ka šādas darbības sa</w:t>
      </w:r>
      <w:r>
        <w:t>skaņā ar šo pasākumu nepalielina iekārtu atkritumu pārstrādes jaudu vai nepagarina iekārtu darbmūžu; par kuriem ir sniegti pierādījumi uzņēmuma līmenī. </w:t>
      </w:r>
    </w:p>
  </w:footnote>
  <w:footnote w:id="55">
    <w:p w14:paraId="6A9018EC" w14:textId="196CA492"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w:t>
      </w:r>
      <w:r>
        <w:t>ekārtās, ja darbības saskaņā ar šo pasākumu ir paredzētas, lai palielinātu energoefektivitāti vai modernizētu dalīto atkritumu pārstrādes darbības, tos pārveidojot par komposta bioatkritumiem un bioatkritumu anaerobo noārdīšanu, ar noteikumu, ka šādas darb</w:t>
      </w:r>
      <w:r>
        <w:t>ības saskaņā ar šo pasākumu nepalielina iekārtu atkritumu pārstrādes jaudu vai nepagarina iekārtu darbmūžu; par kuriem ir sniegti pierādījumi uzņēmuma līmenī.</w:t>
      </w:r>
    </w:p>
  </w:footnote>
  <w:footnote w:id="56">
    <w:p w14:paraId="3A329317" w14:textId="77777777" w:rsidR="00C972CB" w:rsidRDefault="002457F6">
      <w:pPr>
        <w:pStyle w:val="FootnoteText"/>
        <w:ind w:left="0" w:firstLine="0"/>
      </w:pPr>
      <w:r>
        <w:rPr>
          <w:rStyle w:val="FootnoteReference"/>
        </w:rPr>
        <w:footnoteRef/>
      </w:r>
      <w:r>
        <w:t xml:space="preserve"> Lai aprēķinātu ieguldījumu klimata jomā, galīgajiem saņēmējiem, kas saistīti ar konkrētiem proj</w:t>
      </w:r>
      <w:r>
        <w:t>ektiem, katram atbalstītajam projektam ir jāsniedz izvēlētās intervences jomas pamatojums, kā arī projekta apraksts. Lai aprēķinātu ieguldījumu klimata jomā, galasaņēmēji no pašu kapitāla, kvazikapitāla, uzņēmumu obligācijām vai līdzvērtīgiem instrumentiem</w:t>
      </w:r>
      <w:r>
        <w:t>, kas nav paredzēti konkrētiem projektiem, sniedz pamatojumu izvēlētajai(-ām) intervences jomai(-ām). Īstenošanas partnerim ir arī jāiesniedz dalībvalstij pusgada ziņojums par katra projekta/darbības īstenošanu.</w:t>
      </w:r>
    </w:p>
  </w:footnote>
  <w:footnote w:id="57">
    <w:p w14:paraId="27B9AFBE" w14:textId="77777777" w:rsidR="00C972CB" w:rsidRDefault="002457F6">
      <w:pPr>
        <w:pStyle w:val="FootnoteText"/>
        <w:ind w:left="0" w:firstLine="0"/>
      </w:pPr>
      <w:r>
        <w:rPr>
          <w:rStyle w:val="FootnoteReference"/>
          <w:rFonts w:eastAsiaTheme="majorEastAsia"/>
        </w:rPr>
        <w:footnoteRef/>
      </w:r>
      <w:r>
        <w:t xml:space="preserve"> CDP riska kapitāls SGR veic pārvaldības da</w:t>
      </w:r>
      <w:r>
        <w:t xml:space="preserve">rbības saskaņā ar AIFP direktīvā noteiktajiem neatkarības un autonomijas principiem. </w:t>
      </w:r>
    </w:p>
  </w:footnote>
  <w:footnote w:id="58">
    <w:p w14:paraId="1997C80B" w14:textId="77777777" w:rsidR="00C972CB" w:rsidRDefault="002457F6">
      <w:pPr>
        <w:pStyle w:val="FootnoteText"/>
        <w:ind w:left="0" w:firstLine="0"/>
      </w:pPr>
      <w:r>
        <w:rPr>
          <w:rStyle w:val="FootnoteReference"/>
          <w:rFonts w:eastAsiaTheme="majorEastAsia"/>
        </w:rPr>
        <w:footnoteRef/>
      </w:r>
      <w:r>
        <w:t xml:space="preserve"> Uzskata, ka galasaņēmējs “būtiski koncentrējas” uz nozari vai uzņēmējdarbību, ja šāda nozare vai darbība ir noteikta kā būtiska galasaņēmēja saimnieciskās darbības daļa</w:t>
      </w:r>
      <w:r>
        <w:t xml:space="preserve"> attiecīgi attiecībā uz galasaņēmēja bruto ieņēmumiem, peļņu vai klientu bāzi. Bruto ieņēmumi, kas gūti no ierobežotās nozares vai darbības, jebkurā gadījumā nepārsniedz 50 % no bruto ieņēmumiem.</w:t>
      </w:r>
    </w:p>
  </w:footnote>
  <w:footnote w:id="59">
    <w:p w14:paraId="6EE2146D" w14:textId="77777777" w:rsidR="00C972CB" w:rsidRDefault="002457F6">
      <w:pPr>
        <w:jc w:val="both"/>
        <w:rPr>
          <w:sz w:val="20"/>
        </w:rPr>
      </w:pPr>
      <w:r>
        <w:rPr>
          <w:rStyle w:val="FootnoteReference"/>
          <w:rFonts w:eastAsiaTheme="majorEastAsia"/>
        </w:rPr>
        <w:footnoteRef/>
      </w:r>
      <w:r>
        <w:rPr>
          <w:sz w:val="20"/>
        </w:rPr>
        <w:t xml:space="preserve"> Izņemot a) aktīvus un darbības elektroenerģijas un/vai sil</w:t>
      </w:r>
      <w:r>
        <w:rPr>
          <w:sz w:val="20"/>
        </w:rPr>
        <w:t>tuma ražošanas jomā, kā arī saistīto pārvades un sadales infrastruktūru, izmantojot dabasgāzi, kas atbilst tehnisko norādījumu “nenodari būtisku kaitējumu” (2021/C58/01) III pielikumā izklāstītajiem nosacījumiem, un b) darbības un aktīvus saskaņā ar ii) pu</w:t>
      </w:r>
      <w:r>
        <w:rPr>
          <w:sz w:val="20"/>
        </w:rPr>
        <w:t>nktu, kuros fosilā kurināmā izmantošana ir īslaicīga un tehniski nenovēršama, lai laikus pārietu uz ekspluatāciju bez fosilā kurināmā.</w:t>
      </w:r>
    </w:p>
  </w:footnote>
  <w:footnote w:id="60">
    <w:p w14:paraId="72368FE8" w14:textId="77777777" w:rsidR="00C972CB" w:rsidRDefault="002457F6">
      <w:pPr>
        <w:jc w:val="both"/>
        <w:rPr>
          <w:sz w:val="20"/>
        </w:rPr>
      </w:pPr>
      <w:r>
        <w:rPr>
          <w:rStyle w:val="FootnoteReference"/>
          <w:rFonts w:eastAsiaTheme="majorEastAsia"/>
        </w:rPr>
        <w:footnoteRef/>
      </w:r>
      <w:r>
        <w:rPr>
          <w:sz w:val="20"/>
        </w:rPr>
        <w:t xml:space="preserve"> Ieskaitot darbības un aktīvus saskaņā ar ES emisijas kvotu tirdzniecības sistēmu (ETS), lai panāktu prognozētās siltumn</w:t>
      </w:r>
      <w:r>
        <w:rPr>
          <w:sz w:val="20"/>
        </w:rPr>
        <w:t>īcefekta gāzu emisijas, kas nav zemākas par attiecīgajām līmeņatzīmēm. Ja atbalstītā darbība sasniedz prognozētās siltumnīcefekta gāzu emisijas, kas nav ievērojami zemākas par attiecīgajām līmeņatzīmēm, sniedz paskaidrojumu par iemesliem, kāpēc tas nav ies</w:t>
      </w:r>
      <w:r>
        <w:rPr>
          <w:sz w:val="20"/>
        </w:rPr>
        <w:t>pējams. Līmeņatzīmes, kas noteiktas bezmaksas kvotu piešķiršanai darbībām, kuras ietilpst emisijas kvotu tirdzniecības sistēmas darbības jomā, kā noteikts Komisijas Īstenošanas regulā (ES) 2021/447.</w:t>
      </w:r>
    </w:p>
  </w:footnote>
  <w:footnote w:id="61">
    <w:p w14:paraId="323BB04B" w14:textId="77777777" w:rsidR="00C972CB" w:rsidRDefault="002457F6">
      <w:pPr>
        <w:jc w:val="both"/>
        <w:rPr>
          <w:sz w:val="20"/>
        </w:rPr>
      </w:pPr>
      <w:r>
        <w:rPr>
          <w:rStyle w:val="FootnoteReference"/>
          <w:rFonts w:eastAsiaTheme="majorEastAsia"/>
        </w:rPr>
        <w:footnoteRef/>
      </w:r>
      <w:r>
        <w:rPr>
          <w:sz w:val="20"/>
        </w:rPr>
        <w:t xml:space="preserve"> Piesārņojoši transportlīdzekļi ir definēti kā bezemisij</w:t>
      </w:r>
      <w:r>
        <w:rPr>
          <w:sz w:val="20"/>
        </w:rPr>
        <w:t>u transportlīdzekļi.</w:t>
      </w:r>
    </w:p>
  </w:footnote>
  <w:footnote w:id="62">
    <w:p w14:paraId="36E6EE36" w14:textId="77777777" w:rsidR="00C972CB" w:rsidRDefault="002457F6">
      <w:pPr>
        <w:pStyle w:val="FootnoteText"/>
        <w:ind w:left="0" w:firstLine="0"/>
      </w:pPr>
      <w:r>
        <w:rPr>
          <w:rStyle w:val="FootnoteReference"/>
          <w:rFonts w:eastAsiaTheme="majorEastAsia"/>
        </w:rPr>
        <w:footnoteRef/>
      </w:r>
      <w:r>
        <w:t xml:space="preserve"> Šis izņēmums neattiecas uz darbībām iekārtās, kas paredzētas tikai nereciklējamu bīstamo atkritumu apstrādei, un esošās iekārtās, ja darbības saskaņā ar šo pasākumu ir vērstas uz energoefektivitātes palielināšanu, izplūdes gāzu uztve</w:t>
      </w:r>
      <w:r>
        <w:t>ršanu uzglabāšanai vai izmantošanai vai materiālu reģenerāciju no incinerācijas pelniem, ar noteikumu, ka šādas darbības saskaņā ar šo pasākumu nepalielina iekārtu atkritumu pārstrādes jaudu vai nepagarina iekārtu darbmūžu; par kuriem ir sniegti pierādījum</w:t>
      </w:r>
      <w:r>
        <w:t>i uzņēmuma līmenī.</w:t>
      </w:r>
    </w:p>
  </w:footnote>
  <w:footnote w:id="63">
    <w:p w14:paraId="1E877DFF" w14:textId="77777777" w:rsidR="00C972CB" w:rsidRDefault="002457F6">
      <w:pPr>
        <w:pStyle w:val="FootnoteText"/>
        <w:ind w:left="0" w:firstLine="0"/>
      </w:pPr>
      <w:r>
        <w:rPr>
          <w:rStyle w:val="FootnoteReference"/>
        </w:rPr>
        <w:footnoteRef/>
      </w:r>
      <w:r>
        <w:t xml:space="preserve"> Izņemot a) šā pasākuma projektus elektroenerģijas un/vai siltuma ražošanas jomā, kā arī saistīto pārvades un sadales infrastruktūru, kurā izmanto dabasgāzi un kuri atbilst tehnisko norādījumu “nenodari būtisku kaitējumu” (2021/C58/01) </w:t>
      </w:r>
      <w:r>
        <w:t>III pielikumā izklāstītajiem nosacījumiem, un b) darbības un aktīvus saskaņā ar ii) punktu, kuros fosilā kurināmā izmantošana ir īslaicīga un tehniski nenovēršama, lai laikus pārietu uz ekspluatāciju bez fosilā kurināmā.</w:t>
      </w:r>
    </w:p>
  </w:footnote>
  <w:footnote w:id="64">
    <w:p w14:paraId="4EF95642" w14:textId="77777777" w:rsidR="00C972CB" w:rsidRDefault="002457F6">
      <w:pPr>
        <w:pStyle w:val="FootnoteText"/>
        <w:ind w:left="0" w:firstLine="0"/>
      </w:pPr>
      <w:r>
        <w:rPr>
          <w:rStyle w:val="FootnoteReference"/>
        </w:rPr>
        <w:footnoteRef/>
      </w:r>
      <w:r>
        <w:t xml:space="preserve"> Ja atbalstītā darbība sasniedz pr</w:t>
      </w:r>
      <w:r>
        <w:t>ognozētās siltumnīcefekta gāzu emisijas, kas nav ievērojami zemākas par attiecīgajām līmeņatzīmēm, būtu jāsniedz paskaidrojums par iemesliem, kāpēc tas nav iespējams. Līmeņatzīmes, kas noteiktas bezmaksas kvotu piešķiršanai darbībām, kuras ietilpst emisija</w:t>
      </w:r>
      <w:r>
        <w:t>s kvotu tirdzniecības sistēmas darbības jomā, kā noteikts Komisijas Īstenošanas regulā (ES) 2021/447.</w:t>
      </w:r>
    </w:p>
  </w:footnote>
  <w:footnote w:id="65">
    <w:p w14:paraId="4E6F0BC6" w14:textId="2E2D9CC0" w:rsidR="00C972CB" w:rsidRDefault="002457F6">
      <w:pPr>
        <w:pStyle w:val="P68B1DB1-Normal26"/>
        <w:jc w:val="both"/>
      </w:pPr>
      <w:r>
        <w:rPr>
          <w:vertAlign w:val="superscript"/>
        </w:rPr>
        <w:t>64</w:t>
      </w:r>
      <w:r>
        <w:t xml:space="preserve"> Šis izņēmums neattiecas uz darbībām saskaņā ar šo pasākumu iekārtās, kas paredzētas tikai nepārstrādājamu bīstamo atkritumu apstrādei, un esošās iekārt</w:t>
      </w:r>
      <w:r>
        <w:t>ās, ja darbības saskaņā ar šo pasākumu ir vērstas uz energoefektivitātes palielināšanu, izplūdes gāzu uztveršanu glabāšanai vai izmantošanai vai materiālu reģenerāciju no incinerācijas pelniem, ar noteikumu, ka šādas darbības saskaņā ar šo pasākumu nepalie</w:t>
      </w:r>
      <w:r>
        <w:t>lina iekārtu atkritumu pārstrādes jaudu vai nepagarina iekārtu darbmūžu; par kuriem ir sniegti pierādījumi uzņēmuma līmenī.</w:t>
      </w:r>
    </w:p>
  </w:footnote>
  <w:footnote w:id="66">
    <w:p w14:paraId="1523970E" w14:textId="77777777"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w:t>
      </w:r>
      <w:r>
        <w:t>ar šo pasākumu ir paredzētas, lai palielinātu energoefektivitāti vai modernizētu dalīto atkritumu pārstrādes darbības, tos pārveidojot par komposta bioatkritumiem un bioatkritumu anaerobo noārdīšanu, ar noteikumu, ka šādas darbības saskaņā ar šo pasākumu n</w:t>
      </w:r>
      <w:r>
        <w:t>epalielina iekārtu atkritumu pārstrādes jaudu vai nepagarina iekārtu darbmūžu; par kuriem ir sniegti pierādījumi uzņēmuma līmenī.</w:t>
      </w:r>
    </w:p>
  </w:footnote>
  <w:footnote w:id="67">
    <w:p w14:paraId="09ED0B83" w14:textId="1C286385" w:rsidR="00C972CB" w:rsidRDefault="002457F6">
      <w:pPr>
        <w:pStyle w:val="FootnoteText"/>
        <w:ind w:left="0" w:firstLine="0"/>
      </w:pPr>
      <w:r>
        <w:rPr>
          <w:rStyle w:val="FootnoteReference"/>
        </w:rPr>
        <w:footnoteRef/>
      </w:r>
      <w:r>
        <w:t xml:space="preserve"> Izņemot a) šā pasākuma projektus elektroenerģijas un/vai siltuma ražošanas jomā, kā arī saistīto pārvades un sadales infrast</w:t>
      </w:r>
      <w:r>
        <w:t>ruktūru, kurā izmanto dabasgāzi un kuri atbilst tehnisko norādījumu “nenodari būtisku kaitējumu” (2021/C58/01) III pielikumā izklāstītajiem nosacījumiem, un b) darbības un aktīvus saskaņā ar ii) punktu, kuros fosilā kurināmā izmantošana ir īslaicīga un teh</w:t>
      </w:r>
      <w:r>
        <w:t>niski nenovēršama, lai laikus pārietu uz ekspluatāciju bez fosilā kurināmā.</w:t>
      </w:r>
    </w:p>
  </w:footnote>
  <w:footnote w:id="68">
    <w:p w14:paraId="65DF490D" w14:textId="77777777"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jāsniedz paskaidrojums par iemesliem, kāp</w:t>
      </w:r>
      <w:r>
        <w:t>ēc tas nav iespējams. Līmeņatzīmes, kas noteiktas bezmaksas kvotu piešķiršanai darbībām, kuras ietilpst emisijas kvotu tirdzniecības sistēmas darbības jomā, kā noteikts Komisijas Īstenošanas regulā (ES) 2021/447.</w:t>
      </w:r>
    </w:p>
  </w:footnote>
  <w:footnote w:id="69">
    <w:p w14:paraId="295A93EF" w14:textId="7EC55A42" w:rsidR="00C972CB" w:rsidRDefault="002457F6">
      <w:pPr>
        <w:pStyle w:val="P68B1DB1-Normal26"/>
        <w:jc w:val="both"/>
      </w:pPr>
      <w:r>
        <w:t>Šis izņēmums neattiecas uz darbībām saskaņā</w:t>
      </w:r>
      <w:r>
        <w:t xml:space="preserve"> ar šo pasākumu iekārtās, kas paredzētas tikai nepārstrādājamu bīstamo atkritumu apstrādei, un esošām iekārtām, ja darbības saskaņā ar šo pasākumu ir paredzētas, lai palielinātu energoefektivitāti, uztvertu dūmgāzes glabāšanai vai izmantošanai, vai reģener</w:t>
      </w:r>
      <w:r>
        <w:t>ētu materiālus no sadedzināšanas pelniem, ar noteikumu, ka šādas darbības saskaņā ar šo pasākumu nepalielina iekārtu atkritumu pārstrādes jaudu vai nepagarina iekārtu darbmūžu; par kuriem ir sniegti pierādījumi uzņēmuma līmenī.</w:t>
      </w:r>
    </w:p>
  </w:footnote>
  <w:footnote w:id="70">
    <w:p w14:paraId="6E7E4D4B" w14:textId="77777777" w:rsidR="00C972CB" w:rsidRDefault="002457F6">
      <w:pPr>
        <w:pStyle w:val="FootnoteText"/>
        <w:ind w:left="0" w:firstLine="0"/>
      </w:pPr>
      <w:r>
        <w:rPr>
          <w:rStyle w:val="FootnoteReference"/>
        </w:rPr>
        <w:footnoteRef/>
      </w:r>
      <w:r>
        <w:t xml:space="preserve"> Šis izņēmums neattiecas uz</w:t>
      </w:r>
      <w:r>
        <w:t xml:space="preserve"> darbībām saskaņā ar šo pasākumu esošajās mehāniski bioloģiskās apstrādes iekārtās, ja darbības saskaņā ar šo pasākumu ir paredzētas, lai palielinātu energoefektivitāti vai modernizētu dalīto atkritumu pārstrādes darbības, tos pārveidojot par komposta bioa</w:t>
      </w:r>
      <w:r>
        <w:t>tkritumiem un bioatkritumu anaerobo noārdīšanu, ar noteikumu, ka šādas darbības saskaņā ar šo pasākumu nepalielina iekārtu atkritumu pārstrādes jaudu vai nepagarina iekārtu darbmūžu; par kuriem ir sniegti pierādījumi uzņēmuma līmenī.</w:t>
      </w:r>
    </w:p>
  </w:footnote>
  <w:footnote w:id="71">
    <w:p w14:paraId="5DC32CDB" w14:textId="77777777" w:rsidR="00C972CB" w:rsidRDefault="002457F6">
      <w:pPr>
        <w:pStyle w:val="FootnoteText"/>
        <w:ind w:left="0" w:firstLine="0"/>
      </w:pPr>
      <w:r>
        <w:rPr>
          <w:rStyle w:val="FootnoteReference"/>
        </w:rPr>
        <w:footnoteRef/>
      </w:r>
      <w:r>
        <w:t xml:space="preserve"> Izņemot projektus saskaņā ar šo pasākumu elektroenerģijas un/vai siltuma ražošanā, kā arī saistītajā pārvades un sadales infrastruktūrā, izmantojot dabasgāzi, kas atbilst tehnisko vadlīniju “Nenodari būtisku kaitējumu” (2021/C58/01) III pielikumā izklāstī</w:t>
      </w:r>
      <w:r>
        <w:t>tajiem nosacījumiem.</w:t>
      </w:r>
    </w:p>
  </w:footnote>
  <w:footnote w:id="72">
    <w:p w14:paraId="239CB303" w14:textId="77777777"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jāsniedz paskaidrojums par iemesliem, kāpēc tas nav iespējams. Līmeņatzīmes, kas noteiktas bezma</w:t>
      </w:r>
      <w:r>
        <w:t>ksas kvotu piešķiršanai darbībām, kuras ietilpst emisijas kvotu tirdzniecības sistēmas darbības jomā, kā noteikts Komisijas Īstenošanas regulā (ES) 2021/447.</w:t>
      </w:r>
    </w:p>
  </w:footnote>
  <w:footnote w:id="73">
    <w:p w14:paraId="4D8C51AE" w14:textId="77777777"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w:t>
      </w:r>
      <w:r>
        <w:t>trādājamu bīstamo atkritumu apstrādei, un esošām iekārtām, ja darbības saskaņā ar šo pasākumu ir paredzētas, lai palielinātu energoefektivitāti, uztvertu dūmgāzes glabāšanai vai izmantošanai, vai reģenerētu materiālus no sadedzināšanas pelniem, ar noteikum</w:t>
      </w:r>
      <w:r>
        <w:t>u, ka šādas darbības saskaņā ar šo pasākumu nepalielina iekārtu atkritumu pārstrādes jaudu vai nepagarina iekārtu darbmūžu; par kuriem ir sniegti pierādījumi uzņēmuma līmenī.</w:t>
      </w:r>
    </w:p>
  </w:footnote>
  <w:footnote w:id="74">
    <w:p w14:paraId="1B266704" w14:textId="77777777" w:rsidR="00C972CB" w:rsidRDefault="002457F6">
      <w:pPr>
        <w:pStyle w:val="FootnoteText"/>
        <w:ind w:left="0" w:firstLine="0"/>
      </w:pPr>
      <w:r>
        <w:rPr>
          <w:rStyle w:val="FootnoteReference"/>
        </w:rPr>
        <w:footnoteRef/>
      </w:r>
      <w:r>
        <w:t xml:space="preserve"> Šis izņēmums neattiecas uz darbībām saskaņā ar šo pasākumu esošajās mehāniski b</w:t>
      </w:r>
      <w:r>
        <w:t>ioloģiskās apstrādes iekārtās, ja darbības saskaņā ar šo pasākumu ir paredzētas, lai palielinātu energoefektivitāti vai modernizētu dalīto atkritumu pārstrādes darbības, tos pārveidojot par komposta bioatkritumiem un bioatkritumu anaerobo noārdīšanu, ar no</w:t>
      </w:r>
      <w:r>
        <w:t>teikumu, ka šādas darbības saskaņā ar šo pasākumu nepalielina iekārtu atkritumu pārstrādes jaudu vai nepagarina iekārtu darbmūžu; par kuriem ir sniegti pierādījumi uzņēmuma līmenī.</w:t>
      </w:r>
    </w:p>
  </w:footnote>
  <w:footnote w:id="75">
    <w:p w14:paraId="2B4AC006" w14:textId="2F39C68F" w:rsidR="00C972CB" w:rsidRDefault="002457F6">
      <w:pPr>
        <w:jc w:val="both"/>
        <w:rPr>
          <w:sz w:val="20"/>
        </w:rPr>
      </w:pPr>
      <w:r>
        <w:rPr>
          <w:rStyle w:val="FootnoteReference"/>
        </w:rPr>
        <w:footnoteRef/>
      </w:r>
      <w:r>
        <w:t xml:space="preserve"> </w:t>
      </w:r>
      <w:r>
        <w:rPr>
          <w:sz w:val="20"/>
        </w:rPr>
        <w:t>Izņemot a) šā pasākuma projektus elektroenerģijas un/vai siltuma ražošana</w:t>
      </w:r>
      <w:r>
        <w:rPr>
          <w:sz w:val="20"/>
        </w:rPr>
        <w:t>s jomā, kā arī saistīto pārvades un sadales infrastruktūru, kurā izmanto dabasgāzi un kuri atbilst tehnisko norādījumu “nenodari būtisku kaitējumu” (2021/C58/01) III pielikumā izklāstītajiem nosacījumiem, un b) darbības un aktīvus saskaņā ar ii) punktu, ku</w:t>
      </w:r>
      <w:r>
        <w:rPr>
          <w:sz w:val="20"/>
        </w:rPr>
        <w:t>ros fosilā kurināmā izmantošana ir īslaicīga un tehniski nenovēršama, lai laikus pārietu uz ekspluatāciju bez fosilā kurināmā.</w:t>
      </w:r>
    </w:p>
  </w:footnote>
  <w:footnote w:id="76">
    <w:p w14:paraId="6DB5692A" w14:textId="77777777" w:rsidR="00C972CB" w:rsidRDefault="002457F6">
      <w:pPr>
        <w:pStyle w:val="P68B1DB1-Normal26"/>
        <w:jc w:val="both"/>
      </w:pPr>
      <w:r>
        <w:footnoteRef/>
      </w:r>
      <w:r>
        <w:t>Ja atbalstītā darbība sasniedz prognozētās siltumnīcefekta gāzu emisijas, kas nav ievērojami zemākas par attiecīgajām līmeņatzīm</w:t>
      </w:r>
      <w:r>
        <w:t>ēm, būtu jāsniedz paskaidrojums par iemesliem, kāpēc tas nav iespējams. Līmeņatzīmes, kas noteiktas bezmaksas kvotu piešķiršanai darbībām, kuras ietilpst emisijas kvotu tirdzniecības sistēmas darbības jomā, kā noteikts Komisijas Īstenošanas regulā (ES) 202</w:t>
      </w:r>
      <w:r>
        <w:t>1/447.</w:t>
      </w:r>
    </w:p>
  </w:footnote>
  <w:footnote w:id="77">
    <w:p w14:paraId="639058EE" w14:textId="77777777" w:rsidR="00C972CB" w:rsidRDefault="002457F6">
      <w:pPr>
        <w:jc w:val="both"/>
        <w:rPr>
          <w:sz w:val="20"/>
        </w:rPr>
      </w:pPr>
      <w:r>
        <w:footnoteRef/>
      </w:r>
      <w:r>
        <w:rPr>
          <w:sz w:val="20"/>
        </w:rPr>
        <w:t>Šis izņēmums neattiecas uz darbībām saskaņā ar šo pasākumu iekārtās, kas paredzētas tikai nepārstrādājamu bīstamo atkritumu apstrādei, un esošām iekārtām, ja darbības saskaņā ar šo pasākumu ir paredzētas, lai palielinātu energoefektivitāti, uztvert</w:t>
      </w:r>
      <w:r>
        <w:rPr>
          <w:sz w:val="20"/>
        </w:rPr>
        <w:t>u dūmgāzes glabāšanai vai izmantošanai, vai reģenerētu materiālus no sadedzināšanas pelniem, ar noteikumu, ka šādas darbības saskaņā ar šo pasākumu nepalielina iekārtu atkritumu pārstrādes jaudu vai nepagarina iekārtu darbmūžu; par kuriem ir sniegti pierād</w:t>
      </w:r>
      <w:r>
        <w:rPr>
          <w:sz w:val="20"/>
        </w:rPr>
        <w:t>ījumi uzņēmuma līmenī.</w:t>
      </w:r>
    </w:p>
  </w:footnote>
  <w:footnote w:id="78">
    <w:p w14:paraId="33B09939" w14:textId="77777777" w:rsidR="00C972CB" w:rsidRDefault="002457F6">
      <w:pPr>
        <w:pStyle w:val="P68B1DB1-Normal26"/>
        <w:jc w:val="both"/>
      </w:pPr>
      <w:r>
        <w:footnoteRef/>
      </w:r>
      <w:r>
        <w:t>Šis izņēmums neattiecas uz darbībām saskaņā ar šo pasākumu esošajās mehāniski bioloģiskās apstrādes iekārtās, ja darbības saskaņā ar šo pasākumu ir paredzētas, lai palielinātu energoefektivitāti vai modernizētu dalīto atkritumu pārs</w:t>
      </w:r>
      <w:r>
        <w:t>trādes darbības, tos pārveidojot par komposta bioatkritumiem un bioatkritumu anaerobo noārdīšanu, ar noteikumu, ka šādas darbības saskaņā ar šo pasākumu nepalielina iekārtu atkritumu pārstrādes jaudu vai nepagarina iekārtu darbmūžu; par kuriem ir sniegti p</w:t>
      </w:r>
      <w:r>
        <w:t>ierādījumi uzņēmuma līmenī.</w:t>
      </w:r>
    </w:p>
  </w:footnote>
  <w:footnote w:id="79">
    <w:p w14:paraId="18F2F5BA" w14:textId="77777777" w:rsidR="00C972CB" w:rsidRDefault="002457F6">
      <w:pPr>
        <w:pStyle w:val="FootnoteText"/>
        <w:ind w:left="0" w:firstLine="0"/>
      </w:pPr>
      <w:r>
        <w:rPr>
          <w:rStyle w:val="FootnoteReference"/>
        </w:rPr>
        <w:footnoteRef/>
      </w:r>
      <w:r>
        <w:t xml:space="preserve"> Izņemot projektus saskaņā ar šo pasākumu elektroenerģijas un/vai siltuma ražošanā, kā arī saistītajā pārvades un sadales infrastruktūrā, izmantojot dabasgāzi, kas atbilst tehnisko vadlīniju “Nenodari būtisku kaitējumu” (2021/C</w:t>
      </w:r>
      <w:r>
        <w:t>58/01) III pielikumā izklāstītajiem nosacījumiem.</w:t>
      </w:r>
    </w:p>
  </w:footnote>
  <w:footnote w:id="80">
    <w:p w14:paraId="3BC9A821" w14:textId="77777777"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jāsniedz paskaidrojums par iemesliem, kāpēc tas nav iespējams. Līme</w:t>
      </w:r>
      <w:r>
        <w:t>ņatzīmes, kas noteiktas bezmaksas kvotu piešķiršanai darbībām, kuras ietilpst emisijas kvotu tirdzniecības sistēmas darbības jomā, kā noteikts Komisijas Īstenošanas regulā (ES) 2021/447.</w:t>
      </w:r>
    </w:p>
  </w:footnote>
  <w:footnote w:id="81">
    <w:p w14:paraId="4243BF5F" w14:textId="77777777" w:rsidR="00C972CB" w:rsidRDefault="002457F6">
      <w:pPr>
        <w:pStyle w:val="FootnoteText"/>
        <w:ind w:left="0" w:firstLine="0"/>
      </w:pPr>
      <w:r>
        <w:rPr>
          <w:rStyle w:val="FootnoteReference"/>
        </w:rPr>
        <w:footnoteRef/>
      </w:r>
      <w:r>
        <w:t xml:space="preserve"> Šis izņēmums neattiecas uz darbībām saskaņā ar šo pasākumu iekārtās</w:t>
      </w:r>
      <w:r>
        <w:t>, kas paredzētas tikai nepārstrādājamu bīstamo atkritumu apstrādei, un esošām iekārtām, ja darbības saskaņā ar šo pasākumu ir paredzētas, lai palielinātu energoefektivitāti, uztvertu dūmgāzes glabāšanai vai izmantošanai, vai reģenerētu materiālus no sadedz</w:t>
      </w:r>
      <w:r>
        <w:t>ināšanas pelniem, ar noteikumu, ka šādas darbības saskaņā ar šo pasākumu nepalielina iekārtu atkritumu pārstrādes jaudu vai nepagarina iekārtu darbmūžu; par kuriem ir sniegti pierādījumi uzņēmuma līmenī.</w:t>
      </w:r>
    </w:p>
  </w:footnote>
  <w:footnote w:id="82">
    <w:p w14:paraId="3C1180FE" w14:textId="77777777" w:rsidR="00C972CB" w:rsidRDefault="002457F6">
      <w:pPr>
        <w:pStyle w:val="FootnoteText"/>
        <w:ind w:left="0" w:firstLine="0"/>
      </w:pPr>
      <w:r>
        <w:rPr>
          <w:rStyle w:val="FootnoteReference"/>
        </w:rPr>
        <w:footnoteRef/>
      </w:r>
      <w:r>
        <w:t xml:space="preserve"> Šis izņēmums neattiecas uz darbībām saskaņā ar šo </w:t>
      </w:r>
      <w:r>
        <w:t>pasākumu esošajās mehāniski bioloģiskās apstrādes iekārtās, ja darbības saskaņā ar šo pasākumu ir paredzētas, lai palielinātu energoefektivitāti vai modernizētu dalīto atkritumu pārstrādes darbības, tos pārveidojot par komposta bioatkritumiem un bioatkritu</w:t>
      </w:r>
      <w:r>
        <w:t>mu anaerobo noārdīšanu, ar noteikumu, ka šādas darbības saskaņā ar šo pasākumu nepalielina iekārtu atkritumu pārstrādes jaudu vai nepagarina iekārtu darbmūžu; par kuriem ir sniegti pierādījumi uzņēmuma līmenī.</w:t>
      </w:r>
    </w:p>
  </w:footnote>
  <w:footnote w:id="83">
    <w:p w14:paraId="068E762E" w14:textId="77777777" w:rsidR="00C972CB" w:rsidRDefault="002457F6">
      <w:pPr>
        <w:pStyle w:val="FootnoteText"/>
        <w:ind w:left="0" w:firstLine="0"/>
      </w:pPr>
      <w:r>
        <w:rPr>
          <w:rStyle w:val="FootnoteReference"/>
        </w:rPr>
        <w:footnoteRef/>
      </w:r>
      <w:r>
        <w:t xml:space="preserve"> </w:t>
      </w:r>
      <w:r>
        <w:rPr>
          <w:rStyle w:val="normaltextrun"/>
          <w:color w:val="000000"/>
          <w:shd w:val="clear" w:color="auto" w:fill="FFFFFF"/>
        </w:rPr>
        <w:t>ESAO, Prasmju pētījumi “Atbalsts uzņēmējdarb</w:t>
      </w:r>
      <w:r>
        <w:rPr>
          <w:rStyle w:val="normaltextrun"/>
          <w:color w:val="000000"/>
          <w:shd w:val="clear" w:color="auto" w:fill="FFFFFF"/>
        </w:rPr>
        <w:t>ībai un inovācijai augstākajā izglītībā Itālijā”</w:t>
      </w:r>
    </w:p>
  </w:footnote>
  <w:footnote w:id="84">
    <w:p w14:paraId="22587763" w14:textId="77777777" w:rsidR="00C972CB" w:rsidRDefault="002457F6">
      <w:pPr>
        <w:pStyle w:val="FootnoteText"/>
        <w:ind w:left="0" w:firstLine="0"/>
      </w:pPr>
      <w:r>
        <w:rPr>
          <w:rStyle w:val="FootnoteReference"/>
        </w:rPr>
        <w:footnoteRef/>
      </w:r>
      <w:r>
        <w:t xml:space="preserve"> Izņemot projektus saskaņā ar šo pasākumu elektroenerģijas un/vai siltuma ražošanā, kā arī saistītajā pārvades un sadales infrastruktūrā, izmantojot dabasgāzi, kas atbilst tehnisko vadlīniju “Nenodari būtis</w:t>
      </w:r>
      <w:r>
        <w:t>ku kaitējumu” (2021/C58/01) III pielikumā izklāstītajiem nosacījumiem.</w:t>
      </w:r>
    </w:p>
  </w:footnote>
  <w:footnote w:id="85">
    <w:p w14:paraId="36E8DF0A" w14:textId="77777777"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jāsniedz paskaidrojums par iemesliem, kāpēc ta</w:t>
      </w:r>
      <w:r>
        <w:t>s nav iespējams. Līmeņatzīmes, kas noteiktas bezmaksas kvotu piešķiršanai darbībām, kuras ietilpst emisijas kvotu tirdzniecības sistēmas darbības jomā, kā noteikts Komisijas Īstenošanas regulā (ES) 2021/447.</w:t>
      </w:r>
    </w:p>
  </w:footnote>
  <w:footnote w:id="86">
    <w:p w14:paraId="1EC166D0" w14:textId="77777777" w:rsidR="00C972CB" w:rsidRDefault="002457F6">
      <w:pPr>
        <w:pStyle w:val="FootnoteText"/>
        <w:ind w:left="0" w:firstLine="0"/>
      </w:pPr>
      <w:r>
        <w:rPr>
          <w:rStyle w:val="FootnoteReference"/>
        </w:rPr>
        <w:footnoteRef/>
      </w:r>
      <w:r>
        <w:t xml:space="preserve"> Šis izņēmums neattiecas uz darbībām saskaņā ar</w:t>
      </w:r>
      <w:r>
        <w:t xml:space="preserve"> šo pasākumu iekārtās, kas paredzētas tikai nepārstrādājamu bīstamo atkritumu apstrādei, un esošām iekārtām, ja darbības saskaņā ar šo pasākumu ir paredzētas, lai palielinātu energoefektivitāti, uztvertu dūmgāzes glabāšanai vai izmantošanai, vai reģenerētu</w:t>
      </w:r>
      <w:r>
        <w:t xml:space="preserve"> materiālus no sadedzināšanas pelniem, ar noteikumu, ka šādas darbības saskaņā ar šo pasākumu nepalielina iekārtu atkritumu pārstrādes jaudu vai nepagarina iekārtu darbmūžu; par kuriem ir sniegti pierādījumi uzņēmuma līmenī.</w:t>
      </w:r>
    </w:p>
  </w:footnote>
  <w:footnote w:id="87">
    <w:p w14:paraId="7C920DC7" w14:textId="77777777" w:rsidR="00C972CB" w:rsidRDefault="002457F6">
      <w:pPr>
        <w:pStyle w:val="FootnoteText"/>
        <w:ind w:left="0" w:firstLine="0"/>
      </w:pPr>
      <w:r>
        <w:rPr>
          <w:rStyle w:val="FootnoteReference"/>
        </w:rPr>
        <w:footnoteRef/>
      </w:r>
      <w:r>
        <w:t xml:space="preserve"> Šis izņēmums neattiecas uz da</w:t>
      </w:r>
      <w:r>
        <w:t>rbībām saskaņā ar šo pasākumu esošajās mehāniski bioloģiskās apstrādes iekārtās, ja darbības saskaņā ar šo pasākumu ir paredzētas, lai palielinātu energoefektivitāti vai modernizētu dalīto atkritumu pārstrādes darbības, tos pārveidojot par komposta bioatkr</w:t>
      </w:r>
      <w:r>
        <w:t>itumiem un bioatkritumu anaerobo noārdīšanu, ar noteikumu, ka šādas darbības saskaņā ar šo pasākumu nepalielina iekārtu atkritumu pārstrādes jaudu vai nepagarina iekārtu darbmūžu; par kuriem ir sniegti pierādījumi uzņēmuma līmenī.</w:t>
      </w:r>
    </w:p>
  </w:footnote>
  <w:footnote w:id="88">
    <w:p w14:paraId="11413F29" w14:textId="475F2BD8" w:rsidR="00C972CB" w:rsidRDefault="002457F6">
      <w:pPr>
        <w:pStyle w:val="FootnoteText"/>
        <w:ind w:left="0" w:firstLine="0"/>
      </w:pPr>
      <w:r>
        <w:rPr>
          <w:rStyle w:val="FootnoteReference"/>
        </w:rPr>
        <w:footnoteRef/>
      </w:r>
      <w:r>
        <w:t xml:space="preserve"> Izņemot projektus saska</w:t>
      </w:r>
      <w:r>
        <w:t>ņā ar šo pasākumu elektroenerģijas un/vai siltuma ražošanā, kā arī saistītajā pārvades un sadales infrastruktūrā, izmantojot dabasgāzi, kas atbilst tehnisko vadlīniju “Nenodari būtisku kaitējumu” (2021/C58/01) III pielikumā izklāstītajiem nosacījumiem.</w:t>
      </w:r>
    </w:p>
  </w:footnote>
  <w:footnote w:id="89">
    <w:p w14:paraId="6C06A35B" w14:textId="44FA0A05" w:rsidR="00C972CB" w:rsidRDefault="002457F6">
      <w:pPr>
        <w:pStyle w:val="FootnoteText"/>
        <w:ind w:left="0" w:firstLine="0"/>
      </w:pPr>
      <w:r>
        <w:rPr>
          <w:rStyle w:val="FootnoteReference"/>
        </w:rPr>
        <w:footnoteRef/>
      </w:r>
      <w:r>
        <w:t xml:space="preserve"> J</w:t>
      </w:r>
      <w:r>
        <w:t xml:space="preserve">a atbalstītā darbība sasniedz prognozētās siltumnīcefekta gāzu emisijas, kas nav ievērojami zemākas par attiecīgajām līmeņatzīmēm, būtu jāsniedz paskaidrojums par iemesliem, kāpēc tas nav iespējams. Līmeņatzīmes, kas noteiktas bezmaksas kvotu piešķiršanai </w:t>
      </w:r>
      <w:r>
        <w:t>darbībām, kuras ietilpst emisijas kvotu tirdzniecības sistēmas darbības jomā, kā noteikts Komisijas Īstenošanas regulā (ES) 2021/447.</w:t>
      </w:r>
    </w:p>
  </w:footnote>
  <w:footnote w:id="90">
    <w:p w14:paraId="23675DED" w14:textId="224ED2CF"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nepārstrādājamu bīstamo atkrit</w:t>
      </w:r>
      <w:r>
        <w:t>umu apstrādei, un esošām iekārtām, ja darbības saskaņā ar šo pasākumu ir paredzētas, lai palielinātu energoefektivitāti, uztvertu dūmgāzes glabāšanai vai izmantošanai, vai reģenerētu materiālus no sadedzināšanas pelniem, ar noteikumu, ka šādas darbības sas</w:t>
      </w:r>
      <w:r>
        <w:t>kaņā ar šo pasākumu nepalielina iekārtu atkritumu pārstrādes jaudu vai nepagarina iekārtu darbmūžu; par kuriem ir sniegti pierādījumi uzņēmuma līmenī.</w:t>
      </w:r>
    </w:p>
  </w:footnote>
  <w:footnote w:id="91">
    <w:p w14:paraId="75368B18" w14:textId="70C5FB0F"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w:t>
      </w:r>
      <w:r>
        <w:t>ārtās, ja darbības saskaņā ar šo pasākumu ir paredzētas, lai palielinātu energoefektivitāti vai modernizētu dalīto atkritumu pārstrādes darbības, tos pārveidojot par komposta bioatkritumiem un bioatkritumu anaerobo noārdīšanu, ar noteikumu, ka šādas darbīb</w:t>
      </w:r>
      <w:r>
        <w:t>as saskaņā ar šo pasākumu nepalielina iekārtu atkritumu pārstrādes jaudu vai nepagarina iekārtu darbmūžu; par kuriem ir sniegti pierādījumi uzņēmuma līmenī.</w:t>
      </w:r>
    </w:p>
  </w:footnote>
  <w:footnote w:id="92">
    <w:p w14:paraId="562E5DDD" w14:textId="7ECEF1D9" w:rsidR="00C972CB" w:rsidRDefault="002457F6">
      <w:pPr>
        <w:pStyle w:val="FootnoteText"/>
        <w:ind w:left="0" w:firstLine="0"/>
      </w:pPr>
      <w:r>
        <w:rPr>
          <w:rStyle w:val="FootnoteReference"/>
        </w:rPr>
        <w:footnoteRef/>
      </w:r>
      <w:r>
        <w:t xml:space="preserve"> Izņemot projektus saskaņā ar šo pasākumu elektroenerģijas un/vai siltuma ražošanā, kā arī saistīt</w:t>
      </w:r>
      <w:r>
        <w:t>ajā pārvades un sadales infrastruktūrā, izmantojot dabasgāzi, kas atbilst tehnisko vadlīniju “Nenodari būtisku kaitējumu” (2021/C58/01) III pielikumā izklāstītajiem nosacījumiem.</w:t>
      </w:r>
    </w:p>
  </w:footnote>
  <w:footnote w:id="93">
    <w:p w14:paraId="2664F237" w14:textId="57E9C96D" w:rsidR="00C972CB" w:rsidRDefault="002457F6">
      <w:pPr>
        <w:pStyle w:val="FootnoteText"/>
        <w:ind w:left="0" w:firstLine="0"/>
      </w:pPr>
      <w:r>
        <w:rPr>
          <w:rStyle w:val="FootnoteReference"/>
        </w:rPr>
        <w:footnoteRef/>
      </w:r>
      <w:r>
        <w:t xml:space="preserve"> Ja atbalstītā darbība sasniedz prognozētās siltumnīcefekta gāzu emisijas, k</w:t>
      </w:r>
      <w:r>
        <w:t>as nav ievērojami zemākas par attiecīgajām līmeņatzīmēm, būtu jāsniedz paskaidrojums par iemesliem, kāpēc tas nav iespējams. Līmeņatzīmes, kas noteiktas bezmaksas kvotu piešķiršanai darbībām, kuras ietilpst emisijas kvotu tirdzniecības sistēmas darbības jo</w:t>
      </w:r>
      <w:r>
        <w:t>mā, kā noteikts Komisijas Īstenošanas regulā (ES) 2021/447.</w:t>
      </w:r>
    </w:p>
  </w:footnote>
  <w:footnote w:id="94">
    <w:p w14:paraId="797EEACC" w14:textId="52646A2A" w:rsidR="00C972CB" w:rsidRDefault="002457F6">
      <w:pPr>
        <w:pStyle w:val="FootnoteText"/>
        <w:ind w:left="0" w:firstLine="0"/>
      </w:pPr>
      <w:r>
        <w:rPr>
          <w:rStyle w:val="FootnoteReference"/>
        </w:rPr>
        <w:footnoteRef/>
      </w:r>
      <w:r>
        <w:t xml:space="preserve"> Šis izņēmums neattiecas uz darbībām saskaņā ar šo pasākumu iekārtās, kas paredzētas tikai nepārstrādājamu bīstamo atkritumu apstrādei, un esošām iekārtām, ja darbības saskaņā ar šo pasākumu ir p</w:t>
      </w:r>
      <w:r>
        <w:t>aredzētas, lai palielinātu energoefektivitāti, uztvertu dūmgāzes glabāšanai vai izmantošanai, vai reģenerētu materiālus no sadedzināšanas pelniem, ar noteikumu, ka šādas darbības saskaņā ar šo pasākumu nepalielina iekārtu atkritumu pārstrādes jaudu vai nep</w:t>
      </w:r>
      <w:r>
        <w:t>agarina iekārtu darbmūžu; par kuriem ir sniegti pierādījumi uzņēmuma līmenī.</w:t>
      </w:r>
    </w:p>
  </w:footnote>
  <w:footnote w:id="95">
    <w:p w14:paraId="38660FAB" w14:textId="2DDB7F02"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paredzētas, lai palielinātu e</w:t>
      </w:r>
      <w:r>
        <w:t>nergoefektivitāti vai modernizētu dalīto atkritumu pārstrādes darbības, tos pārveidojot par komposta bioatkritumiem un bioatkritumu anaerobo noārdīšanu, ar noteikumu, ka šādas darbības saskaņā ar šo pasākumu nepalielina iekārtu atkritumu pārstrādes jaudu v</w:t>
      </w:r>
      <w:r>
        <w:t>ai nepagarina iekārtu darbmūžu; par kuriem ir sniegti pierādījumi uzņēmuma līmenī.</w:t>
      </w:r>
    </w:p>
  </w:footnote>
  <w:footnote w:id="96">
    <w:p w14:paraId="584EBB3C" w14:textId="77777777" w:rsidR="00C972CB" w:rsidRDefault="002457F6">
      <w:pPr>
        <w:pStyle w:val="FootnoteText"/>
        <w:ind w:left="0" w:firstLine="0"/>
      </w:pPr>
      <w:r>
        <w:rPr>
          <w:rStyle w:val="FootnoteReference"/>
        </w:rPr>
        <w:footnoteRef/>
      </w:r>
      <w:r>
        <w:t xml:space="preserve"> Izņemot projektus saskaņā ar šo pasākumu elektroenerģijas un/vai siltuma ražošanā, kā arī saistītajā pārvades un sadales infrastruktūrā, izmantojot dabasgāzi, kas atbilst </w:t>
      </w:r>
      <w:r>
        <w:t>tehnisko vadlīniju “Nenodari būtisku kaitējumu” (2021/C58/01) III pielikumā izklāstītajiem nosacījumiem.</w:t>
      </w:r>
    </w:p>
  </w:footnote>
  <w:footnote w:id="97">
    <w:p w14:paraId="5F71D76B" w14:textId="77777777"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jāsniedz pas</w:t>
      </w:r>
      <w:r>
        <w:t>kaidrojums par iemesliem, kāpēc tas nav iespējams. Līmeņatzīmes, kas noteiktas bezmaksas kvotu piešķiršanai darbībām, kuras ietilpst emisijas kvotu tirdzniecības sistēmas darbības jomā, kā noteikts Komisijas Īstenošanas regulā (ES) 2021/447.</w:t>
      </w:r>
    </w:p>
  </w:footnote>
  <w:footnote w:id="98">
    <w:p w14:paraId="2D620FEB" w14:textId="77777777" w:rsidR="00C972CB" w:rsidRDefault="002457F6">
      <w:pPr>
        <w:jc w:val="both"/>
      </w:pPr>
      <w:r>
        <w:rPr>
          <w:rStyle w:val="FootnoteReference"/>
          <w:sz w:val="20"/>
        </w:rPr>
        <w:footnoteRef/>
      </w:r>
      <w:r>
        <w:rPr>
          <w:sz w:val="20"/>
        </w:rPr>
        <w:t xml:space="preserve"> Šis izņēmums neattiecas uz darbībām saskaņā ar šo pasākumu iekārtās, kas paredzētas tikai nepārstrādājamu bīstamo atkritumu apstrādei, un esošām iekārtām, ja darbības saskaņā ar šo pasākumu ir paredzētas, lai palielinātu energoefektivitāti, uztvertu dūmgā</w:t>
      </w:r>
      <w:r>
        <w:rPr>
          <w:sz w:val="20"/>
        </w:rPr>
        <w:t>zes glabāšanai vai izmantošanai, vai reģenerētu materiālus no sadedzināšanas pelniem, ar noteikumu, ka šādas darbības saskaņā ar šo pasākumu nepalielina iekārtu atkritumu pārstrādes jaudu vai nepagarina iekārtu darbmūžu; par kuriem ir sniegti pierādījumi u</w:t>
      </w:r>
      <w:r>
        <w:rPr>
          <w:sz w:val="20"/>
        </w:rPr>
        <w:t>zņēmuma līmenī.</w:t>
      </w:r>
    </w:p>
  </w:footnote>
  <w:footnote w:id="99">
    <w:p w14:paraId="2609815D" w14:textId="77777777"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paredzētas, lai palielinātu energoefektivitāti vai modernizētu dalīto atkritumu pārstrādes</w:t>
      </w:r>
      <w:r>
        <w:t xml:space="preserve"> darbības, tos pārveidojot par komposta bioatkritumiem un bioatkritumu anaerobo noārdīšanu, ar noteikumu, ka šādas darbības saskaņā ar šo pasākumu nepalielina iekārtu atkritumu pārstrādes jaudu vai nepagarina iekārtu darbmūžu; par kuriem ir sniegti pierādī</w:t>
      </w:r>
      <w:r>
        <w:t>jumi uzņēmuma līmenī.</w:t>
      </w:r>
    </w:p>
  </w:footnote>
  <w:footnote w:id="100">
    <w:p w14:paraId="55B4A234" w14:textId="77777777" w:rsidR="00C972CB" w:rsidRDefault="002457F6">
      <w:pPr>
        <w:pStyle w:val="FootnoteText"/>
        <w:ind w:left="0" w:firstLine="0"/>
      </w:pPr>
      <w:r>
        <w:rPr>
          <w:rStyle w:val="FootnoteReference"/>
        </w:rPr>
        <w:footnoteRef/>
      </w:r>
      <w:r>
        <w:t xml:space="preserve"> Darba pakete ir projekta darba sadalījuma sastāvdaļa, piemēram: pirms ieguldījumiem testēt prasmes un apmācību, projektu vadību un koordināciju. Tas ir projekta darba grupa, kas aprakstīta darbībās un uzdevumos. Darba paketēm ir ska</w:t>
      </w:r>
      <w:r>
        <w:t xml:space="preserve">idra un loģiska saikne ar projekta mērķiem un citām darba paketēm. Katra darba pakete ir projekta apakšdaļa, kas ir solis uz projekta vispārējo mērķu sasniegšanu. </w:t>
      </w:r>
    </w:p>
  </w:footnote>
  <w:footnote w:id="101">
    <w:p w14:paraId="0DBF816E" w14:textId="77777777" w:rsidR="00C972CB" w:rsidRDefault="002457F6">
      <w:pPr>
        <w:pStyle w:val="FootnoteText"/>
        <w:ind w:left="0" w:firstLine="0"/>
      </w:pPr>
      <w:r>
        <w:rPr>
          <w:rStyle w:val="FootnoteReference"/>
        </w:rPr>
        <w:footnoteRef/>
      </w:r>
      <w:r>
        <w:t xml:space="preserve"> Izņemot projektus saskaņā ar šo pasākumu elektroenerģijas un/vai siltuma ražošanā, kā arī </w:t>
      </w:r>
      <w:r>
        <w:t>saistītajā pārvades un sadales infrastruktūrā, izmantojot dabasgāzi, kas atbilst tehnisko vadlīniju “Nenodari būtisku kaitējumu” (2021/C58/01) III pielikumā izklāstītajiem nosacījumiem.</w:t>
      </w:r>
    </w:p>
  </w:footnote>
  <w:footnote w:id="102">
    <w:p w14:paraId="06D518F4" w14:textId="77777777" w:rsidR="00C972CB" w:rsidRDefault="002457F6">
      <w:pPr>
        <w:pStyle w:val="FootnoteText"/>
        <w:ind w:left="0" w:firstLine="0"/>
      </w:pPr>
      <w:r>
        <w:rPr>
          <w:rStyle w:val="FootnoteReference"/>
        </w:rPr>
        <w:footnoteRef/>
      </w:r>
      <w:r>
        <w:t xml:space="preserve"> Ja atbalstītā darbība sasniedz prognozētās siltumnīcefekta gāzu emis</w:t>
      </w:r>
      <w:r>
        <w:t>ijas, kas nav ievērojami zemākas par attiecīgajām līmeņatzīmēm, būtu jāsniedz paskaidrojums par iemesliem, kāpēc tas nav iespējams. Līmeņatzīmes, kas noteiktas bezmaksas kvotu piešķiršanai darbībām, kuras ietilpst emisijas kvotu tirdzniecības sistēmas darb</w:t>
      </w:r>
      <w:r>
        <w:t>ības jomā, kā noteikts Komisijas Īstenošanas regulā (ES) 2021/447.</w:t>
      </w:r>
    </w:p>
  </w:footnote>
  <w:footnote w:id="103">
    <w:p w14:paraId="382B00C3" w14:textId="77777777" w:rsidR="00C972CB" w:rsidRDefault="002457F6">
      <w:pPr>
        <w:jc w:val="both"/>
      </w:pPr>
      <w:r>
        <w:rPr>
          <w:rStyle w:val="FootnoteReference"/>
        </w:rPr>
        <w:footnoteRef/>
      </w:r>
      <w:r>
        <w:rPr>
          <w:sz w:val="20"/>
        </w:rPr>
        <w:t>Šis izņēmums neattiecas uz darbībām saskaņā ar šo pasākumu iekārtās, kas paredzētas tikai nepārstrādājamu bīstamo atkritumu apstrādei, un esošām iekārtām, ja darbības saskaņā ar šo pasākum</w:t>
      </w:r>
      <w:r>
        <w:rPr>
          <w:sz w:val="20"/>
        </w:rPr>
        <w:t>u ir paredzētas, lai palielinātu energoefektivitāti, uztvertu dūmgāzes glabāšanai vai izmantošanai, vai reģenerētu materiālus no sadedzināšanas pelniem, ar noteikumu, ka šādas darbības saskaņā ar šo pasākumu nepalielina iekārtu atkritumu pārstrādes jaudu v</w:t>
      </w:r>
      <w:r>
        <w:rPr>
          <w:sz w:val="20"/>
        </w:rPr>
        <w:t>ai nepagarina iekārtu darbmūžu; par kuriem ir sniegti pierādījumi uzņēmuma līmenī.</w:t>
      </w:r>
    </w:p>
  </w:footnote>
  <w:footnote w:id="104">
    <w:p w14:paraId="64C9148D" w14:textId="77777777"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paredzētas, lai palieli</w:t>
      </w:r>
      <w:r>
        <w:t>nātu energoefektivitāti vai modernizētu dalīto atkritumu pārstrādes darbības, tos pārveidojot par komposta bioatkritumiem un bioatkritumu anaerobo noārdīšanu, ar noteikumu, ka šādas darbības saskaņā ar šo pasākumu nepalielina iekārtu atkritumu pārstrādes j</w:t>
      </w:r>
      <w:r>
        <w:t>audu vai nepagarina iekārtu darbmūžu; par kuriem ir sniegti pierādījumi uzņēmuma līmenī.</w:t>
      </w:r>
    </w:p>
  </w:footnote>
  <w:footnote w:id="105">
    <w:p w14:paraId="11264BA7" w14:textId="77777777" w:rsidR="00C972CB" w:rsidRDefault="002457F6">
      <w:pPr>
        <w:pStyle w:val="FootnoteText"/>
        <w:ind w:left="0" w:firstLine="0"/>
      </w:pPr>
      <w:r>
        <w:rPr>
          <w:rStyle w:val="FootnoteReference"/>
        </w:rPr>
        <w:footnoteRef/>
      </w:r>
      <w:r>
        <w:t xml:space="preserve"> Izņemot projektus saskaņā ar šo pasākumu elektroenerģijas un/vai siltuma ražošanā, kā arī saistītajā pārvades un sadales infrastruktūrā, izmantojot dabasgāzi, kas at</w:t>
      </w:r>
      <w:r>
        <w:t>bilst tehnisko vadlīniju “Nenodari būtisku kaitējumu” (2021/C58/01) III pielikumā izklāstītajiem nosacījumiem.</w:t>
      </w:r>
    </w:p>
  </w:footnote>
  <w:footnote w:id="106">
    <w:p w14:paraId="053104C3" w14:textId="77777777"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w:t>
      </w:r>
      <w:r>
        <w:t>dz paskaidrojums par iemesliem, kāpēc tas nav iespējams. Līmeņatzīmes, kas noteiktas bezmaksas kvotu piešķiršanai darbībām, kuras ietilpst emisijas kvotu tirdzniecības sistēmas darbības jomā, kā noteikts Komisijas Īstenošanas regulā (ES) 2021/447.</w:t>
      </w:r>
    </w:p>
  </w:footnote>
  <w:footnote w:id="107">
    <w:p w14:paraId="44905E11" w14:textId="77777777" w:rsidR="00C972CB" w:rsidRDefault="002457F6">
      <w:pPr>
        <w:jc w:val="both"/>
      </w:pPr>
      <w:r>
        <w:rPr>
          <w:rStyle w:val="FootnoteReference"/>
          <w:sz w:val="20"/>
        </w:rPr>
        <w:footnoteRef/>
      </w:r>
      <w:r>
        <w:rPr>
          <w:sz w:val="20"/>
        </w:rPr>
        <w:t xml:space="preserve"> Šis iz</w:t>
      </w:r>
      <w:r>
        <w:rPr>
          <w:sz w:val="20"/>
        </w:rPr>
        <w:t>ņēmums neattiecas uz darbībām saskaņā ar šo pasākumu iekārtās, kas paredzētas tikai nepārstrādājamu bīstamo atkritumu apstrādei, un esošām iekārtām, ja darbības saskaņā ar šo pasākumu ir paredzētas, lai palielinātu energoefektivitāti, uztvertu dūmgāzes gla</w:t>
      </w:r>
      <w:r>
        <w:rPr>
          <w:sz w:val="20"/>
        </w:rPr>
        <w:t>bāšanai vai izmantošanai, vai reģenerētu materiālus no sadedzināšanas pelniem, ar noteikumu, ka šādas darbības saskaņā ar šo pasākumu nepalielina iekārtu atkritumu pārstrādes jaudu vai nepagarina iekārtu darbmūžu; par kuriem ir sniegti pierādījumi uzņēmuma</w:t>
      </w:r>
      <w:r>
        <w:rPr>
          <w:sz w:val="20"/>
        </w:rPr>
        <w:t xml:space="preserve"> līmenī.</w:t>
      </w:r>
    </w:p>
  </w:footnote>
  <w:footnote w:id="108">
    <w:p w14:paraId="717598FA" w14:textId="77777777" w:rsidR="00C972CB" w:rsidRDefault="002457F6">
      <w:pPr>
        <w:pStyle w:val="FootnoteText"/>
        <w:ind w:left="0" w:firstLine="0"/>
      </w:pPr>
      <w:r>
        <w:rPr>
          <w:rStyle w:val="FootnoteReference"/>
        </w:rPr>
        <w:footnoteRef/>
      </w:r>
      <w:r>
        <w:t xml:space="preserve"> Šis izņēmums neattiecas uz darbībām saskaņā ar šo pasākumu esošajās mehāniski bioloģiskās apstrādes iekārtās, ja darbības saskaņā ar šo pasākumu ir paredzētas, lai palielinātu energoefektivitāti vai modernizētu dalīto atkritumu pārstrādes darbīb</w:t>
      </w:r>
      <w:r>
        <w:t>as, tos pārveidojot par komposta bioatkritumiem un bioatkritumu anaerobo noārdīšanu, ar noteikumu, ka šādas darbības saskaņā ar šo pasākumu nepalielina iekārtu atkritumu pārstrādes jaudu vai nepagarina iekārtu darbmūžu; par kuriem ir sniegti pierādījumi uz</w:t>
      </w:r>
      <w:r>
        <w:t>ņēmuma līmenī.</w:t>
      </w:r>
    </w:p>
  </w:footnote>
  <w:footnote w:id="109">
    <w:p w14:paraId="477A90C0" w14:textId="77777777" w:rsidR="00C972CB" w:rsidRDefault="002457F6">
      <w:pPr>
        <w:pStyle w:val="FootnoteText"/>
        <w:ind w:left="0" w:firstLine="0"/>
      </w:pPr>
      <w:r>
        <w:rPr>
          <w:rStyle w:val="FootnoteReference"/>
          <w:rFonts w:eastAsiaTheme="majorEastAsia"/>
        </w:rPr>
        <w:footnoteRef/>
      </w:r>
      <w:r>
        <w:t xml:space="preserve"> CDP riska kapitāls SGR veic pārvaldības darbības saskaņā ar AIFP direktīvā noteiktajiem neatkarības un autonomijas principiem.</w:t>
      </w:r>
    </w:p>
  </w:footnote>
  <w:footnote w:id="110">
    <w:p w14:paraId="440FFF2D" w14:textId="77777777" w:rsidR="00C972CB" w:rsidRDefault="002457F6">
      <w:pPr>
        <w:pStyle w:val="FootnoteText"/>
        <w:ind w:left="0" w:firstLine="0"/>
      </w:pPr>
      <w:r>
        <w:rPr>
          <w:rStyle w:val="FootnoteReference"/>
          <w:rFonts w:eastAsiaTheme="majorEastAsia"/>
        </w:rPr>
        <w:footnoteRef/>
      </w:r>
      <w:r>
        <w:t xml:space="preserve"> Uzskata, ka galasaņēmējs “būtiski koncentrējas” uz nozari vai uzņēmējdarbību, ja šāda nozare vai darbība ir no</w:t>
      </w:r>
      <w:r>
        <w:t>teikta kā būtiska galasaņēmēja saimnieciskās darbības daļa attiecīgi attiecībā uz galasaņēmēja bruto ieņēmumiem, peļņu vai klientu bāzi. Bruto ieņēmumi, kas gūti no ierobežotās nozares vai darbības, jebkurā gadījumā nepārsniedz 50 % no bruto ieņēmumiem.</w:t>
      </w:r>
    </w:p>
  </w:footnote>
  <w:footnote w:id="111">
    <w:p w14:paraId="34BD2AA1" w14:textId="77777777" w:rsidR="00C972CB" w:rsidRDefault="002457F6">
      <w:pPr>
        <w:jc w:val="both"/>
        <w:rPr>
          <w:sz w:val="20"/>
        </w:rPr>
      </w:pPr>
      <w:r>
        <w:rPr>
          <w:rStyle w:val="FootnoteReference"/>
          <w:rFonts w:eastAsiaTheme="majorEastAsia"/>
        </w:rPr>
        <w:footnoteRef/>
      </w:r>
      <w:r>
        <w:rPr>
          <w:sz w:val="20"/>
        </w:rPr>
        <w:t xml:space="preserve"> </w:t>
      </w:r>
      <w:r>
        <w:rPr>
          <w:sz w:val="20"/>
        </w:rPr>
        <w:t>Izņemot a) aktīvus un darbības elektroenerģijas un/vai siltuma ražošanas jomā, kā arī saistīto pārvades un sadales infrastruktūru, izmantojot dabasgāzi, kas atbilst tehnisko norādījumu “nenodari būtisku kaitējumu” (2021/C58/01) III pielikumā izklāstītajiem</w:t>
      </w:r>
      <w:r>
        <w:rPr>
          <w:sz w:val="20"/>
        </w:rPr>
        <w:t xml:space="preserve"> nosacījumiem, un b) darbības un aktīvus saskaņā ar ii) punktu, kuros fosilā kurināmā izmantošana ir īslaicīga un tehniski nenovēršama, lai laikus pārietu uz ekspluatāciju bez fosilā kurināmā.</w:t>
      </w:r>
    </w:p>
  </w:footnote>
  <w:footnote w:id="112">
    <w:p w14:paraId="58192EB0" w14:textId="77777777" w:rsidR="00C972CB" w:rsidRDefault="002457F6">
      <w:pPr>
        <w:jc w:val="both"/>
        <w:rPr>
          <w:sz w:val="20"/>
        </w:rPr>
      </w:pPr>
      <w:r>
        <w:rPr>
          <w:rStyle w:val="FootnoteReference"/>
          <w:rFonts w:eastAsiaTheme="majorEastAsia"/>
        </w:rPr>
        <w:footnoteRef/>
      </w:r>
      <w:r>
        <w:rPr>
          <w:sz w:val="20"/>
        </w:rPr>
        <w:t xml:space="preserve"> Ieskaitot darbības un aktīvus saskaņā ar ES emisijas kvotu ti</w:t>
      </w:r>
      <w:r>
        <w:rPr>
          <w:sz w:val="20"/>
        </w:rPr>
        <w:t>rdzniecības sistēmu (ETS), lai panāktu prognozētās siltumnīcefekta gāzu emisijas, kas nav zemākas par attiecīgajām līmeņatzīmēm. Ja atbalstītā darbība sasniedz prognozētās siltumnīcefekta gāzu emisijas, kas nav ievērojami zemākas par attiecīgajām līmeņatzī</w:t>
      </w:r>
      <w:r>
        <w:rPr>
          <w:sz w:val="20"/>
        </w:rPr>
        <w:t>mēm, sniedz paskaidrojumu par iemesliem, kāpēc tas nav iespējams. Līmeņatzīmes, kas noteiktas bezmaksas kvotu piešķiršanai darbībām, kuras ietilpst emisijas kvotu tirdzniecības sistēmas darbības jomā, kā noteikts Komisijas Īstenošanas regulā (ES) 2021/447.</w:t>
      </w:r>
    </w:p>
  </w:footnote>
  <w:footnote w:id="113">
    <w:p w14:paraId="59210BB9" w14:textId="77777777" w:rsidR="00C972CB" w:rsidRDefault="002457F6">
      <w:pPr>
        <w:jc w:val="both"/>
        <w:rPr>
          <w:sz w:val="20"/>
        </w:rPr>
      </w:pPr>
      <w:r>
        <w:rPr>
          <w:rStyle w:val="FootnoteReference"/>
          <w:rFonts w:eastAsiaTheme="majorEastAsia"/>
        </w:rPr>
        <w:footnoteRef/>
      </w:r>
      <w:r>
        <w:rPr>
          <w:sz w:val="20"/>
        </w:rPr>
        <w:t xml:space="preserve"> Piesārņojoši transportlīdzekļi ir definēti kā bezemisiju transportlīdzekļi.</w:t>
      </w:r>
    </w:p>
  </w:footnote>
  <w:footnote w:id="114">
    <w:p w14:paraId="63CBA6B9" w14:textId="77777777" w:rsidR="00C972CB" w:rsidRDefault="002457F6">
      <w:pPr>
        <w:pStyle w:val="FootnoteText"/>
        <w:ind w:left="0" w:firstLine="0"/>
      </w:pPr>
      <w:r>
        <w:rPr>
          <w:rStyle w:val="FootnoteReference"/>
          <w:rFonts w:eastAsiaTheme="majorEastAsia"/>
        </w:rPr>
        <w:footnoteRef/>
      </w:r>
      <w:r>
        <w:t xml:space="preserve"> Šis izņēmums neattiecas uz darbībām iekārtās, kas paredzētas tikai nereciklējamu bīstamo atkritumu apstrādei, un esošās iekārtās, ja darbības saskaņā ar šo pasākumu ir vērstas</w:t>
      </w:r>
      <w:r>
        <w:t xml:space="preserve"> uz energoefektivitātes palielināšanu, izplūdes gāzu uztveršanu uzglabāšanai vai izmantošanai vai materiālu reģenerāciju no incinerācijas pelniem, ar noteikumu, ka šādas darbības saskaņā ar šo pasākumu nepalielina iekārtu atkritumu pārstrādes jaudu vai nep</w:t>
      </w:r>
      <w:r>
        <w:t>agarina iekārtu darbmūžu; par kuriem ir sniegti pierādījumi uzņēmuma līmenī.</w:t>
      </w:r>
    </w:p>
  </w:footnote>
  <w:footnote w:id="115">
    <w:p w14:paraId="0FA1BE76" w14:textId="77777777" w:rsidR="00C972CB" w:rsidRDefault="002457F6">
      <w:pPr>
        <w:pStyle w:val="FootnoteText"/>
        <w:ind w:left="0" w:firstLine="0"/>
      </w:pPr>
      <w:r>
        <w:rPr>
          <w:rStyle w:val="FootnoteReference"/>
        </w:rPr>
        <w:footnoteRef/>
      </w:r>
      <w:r>
        <w:t xml:space="preserve"> Izņemot projektus saskaņā ar šo pasākumu elektroenerģijas un/vai siltuma ražošanā, kā arī saistītajā pārvades un sadales infrastruktūrā, izmantojot dabasgāzi, kas atbilst tehnis</w:t>
      </w:r>
      <w:r>
        <w:t>ko vadlīniju “Nenodari būtisku kaitējumu” (2021/C58/01) III pielikumā izklāstītajiem nosacījumiem.</w:t>
      </w:r>
    </w:p>
  </w:footnote>
  <w:footnote w:id="116">
    <w:p w14:paraId="4B14711C" w14:textId="77777777"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jāsniedz paskaidro</w:t>
      </w:r>
      <w:r>
        <w:t>jums par iemesliem, kāpēc tas nav iespējams. Līmeņatzīmes, kas noteiktas bezmaksas kvotu piešķiršanai darbībām, kuras ietilpst emisijas kvotu tirdzniecības sistēmas darbības jomā, kā noteikts Komisijas Īstenošanas regulā (ES) 2021/447.</w:t>
      </w:r>
    </w:p>
  </w:footnote>
  <w:footnote w:id="117">
    <w:p w14:paraId="6A441A82" w14:textId="77777777" w:rsidR="00C972CB" w:rsidRDefault="002457F6">
      <w:pPr>
        <w:jc w:val="both"/>
      </w:pPr>
      <w:r>
        <w:rPr>
          <w:rStyle w:val="FootnoteReference"/>
          <w:sz w:val="20"/>
        </w:rPr>
        <w:footnoteRef/>
      </w:r>
      <w:r>
        <w:rPr>
          <w:sz w:val="20"/>
        </w:rPr>
        <w:t xml:space="preserve"> Šis izņēmums neatt</w:t>
      </w:r>
      <w:r>
        <w:rPr>
          <w:sz w:val="20"/>
        </w:rPr>
        <w:t xml:space="preserve">iecas uz darbībām saskaņā ar šo pasākumu iekārtās, kas paredzētas tikai nepārstrādājamu bīstamo atkritumu apstrādei, un esošām iekārtām, ja darbības saskaņā ar šo pasākumu ir paredzētas, lai palielinātu energoefektivitāti, uztvertu dūmgāzes glabāšanai vai </w:t>
      </w:r>
      <w:r>
        <w:rPr>
          <w:sz w:val="20"/>
        </w:rPr>
        <w:t>izmantošanai, vai reģenerētu materiālus no sadedzināšanas pelniem, ar noteikumu, ka šādas darbības saskaņā ar šo pasākumu nepalielina iekārtu atkritumu pārstrādes jaudu vai nepagarina iekārtu darbmūžu; par kuriem ir sniegti pierādījumi uzņēmuma līmenī.</w:t>
      </w:r>
    </w:p>
  </w:footnote>
  <w:footnote w:id="118">
    <w:p w14:paraId="51B9D72D" w14:textId="77777777" w:rsidR="00C972CB" w:rsidRDefault="002457F6">
      <w:pPr>
        <w:pStyle w:val="FootnoteText"/>
        <w:ind w:left="0" w:firstLine="0"/>
      </w:pPr>
      <w:r>
        <w:rPr>
          <w:rStyle w:val="FootnoteReference"/>
        </w:rPr>
        <w:footnoteRef/>
      </w:r>
      <w:r>
        <w:t xml:space="preserve"> Š</w:t>
      </w:r>
      <w:r>
        <w:t>is izņēmums neattiecas uz darbībām saskaņā ar šo pasākumu esošajās mehāniski bioloģiskās apstrādes iekārtās, ja darbības saskaņā ar šo pasākumu ir paredzētas, lai palielinātu energoefektivitāti vai modernizētu dalīto atkritumu pārstrādes darbības, tos pārv</w:t>
      </w:r>
      <w:r>
        <w:t>eidojot par komposta bioatkritumiem un bioatkritumu anaerobo noārdīšanu, ar noteikumu, ka šādas darbības saskaņā ar šo pasākumu nepalielina iekārtu atkritumu pārstrādes jaudu vai nepagarina iekārtu darbmūžu; par kuriem ir sniegti pierādījumi uzņēmuma līmen</w:t>
      </w:r>
      <w:r>
        <w:t>ī.</w:t>
      </w:r>
    </w:p>
  </w:footnote>
  <w:footnote w:id="119">
    <w:p w14:paraId="6180AD0A" w14:textId="2E3A02AA" w:rsidR="00C972CB" w:rsidRDefault="002457F6">
      <w:pPr>
        <w:pStyle w:val="FootnoteText"/>
        <w:ind w:left="0" w:firstLine="0"/>
      </w:pPr>
      <w:r>
        <w:rPr>
          <w:rStyle w:val="FootnoteReference"/>
        </w:rPr>
        <w:footnoteRef/>
      </w:r>
      <w:r>
        <w:t xml:space="preserve"> Izņemot projektus saskaņā ar šo pasākumu elektroenerģijas un/vai siltuma ražošanā, kā arī saistītajā pārvades un sadales infrastruktūrā, izmantojot dabasgāzi, kas atbilst tehnisko vadlīniju “Nenodari būtisku kaitējumu” (2021/C58/01) III pielikumā izkl</w:t>
      </w:r>
      <w:r>
        <w:t>āstītajiem nosacījumiem.</w:t>
      </w:r>
    </w:p>
  </w:footnote>
  <w:footnote w:id="120">
    <w:p w14:paraId="207B54B7" w14:textId="4B664A37" w:rsidR="00C972CB" w:rsidRDefault="002457F6">
      <w:pPr>
        <w:pStyle w:val="FootnoteText"/>
        <w:ind w:left="0" w:firstLine="0"/>
      </w:pPr>
      <w:r>
        <w:rPr>
          <w:rStyle w:val="FootnoteReference"/>
        </w:rPr>
        <w:footnoteRef/>
      </w:r>
      <w:r>
        <w:t xml:space="preserve"> Ja atbalstītā darbība sasniedz prognozētās siltumnīcefekta gāzu emisijas, kas nav ievērojami zemākas par attiecīgajām līmeņatzīmēm, būtu jāsniedz paskaidrojums par iemesliem, kāpēc tas nav iespējams. Līmeņatzīmes, kas noteiktas b</w:t>
      </w:r>
      <w:r>
        <w:t>ezmaksas kvotu piešķiršanai darbībām, kuras ietilpst emisijas kvotu tirdzniecības sistēmas darbības jomā, kā noteikts Komisijas Īstenošanas regulā (ES) 2021/447.</w:t>
      </w:r>
    </w:p>
  </w:footnote>
  <w:footnote w:id="121">
    <w:p w14:paraId="366DC287" w14:textId="0284EFB4" w:rsidR="00C972CB" w:rsidRDefault="002457F6">
      <w:pPr>
        <w:jc w:val="both"/>
      </w:pPr>
      <w:r>
        <w:rPr>
          <w:rStyle w:val="FootnoteReference"/>
          <w:sz w:val="20"/>
        </w:rPr>
        <w:footnoteRef/>
      </w:r>
      <w:r>
        <w:rPr>
          <w:sz w:val="20"/>
        </w:rPr>
        <w:t xml:space="preserve"> Šis izņēmums neattiecas uz darbībām saskaņā ar šo pasākumu iekārtās, kas paredzētas tikai ne</w:t>
      </w:r>
      <w:r>
        <w:rPr>
          <w:sz w:val="20"/>
        </w:rPr>
        <w:t>pārstrādājamu bīstamo atkritumu apstrādei, un esošām iekārtām, ja darbības saskaņā ar šo pasākumu ir paredzētas, lai palielinātu energoefektivitāti, uztvertu dūmgāzes glabāšanai vai izmantošanai, vai reģenerētu materiālus no sadedzināšanas pelniem, ar note</w:t>
      </w:r>
      <w:r>
        <w:rPr>
          <w:sz w:val="20"/>
        </w:rPr>
        <w:t>ikumu, ka šādas darbības saskaņā ar šo pasākumu nepalielina iekārtu atkritumu pārstrādes jaudu vai nepagarina iekārtu darbmūžu; par kuriem ir sniegti pierādījumi uzņēmuma līmenī.</w:t>
      </w:r>
    </w:p>
  </w:footnote>
  <w:footnote w:id="122">
    <w:p w14:paraId="2BCC8AEA" w14:textId="40EC8BDB" w:rsidR="00C972CB" w:rsidRDefault="002457F6">
      <w:pPr>
        <w:pStyle w:val="FootnoteText"/>
        <w:ind w:left="0" w:firstLine="0"/>
      </w:pPr>
      <w:r>
        <w:rPr>
          <w:rStyle w:val="FootnoteReference"/>
        </w:rPr>
        <w:footnoteRef/>
      </w:r>
      <w:r>
        <w:t xml:space="preserve"> Šis izņēmums neattiecas uz darbībām saskaņā ar šo pasākumu esošajās mehānis</w:t>
      </w:r>
      <w:r>
        <w:t>ki bioloģiskās apstrādes iekārtās, ja darbības saskaņā ar šo pasākumu ir paredzētas, lai palielinātu energoefektivitāti vai modernizētu dalīto atkritumu pārstrādes darbības, tos pārveidojot par komposta bioatkritumiem un bioatkritumu anaerobo noārdīšanu, a</w:t>
      </w:r>
      <w:r>
        <w:t>r noteikumu, ka šādas darbības saskaņā ar šo pasākumu nepalielina iekārtu atkritumu pārstrādes jaudu vai nepagarina iekārtu darbmūžu; par kuriem ir sniegti pierādījumi uzņēmuma līmenī.</w:t>
      </w:r>
    </w:p>
  </w:footnote>
  <w:footnote w:id="123">
    <w:p w14:paraId="2D17AD87" w14:textId="3C0D6B93" w:rsidR="00C972CB" w:rsidRDefault="002457F6">
      <w:pPr>
        <w:pStyle w:val="FootnoteText"/>
        <w:ind w:left="0" w:firstLine="0"/>
      </w:pPr>
      <w:r>
        <w:rPr>
          <w:rStyle w:val="FootnoteReference"/>
        </w:rPr>
        <w:footnoteRef/>
      </w:r>
      <w:r>
        <w:t xml:space="preserve"> Izņemot a) aktīvus un darbības elektroenerģijas un/vai siltuma ražoša</w:t>
      </w:r>
      <w:r>
        <w:t>nas jomā, kā arī saistīto pārvades un sadales infrastruktūru, izmantojot dabasgāzi, kas atbilst tehnisko norādījumu “nenodari būtisku kaitējumu” (2021/C58/01) III pielikumā izklāstītajiem nosacījumiem, un b) darbības un aktīvus saskaņā ar ii) punktu, kuros</w:t>
      </w:r>
      <w:r>
        <w:t xml:space="preserve"> fosilā kurināmā izmantošana ir īslaicīga un tehniski nenovēršama, lai laikus pārietu uz ekspluatāciju bez fosilā kurināmā.</w:t>
      </w:r>
    </w:p>
  </w:footnote>
  <w:footnote w:id="124">
    <w:p w14:paraId="0068E57F" w14:textId="6D07DAC2" w:rsidR="00C972CB" w:rsidRDefault="002457F6">
      <w:pPr>
        <w:pStyle w:val="FootnoteText"/>
        <w:ind w:left="0" w:firstLine="0"/>
        <w:rPr>
          <w:rFonts w:eastAsia="EC Square Sans Pro"/>
        </w:rPr>
      </w:pPr>
      <w:r>
        <w:rPr>
          <w:rStyle w:val="FootnoteReference"/>
          <w:rFonts w:eastAsiaTheme="majorEastAsia"/>
        </w:rPr>
        <w:footnoteRef/>
      </w:r>
      <w:r>
        <w:t xml:space="preserve"> </w:t>
      </w:r>
      <w:r>
        <w:rPr>
          <w:rFonts w:eastAsia="EC Square Sans Pro"/>
        </w:rPr>
        <w:t>Ja atbalstītā darbība sasniedz prognozētās siltumnīcefekta gāzu emisijas, kas nav ievērojami zemākas par attiecīgajām līmeņatzīmēm</w:t>
      </w:r>
      <w:r>
        <w:rPr>
          <w:rFonts w:eastAsia="EC Square Sans Pro"/>
        </w:rPr>
        <w:t>, sniedz paskaidrojumu par iemesliem, kāpēc tas nav iespējams. Līmeņatzīmes, kas noteiktas bezmaksas kvotu piešķiršanai darbībām, kuras ietilpst emisijas kvotu tirdzniecības sistēmas darbības jomā, kā noteikts Komisijas Īstenošanas regulā (ES) 2021/447.</w:t>
      </w:r>
    </w:p>
  </w:footnote>
  <w:footnote w:id="125">
    <w:p w14:paraId="5338D742" w14:textId="097441E0" w:rsidR="00C972CB" w:rsidRDefault="002457F6">
      <w:pPr>
        <w:pStyle w:val="FootnoteText"/>
        <w:ind w:left="0" w:firstLine="0"/>
      </w:pPr>
      <w:r>
        <w:rPr>
          <w:rStyle w:val="FootnoteReference"/>
          <w:rFonts w:eastAsiaTheme="majorEastAsia"/>
        </w:rPr>
        <w:footnoteRef/>
      </w:r>
      <w:r>
        <w:t xml:space="preserve"> </w:t>
      </w:r>
      <w:r>
        <w:t>Šis izņēmums neattiecas uz darbībām saskaņā ar šo pasākumu iekārtās, kas paredzētas tikai nepārstrādājamu bīstamo atkritumu apstrādei, un esošām iekārtām, ja darbības saskaņā ar šo pasākumu ir paredzētas, lai palielinātu energoefektivitāti, uztvertu dūmgāz</w:t>
      </w:r>
      <w:r>
        <w:t>es glabāšanai vai izmantošanai, vai reģenerētu materiālus no sadedzināšanas pelniem, ar noteikumu, ka šādas darbības saskaņā ar šo pasākumu nepalielina iekārtu atkritumu pārstrādes jaudu vai nepagarina iekārtu darbmūžu; par kuriem ir sniegti pierādījumi uz</w:t>
      </w:r>
      <w:r>
        <w:t>ņēmuma līmenī. </w:t>
      </w:r>
    </w:p>
  </w:footnote>
  <w:footnote w:id="126">
    <w:p w14:paraId="46A6D991" w14:textId="31491D89" w:rsidR="00C972CB" w:rsidRDefault="002457F6">
      <w:pPr>
        <w:pStyle w:val="FootnoteText"/>
        <w:ind w:left="0" w:firstLine="0"/>
      </w:pPr>
      <w:r>
        <w:rPr>
          <w:rStyle w:val="FootnoteReference"/>
          <w:rFonts w:eastAsiaTheme="majorEastAsia"/>
        </w:rPr>
        <w:footnoteRef/>
      </w:r>
      <w:r>
        <w:t xml:space="preserve"> Šis izņēmums neattiecas uz darbībām saskaņā ar šo pasākumu esošajās mehāniski bioloģiskās apstrādes iekārtās, ja darbības saskaņā ar šo pasākumu ir paredzētas, lai palielinātu energoefektivitāti vai modernizētu dalīto atkritumu pārstrādes darbības, tos pā</w:t>
      </w:r>
      <w:r>
        <w:t>rveidojot par komposta bioatkritumiem un bioatkritumu anaerobo noārdīšanu, ar noteikumu, ka šādas darbības saskaņā ar šo pasākumu nepalielina iekārtu atkritumu pārstrādes jaudu vai nepagarina iekārtu darbmūžu; par kuriem ir sniegti pierādījumi uzņēmuma līm</w:t>
      </w:r>
      <w:r>
        <w:t>enī. </w:t>
      </w:r>
    </w:p>
  </w:footnote>
  <w:footnote w:id="127">
    <w:p w14:paraId="14D46767" w14:textId="0E870700" w:rsidR="00C972CB" w:rsidRDefault="002457F6">
      <w:pPr>
        <w:pStyle w:val="FootnoteText"/>
        <w:ind w:left="0" w:firstLine="0"/>
      </w:pPr>
      <w:r>
        <w:rPr>
          <w:rStyle w:val="FootnoteReference"/>
        </w:rPr>
        <w:footnoteRef/>
      </w:r>
      <w:r>
        <w:t xml:space="preserve"> Izņemot a) aktīvus un darbības elektroenerģijas un/vai siltuma ražošanas jomā, kā arī saistīto pārvades un sadales infrastruktūru, izmantojot dabasgāzi, kas atbilst tehnisko norādījumu “nenodari būtisku kaitējumu” (2021/C58/01) III pielikumā izklās</w:t>
      </w:r>
      <w:r>
        <w:t>tītajiem nosacījumiem, un b) darbības un aktīvus saskaņā ar ii) punktu, kuros fosilā kurināmā izmantošana ir īslaicīga un tehniski nenovēršama, lai laikus pārietu uz ekspluatāciju bez fosilā kurināmā.</w:t>
      </w:r>
    </w:p>
  </w:footnote>
  <w:footnote w:id="128">
    <w:p w14:paraId="338F96A9" w14:textId="55ED66FE" w:rsidR="00C972CB" w:rsidRDefault="002457F6">
      <w:pPr>
        <w:pStyle w:val="FootnoteText"/>
        <w:ind w:left="0" w:firstLine="0"/>
        <w:rPr>
          <w:rFonts w:eastAsia="EC Square Sans Pro"/>
        </w:rPr>
      </w:pPr>
      <w:r>
        <w:rPr>
          <w:rStyle w:val="FootnoteReference"/>
          <w:rFonts w:eastAsiaTheme="majorEastAsia"/>
        </w:rPr>
        <w:footnoteRef/>
      </w:r>
      <w:r>
        <w:t xml:space="preserve"> </w:t>
      </w:r>
      <w:r>
        <w:rPr>
          <w:rFonts w:eastAsia="EC Square Sans Pro"/>
        </w:rPr>
        <w:t>Ja atbalstītā darbība sasniedz prognozētās siltumnīce</w:t>
      </w:r>
      <w:r>
        <w:rPr>
          <w:rFonts w:eastAsia="EC Square Sans Pro"/>
        </w:rPr>
        <w:t>fekta gāzu emisijas, kas nav ievērojami zemākas par attiecīgajām līmeņatzīmēm, sniedz paskaidrojumu par iemesliem, kāpēc tas nav iespējams. Līmeņatzīmes, kas noteiktas bezmaksas kvotu piešķiršanai darbībām, kuras ietilpst emisijas kvotu tirdzniecības sistē</w:t>
      </w:r>
      <w:r>
        <w:rPr>
          <w:rFonts w:eastAsia="EC Square Sans Pro"/>
        </w:rPr>
        <w:t xml:space="preserve">mas darbības jomā, kā noteikts Komisijas Īstenošanas regulā (ES) 2021/447. </w:t>
      </w:r>
    </w:p>
  </w:footnote>
  <w:footnote w:id="129">
    <w:p w14:paraId="2693ACBC" w14:textId="4742F168" w:rsidR="00C972CB" w:rsidRDefault="002457F6">
      <w:pPr>
        <w:pStyle w:val="FootnoteText"/>
        <w:ind w:left="0" w:firstLine="0"/>
      </w:pPr>
      <w:r>
        <w:rPr>
          <w:rStyle w:val="FootnoteReference"/>
          <w:rFonts w:eastAsiaTheme="majorEastAsia"/>
        </w:rPr>
        <w:footnoteRef/>
      </w:r>
      <w:r>
        <w:t xml:space="preserve"> Šis izņēmums neattiecas uz darbībām saskaņā ar šo pasākumu iekārtās, kas paredzētas tikai nepārstrādājamu bīstamo atkritumu apstrādei, un esošām iekārtām, ja darbības saskaņā ar </w:t>
      </w:r>
      <w:r>
        <w:t>šo pasākumu ir paredzētas, lai palielinātu energoefektivitāti, uztvertu dūmgāzes glabāšanai vai izmantošanai, vai reģenerētu materiālus no sadedzināšanas pelniem, ar noteikumu, ka šādas darbības saskaņā ar šo pasākumu nepalielina iekārtu atkritumu pārstrād</w:t>
      </w:r>
      <w:r>
        <w:t>es jaudu vai nepagarina iekārtu darbmūžu; par kuriem ir sniegti pierādījumi uzņēmuma līmenī. </w:t>
      </w:r>
    </w:p>
  </w:footnote>
  <w:footnote w:id="130">
    <w:p w14:paraId="0A566BE3" w14:textId="1C526118" w:rsidR="00C972CB" w:rsidRDefault="002457F6">
      <w:pPr>
        <w:pStyle w:val="FootnoteText"/>
        <w:ind w:left="0" w:firstLine="0"/>
      </w:pPr>
      <w:r>
        <w:rPr>
          <w:rStyle w:val="FootnoteReference"/>
          <w:rFonts w:eastAsiaTheme="majorEastAsia"/>
        </w:rPr>
        <w:footnoteRef/>
      </w:r>
      <w:r>
        <w:t xml:space="preserve"> Šis izņēmums neattiecas uz darbībām saskaņā ar šo pasākumu esošajās mehāniski bioloģiskās apstrādes iekārtās, ja darbības saskaņā ar šo pasākumu ir paredzētas, </w:t>
      </w:r>
      <w:r>
        <w:t>lai palielinātu energoefektivitāti vai modernizētu dalīto atkritumu pārstrādes darbības, tos pārveidojot par komposta bioatkritumiem un bioatkritumu anaerobo noārdīšanu, ar noteikumu, ka šādas darbības saskaņā ar šo pasākumu nepalielina iekārtu atkritumu p</w:t>
      </w:r>
      <w:r>
        <w:t>ārstrādes jaudu vai nepagarina iekārtu darbmūžu; par kuriem ir sniegti pierādījumi uzņēmuma līmenī. </w:t>
      </w:r>
    </w:p>
  </w:footnote>
  <w:footnote w:id="131">
    <w:p w14:paraId="08A1CEAA" w14:textId="249D5FB4" w:rsidR="00C972CB" w:rsidRDefault="002457F6">
      <w:pPr>
        <w:rPr>
          <w:sz w:val="20"/>
        </w:rPr>
      </w:pPr>
      <w:r>
        <w:rPr>
          <w:sz w:val="16"/>
        </w:rPr>
        <w:footnoteRef/>
      </w:r>
      <w:r>
        <w:rPr>
          <w:sz w:val="20"/>
        </w:rPr>
        <w:t>Izņemot a) aktīvus un darbības elektroenerģijas un/vai siltuma ražošanas jomā, kā arī saistīto pārvades un sadales infrastruktūru, izmantojot dabasgāzi, k</w:t>
      </w:r>
      <w:r>
        <w:rPr>
          <w:sz w:val="20"/>
        </w:rPr>
        <w:t>as atbilst tehnisko norādījumu “nenodari būtisku kaitējumu” (2021/C58/01) III pielikumā izklāstītajiem nosacījumiem, un b) darbības un aktīvus saskaņā ar ii) punktu, kuros fosilā kurināmā izmantošana ir īslaicīga un tehniski nenovēršama, lai laikus pārietu</w:t>
      </w:r>
      <w:r>
        <w:rPr>
          <w:sz w:val="20"/>
        </w:rPr>
        <w:t xml:space="preserve"> uz ekspluatāciju bez fosilā kurināmā</w:t>
      </w:r>
    </w:p>
  </w:footnote>
  <w:footnote w:id="132">
    <w:p w14:paraId="6859C86A" w14:textId="759E3140" w:rsidR="00C972CB" w:rsidRDefault="002457F6">
      <w:pPr>
        <w:pStyle w:val="P68B1DB1-Normal26"/>
      </w:pPr>
      <w:r>
        <w:footnoteRef/>
      </w:r>
      <w:r>
        <w:t>Ja atbalstītā darbība sasniedz prognozētās siltumnīcefekta gāzu emisijas, kas nav ievērojami zemākas par attiecīgajām līmeņatzīmēm, sniedz paskaidrojumu par iemesliem, kāpēc tas nav iespējams. Līmeņatzīmes, kas noteik</w:t>
      </w:r>
      <w:r>
        <w:t>tas bezmaksas kvotu piešķiršanai darbībām, kuras ietilpst emisijas kvotu tirdzniecības sistēmas darbības jomā, kā noteikts Komisijas Īstenošanas regulā (ES) 2021/447.</w:t>
      </w:r>
    </w:p>
  </w:footnote>
  <w:footnote w:id="133">
    <w:p w14:paraId="42B38BE1" w14:textId="2FBACAE8" w:rsidR="00C972CB" w:rsidRDefault="002457F6">
      <w:pPr>
        <w:pStyle w:val="P68B1DB1-Normal26"/>
        <w:rPr>
          <w:sz w:val="18"/>
        </w:rPr>
      </w:pPr>
      <w:r>
        <w:footnoteRef/>
      </w:r>
      <w:r>
        <w:t>Šis izņēmums neattiecas uz darbībām saskaņā ar šo pasākumu iekārtās, kas paredzētas tika</w:t>
      </w:r>
      <w:r>
        <w:t xml:space="preserve">i nepārstrādājamu bīstamo atkritumu apstrādei, un esošām iekārtām, ja darbības saskaņā ar šo pasākumu ir paredzētas, lai palielinātu energoefektivitāti, uztvertu dūmgāzes glabāšanai vai izmantošanai, vai reģenerētu materiālus no sadedzināšanas pelniem, ar </w:t>
      </w:r>
      <w:r>
        <w:t>noteikumu, ka šādas darbības saskaņā ar šo pasākumu nepalielina iekārtu atkritumu pārstrādes jaudu vai nepagarina iekārtu darbmūžu; par kuriem ir sniegti pierādījumi uzņēmuma līmenī. </w:t>
      </w:r>
    </w:p>
  </w:footnote>
  <w:footnote w:id="134">
    <w:p w14:paraId="79D74C48" w14:textId="595B74C3" w:rsidR="00C972CB" w:rsidRDefault="002457F6">
      <w:pPr>
        <w:pStyle w:val="P68B1DB1-Normal26"/>
        <w:rPr>
          <w:sz w:val="18"/>
        </w:rPr>
      </w:pPr>
      <w:r>
        <w:footnoteRef/>
      </w:r>
      <w:r>
        <w:t>Šis izņēmums neattiecas uz darbībām saskaņā ar šo pasākumu esošajās meh</w:t>
      </w:r>
      <w:r>
        <w:t>āniski bioloģiskās apstrādes iekārtās, ja darbības saskaņā ar šo pasākumu ir paredzētas, lai palielinātu energoefektivitāti vai modernizētu dalīto atkritumu pārstrādes darbības, tos pārveidojot par komposta bioatkritumiem un bioatkritumu anaerobo noārdīšan</w:t>
      </w:r>
      <w:r>
        <w:t>u, ar noteikumu, ka šādas darbības saskaņā ar šo pasākumu nepalielina iekārtu atkritumu pārstrādes jaudu vai nepagarina iekārtu darbmūžu; par kuriem ir sniegti pierādījumi uzņēmuma līmenī. </w:t>
      </w:r>
    </w:p>
  </w:footnote>
  <w:footnote w:id="135">
    <w:p w14:paraId="3B47DFDB" w14:textId="20B075FF" w:rsidR="00C972CB" w:rsidRDefault="002457F6">
      <w:pPr>
        <w:pStyle w:val="P68B1DB1-Normal26"/>
        <w:rPr>
          <w:sz w:val="18"/>
        </w:rPr>
      </w:pPr>
      <w:r>
        <w:t>Lai aprēķinātu ieguldījumu klimata jomā,</w:t>
      </w:r>
      <w:r>
        <w:footnoteRef/>
      </w:r>
      <w:r>
        <w:t xml:space="preserve"> galasaņēmējiem ir jāsnie</w:t>
      </w:r>
      <w:r>
        <w:t>dz pamatojums par izvēlēto intervences jomu katram atbalstītajam projektam, kā arī projekta apraksts. Īstenošanas partnerim ir arī jāiesniedz dalībvalstij pusgada ziņojums par katra projekta/darbības īstenošanu.</w:t>
      </w:r>
    </w:p>
  </w:footnote>
  <w:footnote w:id="136">
    <w:p w14:paraId="0886CABC" w14:textId="77777777" w:rsidR="00C972CB" w:rsidRDefault="002457F6">
      <w:pPr>
        <w:pStyle w:val="FootnoteText"/>
        <w:rPr>
          <w:rFonts w:eastAsiaTheme="majorEastAsia"/>
        </w:rPr>
      </w:pPr>
      <w:r>
        <w:rPr>
          <w:rStyle w:val="FootnoteReference"/>
        </w:rPr>
        <w:footnoteRef/>
      </w:r>
      <w:r>
        <w:rPr>
          <w:rStyle w:val="normaltextrun"/>
        </w:rPr>
        <w:t>Konkrētāk, shēmā ir atsauce uz 2016. gada 1</w:t>
      </w:r>
      <w:r>
        <w:rPr>
          <w:rStyle w:val="normaltextrun"/>
        </w:rPr>
        <w:t>1. decembra Likuma Nr. 232 A un B pielikumu.</w:t>
      </w:r>
    </w:p>
  </w:footnote>
  <w:footnote w:id="137">
    <w:p w14:paraId="361C3855" w14:textId="77777777" w:rsidR="00C972CB" w:rsidRDefault="002457F6">
      <w:pPr>
        <w:pStyle w:val="FootnoteText"/>
        <w:ind w:left="0" w:firstLine="0"/>
      </w:pPr>
      <w:r>
        <w:rPr>
          <w:rStyle w:val="FootnoteReference"/>
        </w:rPr>
        <w:footnoteRef/>
      </w:r>
      <w:r>
        <w:t xml:space="preserve"> Jaunizveidotiem uzņēmumiem enerģijas ietaupījums būtu jāmēra attiecībā pret gada vidējo patēriņu uzņēmumā ar līdzīgām īpašībām (izmērs), kas darbojas tajā pašā nozarē (ATECO kods).</w:t>
      </w:r>
    </w:p>
  </w:footnote>
  <w:footnote w:id="138">
    <w:p w14:paraId="0D2794C5" w14:textId="6EF09E98" w:rsidR="00C972CB" w:rsidRDefault="00C972CB">
      <w:pPr>
        <w:pStyle w:val="FootnoteText"/>
      </w:pPr>
    </w:p>
  </w:footnote>
  <w:footnote w:id="139">
    <w:p w14:paraId="1410E959" w14:textId="77777777" w:rsidR="00C972CB" w:rsidRDefault="002457F6">
      <w:pPr>
        <w:pStyle w:val="FootnoteText"/>
        <w:ind w:left="0" w:firstLine="0"/>
      </w:pPr>
      <w:r>
        <w:rPr>
          <w:rStyle w:val="FootnoteReference"/>
          <w:rFonts w:eastAsiaTheme="majorEastAsia"/>
        </w:rPr>
        <w:footnoteRef/>
      </w:r>
      <w:r>
        <w:t xml:space="preserve"> Uzskata, ka galasaņēmējs </w:t>
      </w:r>
      <w:r>
        <w:t>“būtiski koncentrējas” uz nozari vai uzņēmējdarbību, ja šāda nozare vai darbība ir noteikta kā būtiska galasaņēmēja saimnieciskās darbības daļa attiecīgi attiecībā uz galasaņēmēja bruto ieņēmumiem, peļņu vai klientu bāzi. Bruto ieņēmumi, kas gūti no ierobe</w:t>
      </w:r>
      <w:r>
        <w:t>žotās nozares vai darbības, jebkurā gadījumā nepārsniedz 50 % no bruto ieņēmumiem.</w:t>
      </w:r>
    </w:p>
  </w:footnote>
  <w:footnote w:id="140">
    <w:p w14:paraId="67D4BDDE" w14:textId="77777777" w:rsidR="00C972CB" w:rsidRDefault="002457F6">
      <w:pPr>
        <w:jc w:val="both"/>
        <w:rPr>
          <w:sz w:val="20"/>
        </w:rPr>
      </w:pPr>
      <w:r>
        <w:rPr>
          <w:rStyle w:val="FootnoteReference"/>
          <w:rFonts w:eastAsiaTheme="majorEastAsia"/>
          <w:sz w:val="20"/>
        </w:rPr>
        <w:footnoteRef/>
      </w:r>
      <w:r>
        <w:rPr>
          <w:sz w:val="20"/>
        </w:rPr>
        <w:t xml:space="preserve"> Izņemot a) aktīvus un darbības elektroenerģijas un/vai siltuma ražošanas jomā, kā arī saistīto pārvades un sadales infrastruktūru, izmantojot dabasgāzi, kas atbilst tehnis</w:t>
      </w:r>
      <w:r>
        <w:rPr>
          <w:sz w:val="20"/>
        </w:rPr>
        <w:t>ko norādījumu “nenodari būtisku kaitējumu” (2021/C58/01) III pielikumā izklāstītajiem nosacījumiem, un b) darbības un aktīvus saskaņā ar ii) punktu, kuros fosilā kurināmā izmantošana ir īslaicīga un tehniski nenovēršama, lai laikus pārietu uz ekspluatāciju</w:t>
      </w:r>
      <w:r>
        <w:rPr>
          <w:sz w:val="20"/>
        </w:rPr>
        <w:t xml:space="preserve"> bez fosilā kurināmā.</w:t>
      </w:r>
    </w:p>
  </w:footnote>
  <w:footnote w:id="141">
    <w:p w14:paraId="6784D2E0" w14:textId="77777777" w:rsidR="00C972CB" w:rsidRDefault="002457F6">
      <w:pPr>
        <w:jc w:val="both"/>
        <w:rPr>
          <w:sz w:val="20"/>
        </w:rPr>
      </w:pPr>
      <w:r>
        <w:rPr>
          <w:rStyle w:val="FootnoteReference"/>
          <w:rFonts w:eastAsiaTheme="majorEastAsia"/>
          <w:sz w:val="20"/>
        </w:rPr>
        <w:footnoteRef/>
      </w:r>
      <w:r>
        <w:rPr>
          <w:sz w:val="20"/>
        </w:rPr>
        <w:t xml:space="preserve"> Ieskaitot darbības un aktīvus saskaņā ar ES emisijas kvotu tirdzniecības sistēmu (ETS), lai panāktu prognozētās siltumnīcefekta gāzu emisijas, kas nav zemākas par attiecīgajām līmeņatzīmēm. Ja atbalstītā darbība sasniedz prognozētās</w:t>
      </w:r>
      <w:r>
        <w:rPr>
          <w:sz w:val="20"/>
        </w:rPr>
        <w:t xml:space="preserve"> siltumnīcefekta gāzu emisijas, kas nav ievērojami zemākas par attiecīgajām līmeņatzīmēm, sniedz paskaidrojumu par iemesliem, kāpēc tas nav iespējams. Līmeņatzīmes, kas noteiktas bezmaksas kvotu piešķiršanai darbībām, kuras ietilpst emisijas kvotu tirdznie</w:t>
      </w:r>
      <w:r>
        <w:rPr>
          <w:sz w:val="20"/>
        </w:rPr>
        <w:t>cības sistēmas darbības jomā, kā noteikts Komisijas Īstenošanas regulā (ES) 2021/447.</w:t>
      </w:r>
    </w:p>
  </w:footnote>
  <w:footnote w:id="142">
    <w:p w14:paraId="6D9AC46C" w14:textId="77777777" w:rsidR="00C972CB" w:rsidRDefault="002457F6">
      <w:pPr>
        <w:jc w:val="both"/>
        <w:rPr>
          <w:sz w:val="20"/>
        </w:rPr>
      </w:pPr>
      <w:r>
        <w:rPr>
          <w:rStyle w:val="FootnoteReference"/>
          <w:rFonts w:eastAsiaTheme="majorEastAsia"/>
          <w:sz w:val="20"/>
        </w:rPr>
        <w:footnoteRef/>
      </w:r>
      <w:r>
        <w:rPr>
          <w:sz w:val="20"/>
        </w:rPr>
        <w:t xml:space="preserve"> Piesārņojoši transportlīdzekļi ir definēti kā bezemisiju transportlīdzekļi.</w:t>
      </w:r>
    </w:p>
  </w:footnote>
  <w:footnote w:id="143">
    <w:p w14:paraId="656E5666" w14:textId="77777777" w:rsidR="00C972CB" w:rsidRDefault="002457F6">
      <w:pPr>
        <w:pStyle w:val="FootnoteText"/>
        <w:ind w:left="0" w:firstLine="0"/>
      </w:pPr>
      <w:r>
        <w:rPr>
          <w:rStyle w:val="FootnoteReference"/>
          <w:rFonts w:eastAsiaTheme="majorEastAsia"/>
        </w:rPr>
        <w:footnoteRef/>
      </w:r>
      <w:r>
        <w:t xml:space="preserve"> Šis izņēmums neattiecas uz darbībām iekārtās, kas paredzētas tikai nereciklējamu bīstamo a</w:t>
      </w:r>
      <w:r>
        <w:t>tkritumu apstrādei, un esošās iekārtās, ja darbības saskaņā ar šo pasākumu ir vērstas uz energoefektivitātes palielināšanu, izplūdes gāzu uztveršanu uzglabāšanai vai izmantošanai vai materiālu reģenerāciju no incinerācijas pelniem, ar noteikumu, ka šādas d</w:t>
      </w:r>
      <w:r>
        <w:t>arbības saskaņā ar šo pasākumu nepalielina iekārtu atkritumu pārstrādes jaudu vai nepagarina iekārtu darbmūžu; par kuriem ir sniegti pierādījumi uzņēmuma līmenī.</w:t>
      </w:r>
    </w:p>
  </w:footnote>
  <w:footnote w:id="144">
    <w:p w14:paraId="396057D7" w14:textId="713536C4" w:rsidR="00C972CB" w:rsidRDefault="002457F6">
      <w:pPr>
        <w:pStyle w:val="FootnoteText"/>
        <w:ind w:left="0" w:firstLine="0"/>
      </w:pPr>
      <w:r>
        <w:rPr>
          <w:rStyle w:val="FootnoteReference"/>
        </w:rPr>
        <w:footnoteRef/>
      </w:r>
      <w:r>
        <w:t xml:space="preserve"> Lai aprēķinātu ieguldījumu klimata jomā, galīgajiem saņēmējiem, kas saistīti ar konkrētiem p</w:t>
      </w:r>
      <w:r>
        <w:t xml:space="preserve">rojektiem, katram atbalstītajam projektam ir jāsniedz izvēlētās intervences jomas pamatojums, kā arī projekta apraksts. </w:t>
      </w:r>
    </w:p>
    <w:p w14:paraId="6AAC9E5D" w14:textId="4016A382" w:rsidR="00C972CB" w:rsidRDefault="00C972CB">
      <w:pPr>
        <w:pStyle w:val="FootnoteText"/>
      </w:pPr>
    </w:p>
  </w:footnote>
  <w:footnote w:id="145">
    <w:p w14:paraId="6D834354" w14:textId="77777777" w:rsidR="00C972CB" w:rsidRDefault="002457F6">
      <w:pPr>
        <w:pStyle w:val="FootnoteText"/>
        <w:ind w:left="0" w:firstLine="0"/>
      </w:pPr>
      <w:r>
        <w:rPr>
          <w:rStyle w:val="FootnoteReference"/>
        </w:rPr>
        <w:footnoteRef/>
      </w:r>
      <w:r>
        <w:t xml:space="preserve"> Lai aprēķinātu ieguldījumu klimata jomā, galīgajiem saņēmējiem, kas saistīti ar konkrētiem projektiem, katram atbalstītajam projekta</w:t>
      </w:r>
      <w:r>
        <w:t>m ir jāsniedz izvēlētās intervences jomas pamatojums, kā arī projekta apraksts.</w:t>
      </w:r>
    </w:p>
  </w:footnote>
  <w:footnote w:id="146">
    <w:p w14:paraId="205B2B37" w14:textId="77777777" w:rsidR="00C972CB" w:rsidRDefault="002457F6">
      <w:pPr>
        <w:pStyle w:val="FootnoteText"/>
        <w:ind w:left="0" w:firstLine="0"/>
      </w:pPr>
      <w:r>
        <w:rPr>
          <w:rStyle w:val="FootnoteReference"/>
        </w:rPr>
        <w:footnoteRef/>
      </w:r>
      <w:r>
        <w:t xml:space="preserve"> Izņemot a) aktīvus un darbības elektroenerģijas un/vai siltuma ražošanas jomā, kā arī saistīto pārvades un sadales infrastruktūru, izmantojot dabasgāzi, kas atbilst tehnisko </w:t>
      </w:r>
      <w:r>
        <w:t>norādījumu “nenodari būtisku kaitējumu” (2021/C58/01) III pielikumā izklāstītajiem nosacījumiem, un b) darbības un aktīvus saskaņā ar ii) punktu, kuros fosilā kurināmā izmantošana ir īslaicīga un tehniski nenovēršama, lai laikus pārietu uz ekspluatāciju be</w:t>
      </w:r>
      <w:r>
        <w:t>z fosilā kurināmā.</w:t>
      </w:r>
    </w:p>
  </w:footnote>
  <w:footnote w:id="147">
    <w:p w14:paraId="6495AFA0" w14:textId="77777777" w:rsidR="00C972CB" w:rsidRDefault="002457F6">
      <w:pPr>
        <w:pStyle w:val="FootnoteText"/>
        <w:ind w:left="0" w:firstLine="0"/>
        <w:rPr>
          <w:rFonts w:eastAsia="EC Square Sans Pro"/>
        </w:rPr>
      </w:pPr>
      <w:r>
        <w:rPr>
          <w:rStyle w:val="FootnoteReference"/>
          <w:rFonts w:eastAsiaTheme="majorEastAsia"/>
        </w:rPr>
        <w:footnoteRef/>
      </w:r>
      <w:r>
        <w:t xml:space="preserve"> </w:t>
      </w:r>
      <w:r>
        <w:rPr>
          <w:rFonts w:eastAsia="EC Square Sans Pro"/>
        </w:rPr>
        <w:t>Ja atbalstītā darbība sasniedz prognozētās siltumnīcefekta gāzu emisijas, kas nav ievērojami zemākas par attiecīgajām līmeņatzīmēm, sniedz paskaidrojumu par iemesliem, kāpēc tas nav iespējams. Līmeņatzīmes, kas noteiktas bezmaksas kvot</w:t>
      </w:r>
      <w:r>
        <w:rPr>
          <w:rFonts w:eastAsia="EC Square Sans Pro"/>
        </w:rPr>
        <w:t xml:space="preserve">u piešķiršanai darbībām, kuras ietilpst emisijas kvotu tirdzniecības sistēmas darbības jomā, kā noteikts Komisijas Īstenošanas regulā (ES) 2021/447. </w:t>
      </w:r>
    </w:p>
  </w:footnote>
  <w:footnote w:id="148">
    <w:p w14:paraId="5D7F7460" w14:textId="77777777" w:rsidR="00C972CB" w:rsidRDefault="002457F6">
      <w:pPr>
        <w:pStyle w:val="FootnoteText"/>
        <w:ind w:left="0" w:firstLine="0"/>
      </w:pPr>
      <w:r>
        <w:rPr>
          <w:rStyle w:val="FootnoteReference"/>
          <w:rFonts w:eastAsiaTheme="majorEastAsia"/>
        </w:rPr>
        <w:footnoteRef/>
      </w:r>
      <w:r>
        <w:t xml:space="preserve"> Šis izņēmums neattiecas uz darbībām saskaņā ar šo pasākumu iekārtās, kas paredzētas tikai nepārstrādājam</w:t>
      </w:r>
      <w:r>
        <w:t>u bīstamo atkritumu apstrādei, un esošām iekārtām, ja darbības saskaņā ar šo pasākumu ir paredzētas, lai palielinātu energoefektivitāti, uztvertu dūmgāzes glabāšanai vai izmantošanai, vai reģenerētu materiālus no sadedzināšanas pelniem, ar noteikumu, ka šā</w:t>
      </w:r>
      <w:r>
        <w:t>das darbības saskaņā ar šo pasākumu nepalielina iekārtu atkritumu pārstrādes jaudu vai nepagarina iekārtu darbmūžu; par kuriem ir sniegti pierādījumi uzņēmuma līmenī. </w:t>
      </w:r>
    </w:p>
  </w:footnote>
  <w:footnote w:id="149">
    <w:p w14:paraId="7DA06C40" w14:textId="77777777" w:rsidR="00C972CB" w:rsidRDefault="002457F6">
      <w:pPr>
        <w:pStyle w:val="FootnoteText"/>
        <w:ind w:left="0" w:firstLine="0"/>
      </w:pPr>
      <w:r>
        <w:rPr>
          <w:rStyle w:val="FootnoteReference"/>
          <w:rFonts w:eastAsiaTheme="majorEastAsia"/>
        </w:rPr>
        <w:footnoteRef/>
      </w:r>
      <w:r>
        <w:t xml:space="preserve"> Šis izņēmums neattiecas uz darbībām saskaņā ar šo pasākumu esošajās mehāniski bioloģis</w:t>
      </w:r>
      <w:r>
        <w:t>kās apstrādes iekārtās, ja darbības saskaņā ar šo pasākumu ir paredzētas, lai palielinātu energoefektivitāti vai modernizētu dalīto atkritumu pārstrādes darbības, tos pārveidojot par komposta bioatkritumiem un bioatkritumu anaerobo noārdīšanu, ar noteikumu</w:t>
      </w:r>
      <w:r>
        <w:t>, ka šādas darbības saskaņā ar šo pasākumu nepalielina iekārtu atkritumu pārstrādes jaudu vai nepagarina iekārtu darbmūžu; par kuriem ir sniegti pierādījumi uzņēmuma līmenī. </w:t>
      </w:r>
    </w:p>
  </w:footnote>
  <w:footnote w:id="150">
    <w:p w14:paraId="692F8C8E" w14:textId="54D946CC" w:rsidR="00C972CB" w:rsidRDefault="002457F6">
      <w:pPr>
        <w:pStyle w:val="FootnoteText"/>
        <w:ind w:left="0" w:firstLine="0"/>
      </w:pPr>
      <w:r>
        <w:rPr>
          <w:rStyle w:val="FootnoteReference"/>
        </w:rPr>
        <w:footnoteRef/>
      </w:r>
      <w:r>
        <w:t xml:space="preserve"> Lai aprēķinātu ieguldījumu klimata jomā, galīgajiem saņēmējiem, kas saistīti ar</w:t>
      </w:r>
      <w:r>
        <w:t xml:space="preserve"> konkrētiem projektiem, katram atbalstītajam projektam ir jāsniedz izvēlētās intervences jomas pamatojums, kā arī projekta apraksts. </w:t>
      </w:r>
    </w:p>
    <w:p w14:paraId="60301540" w14:textId="77777777" w:rsidR="00C972CB" w:rsidRDefault="00C972C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4FB1" w14:textId="77777777" w:rsidR="002457F6" w:rsidRPr="002457F6" w:rsidRDefault="002457F6" w:rsidP="002457F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0E85" w14:textId="77777777" w:rsidR="00C972CB" w:rsidRDefault="00C972CB">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AFD8" w14:textId="77777777" w:rsidR="00C972CB" w:rsidRDefault="00C972CB">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4730" w14:textId="77777777" w:rsidR="00C972CB" w:rsidRDefault="00C972CB">
    <w:pPr>
      <w:pStyle w:val="Header"/>
      <w:rPr>
        <w:rFonts w:eastAsia="Calibri"/>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E177" w14:textId="77777777" w:rsidR="00C972CB" w:rsidRDefault="00C972CB">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7D73" w14:textId="77777777" w:rsidR="00C972CB" w:rsidRDefault="00C972CB">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C1B92" w14:textId="77777777" w:rsidR="00C972CB" w:rsidRDefault="00C972CB">
    <w:pPr>
      <w:pStyle w:val="Header"/>
      <w:rPr>
        <w:rFonts w:eastAsia="Calibri"/>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44CD" w14:textId="77777777" w:rsidR="00C972CB" w:rsidRDefault="00C972CB">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1A1F" w14:textId="77777777" w:rsidR="00C972CB" w:rsidRDefault="00C972CB">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B972" w14:textId="77777777" w:rsidR="00C972CB" w:rsidRDefault="00C972CB">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B9F1" w14:textId="77777777" w:rsidR="00C972CB" w:rsidRDefault="00C972CB">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186E" w14:textId="77777777" w:rsidR="00C972CB" w:rsidRDefault="00C972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2C0EB" w14:textId="77777777" w:rsidR="00C972CB" w:rsidRDefault="00C972CB">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B7270" w14:textId="77777777" w:rsidR="00C972CB" w:rsidRDefault="00C972CB">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A35E" w14:textId="77777777" w:rsidR="00C972CB" w:rsidRDefault="00C972CB">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E608" w14:textId="77777777" w:rsidR="00C972CB" w:rsidRDefault="00C972CB">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75BD" w14:textId="77777777" w:rsidR="00C972CB" w:rsidRDefault="00C972CB">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3A31" w14:textId="77777777" w:rsidR="00C972CB" w:rsidRDefault="00C972CB">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EDC9" w14:textId="77777777" w:rsidR="00C972CB" w:rsidRDefault="00C972CB">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5E3A" w14:textId="77777777" w:rsidR="00C972CB" w:rsidRDefault="00C972CB">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9526" w14:textId="77777777" w:rsidR="00C972CB" w:rsidRDefault="00C972CB">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1F3B" w14:textId="77777777" w:rsidR="00C972CB" w:rsidRDefault="00C972CB">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3246" w14:textId="77777777" w:rsidR="00C972CB" w:rsidRDefault="00C972CB">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90A0" w14:textId="77777777" w:rsidR="00C972CB" w:rsidRDefault="00C972CB">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0924" w14:textId="77777777" w:rsidR="00C972CB" w:rsidRDefault="00C972CB">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882DE" w14:textId="77777777" w:rsidR="00C972CB" w:rsidRDefault="00C972CB">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6FB7" w14:textId="77777777" w:rsidR="00C972CB" w:rsidRDefault="00C972CB">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8EA9" w14:textId="77777777" w:rsidR="00C972CB" w:rsidRDefault="00C972CB">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88E1" w14:textId="77777777" w:rsidR="00C972CB" w:rsidRDefault="00C972CB">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1C54" w14:textId="77777777" w:rsidR="00C972CB" w:rsidRDefault="00C972CB">
    <w:pPr>
      <w:pStyle w:val="Header"/>
      <w:rPr>
        <w:rFonts w:eastAsia="Calibri"/>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B4A36" w14:textId="77777777" w:rsidR="00C972CB" w:rsidRDefault="00C972CB">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6E16" w14:textId="77777777" w:rsidR="00C972CB" w:rsidRDefault="00C972CB">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A5EB" w14:textId="77777777" w:rsidR="00C972CB" w:rsidRDefault="00C972CB">
    <w:pPr>
      <w:jc w:val="both"/>
      <w:rPr>
        <w:sz w:val="20"/>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4D90" w14:textId="77777777" w:rsidR="00C972CB" w:rsidRDefault="00C972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A00D" w14:textId="77777777" w:rsidR="00C972CB" w:rsidRDefault="00C972CB">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68C7" w14:textId="77777777" w:rsidR="00C972CB" w:rsidRDefault="00C972CB">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DE81" w14:textId="77777777" w:rsidR="00C972CB" w:rsidRDefault="00C972CB">
    <w:pPr>
      <w:pStyle w:val="Header"/>
      <w:rPr>
        <w:rFonts w:eastAsia="Calibri"/>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5E7F" w14:textId="77777777" w:rsidR="00C972CB" w:rsidRDefault="00C972CB">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D985" w14:textId="77777777" w:rsidR="00C972CB" w:rsidRDefault="00C972CB">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ECEA2" w14:textId="77777777" w:rsidR="00C972CB" w:rsidRDefault="00C972CB">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1CAF" w14:textId="77777777" w:rsidR="00C972CB" w:rsidRDefault="00C972CB">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DE6" w14:textId="77777777" w:rsidR="00C972CB" w:rsidRDefault="00C972CB">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8FF52" w14:textId="77777777" w:rsidR="00C972CB" w:rsidRDefault="00C972CB">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7A3A" w14:textId="77777777" w:rsidR="00C972CB" w:rsidRDefault="00C972CB">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E55C1" w14:textId="77777777" w:rsidR="00C972CB" w:rsidRDefault="00C972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A59C" w14:textId="77777777" w:rsidR="00C972CB" w:rsidRDefault="00C972CB">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065B" w14:textId="77777777" w:rsidR="00C972CB" w:rsidRDefault="00C972CB">
    <w:pPr>
      <w:pStyle w:val="Header"/>
      <w:rPr>
        <w:rFonts w:eastAsia="Calibri"/>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F46D" w14:textId="77777777" w:rsidR="00C972CB" w:rsidRDefault="00C972CB">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BD211" w14:textId="77777777" w:rsidR="00C972CB" w:rsidRDefault="00C972CB">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7809" w14:textId="77777777" w:rsidR="00C972CB" w:rsidRDefault="00C972CB">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F128" w14:textId="77777777" w:rsidR="00C972CB" w:rsidRDefault="00C972CB">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B2345" w14:textId="77777777" w:rsidR="00C972CB" w:rsidRDefault="00C972CB">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8FC4C" w14:textId="77777777" w:rsidR="00C972CB" w:rsidRDefault="00C972CB">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002C" w14:textId="77777777" w:rsidR="00C972CB" w:rsidRDefault="00C972CB">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63E8" w14:textId="77777777" w:rsidR="00C972CB" w:rsidRDefault="00C972CB">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BB77" w14:textId="77777777" w:rsidR="00C972CB" w:rsidRDefault="00C972CB">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EF19" w14:textId="77777777" w:rsidR="00C972CB" w:rsidRDefault="00C972CB">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25A9" w14:textId="77777777" w:rsidR="00C972CB" w:rsidRDefault="00C972CB">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557B" w14:textId="77777777" w:rsidR="00C972CB" w:rsidRDefault="00C972CB">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A3FA" w14:textId="77777777" w:rsidR="00C972CB" w:rsidRDefault="00C972CB">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9A4B" w14:textId="77777777" w:rsidR="00C972CB" w:rsidRDefault="00C972CB">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FCC5" w14:textId="77777777" w:rsidR="00C972CB" w:rsidRDefault="00C972CB">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76BC" w14:textId="77777777" w:rsidR="00C972CB" w:rsidRDefault="00C972CB">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3AD5" w14:textId="77777777" w:rsidR="00C972CB" w:rsidRDefault="00C972CB">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ECA0" w14:textId="77777777" w:rsidR="00C972CB" w:rsidRDefault="00C972CB">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FB45" w14:textId="77777777" w:rsidR="00C972CB" w:rsidRDefault="00C972CB">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F841E" w14:textId="77777777" w:rsidR="00C972CB" w:rsidRDefault="00C972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56F95" w14:textId="77777777" w:rsidR="00C972CB" w:rsidRDefault="00C972CB">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D15F" w14:textId="77777777" w:rsidR="00C972CB" w:rsidRDefault="00C972CB">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35C7" w14:textId="77777777" w:rsidR="00C972CB" w:rsidRDefault="00C972CB">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16B1" w14:textId="77777777" w:rsidR="00C972CB" w:rsidRDefault="00C972CB">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0A94" w14:textId="77777777" w:rsidR="00C972CB" w:rsidRDefault="00C972CB">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5C49" w14:textId="77777777" w:rsidR="00C972CB" w:rsidRDefault="00C972CB">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D934" w14:textId="77777777" w:rsidR="00C972CB" w:rsidRDefault="00C972CB">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D63C" w14:textId="77777777" w:rsidR="00C972CB" w:rsidRDefault="00C972CB">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F444" w14:textId="77777777" w:rsidR="00C972CB" w:rsidRDefault="00C972CB">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816C" w14:textId="77777777" w:rsidR="00C972CB" w:rsidRDefault="00C972CB">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6CA0" w14:textId="77777777" w:rsidR="00C972CB" w:rsidRDefault="00C972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1F92" w14:textId="77777777" w:rsidR="00C972CB" w:rsidRDefault="00C972CB">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FEE4" w14:textId="77777777" w:rsidR="00C972CB" w:rsidRDefault="00C972CB">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05A3" w14:textId="77777777" w:rsidR="00C972CB" w:rsidRDefault="00C972CB">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32CE4" w14:textId="77777777" w:rsidR="00C972CB" w:rsidRDefault="00C972CB">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3DE4" w14:textId="77777777" w:rsidR="00C972CB" w:rsidRDefault="00C972CB">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64D9" w14:textId="77777777" w:rsidR="00C972CB" w:rsidRDefault="00C972CB">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530A4" w14:textId="77777777" w:rsidR="00C972CB" w:rsidRDefault="00C972CB">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D3B5" w14:textId="77777777" w:rsidR="00C972CB" w:rsidRDefault="00C972CB">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ABED" w14:textId="77777777" w:rsidR="00C972CB" w:rsidRDefault="00C972CB">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34D4" w14:textId="77777777" w:rsidR="00C972CB" w:rsidRDefault="00C972CB">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5271" w14:textId="77777777" w:rsidR="00C972CB" w:rsidRDefault="00C972CB">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C8AD" w14:textId="77777777" w:rsidR="00C972CB" w:rsidRDefault="00C972CB">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5225" w14:textId="77777777" w:rsidR="00C972CB" w:rsidRDefault="00C972CB">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9C98" w14:textId="77777777" w:rsidR="00C972CB" w:rsidRDefault="00C972CB">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E6F3" w14:textId="77777777" w:rsidR="00C972CB" w:rsidRDefault="00C972CB">
    <w:pPr>
      <w:pStyle w:val="Header"/>
      <w:rPr>
        <w:rFonts w:eastAsia="Calibri"/>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53A5A" w14:textId="77777777" w:rsidR="00C972CB" w:rsidRDefault="00C972CB">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D2D4A" w14:textId="77777777" w:rsidR="00C972CB" w:rsidRDefault="00C972CB">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E290" w14:textId="77777777" w:rsidR="00C972CB" w:rsidRDefault="00C972CB">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84E8" w14:textId="77777777" w:rsidR="00C972CB" w:rsidRDefault="00C972CB">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C2F6" w14:textId="77777777" w:rsidR="00C972CB" w:rsidRDefault="00C972CB">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5835" w14:textId="77777777" w:rsidR="00C972CB" w:rsidRDefault="00C972CB">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4A5F" w14:textId="77777777" w:rsidR="00C972CB" w:rsidRDefault="00C972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B160" w14:textId="77777777" w:rsidR="00C972CB" w:rsidRDefault="00C972CB">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7549" w14:textId="77777777" w:rsidR="00C972CB" w:rsidRDefault="00C972CB">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9CFE" w14:textId="77777777" w:rsidR="00C972CB" w:rsidRDefault="00C972CB">
    <w:pPr>
      <w:pStyle w:val="Header"/>
      <w:rPr>
        <w:sz w:val="10"/>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09B4" w14:textId="77777777" w:rsidR="00C972CB" w:rsidRDefault="00C972CB">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89F9E" w14:textId="77777777" w:rsidR="00C972CB" w:rsidRDefault="00C972CB">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3AC" w14:textId="77777777" w:rsidR="00C972CB" w:rsidRDefault="00C972CB">
    <w:pPr>
      <w:pStyle w:val="Header"/>
      <w:rPr>
        <w:rFonts w:eastAsia="Calibri"/>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C443" w14:textId="77777777" w:rsidR="00C972CB" w:rsidRDefault="00C972CB">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48D5" w14:textId="77777777" w:rsidR="00C972CB" w:rsidRDefault="00C972CB">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2534" w14:textId="77777777" w:rsidR="00C972CB" w:rsidRDefault="00C972CB">
    <w:pPr>
      <w:pStyle w:val="Header"/>
      <w:rPr>
        <w:rFonts w:eastAsia="Calibri"/>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B53B" w14:textId="77777777" w:rsidR="00C972CB" w:rsidRDefault="00C972CB">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D688" w14:textId="77777777" w:rsidR="00C972CB" w:rsidRDefault="00C972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8036" w14:textId="77777777" w:rsidR="002457F6" w:rsidRPr="002457F6" w:rsidRDefault="002457F6" w:rsidP="002457F6">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E576" w14:textId="77777777" w:rsidR="00C972CB" w:rsidRDefault="00C972CB">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4F1FD" w14:textId="77777777" w:rsidR="00C972CB" w:rsidRDefault="00C972CB">
    <w:pPr>
      <w:pStyle w:val="Header"/>
      <w:rPr>
        <w:rFonts w:eastAsia="Calibri"/>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4862" w14:textId="77777777" w:rsidR="00C972CB" w:rsidRDefault="00C972C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676B" w14:textId="77777777" w:rsidR="00C972CB" w:rsidRDefault="00C972C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6513" w14:textId="77777777" w:rsidR="00C972CB" w:rsidRDefault="00C972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F92A" w14:textId="77777777" w:rsidR="00C972CB" w:rsidRDefault="00C972C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567E" w14:textId="77777777" w:rsidR="00C972CB" w:rsidRDefault="00C972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D582" w14:textId="77777777" w:rsidR="00C972CB" w:rsidRDefault="00C972C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76A5" w14:textId="77777777" w:rsidR="00C972CB" w:rsidRDefault="00C972C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5000C" w14:textId="77777777" w:rsidR="00C972CB" w:rsidRDefault="00C972C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C76A9" w14:textId="77777777" w:rsidR="00C972CB" w:rsidRDefault="00C972C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F930" w14:textId="77777777" w:rsidR="00C972CB" w:rsidRDefault="00C972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FC773" w14:textId="77777777" w:rsidR="002457F6" w:rsidRPr="002457F6" w:rsidRDefault="002457F6" w:rsidP="002457F6">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3FDE" w14:textId="77777777" w:rsidR="00C972CB" w:rsidRDefault="00C972C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AF5F" w14:textId="77777777" w:rsidR="00C972CB" w:rsidRDefault="00C972C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BD19A" w14:textId="77777777" w:rsidR="00C972CB" w:rsidRDefault="00C972C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C0D5" w14:textId="77777777" w:rsidR="00C972CB" w:rsidRDefault="00C972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912F" w14:textId="77777777" w:rsidR="00C972CB" w:rsidRDefault="00C972C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E9C1" w14:textId="77777777" w:rsidR="00C972CB" w:rsidRDefault="00C972CB">
    <w:pPr>
      <w:pStyle w:val="Header"/>
      <w:rPr>
        <w:rFonts w:eastAsia="Calibri"/>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00E4" w14:textId="77777777" w:rsidR="00C972CB" w:rsidRDefault="00C972C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4878" w14:textId="77777777" w:rsidR="00C972CB" w:rsidRDefault="00C972C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3479" w14:textId="77777777" w:rsidR="00C972CB" w:rsidRDefault="00C972CB">
    <w:pPr>
      <w:pStyle w:val="Header"/>
      <w:rPr>
        <w:rFonts w:eastAsia="Calibri"/>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E5E" w14:textId="77777777" w:rsidR="00C972CB" w:rsidRDefault="00C972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0839" w14:textId="77777777" w:rsidR="00C972CB" w:rsidRDefault="00C972C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32BB" w14:textId="77777777" w:rsidR="00C972CB" w:rsidRDefault="00C972C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E1490" w14:textId="77777777" w:rsidR="00C972CB" w:rsidRDefault="00C972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94B8" w14:textId="77777777" w:rsidR="00C972CB" w:rsidRDefault="00C972C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02A2" w14:textId="77777777" w:rsidR="00C972CB" w:rsidRDefault="00C972C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834F6" w14:textId="77777777" w:rsidR="00C972CB" w:rsidRDefault="00C972CB">
    <w:pPr>
      <w:pStyle w:val="Header"/>
      <w:rPr>
        <w:rFonts w:eastAsia="Calibri"/>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6D064" w14:textId="77777777" w:rsidR="00C972CB" w:rsidRDefault="00C972C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3C806" w14:textId="77777777" w:rsidR="00C972CB" w:rsidRDefault="00C972C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E0EF0" w14:textId="77777777" w:rsidR="00C972CB" w:rsidRDefault="00C972CB">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F31C" w14:textId="77777777" w:rsidR="00C972CB" w:rsidRDefault="00C972C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4572" w14:textId="77777777" w:rsidR="00C972CB" w:rsidRDefault="00C972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C8BE" w14:textId="77777777" w:rsidR="00C972CB" w:rsidRDefault="00C972C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3C59" w14:textId="77777777" w:rsidR="00C972CB" w:rsidRDefault="00C972CB">
    <w:pPr>
      <w:pStyle w:val="Header"/>
      <w:rPr>
        <w:rFonts w:eastAsia="Calibri"/>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2555" w14:textId="77777777" w:rsidR="00C972CB" w:rsidRDefault="00C972C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E85F" w14:textId="77777777" w:rsidR="00C972CB" w:rsidRDefault="00C972C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DF1A" w14:textId="77777777" w:rsidR="00C972CB" w:rsidRDefault="00C972C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B12D" w14:textId="77777777" w:rsidR="00C972CB" w:rsidRDefault="00C972C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147D" w14:textId="77777777" w:rsidR="00C972CB" w:rsidRDefault="00C972C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4A66" w14:textId="77777777" w:rsidR="00C972CB" w:rsidRDefault="00C972CB">
    <w:pPr>
      <w:pStyle w:val="Header"/>
      <w:rPr>
        <w:rFonts w:eastAsia="Calibri"/>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719AE" w14:textId="77777777" w:rsidR="00C972CB" w:rsidRDefault="00C972CB">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95D8" w14:textId="77777777" w:rsidR="00C972CB" w:rsidRDefault="00C972C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0165" w14:textId="77777777" w:rsidR="00C972CB" w:rsidRDefault="00C972CB">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D459" w14:textId="77777777" w:rsidR="00C972CB" w:rsidRDefault="00C972C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1F92" w14:textId="77777777" w:rsidR="00C972CB" w:rsidRDefault="00C972C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8D5" w14:textId="77777777" w:rsidR="00C972CB" w:rsidRDefault="00C972C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429E" w14:textId="77777777" w:rsidR="00C972CB" w:rsidRDefault="00C972CB">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493FC" w14:textId="77777777" w:rsidR="00C972CB" w:rsidRDefault="00C972C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6AAD" w14:textId="77777777" w:rsidR="00C972CB" w:rsidRDefault="00C972C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7CB66" w14:textId="77777777" w:rsidR="00C972CB" w:rsidRDefault="00C972CB">
    <w:pPr>
      <w:pStyle w:val="Header"/>
      <w:rPr>
        <w:rFonts w:eastAsia="Calibri"/>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7826" w14:textId="77777777" w:rsidR="00C972CB" w:rsidRDefault="00C972C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D898" w14:textId="77777777" w:rsidR="00C972CB" w:rsidRDefault="00C972CB">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820E4" w14:textId="77777777" w:rsidR="00C972CB" w:rsidRDefault="00C972CB">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0CDE7" w14:textId="77777777" w:rsidR="00C972CB" w:rsidRDefault="00C972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99CB" w14:textId="77777777" w:rsidR="00C972CB" w:rsidRDefault="00C972CB">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5C9B" w14:textId="77777777" w:rsidR="00C972CB" w:rsidRDefault="00C972CB">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98BE" w14:textId="77777777" w:rsidR="00C972CB" w:rsidRDefault="00C972CB">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FA39" w14:textId="77777777" w:rsidR="00C972CB" w:rsidRDefault="00C972CB">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1DBD" w14:textId="77777777" w:rsidR="00C972CB" w:rsidRDefault="00C972CB">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7359" w14:textId="77777777" w:rsidR="00C972CB" w:rsidRDefault="00C972CB">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5BEB" w14:textId="77777777" w:rsidR="00C972CB" w:rsidRDefault="00C972CB">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BDEA1" w14:textId="77777777" w:rsidR="00C972CB" w:rsidRDefault="00C972CB">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BE1A" w14:textId="77777777" w:rsidR="00C972CB" w:rsidRDefault="00C972CB">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3E51B" w14:textId="77777777" w:rsidR="00C972CB" w:rsidRDefault="00C972CB">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3BB8" w14:textId="77777777" w:rsidR="00C972CB" w:rsidRDefault="00C972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058F" w14:textId="77777777" w:rsidR="00C972CB" w:rsidRDefault="00C972CB">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F7F4B" w14:textId="77777777" w:rsidR="00C972CB" w:rsidRDefault="00C972CB">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162E" w14:textId="77777777" w:rsidR="00C972CB" w:rsidRDefault="00C972CB">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9DC9" w14:textId="77777777" w:rsidR="00C972CB" w:rsidRDefault="00C972CB">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148BC" w14:textId="77777777" w:rsidR="00C972CB" w:rsidRDefault="00C972CB">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2C55" w14:textId="77777777" w:rsidR="00C972CB" w:rsidRDefault="00C972CB">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BB1F" w14:textId="77777777" w:rsidR="00C972CB" w:rsidRDefault="00C972CB">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7954" w14:textId="77777777" w:rsidR="00C972CB" w:rsidRDefault="00C972CB">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F7C3" w14:textId="77777777" w:rsidR="00C972CB" w:rsidRDefault="00C972CB">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6D14" w14:textId="77777777" w:rsidR="00C972CB" w:rsidRDefault="00C972CB">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7D23C" w14:textId="77777777" w:rsidR="00C972CB" w:rsidRDefault="00C972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EDDB" w14:textId="77777777" w:rsidR="00C972CB" w:rsidRDefault="00C972CB">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1408" w14:textId="77777777" w:rsidR="00C972CB" w:rsidRDefault="00C972CB">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9D2D" w14:textId="77777777" w:rsidR="00C972CB" w:rsidRDefault="00C972CB">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5A33" w14:textId="77777777" w:rsidR="00C972CB" w:rsidRDefault="00C972CB">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EB32" w14:textId="77777777" w:rsidR="00C972CB" w:rsidRDefault="00C972CB">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2F06" w14:textId="77777777" w:rsidR="00C972CB" w:rsidRDefault="00C972CB">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E399" w14:textId="77777777" w:rsidR="00C972CB" w:rsidRDefault="00C972CB">
    <w:pPr>
      <w:pStyle w:val="Header"/>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CBBE" w14:textId="77777777" w:rsidR="00C972CB" w:rsidRDefault="00C972CB">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2DC6A" w14:textId="77777777" w:rsidR="00C972CB" w:rsidRDefault="00C972CB">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08BF" w14:textId="77777777" w:rsidR="00C972CB" w:rsidRDefault="00C972CB">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E982" w14:textId="77777777" w:rsidR="00C972CB" w:rsidRDefault="00C972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0B088D8A"/>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E6E4680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610804BC"/>
    <w:lvl w:ilvl="0">
      <w:start w:val="1"/>
      <w:numFmt w:val="decimal"/>
      <w:lvlText w:val="%1."/>
      <w:lvlJc w:val="left"/>
      <w:pPr>
        <w:ind w:left="476" w:hanging="476"/>
      </w:pPr>
      <w:rPr>
        <w:rFonts w:hint="default"/>
        <w:b/>
        <w:bCs/>
      </w:rPr>
    </w:lvl>
    <w:lvl w:ilvl="1">
      <w:start w:val="1"/>
      <w:numFmt w:val="lowerLetter"/>
      <w:lvlText w:val="%2)"/>
      <w:lvlJc w:val="left"/>
      <w:pPr>
        <w:ind w:left="836" w:hanging="360"/>
      </w:p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3"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4"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5"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42C36F0"/>
    <w:multiLevelType w:val="hybridMultilevel"/>
    <w:tmpl w:val="9B2A10B6"/>
    <w:name w:val="Heading2"/>
    <w:lvl w:ilvl="0" w:tplc="916E8AC4">
      <w:start w:val="17"/>
      <w:numFmt w:val="upperLetter"/>
      <w:lvlText w:val="%1."/>
      <w:lvlJc w:val="left"/>
      <w:pPr>
        <w:ind w:left="360" w:hanging="360"/>
      </w:pPr>
      <w:rPr>
        <w:rFonts w:hint="default"/>
      </w:rPr>
    </w:lvl>
    <w:lvl w:ilvl="1" w:tplc="18090019" w:tentative="1">
      <w:start w:val="1"/>
      <w:numFmt w:val="lowerLetter"/>
      <w:lvlText w:val="%2."/>
      <w:lvlJc w:val="left"/>
      <w:pPr>
        <w:ind w:left="731" w:hanging="360"/>
      </w:pPr>
    </w:lvl>
    <w:lvl w:ilvl="2" w:tplc="1809001B" w:tentative="1">
      <w:start w:val="1"/>
      <w:numFmt w:val="lowerRoman"/>
      <w:lvlText w:val="%3."/>
      <w:lvlJc w:val="right"/>
      <w:pPr>
        <w:ind w:left="1451" w:hanging="180"/>
      </w:pPr>
    </w:lvl>
    <w:lvl w:ilvl="3" w:tplc="1809000F" w:tentative="1">
      <w:start w:val="1"/>
      <w:numFmt w:val="decimal"/>
      <w:lvlText w:val="%4."/>
      <w:lvlJc w:val="left"/>
      <w:pPr>
        <w:ind w:left="2171" w:hanging="360"/>
      </w:pPr>
    </w:lvl>
    <w:lvl w:ilvl="4" w:tplc="18090019" w:tentative="1">
      <w:start w:val="1"/>
      <w:numFmt w:val="lowerLetter"/>
      <w:lvlText w:val="%5."/>
      <w:lvlJc w:val="left"/>
      <w:pPr>
        <w:ind w:left="2891" w:hanging="360"/>
      </w:pPr>
    </w:lvl>
    <w:lvl w:ilvl="5" w:tplc="1809001B" w:tentative="1">
      <w:start w:val="1"/>
      <w:numFmt w:val="lowerRoman"/>
      <w:lvlText w:val="%6."/>
      <w:lvlJc w:val="right"/>
      <w:pPr>
        <w:ind w:left="3611" w:hanging="180"/>
      </w:pPr>
    </w:lvl>
    <w:lvl w:ilvl="6" w:tplc="1809000F" w:tentative="1">
      <w:start w:val="1"/>
      <w:numFmt w:val="decimal"/>
      <w:lvlText w:val="%7."/>
      <w:lvlJc w:val="left"/>
      <w:pPr>
        <w:ind w:left="4331" w:hanging="360"/>
      </w:pPr>
    </w:lvl>
    <w:lvl w:ilvl="7" w:tplc="18090019" w:tentative="1">
      <w:start w:val="1"/>
      <w:numFmt w:val="lowerLetter"/>
      <w:lvlText w:val="%8."/>
      <w:lvlJc w:val="left"/>
      <w:pPr>
        <w:ind w:left="5051" w:hanging="360"/>
      </w:pPr>
    </w:lvl>
    <w:lvl w:ilvl="8" w:tplc="1809001B" w:tentative="1">
      <w:start w:val="1"/>
      <w:numFmt w:val="lowerRoman"/>
      <w:lvlText w:val="%9."/>
      <w:lvlJc w:val="right"/>
      <w:pPr>
        <w:ind w:left="5771" w:hanging="180"/>
      </w:pPr>
    </w:lvl>
  </w:abstractNum>
  <w:abstractNum w:abstractNumId="57"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60"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1"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2"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3" w15:restartNumberingAfterBreak="0">
    <w:nsid w:val="377D80B8"/>
    <w:multiLevelType w:val="hybridMultilevel"/>
    <w:tmpl w:val="817C1776"/>
    <w:lvl w:ilvl="0" w:tplc="5C7C5328">
      <w:start w:val="1"/>
      <w:numFmt w:val="decimal"/>
      <w:lvlText w:val="%1."/>
      <w:lvlJc w:val="left"/>
      <w:pPr>
        <w:ind w:left="720" w:hanging="360"/>
      </w:pPr>
    </w:lvl>
    <w:lvl w:ilvl="1" w:tplc="89A628D8">
      <w:start w:val="1"/>
      <w:numFmt w:val="lowerLetter"/>
      <w:lvlText w:val="%2."/>
      <w:lvlJc w:val="left"/>
      <w:pPr>
        <w:ind w:left="1440" w:hanging="360"/>
      </w:p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4"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5"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7" w15:restartNumberingAfterBreak="0">
    <w:nsid w:val="3C2236D8"/>
    <w:multiLevelType w:val="hybridMultilevel"/>
    <w:tmpl w:val="FFFFFFFF"/>
    <w:lvl w:ilvl="0" w:tplc="2074684C">
      <w:start w:val="1"/>
      <w:numFmt w:val="decimal"/>
      <w:lvlText w:val="%1."/>
      <w:lvlJc w:val="left"/>
      <w:pPr>
        <w:ind w:left="720" w:hanging="360"/>
      </w:pPr>
    </w:lvl>
    <w:lvl w:ilvl="1" w:tplc="CC820F8C">
      <w:start w:val="1"/>
      <w:numFmt w:val="lowerLetter"/>
      <w:lvlText w:val="%2."/>
      <w:lvlJc w:val="left"/>
      <w:pPr>
        <w:ind w:left="1440" w:hanging="360"/>
      </w:p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8"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69"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70" w15:restartNumberingAfterBreak="0">
    <w:nsid w:val="3F71C4E4"/>
    <w:multiLevelType w:val="hybridMultilevel"/>
    <w:tmpl w:val="22BC0E94"/>
    <w:lvl w:ilvl="0" w:tplc="E5BAC4DE">
      <w:start w:val="1"/>
      <w:numFmt w:val="decimal"/>
      <w:lvlText w:val="%1."/>
      <w:lvlJc w:val="left"/>
      <w:pPr>
        <w:ind w:left="1800" w:hanging="360"/>
      </w:pPr>
    </w:lvl>
    <w:lvl w:ilvl="1" w:tplc="3544F168">
      <w:start w:val="1"/>
      <w:numFmt w:val="lowerLetter"/>
      <w:lvlText w:val="%2."/>
      <w:lvlJc w:val="left"/>
      <w:pPr>
        <w:ind w:left="2520" w:hanging="360"/>
      </w:pPr>
    </w:lvl>
    <w:lvl w:ilvl="2" w:tplc="BA4A2776">
      <w:start w:val="1"/>
      <w:numFmt w:val="lowerRoman"/>
      <w:lvlText w:val="%3."/>
      <w:lvlJc w:val="right"/>
      <w:pPr>
        <w:ind w:left="3240" w:hanging="180"/>
      </w:pPr>
    </w:lvl>
    <w:lvl w:ilvl="3" w:tplc="381A9258">
      <w:start w:val="1"/>
      <w:numFmt w:val="decimal"/>
      <w:lvlText w:val="%4."/>
      <w:lvlJc w:val="left"/>
      <w:pPr>
        <w:ind w:left="3960" w:hanging="360"/>
      </w:pPr>
    </w:lvl>
    <w:lvl w:ilvl="4" w:tplc="B1D235B6">
      <w:start w:val="1"/>
      <w:numFmt w:val="lowerLetter"/>
      <w:lvlText w:val="%5."/>
      <w:lvlJc w:val="left"/>
      <w:pPr>
        <w:ind w:left="4680" w:hanging="360"/>
      </w:pPr>
    </w:lvl>
    <w:lvl w:ilvl="5" w:tplc="DFAEC1E0">
      <w:start w:val="1"/>
      <w:numFmt w:val="lowerRoman"/>
      <w:lvlText w:val="%6."/>
      <w:lvlJc w:val="right"/>
      <w:pPr>
        <w:ind w:left="5400" w:hanging="180"/>
      </w:pPr>
    </w:lvl>
    <w:lvl w:ilvl="6" w:tplc="55D8D82C">
      <w:start w:val="1"/>
      <w:numFmt w:val="decimal"/>
      <w:lvlText w:val="%7."/>
      <w:lvlJc w:val="left"/>
      <w:pPr>
        <w:ind w:left="6120" w:hanging="360"/>
      </w:pPr>
    </w:lvl>
    <w:lvl w:ilvl="7" w:tplc="910290E8">
      <w:start w:val="1"/>
      <w:numFmt w:val="lowerLetter"/>
      <w:lvlText w:val="%8."/>
      <w:lvlJc w:val="left"/>
      <w:pPr>
        <w:ind w:left="6840" w:hanging="360"/>
      </w:pPr>
    </w:lvl>
    <w:lvl w:ilvl="8" w:tplc="B492B528">
      <w:start w:val="1"/>
      <w:numFmt w:val="lowerRoman"/>
      <w:lvlText w:val="%9."/>
      <w:lvlJc w:val="right"/>
      <w:pPr>
        <w:ind w:left="7560" w:hanging="180"/>
      </w:pPr>
    </w:lvl>
  </w:abstractNum>
  <w:abstractNum w:abstractNumId="71"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2"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3"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4"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7" w15:restartNumberingAfterBreak="0">
    <w:nsid w:val="42737F5F"/>
    <w:multiLevelType w:val="hybridMultilevel"/>
    <w:tmpl w:val="30D47F12"/>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C03A1DA6">
      <w:start w:val="1"/>
      <w:numFmt w:val="lowerLetter"/>
      <w:lvlText w:val="%5."/>
      <w:lvlJc w:val="left"/>
      <w:pPr>
        <w:ind w:left="3600" w:hanging="360"/>
      </w:p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8"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7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80"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81"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2"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4"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5" w15:restartNumberingAfterBreak="0">
    <w:nsid w:val="45CA1CA0"/>
    <w:multiLevelType w:val="hybridMultilevel"/>
    <w:tmpl w:val="4B74FB9A"/>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0"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2"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3"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4EAB4DFA"/>
    <w:multiLevelType w:val="hybridMultilevel"/>
    <w:tmpl w:val="5CD49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7"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100"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466238F"/>
    <w:multiLevelType w:val="hybridMultilevel"/>
    <w:tmpl w:val="9DB6D570"/>
    <w:name w:val="Heading2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03"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6" w15:restartNumberingAfterBreak="0">
    <w:nsid w:val="58E05220"/>
    <w:multiLevelType w:val="hybridMultilevel"/>
    <w:tmpl w:val="B378B3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0D4639"/>
    <w:multiLevelType w:val="hybridMultilevel"/>
    <w:tmpl w:val="7A1CF0CE"/>
    <w:lvl w:ilvl="0" w:tplc="8EBEB170">
      <w:start w:val="1"/>
      <w:numFmt w:val="decimal"/>
      <w:lvlText w:val="%1."/>
      <w:lvlJc w:val="left"/>
      <w:pPr>
        <w:ind w:left="288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13"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4"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5"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7"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8"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0"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21"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4"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5"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29"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0"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1"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4"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6"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39"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40"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41"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09"/>
  </w:num>
  <w:num w:numId="2">
    <w:abstractNumId w:val="76"/>
  </w:num>
  <w:num w:numId="3">
    <w:abstractNumId w:val="119"/>
  </w:num>
  <w:num w:numId="4">
    <w:abstractNumId w:val="47"/>
  </w:num>
  <w:num w:numId="5">
    <w:abstractNumId w:val="79"/>
  </w:num>
  <w:num w:numId="6">
    <w:abstractNumId w:val="34"/>
  </w:num>
  <w:num w:numId="7">
    <w:abstractNumId w:val="115"/>
  </w:num>
  <w:num w:numId="8">
    <w:abstractNumId w:val="30"/>
  </w:num>
  <w:num w:numId="9">
    <w:abstractNumId w:val="83"/>
  </w:num>
  <w:num w:numId="10">
    <w:abstractNumId w:val="107"/>
  </w:num>
  <w:num w:numId="11">
    <w:abstractNumId w:val="108"/>
  </w:num>
  <w:num w:numId="12">
    <w:abstractNumId w:val="102"/>
  </w:num>
  <w:num w:numId="13">
    <w:abstractNumId w:val="36"/>
  </w:num>
  <w:num w:numId="14">
    <w:abstractNumId w:val="4"/>
  </w:num>
  <w:num w:numId="15">
    <w:abstractNumId w:val="114"/>
  </w:num>
  <w:num w:numId="16">
    <w:abstractNumId w:val="53"/>
  </w:num>
  <w:num w:numId="17">
    <w:abstractNumId w:val="0"/>
  </w:num>
  <w:num w:numId="18">
    <w:abstractNumId w:val="3"/>
  </w:num>
  <w:num w:numId="19">
    <w:abstractNumId w:val="2"/>
  </w:num>
  <w:num w:numId="20">
    <w:abstractNumId w:val="1"/>
  </w:num>
  <w:num w:numId="21">
    <w:abstractNumId w:val="44"/>
  </w:num>
  <w:num w:numId="22">
    <w:abstractNumId w:val="74"/>
  </w:num>
  <w:num w:numId="23">
    <w:abstractNumId w:val="57"/>
  </w:num>
  <w:num w:numId="24">
    <w:abstractNumId w:val="62"/>
  </w:num>
  <w:num w:numId="25">
    <w:abstractNumId w:val="104"/>
  </w:num>
  <w:num w:numId="26">
    <w:abstractNumId w:val="134"/>
  </w:num>
  <w:num w:numId="27">
    <w:abstractNumId w:val="77"/>
  </w:num>
  <w:num w:numId="28">
    <w:abstractNumId w:val="65"/>
  </w:num>
  <w:num w:numId="29">
    <w:abstractNumId w:val="13"/>
  </w:num>
  <w:num w:numId="30">
    <w:abstractNumId w:val="17"/>
  </w:num>
  <w:num w:numId="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num>
  <w:num w:numId="33">
    <w:abstractNumId w:val="111"/>
  </w:num>
  <w:num w:numId="34">
    <w:abstractNumId w:val="122"/>
  </w:num>
  <w:num w:numId="35">
    <w:abstractNumId w:val="100"/>
  </w:num>
  <w:num w:numId="36">
    <w:abstractNumId w:val="126"/>
  </w:num>
  <w:num w:numId="37">
    <w:abstractNumId w:val="58"/>
  </w:num>
  <w:num w:numId="38">
    <w:abstractNumId w:val="92"/>
  </w:num>
  <w:num w:numId="3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5"/>
  </w:num>
  <w:num w:numId="43">
    <w:abstractNumId w:val="123"/>
  </w:num>
  <w:num w:numId="44">
    <w:abstractNumId w:val="35"/>
  </w:num>
  <w:num w:numId="45">
    <w:abstractNumId w:val="130"/>
  </w:num>
  <w:num w:numId="46">
    <w:abstractNumId w:val="20"/>
  </w:num>
  <w:num w:numId="47">
    <w:abstractNumId w:val="112"/>
  </w:num>
  <w:num w:numId="48">
    <w:abstractNumId w:val="46"/>
  </w:num>
  <w:num w:numId="49">
    <w:abstractNumId w:val="33"/>
  </w:num>
  <w:num w:numId="50">
    <w:abstractNumId w:val="80"/>
  </w:num>
  <w:num w:numId="51">
    <w:abstractNumId w:val="27"/>
  </w:num>
  <w:num w:numId="52">
    <w:abstractNumId w:val="15"/>
  </w:num>
  <w:num w:numId="53">
    <w:abstractNumId w:val="38"/>
  </w:num>
  <w:num w:numId="54">
    <w:abstractNumId w:val="86"/>
  </w:num>
  <w:num w:numId="55">
    <w:abstractNumId w:val="90"/>
  </w:num>
  <w:num w:numId="56">
    <w:abstractNumId w:val="66"/>
  </w:num>
  <w:num w:numId="57">
    <w:abstractNumId w:val="41"/>
  </w:num>
  <w:num w:numId="58">
    <w:abstractNumId w:val="26"/>
  </w:num>
  <w:num w:numId="59">
    <w:abstractNumId w:val="55"/>
  </w:num>
  <w:num w:numId="60">
    <w:abstractNumId w:val="59"/>
  </w:num>
  <w:num w:numId="61">
    <w:abstractNumId w:val="139"/>
  </w:num>
  <w:num w:numId="62">
    <w:abstractNumId w:val="137"/>
  </w:num>
  <w:num w:numId="63">
    <w:abstractNumId w:val="98"/>
  </w:num>
  <w:num w:numId="64">
    <w:abstractNumId w:val="81"/>
  </w:num>
  <w:num w:numId="65">
    <w:abstractNumId w:val="23"/>
  </w:num>
  <w:num w:numId="66">
    <w:abstractNumId w:val="72"/>
  </w:num>
  <w:num w:numId="67">
    <w:abstractNumId w:val="103"/>
  </w:num>
  <w:num w:numId="68">
    <w:abstractNumId w:val="6"/>
  </w:num>
  <w:num w:numId="69">
    <w:abstractNumId w:val="29"/>
  </w:num>
  <w:num w:numId="70">
    <w:abstractNumId w:val="97"/>
  </w:num>
  <w:num w:numId="71">
    <w:abstractNumId w:val="14"/>
  </w:num>
  <w:num w:numId="72">
    <w:abstractNumId w:val="105"/>
  </w:num>
  <w:num w:numId="73">
    <w:abstractNumId w:val="68"/>
  </w:num>
  <w:num w:numId="74">
    <w:abstractNumId w:val="128"/>
  </w:num>
  <w:num w:numId="75">
    <w:abstractNumId w:val="31"/>
  </w:num>
  <w:num w:numId="76">
    <w:abstractNumId w:val="84"/>
  </w:num>
  <w:num w:numId="77">
    <w:abstractNumId w:val="96"/>
  </w:num>
  <w:num w:numId="78">
    <w:abstractNumId w:val="48"/>
  </w:num>
  <w:num w:numId="79">
    <w:abstractNumId w:val="110"/>
  </w:num>
  <w:num w:numId="80">
    <w:abstractNumId w:val="51"/>
  </w:num>
  <w:num w:numId="81">
    <w:abstractNumId w:val="50"/>
  </w:num>
  <w:num w:numId="82">
    <w:abstractNumId w:val="88"/>
  </w:num>
  <w:num w:numId="83">
    <w:abstractNumId w:val="45"/>
  </w:num>
  <w:num w:numId="84">
    <w:abstractNumId w:val="125"/>
  </w:num>
  <w:num w:numId="85">
    <w:abstractNumId w:val="132"/>
  </w:num>
  <w:num w:numId="86">
    <w:abstractNumId w:val="19"/>
  </w:num>
  <w:num w:numId="87">
    <w:abstractNumId w:val="75"/>
  </w:num>
  <w:num w:numId="88">
    <w:abstractNumId w:val="12"/>
  </w:num>
  <w:num w:numId="89">
    <w:abstractNumId w:val="7"/>
  </w:num>
  <w:num w:numId="90">
    <w:abstractNumId w:val="18"/>
  </w:num>
  <w:num w:numId="91">
    <w:abstractNumId w:val="141"/>
  </w:num>
  <w:num w:numId="92">
    <w:abstractNumId w:val="94"/>
  </w:num>
  <w:num w:numId="93">
    <w:abstractNumId w:val="99"/>
  </w:num>
  <w:num w:numId="94">
    <w:abstractNumId w:val="5"/>
  </w:num>
  <w:num w:numId="95">
    <w:abstractNumId w:val="11"/>
  </w:num>
  <w:num w:numId="96">
    <w:abstractNumId w:val="118"/>
  </w:num>
  <w:num w:numId="97">
    <w:abstractNumId w:val="40"/>
  </w:num>
  <w:num w:numId="98">
    <w:abstractNumId w:val="21"/>
  </w:num>
  <w:num w:numId="99">
    <w:abstractNumId w:val="93"/>
  </w:num>
  <w:num w:numId="100">
    <w:abstractNumId w:val="39"/>
  </w:num>
  <w:num w:numId="101">
    <w:abstractNumId w:val="121"/>
  </w:num>
  <w:num w:numId="102">
    <w:abstractNumId w:val="70"/>
  </w:num>
  <w:num w:numId="103">
    <w:abstractNumId w:val="63"/>
  </w:num>
  <w:num w:numId="104">
    <w:abstractNumId w:val="25"/>
  </w:num>
  <w:num w:numId="105">
    <w:abstractNumId w:val="8"/>
  </w:num>
  <w:num w:numId="106">
    <w:abstractNumId w:val="136"/>
  </w:num>
  <w:num w:numId="107">
    <w:abstractNumId w:val="133"/>
  </w:num>
  <w:num w:numId="108">
    <w:abstractNumId w:val="28"/>
  </w:num>
  <w:num w:numId="109">
    <w:abstractNumId w:val="37"/>
  </w:num>
  <w:num w:numId="110">
    <w:abstractNumId w:val="95"/>
  </w:num>
  <w:num w:numId="111">
    <w:abstractNumId w:val="117"/>
  </w:num>
  <w:num w:numId="112">
    <w:abstractNumId w:val="60"/>
  </w:num>
  <w:num w:numId="113">
    <w:abstractNumId w:val="9"/>
  </w:num>
  <w:num w:numId="114">
    <w:abstractNumId w:val="71"/>
  </w:num>
  <w:num w:numId="115">
    <w:abstractNumId w:val="10"/>
  </w:num>
  <w:num w:numId="116">
    <w:abstractNumId w:val="69"/>
  </w:num>
  <w:num w:numId="117">
    <w:abstractNumId w:val="140"/>
  </w:num>
  <w:num w:numId="118">
    <w:abstractNumId w:val="91"/>
  </w:num>
  <w:num w:numId="119">
    <w:abstractNumId w:val="113"/>
  </w:num>
  <w:num w:numId="120">
    <w:abstractNumId w:val="124"/>
  </w:num>
  <w:num w:numId="121">
    <w:abstractNumId w:val="16"/>
  </w:num>
  <w:num w:numId="122">
    <w:abstractNumId w:val="73"/>
  </w:num>
  <w:num w:numId="123">
    <w:abstractNumId w:val="82"/>
  </w:num>
  <w:num w:numId="124">
    <w:abstractNumId w:val="54"/>
  </w:num>
  <w:num w:numId="125">
    <w:abstractNumId w:val="135"/>
  </w:num>
  <w:num w:numId="126">
    <w:abstractNumId w:val="120"/>
  </w:num>
  <w:num w:numId="127">
    <w:abstractNumId w:val="142"/>
  </w:num>
  <w:num w:numId="128">
    <w:abstractNumId w:val="42"/>
  </w:num>
  <w:num w:numId="129">
    <w:abstractNumId w:val="49"/>
  </w:num>
  <w:num w:numId="130">
    <w:abstractNumId w:val="106"/>
  </w:num>
  <w:num w:numId="131">
    <w:abstractNumId w:val="116"/>
  </w:num>
  <w:num w:numId="132">
    <w:abstractNumId w:val="61"/>
  </w:num>
  <w:num w:numId="133">
    <w:abstractNumId w:val="129"/>
  </w:num>
  <w:num w:numId="134">
    <w:abstractNumId w:val="24"/>
  </w:num>
  <w:num w:numId="135">
    <w:abstractNumId w:val="43"/>
  </w:num>
  <w:num w:numId="136">
    <w:abstractNumId w:val="52"/>
  </w:num>
  <w:num w:numId="137">
    <w:abstractNumId w:val="67"/>
  </w:num>
  <w:num w:numId="138">
    <w:abstractNumId w:val="138"/>
  </w:num>
  <w:num w:numId="139">
    <w:abstractNumId w:val="131"/>
  </w:num>
  <w:num w:numId="140">
    <w:abstractNumId w:val="87"/>
  </w:num>
  <w:num w:numId="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num>
  <w:num w:numId="143">
    <w:abstractNumId w:val="127"/>
  </w:num>
  <w:num w:numId="144">
    <w:abstractNumId w:val="64"/>
  </w:num>
  <w:num w:numId="145">
    <w:abstractNumId w:val="34"/>
  </w:num>
  <w:num w:numId="146">
    <w:abstractNumId w:val="11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true"/>
    <w:docVar w:name="DocStatus" w:val="Green"/>
    <w:docVar w:name="DocuWriteMetaData" w:val="&lt;metadataset docuwriteversion=&quot;4.5.2&quot; technicalblockguid=&quot;53908058476492712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8&lt;/text&gt;_x000d__x000a_  &lt;/metadata&gt;_x000d__x000a_  &lt;metadata key=&quot;md_Prefix&quot;&gt;_x000d__x000a_    &lt;text&gt;&lt;/text&gt;_x000d__x000a_  &lt;/metadata&gt;_x000d__x000a_  &lt;metadata key=&quot;md_DocumentNumber&quot;&gt;_x000d__x000a_    &lt;text&gt;10160&lt;/text&gt;_x000d__x000a_  &lt;/metadata&gt;_x000d__x000a_  &lt;metadata key=&quot;md_YearDocumentNumber&quot;&gt;_x000d__x000a_    &lt;text&gt;2021&lt;/text&gt;_x000d__x000a_  &lt;/metadata&gt;_x000d__x000a_  &lt;metadata key=&quot;md_Suffixes&quot;&gt;_x000d__x000a_    &lt;text&gt;ADD 1 REV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645&lt;/text&gt;_x000d__x000a_      &lt;text&gt;CADREFIN 340&lt;/text&gt;_x000d__x000a_      &lt;text&gt;UEM 180&lt;/text&gt;_x000d__x000a_      &lt;text&gt;FIN 521&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1/0168 (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on the approval of the assessment of the recovery and resilience plan for Italy&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nnex to the &amp;lt;/Run&amp;gt;COUNCIL IMPLEMENTING DECISION&amp;lt;Run xml:lang=&quot;fr-be&quot; xml:space=&quot;preserve&quot;&amp;gt; &amp;lt;/Run&amp;gt;on the approval of the assessment of the recovery and resilience plan for Italy&amp;lt;/Paragraph&amp;gt;&amp;lt;/FlowDocument&amp;gt;&lt;/xaml&gt;_x000d__x000a_  &lt;/metadata&gt;_x000d__x000a_  &lt;metadata key=&quot;md_SubjectFootnote&quot; /&gt;_x000d__x000a_  &lt;metadata key=&quot;md_DG&quot;&gt;_x000d__x000a_    &lt;text&gt;ECOMP 1A&lt;/text&gt;_x000d__x000a_  &lt;/metadata&gt;_x000d__x000a_  &lt;metadata key=&quot;md_Initials&quot;&gt;_x000d__x000a_    &lt;text&gt;FDC/s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DocType" w:val="Normal"/>
    <w:docVar w:name="LW_ACCOMPAGNANT.CP" w:val="dokumentam"/>
    <w:docVar w:name="LW_ANNEX_NBR_FIRST" w:val="1"/>
    <w:docVar w:name="LW_ANNEX_NBR_LAST" w:val="1"/>
    <w:docVar w:name="LW_ANNEX_UNIQUE" w:val="1"/>
    <w:docVar w:name="LW_CORRIGENDUM" w:val="&lt;UNUSED&gt;"/>
    <w:docVar w:name="LW_COVERPAGE_EXISTS" w:val="True"/>
    <w:docVar w:name="LW_COVERPAGE_GUID" w:val="63CF5C03-805E-4935-8A1F-D6D6B05A2091"/>
    <w:docVar w:name="LW_COVERPAGE_TYPE" w:val="1"/>
    <w:docVar w:name="LW_CROSSREFERENCE" w:val="{SWD(2023) 392 final}"/>
    <w:docVar w:name="LW_DocType" w:val="NORMAL"/>
    <w:docVar w:name="LW_EMISSION" w:val="24.11.2023"/>
    <w:docVar w:name="LW_EMISSION_ISODATE" w:val="2023-11-24"/>
    <w:docVar w:name="LW_EMISSION_LOCATION" w:val="BRX"/>
    <w:docVar w:name="LW_EMISSION_PREFIX" w:val="Brisel\u275?, "/>
    <w:docVar w:name="LW_EMISSION_SUFFIX" w:val="."/>
    <w:docVar w:name="LW_ID_DOCTYPE_NONLW" w:val="CP-036"/>
    <w:docVar w:name="LW_LANGUE" w:val="LV"/>
    <w:docVar w:name="LW_LEVEL_OF_SENSITIVITY" w:val="Standard treatment"/>
    <w:docVar w:name="LW_NOM.INST" w:val="EIROPAS KOMISIJA"/>
    <w:docVar w:name="LW_NOM.INST_JOINTDOC" w:val="&lt;EMPTY&gt;"/>
    <w:docVar w:name="LW_OBJETACTEPRINCIPAL.CP" w:val="ar ko groza 2021. gada 13. jūlija Īstenošanas lēmumu (ES) (ST 10160/21; ST 10160/21 ADD 1 REV 2) par Itālijas atveseļošanas un noturības plāna novērtējuma apstiprināšanu_x000d__x000b_"/>
    <w:docVar w:name="LW_PART_NBR" w:val="1"/>
    <w:docVar w:name="LW_PART_NBR_TOTAL" w:val="1"/>
    <w:docVar w:name="LW_REF.INST.NEW" w:val="COM"/>
    <w:docVar w:name="LW_REF.INST.NEW_ADOPTED" w:val="final"/>
    <w:docVar w:name="LW_REF.INST.NEW_TEXT" w:val="(2023) 7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IELIKUMS_x000b_"/>
    <w:docVar w:name="LW_TYPEACTEPRINCIPAL.CP" w:val="Priekšlikums PADOMES ĪSTENOŠANAS LĒMUMAM,_x000b_"/>
    <w:docVar w:name="LwApiVersions" w:val="LW4CoDe 1.23.2.0; LW 8.0, Build 20211117"/>
  </w:docVars>
  <w:rsids>
    <w:rsidRoot w:val="0084396F"/>
    <w:rsid w:val="0000001E"/>
    <w:rsid w:val="00000065"/>
    <w:rsid w:val="0000033B"/>
    <w:rsid w:val="000005AA"/>
    <w:rsid w:val="000005C4"/>
    <w:rsid w:val="00000688"/>
    <w:rsid w:val="00000838"/>
    <w:rsid w:val="000008A0"/>
    <w:rsid w:val="00000BD5"/>
    <w:rsid w:val="00000EB8"/>
    <w:rsid w:val="00001454"/>
    <w:rsid w:val="000014A2"/>
    <w:rsid w:val="000015D9"/>
    <w:rsid w:val="00001A70"/>
    <w:rsid w:val="00001CEE"/>
    <w:rsid w:val="00001F48"/>
    <w:rsid w:val="000020AC"/>
    <w:rsid w:val="000020E0"/>
    <w:rsid w:val="00002493"/>
    <w:rsid w:val="00002523"/>
    <w:rsid w:val="0000253F"/>
    <w:rsid w:val="000025CF"/>
    <w:rsid w:val="00002637"/>
    <w:rsid w:val="00002AFF"/>
    <w:rsid w:val="0000344E"/>
    <w:rsid w:val="0000347E"/>
    <w:rsid w:val="000035BE"/>
    <w:rsid w:val="000037E1"/>
    <w:rsid w:val="00003ECC"/>
    <w:rsid w:val="00003F77"/>
    <w:rsid w:val="0000421C"/>
    <w:rsid w:val="00004221"/>
    <w:rsid w:val="0000423E"/>
    <w:rsid w:val="000043F9"/>
    <w:rsid w:val="00004468"/>
    <w:rsid w:val="00004496"/>
    <w:rsid w:val="000044CA"/>
    <w:rsid w:val="0000459C"/>
    <w:rsid w:val="00004BF7"/>
    <w:rsid w:val="00004F87"/>
    <w:rsid w:val="00005A5A"/>
    <w:rsid w:val="00005B77"/>
    <w:rsid w:val="00005D66"/>
    <w:rsid w:val="0000601C"/>
    <w:rsid w:val="0000638C"/>
    <w:rsid w:val="0000656C"/>
    <w:rsid w:val="00006638"/>
    <w:rsid w:val="00007314"/>
    <w:rsid w:val="000079D3"/>
    <w:rsid w:val="00007DB9"/>
    <w:rsid w:val="0001059D"/>
    <w:rsid w:val="000107D1"/>
    <w:rsid w:val="00010862"/>
    <w:rsid w:val="000108BF"/>
    <w:rsid w:val="000110C8"/>
    <w:rsid w:val="000111A7"/>
    <w:rsid w:val="00011231"/>
    <w:rsid w:val="000113D3"/>
    <w:rsid w:val="0001141B"/>
    <w:rsid w:val="00011A75"/>
    <w:rsid w:val="00011D48"/>
    <w:rsid w:val="00012072"/>
    <w:rsid w:val="000122F7"/>
    <w:rsid w:val="000127E1"/>
    <w:rsid w:val="000127F9"/>
    <w:rsid w:val="00012A59"/>
    <w:rsid w:val="00012ABD"/>
    <w:rsid w:val="00012C66"/>
    <w:rsid w:val="000132C8"/>
    <w:rsid w:val="000132ED"/>
    <w:rsid w:val="00013314"/>
    <w:rsid w:val="0001354B"/>
    <w:rsid w:val="0001382B"/>
    <w:rsid w:val="00013E2B"/>
    <w:rsid w:val="0001428E"/>
    <w:rsid w:val="0001439F"/>
    <w:rsid w:val="00014483"/>
    <w:rsid w:val="000147A2"/>
    <w:rsid w:val="000148EB"/>
    <w:rsid w:val="00014C74"/>
    <w:rsid w:val="00014DA9"/>
    <w:rsid w:val="00014E08"/>
    <w:rsid w:val="0001507E"/>
    <w:rsid w:val="00015130"/>
    <w:rsid w:val="0001544C"/>
    <w:rsid w:val="000155E8"/>
    <w:rsid w:val="0001567C"/>
    <w:rsid w:val="0001575F"/>
    <w:rsid w:val="0001598E"/>
    <w:rsid w:val="00015A57"/>
    <w:rsid w:val="00015A87"/>
    <w:rsid w:val="00015BB2"/>
    <w:rsid w:val="00016387"/>
    <w:rsid w:val="000168FA"/>
    <w:rsid w:val="00016A1B"/>
    <w:rsid w:val="00016AD1"/>
    <w:rsid w:val="00017198"/>
    <w:rsid w:val="00017203"/>
    <w:rsid w:val="0001723A"/>
    <w:rsid w:val="00017322"/>
    <w:rsid w:val="0001747A"/>
    <w:rsid w:val="000177BC"/>
    <w:rsid w:val="00017873"/>
    <w:rsid w:val="00017E6A"/>
    <w:rsid w:val="0002003D"/>
    <w:rsid w:val="000201DD"/>
    <w:rsid w:val="00020564"/>
    <w:rsid w:val="0002075B"/>
    <w:rsid w:val="000208D8"/>
    <w:rsid w:val="00020C96"/>
    <w:rsid w:val="00020F30"/>
    <w:rsid w:val="00021215"/>
    <w:rsid w:val="000213B7"/>
    <w:rsid w:val="000217A0"/>
    <w:rsid w:val="00021971"/>
    <w:rsid w:val="000219CF"/>
    <w:rsid w:val="00021D14"/>
    <w:rsid w:val="000220FC"/>
    <w:rsid w:val="00022130"/>
    <w:rsid w:val="0002269A"/>
    <w:rsid w:val="0002282C"/>
    <w:rsid w:val="00022B49"/>
    <w:rsid w:val="00022B72"/>
    <w:rsid w:val="00022D1C"/>
    <w:rsid w:val="00022EE0"/>
    <w:rsid w:val="000231B7"/>
    <w:rsid w:val="00023216"/>
    <w:rsid w:val="00023335"/>
    <w:rsid w:val="000238CE"/>
    <w:rsid w:val="00023AF3"/>
    <w:rsid w:val="00023BBE"/>
    <w:rsid w:val="000240C0"/>
    <w:rsid w:val="000247D0"/>
    <w:rsid w:val="00024CE4"/>
    <w:rsid w:val="00024E83"/>
    <w:rsid w:val="00024F4A"/>
    <w:rsid w:val="00024F5D"/>
    <w:rsid w:val="0002509D"/>
    <w:rsid w:val="000250A3"/>
    <w:rsid w:val="0002578A"/>
    <w:rsid w:val="00026167"/>
    <w:rsid w:val="0002631A"/>
    <w:rsid w:val="00026D7D"/>
    <w:rsid w:val="00026EEB"/>
    <w:rsid w:val="00026F4B"/>
    <w:rsid w:val="00027283"/>
    <w:rsid w:val="000272A7"/>
    <w:rsid w:val="00027522"/>
    <w:rsid w:val="00027715"/>
    <w:rsid w:val="0002780F"/>
    <w:rsid w:val="00027983"/>
    <w:rsid w:val="00027E29"/>
    <w:rsid w:val="00027F8E"/>
    <w:rsid w:val="00030197"/>
    <w:rsid w:val="000301F0"/>
    <w:rsid w:val="0003092F"/>
    <w:rsid w:val="00030B95"/>
    <w:rsid w:val="00030ECD"/>
    <w:rsid w:val="00030F66"/>
    <w:rsid w:val="00031135"/>
    <w:rsid w:val="000313D4"/>
    <w:rsid w:val="000315A1"/>
    <w:rsid w:val="000315FF"/>
    <w:rsid w:val="000319A9"/>
    <w:rsid w:val="00031B8F"/>
    <w:rsid w:val="00031CEE"/>
    <w:rsid w:val="00031D82"/>
    <w:rsid w:val="0003203E"/>
    <w:rsid w:val="00032259"/>
    <w:rsid w:val="00032878"/>
    <w:rsid w:val="00032B16"/>
    <w:rsid w:val="000330DC"/>
    <w:rsid w:val="00033A46"/>
    <w:rsid w:val="00033A6F"/>
    <w:rsid w:val="00033D32"/>
    <w:rsid w:val="00034004"/>
    <w:rsid w:val="00034135"/>
    <w:rsid w:val="0003450A"/>
    <w:rsid w:val="0003458C"/>
    <w:rsid w:val="000345D2"/>
    <w:rsid w:val="000345F4"/>
    <w:rsid w:val="00034847"/>
    <w:rsid w:val="00034A59"/>
    <w:rsid w:val="00034FCE"/>
    <w:rsid w:val="00034FD5"/>
    <w:rsid w:val="00035199"/>
    <w:rsid w:val="000352CF"/>
    <w:rsid w:val="00035382"/>
    <w:rsid w:val="00035631"/>
    <w:rsid w:val="000356D0"/>
    <w:rsid w:val="00035BB3"/>
    <w:rsid w:val="00035E7D"/>
    <w:rsid w:val="00035F94"/>
    <w:rsid w:val="000361EA"/>
    <w:rsid w:val="000363EE"/>
    <w:rsid w:val="00036679"/>
    <w:rsid w:val="000369CD"/>
    <w:rsid w:val="000369E2"/>
    <w:rsid w:val="00036B1A"/>
    <w:rsid w:val="000374BF"/>
    <w:rsid w:val="00037508"/>
    <w:rsid w:val="00037747"/>
    <w:rsid w:val="00037886"/>
    <w:rsid w:val="00037DF3"/>
    <w:rsid w:val="0004071E"/>
    <w:rsid w:val="000407BD"/>
    <w:rsid w:val="000410E9"/>
    <w:rsid w:val="000410F2"/>
    <w:rsid w:val="00041154"/>
    <w:rsid w:val="00041292"/>
    <w:rsid w:val="00041477"/>
    <w:rsid w:val="0004175B"/>
    <w:rsid w:val="000417E4"/>
    <w:rsid w:val="00041AC3"/>
    <w:rsid w:val="00041C91"/>
    <w:rsid w:val="00042052"/>
    <w:rsid w:val="0004245F"/>
    <w:rsid w:val="000425D9"/>
    <w:rsid w:val="000428C6"/>
    <w:rsid w:val="00042F27"/>
    <w:rsid w:val="0004345F"/>
    <w:rsid w:val="000434B8"/>
    <w:rsid w:val="000436F9"/>
    <w:rsid w:val="00043711"/>
    <w:rsid w:val="00043DDD"/>
    <w:rsid w:val="00043E33"/>
    <w:rsid w:val="000441DA"/>
    <w:rsid w:val="000442EF"/>
    <w:rsid w:val="000443B4"/>
    <w:rsid w:val="0004446F"/>
    <w:rsid w:val="00044AA9"/>
    <w:rsid w:val="00044AB6"/>
    <w:rsid w:val="00044C15"/>
    <w:rsid w:val="00044C36"/>
    <w:rsid w:val="00044D7F"/>
    <w:rsid w:val="00044DDC"/>
    <w:rsid w:val="000457E2"/>
    <w:rsid w:val="000458AF"/>
    <w:rsid w:val="00045918"/>
    <w:rsid w:val="00045BB6"/>
    <w:rsid w:val="00045CDA"/>
    <w:rsid w:val="0004681D"/>
    <w:rsid w:val="00046843"/>
    <w:rsid w:val="00046F34"/>
    <w:rsid w:val="0004710A"/>
    <w:rsid w:val="000471BF"/>
    <w:rsid w:val="000472B0"/>
    <w:rsid w:val="000475BD"/>
    <w:rsid w:val="000475CC"/>
    <w:rsid w:val="000475FC"/>
    <w:rsid w:val="00047605"/>
    <w:rsid w:val="000479AC"/>
    <w:rsid w:val="00047AFB"/>
    <w:rsid w:val="00047DB0"/>
    <w:rsid w:val="00047E7C"/>
    <w:rsid w:val="00047F89"/>
    <w:rsid w:val="000500D9"/>
    <w:rsid w:val="000502E7"/>
    <w:rsid w:val="00050453"/>
    <w:rsid w:val="000507CB"/>
    <w:rsid w:val="0005095A"/>
    <w:rsid w:val="00050C4D"/>
    <w:rsid w:val="00050D9F"/>
    <w:rsid w:val="00050EA4"/>
    <w:rsid w:val="00050EC1"/>
    <w:rsid w:val="00050FD6"/>
    <w:rsid w:val="00051326"/>
    <w:rsid w:val="0005140E"/>
    <w:rsid w:val="000514B4"/>
    <w:rsid w:val="000515CF"/>
    <w:rsid w:val="0005172F"/>
    <w:rsid w:val="0005194A"/>
    <w:rsid w:val="00051B10"/>
    <w:rsid w:val="00052D4B"/>
    <w:rsid w:val="000531A1"/>
    <w:rsid w:val="000533A5"/>
    <w:rsid w:val="000534B5"/>
    <w:rsid w:val="000534BB"/>
    <w:rsid w:val="0005360B"/>
    <w:rsid w:val="0005367C"/>
    <w:rsid w:val="00053745"/>
    <w:rsid w:val="0005375A"/>
    <w:rsid w:val="00053939"/>
    <w:rsid w:val="0005413D"/>
    <w:rsid w:val="0005482F"/>
    <w:rsid w:val="00054CB2"/>
    <w:rsid w:val="00055085"/>
    <w:rsid w:val="0005552C"/>
    <w:rsid w:val="00055882"/>
    <w:rsid w:val="000565BD"/>
    <w:rsid w:val="00056918"/>
    <w:rsid w:val="000569EB"/>
    <w:rsid w:val="00056A45"/>
    <w:rsid w:val="00056AA0"/>
    <w:rsid w:val="00056AC0"/>
    <w:rsid w:val="00056B0B"/>
    <w:rsid w:val="00056FDA"/>
    <w:rsid w:val="0005705B"/>
    <w:rsid w:val="000571FB"/>
    <w:rsid w:val="00057307"/>
    <w:rsid w:val="00057601"/>
    <w:rsid w:val="000576AB"/>
    <w:rsid w:val="00057779"/>
    <w:rsid w:val="00057928"/>
    <w:rsid w:val="0005799C"/>
    <w:rsid w:val="00057AEE"/>
    <w:rsid w:val="00057C45"/>
    <w:rsid w:val="0006004C"/>
    <w:rsid w:val="000600BF"/>
    <w:rsid w:val="00060109"/>
    <w:rsid w:val="000601D1"/>
    <w:rsid w:val="00060263"/>
    <w:rsid w:val="000602F8"/>
    <w:rsid w:val="000602FD"/>
    <w:rsid w:val="00060345"/>
    <w:rsid w:val="000605A5"/>
    <w:rsid w:val="000606CA"/>
    <w:rsid w:val="0006072A"/>
    <w:rsid w:val="000608AB"/>
    <w:rsid w:val="0006091F"/>
    <w:rsid w:val="000610F9"/>
    <w:rsid w:val="0006115A"/>
    <w:rsid w:val="00061353"/>
    <w:rsid w:val="0006136C"/>
    <w:rsid w:val="0006182C"/>
    <w:rsid w:val="00061A6E"/>
    <w:rsid w:val="00061ABA"/>
    <w:rsid w:val="0006242E"/>
    <w:rsid w:val="000629CC"/>
    <w:rsid w:val="00062C3D"/>
    <w:rsid w:val="00062CD7"/>
    <w:rsid w:val="00062D74"/>
    <w:rsid w:val="000630D5"/>
    <w:rsid w:val="00063196"/>
    <w:rsid w:val="0006334A"/>
    <w:rsid w:val="000634F6"/>
    <w:rsid w:val="000637CF"/>
    <w:rsid w:val="00063D96"/>
    <w:rsid w:val="00063E0B"/>
    <w:rsid w:val="00063FF2"/>
    <w:rsid w:val="0006454A"/>
    <w:rsid w:val="00064578"/>
    <w:rsid w:val="00064ABC"/>
    <w:rsid w:val="00064C47"/>
    <w:rsid w:val="00064EF2"/>
    <w:rsid w:val="00065054"/>
    <w:rsid w:val="000651E2"/>
    <w:rsid w:val="000656CE"/>
    <w:rsid w:val="000656DC"/>
    <w:rsid w:val="00065F5F"/>
    <w:rsid w:val="00066067"/>
    <w:rsid w:val="000663BE"/>
    <w:rsid w:val="00066624"/>
    <w:rsid w:val="00066ABF"/>
    <w:rsid w:val="00066C1D"/>
    <w:rsid w:val="00066D44"/>
    <w:rsid w:val="00066EA9"/>
    <w:rsid w:val="00066F71"/>
    <w:rsid w:val="000675F0"/>
    <w:rsid w:val="00067600"/>
    <w:rsid w:val="00067994"/>
    <w:rsid w:val="00067DB8"/>
    <w:rsid w:val="00070240"/>
    <w:rsid w:val="0007025F"/>
    <w:rsid w:val="000703E9"/>
    <w:rsid w:val="000703EF"/>
    <w:rsid w:val="000705DA"/>
    <w:rsid w:val="00070859"/>
    <w:rsid w:val="000709A8"/>
    <w:rsid w:val="00070B7D"/>
    <w:rsid w:val="00070CA6"/>
    <w:rsid w:val="00070D1A"/>
    <w:rsid w:val="000711EE"/>
    <w:rsid w:val="00071650"/>
    <w:rsid w:val="000716D8"/>
    <w:rsid w:val="0007188D"/>
    <w:rsid w:val="00071CDB"/>
    <w:rsid w:val="00071E34"/>
    <w:rsid w:val="00071E41"/>
    <w:rsid w:val="00071FA3"/>
    <w:rsid w:val="00072249"/>
    <w:rsid w:val="0007245A"/>
    <w:rsid w:val="0007279E"/>
    <w:rsid w:val="00072802"/>
    <w:rsid w:val="00072863"/>
    <w:rsid w:val="00072DE1"/>
    <w:rsid w:val="00072F05"/>
    <w:rsid w:val="00073072"/>
    <w:rsid w:val="000732B5"/>
    <w:rsid w:val="000732E7"/>
    <w:rsid w:val="00073497"/>
    <w:rsid w:val="000734A9"/>
    <w:rsid w:val="0007351E"/>
    <w:rsid w:val="000738A7"/>
    <w:rsid w:val="000738D2"/>
    <w:rsid w:val="00073B07"/>
    <w:rsid w:val="00073B33"/>
    <w:rsid w:val="00073B71"/>
    <w:rsid w:val="00073DD5"/>
    <w:rsid w:val="00073EF9"/>
    <w:rsid w:val="000741F3"/>
    <w:rsid w:val="000745AD"/>
    <w:rsid w:val="00074AE0"/>
    <w:rsid w:val="00075349"/>
    <w:rsid w:val="000759E2"/>
    <w:rsid w:val="0007661F"/>
    <w:rsid w:val="0007662D"/>
    <w:rsid w:val="000768AF"/>
    <w:rsid w:val="00076D7D"/>
    <w:rsid w:val="00076EC8"/>
    <w:rsid w:val="00077070"/>
    <w:rsid w:val="0007743F"/>
    <w:rsid w:val="00077CA3"/>
    <w:rsid w:val="00077E08"/>
    <w:rsid w:val="00080411"/>
    <w:rsid w:val="0008044B"/>
    <w:rsid w:val="00080B47"/>
    <w:rsid w:val="000812B2"/>
    <w:rsid w:val="00081692"/>
    <w:rsid w:val="000816A9"/>
    <w:rsid w:val="00081831"/>
    <w:rsid w:val="000819FC"/>
    <w:rsid w:val="00081CB3"/>
    <w:rsid w:val="00081CF2"/>
    <w:rsid w:val="00081FEE"/>
    <w:rsid w:val="00082269"/>
    <w:rsid w:val="000823D0"/>
    <w:rsid w:val="0008252B"/>
    <w:rsid w:val="00082601"/>
    <w:rsid w:val="0008287A"/>
    <w:rsid w:val="000829CB"/>
    <w:rsid w:val="00082A8B"/>
    <w:rsid w:val="000830F5"/>
    <w:rsid w:val="0008335A"/>
    <w:rsid w:val="00083680"/>
    <w:rsid w:val="000836AA"/>
    <w:rsid w:val="00083972"/>
    <w:rsid w:val="00083980"/>
    <w:rsid w:val="00083A17"/>
    <w:rsid w:val="00083FF7"/>
    <w:rsid w:val="000842C8"/>
    <w:rsid w:val="0008466D"/>
    <w:rsid w:val="0008467C"/>
    <w:rsid w:val="00084773"/>
    <w:rsid w:val="00084FC2"/>
    <w:rsid w:val="0008518E"/>
    <w:rsid w:val="000859A3"/>
    <w:rsid w:val="00085B4C"/>
    <w:rsid w:val="00085C72"/>
    <w:rsid w:val="00085E12"/>
    <w:rsid w:val="00086139"/>
    <w:rsid w:val="00086432"/>
    <w:rsid w:val="000865F2"/>
    <w:rsid w:val="000866CA"/>
    <w:rsid w:val="000867A7"/>
    <w:rsid w:val="00086ABB"/>
    <w:rsid w:val="00086BBC"/>
    <w:rsid w:val="000870B9"/>
    <w:rsid w:val="000870BB"/>
    <w:rsid w:val="0008716C"/>
    <w:rsid w:val="000875E7"/>
    <w:rsid w:val="00087BA7"/>
    <w:rsid w:val="00090318"/>
    <w:rsid w:val="000904DE"/>
    <w:rsid w:val="0009056B"/>
    <w:rsid w:val="00090590"/>
    <w:rsid w:val="000905C1"/>
    <w:rsid w:val="00090F02"/>
    <w:rsid w:val="00090F8A"/>
    <w:rsid w:val="0009111B"/>
    <w:rsid w:val="000912FC"/>
    <w:rsid w:val="000913B8"/>
    <w:rsid w:val="000913DA"/>
    <w:rsid w:val="000915D6"/>
    <w:rsid w:val="00091735"/>
    <w:rsid w:val="00091C35"/>
    <w:rsid w:val="00091D2E"/>
    <w:rsid w:val="00091FCE"/>
    <w:rsid w:val="000920B2"/>
    <w:rsid w:val="00092109"/>
    <w:rsid w:val="00092394"/>
    <w:rsid w:val="00092407"/>
    <w:rsid w:val="00092A3D"/>
    <w:rsid w:val="00092B1B"/>
    <w:rsid w:val="00092C2E"/>
    <w:rsid w:val="00092CE9"/>
    <w:rsid w:val="0009301F"/>
    <w:rsid w:val="0009315E"/>
    <w:rsid w:val="000931CC"/>
    <w:rsid w:val="000931F1"/>
    <w:rsid w:val="00093245"/>
    <w:rsid w:val="000937E4"/>
    <w:rsid w:val="0009383C"/>
    <w:rsid w:val="00093A65"/>
    <w:rsid w:val="000940D9"/>
    <w:rsid w:val="00094150"/>
    <w:rsid w:val="000942BE"/>
    <w:rsid w:val="000943AE"/>
    <w:rsid w:val="000949B4"/>
    <w:rsid w:val="0009515A"/>
    <w:rsid w:val="000952A2"/>
    <w:rsid w:val="00095312"/>
    <w:rsid w:val="0009532F"/>
    <w:rsid w:val="000958A0"/>
    <w:rsid w:val="0009598A"/>
    <w:rsid w:val="000959F6"/>
    <w:rsid w:val="00095C46"/>
    <w:rsid w:val="00095F59"/>
    <w:rsid w:val="000961FA"/>
    <w:rsid w:val="000963E5"/>
    <w:rsid w:val="0009685D"/>
    <w:rsid w:val="00096947"/>
    <w:rsid w:val="00096EC5"/>
    <w:rsid w:val="00096F87"/>
    <w:rsid w:val="0009704A"/>
    <w:rsid w:val="0009745C"/>
    <w:rsid w:val="0009745D"/>
    <w:rsid w:val="00097509"/>
    <w:rsid w:val="00097A8D"/>
    <w:rsid w:val="00097D06"/>
    <w:rsid w:val="000A0248"/>
    <w:rsid w:val="000A0382"/>
    <w:rsid w:val="000A03D0"/>
    <w:rsid w:val="000A0410"/>
    <w:rsid w:val="000A060A"/>
    <w:rsid w:val="000A0785"/>
    <w:rsid w:val="000A08AC"/>
    <w:rsid w:val="000A0C60"/>
    <w:rsid w:val="000A1008"/>
    <w:rsid w:val="000A1141"/>
    <w:rsid w:val="000A1158"/>
    <w:rsid w:val="000A147C"/>
    <w:rsid w:val="000A164F"/>
    <w:rsid w:val="000A1C76"/>
    <w:rsid w:val="000A1FA5"/>
    <w:rsid w:val="000A20D0"/>
    <w:rsid w:val="000A2819"/>
    <w:rsid w:val="000A2D0F"/>
    <w:rsid w:val="000A2F3B"/>
    <w:rsid w:val="000A2F70"/>
    <w:rsid w:val="000A34FB"/>
    <w:rsid w:val="000A3700"/>
    <w:rsid w:val="000A39D2"/>
    <w:rsid w:val="000A3A55"/>
    <w:rsid w:val="000A46A6"/>
    <w:rsid w:val="000A510C"/>
    <w:rsid w:val="000A5369"/>
    <w:rsid w:val="000A544A"/>
    <w:rsid w:val="000A555A"/>
    <w:rsid w:val="000A5756"/>
    <w:rsid w:val="000A5956"/>
    <w:rsid w:val="000A5E6C"/>
    <w:rsid w:val="000A6740"/>
    <w:rsid w:val="000A6782"/>
    <w:rsid w:val="000A69A4"/>
    <w:rsid w:val="000A6E31"/>
    <w:rsid w:val="000A6E6F"/>
    <w:rsid w:val="000A7299"/>
    <w:rsid w:val="000A77CD"/>
    <w:rsid w:val="000A77DC"/>
    <w:rsid w:val="000A7990"/>
    <w:rsid w:val="000A79D0"/>
    <w:rsid w:val="000A7BAD"/>
    <w:rsid w:val="000A7DD0"/>
    <w:rsid w:val="000B0205"/>
    <w:rsid w:val="000B028C"/>
    <w:rsid w:val="000B039E"/>
    <w:rsid w:val="000B0457"/>
    <w:rsid w:val="000B06D0"/>
    <w:rsid w:val="000B094D"/>
    <w:rsid w:val="000B0E28"/>
    <w:rsid w:val="000B0EA2"/>
    <w:rsid w:val="000B0F8B"/>
    <w:rsid w:val="000B11B6"/>
    <w:rsid w:val="000B1419"/>
    <w:rsid w:val="000B17A7"/>
    <w:rsid w:val="000B1F83"/>
    <w:rsid w:val="000B2056"/>
    <w:rsid w:val="000B2180"/>
    <w:rsid w:val="000B21AB"/>
    <w:rsid w:val="000B22D1"/>
    <w:rsid w:val="000B244C"/>
    <w:rsid w:val="000B2893"/>
    <w:rsid w:val="000B28EF"/>
    <w:rsid w:val="000B2AAD"/>
    <w:rsid w:val="000B2AE7"/>
    <w:rsid w:val="000B2D64"/>
    <w:rsid w:val="000B2FAD"/>
    <w:rsid w:val="000B31F0"/>
    <w:rsid w:val="000B3558"/>
    <w:rsid w:val="000B3B30"/>
    <w:rsid w:val="000B3C58"/>
    <w:rsid w:val="000B3C60"/>
    <w:rsid w:val="000B40CF"/>
    <w:rsid w:val="000B478F"/>
    <w:rsid w:val="000B48C6"/>
    <w:rsid w:val="000B4940"/>
    <w:rsid w:val="000B4C40"/>
    <w:rsid w:val="000B4D16"/>
    <w:rsid w:val="000B4E0E"/>
    <w:rsid w:val="000B5024"/>
    <w:rsid w:val="000B51EC"/>
    <w:rsid w:val="000B521E"/>
    <w:rsid w:val="000B56B0"/>
    <w:rsid w:val="000B575A"/>
    <w:rsid w:val="000B57CA"/>
    <w:rsid w:val="000B5B0B"/>
    <w:rsid w:val="000B5CDF"/>
    <w:rsid w:val="000B5D36"/>
    <w:rsid w:val="000B5F98"/>
    <w:rsid w:val="000B6023"/>
    <w:rsid w:val="000B6479"/>
    <w:rsid w:val="000B66C0"/>
    <w:rsid w:val="000B6902"/>
    <w:rsid w:val="000B7180"/>
    <w:rsid w:val="000B71C2"/>
    <w:rsid w:val="000B7379"/>
    <w:rsid w:val="000B748C"/>
    <w:rsid w:val="000B7551"/>
    <w:rsid w:val="000B76F4"/>
    <w:rsid w:val="000B7DE6"/>
    <w:rsid w:val="000B7E4F"/>
    <w:rsid w:val="000C009F"/>
    <w:rsid w:val="000C00B7"/>
    <w:rsid w:val="000C0129"/>
    <w:rsid w:val="000C02B9"/>
    <w:rsid w:val="000C03CF"/>
    <w:rsid w:val="000C03E3"/>
    <w:rsid w:val="000C047C"/>
    <w:rsid w:val="000C04B3"/>
    <w:rsid w:val="000C04CC"/>
    <w:rsid w:val="000C06B1"/>
    <w:rsid w:val="000C081C"/>
    <w:rsid w:val="000C0881"/>
    <w:rsid w:val="000C0AB3"/>
    <w:rsid w:val="000C0DA7"/>
    <w:rsid w:val="000C0F52"/>
    <w:rsid w:val="000C1205"/>
    <w:rsid w:val="000C149F"/>
    <w:rsid w:val="000C1752"/>
    <w:rsid w:val="000C1A20"/>
    <w:rsid w:val="000C1B5D"/>
    <w:rsid w:val="000C1D4C"/>
    <w:rsid w:val="000C1DF4"/>
    <w:rsid w:val="000C22BA"/>
    <w:rsid w:val="000C2455"/>
    <w:rsid w:val="000C2955"/>
    <w:rsid w:val="000C29F3"/>
    <w:rsid w:val="000C2A22"/>
    <w:rsid w:val="000C2C33"/>
    <w:rsid w:val="000C2D86"/>
    <w:rsid w:val="000C303E"/>
    <w:rsid w:val="000C31E4"/>
    <w:rsid w:val="000C3305"/>
    <w:rsid w:val="000C330B"/>
    <w:rsid w:val="000C339E"/>
    <w:rsid w:val="000C3690"/>
    <w:rsid w:val="000C38ED"/>
    <w:rsid w:val="000C413D"/>
    <w:rsid w:val="000C41A2"/>
    <w:rsid w:val="000C441B"/>
    <w:rsid w:val="000C4489"/>
    <w:rsid w:val="000C4B23"/>
    <w:rsid w:val="000C4DD7"/>
    <w:rsid w:val="000C4F71"/>
    <w:rsid w:val="000C4FC4"/>
    <w:rsid w:val="000C50C9"/>
    <w:rsid w:val="000C52F3"/>
    <w:rsid w:val="000C57F5"/>
    <w:rsid w:val="000C5810"/>
    <w:rsid w:val="000C5881"/>
    <w:rsid w:val="000C5DCE"/>
    <w:rsid w:val="000C5E94"/>
    <w:rsid w:val="000C6394"/>
    <w:rsid w:val="000C6747"/>
    <w:rsid w:val="000C6766"/>
    <w:rsid w:val="000C6822"/>
    <w:rsid w:val="000C71F2"/>
    <w:rsid w:val="000C7202"/>
    <w:rsid w:val="000C73CA"/>
    <w:rsid w:val="000C7961"/>
    <w:rsid w:val="000C79C9"/>
    <w:rsid w:val="000C79D1"/>
    <w:rsid w:val="000C7C1F"/>
    <w:rsid w:val="000C7C82"/>
    <w:rsid w:val="000D0790"/>
    <w:rsid w:val="000D0B74"/>
    <w:rsid w:val="000D0E14"/>
    <w:rsid w:val="000D0E93"/>
    <w:rsid w:val="000D0F54"/>
    <w:rsid w:val="000D13D2"/>
    <w:rsid w:val="000D1657"/>
    <w:rsid w:val="000D1B85"/>
    <w:rsid w:val="000D1BCC"/>
    <w:rsid w:val="000D1C88"/>
    <w:rsid w:val="000D1CAF"/>
    <w:rsid w:val="000D1CC0"/>
    <w:rsid w:val="000D1E69"/>
    <w:rsid w:val="000D1F54"/>
    <w:rsid w:val="000D1F7C"/>
    <w:rsid w:val="000D203B"/>
    <w:rsid w:val="000D2654"/>
    <w:rsid w:val="000D296A"/>
    <w:rsid w:val="000D2AB2"/>
    <w:rsid w:val="000D2BDB"/>
    <w:rsid w:val="000D2D86"/>
    <w:rsid w:val="000D308E"/>
    <w:rsid w:val="000D34AE"/>
    <w:rsid w:val="000D35DD"/>
    <w:rsid w:val="000D3774"/>
    <w:rsid w:val="000D37BB"/>
    <w:rsid w:val="000D37C5"/>
    <w:rsid w:val="000D3A22"/>
    <w:rsid w:val="000D3B47"/>
    <w:rsid w:val="000D3E57"/>
    <w:rsid w:val="000D44B0"/>
    <w:rsid w:val="000D4CAD"/>
    <w:rsid w:val="000D5179"/>
    <w:rsid w:val="000D5867"/>
    <w:rsid w:val="000D5A7F"/>
    <w:rsid w:val="000D5C25"/>
    <w:rsid w:val="000D61D5"/>
    <w:rsid w:val="000D6381"/>
    <w:rsid w:val="000D6719"/>
    <w:rsid w:val="000D6781"/>
    <w:rsid w:val="000D67D5"/>
    <w:rsid w:val="000D6D78"/>
    <w:rsid w:val="000D6F97"/>
    <w:rsid w:val="000D6FCF"/>
    <w:rsid w:val="000D718D"/>
    <w:rsid w:val="000D7237"/>
    <w:rsid w:val="000D7730"/>
    <w:rsid w:val="000D7823"/>
    <w:rsid w:val="000D78B2"/>
    <w:rsid w:val="000D78F7"/>
    <w:rsid w:val="000D7AAA"/>
    <w:rsid w:val="000E01A1"/>
    <w:rsid w:val="000E060F"/>
    <w:rsid w:val="000E0885"/>
    <w:rsid w:val="000E0D8F"/>
    <w:rsid w:val="000E0E2E"/>
    <w:rsid w:val="000E0E47"/>
    <w:rsid w:val="000E10E1"/>
    <w:rsid w:val="000E17C9"/>
    <w:rsid w:val="000E17DC"/>
    <w:rsid w:val="000E1B76"/>
    <w:rsid w:val="000E1B7D"/>
    <w:rsid w:val="000E1C23"/>
    <w:rsid w:val="000E1CC8"/>
    <w:rsid w:val="000E1FAE"/>
    <w:rsid w:val="000E2045"/>
    <w:rsid w:val="000E2068"/>
    <w:rsid w:val="000E20A6"/>
    <w:rsid w:val="000E21B2"/>
    <w:rsid w:val="000E226D"/>
    <w:rsid w:val="000E2505"/>
    <w:rsid w:val="000E2535"/>
    <w:rsid w:val="000E25C6"/>
    <w:rsid w:val="000E2A4F"/>
    <w:rsid w:val="000E2BA8"/>
    <w:rsid w:val="000E2D9D"/>
    <w:rsid w:val="000E2E1D"/>
    <w:rsid w:val="000E3117"/>
    <w:rsid w:val="000E31B8"/>
    <w:rsid w:val="000E347A"/>
    <w:rsid w:val="000E3682"/>
    <w:rsid w:val="000E3A76"/>
    <w:rsid w:val="000E3DBE"/>
    <w:rsid w:val="000E3E57"/>
    <w:rsid w:val="000E3EC2"/>
    <w:rsid w:val="000E4342"/>
    <w:rsid w:val="000E4534"/>
    <w:rsid w:val="000E45DE"/>
    <w:rsid w:val="000E46B9"/>
    <w:rsid w:val="000E4747"/>
    <w:rsid w:val="000E48CF"/>
    <w:rsid w:val="000E4B2C"/>
    <w:rsid w:val="000E4C45"/>
    <w:rsid w:val="000E4C9C"/>
    <w:rsid w:val="000E5131"/>
    <w:rsid w:val="000E59B7"/>
    <w:rsid w:val="000E5EB9"/>
    <w:rsid w:val="000E5F20"/>
    <w:rsid w:val="000E6303"/>
    <w:rsid w:val="000E632A"/>
    <w:rsid w:val="000E6356"/>
    <w:rsid w:val="000E6516"/>
    <w:rsid w:val="000E6532"/>
    <w:rsid w:val="000E6600"/>
    <w:rsid w:val="000E66C3"/>
    <w:rsid w:val="000E6C44"/>
    <w:rsid w:val="000E6EDA"/>
    <w:rsid w:val="000E705C"/>
    <w:rsid w:val="000E70FA"/>
    <w:rsid w:val="000E721E"/>
    <w:rsid w:val="000E7332"/>
    <w:rsid w:val="000E74FC"/>
    <w:rsid w:val="000E7820"/>
    <w:rsid w:val="000E795B"/>
    <w:rsid w:val="000E7AF5"/>
    <w:rsid w:val="000E7B72"/>
    <w:rsid w:val="000E7BE4"/>
    <w:rsid w:val="000E7C97"/>
    <w:rsid w:val="000E7F9A"/>
    <w:rsid w:val="000F04F6"/>
    <w:rsid w:val="000F05A3"/>
    <w:rsid w:val="000F0913"/>
    <w:rsid w:val="000F0B8A"/>
    <w:rsid w:val="000F0FAE"/>
    <w:rsid w:val="000F0FFC"/>
    <w:rsid w:val="000F100E"/>
    <w:rsid w:val="000F113B"/>
    <w:rsid w:val="000F13CB"/>
    <w:rsid w:val="000F158B"/>
    <w:rsid w:val="000F165C"/>
    <w:rsid w:val="000F1762"/>
    <w:rsid w:val="000F1895"/>
    <w:rsid w:val="000F1BB4"/>
    <w:rsid w:val="000F1D10"/>
    <w:rsid w:val="000F1D1C"/>
    <w:rsid w:val="000F2157"/>
    <w:rsid w:val="000F244F"/>
    <w:rsid w:val="000F251B"/>
    <w:rsid w:val="000F27BB"/>
    <w:rsid w:val="000F2A67"/>
    <w:rsid w:val="000F3129"/>
    <w:rsid w:val="000F3249"/>
    <w:rsid w:val="000F3437"/>
    <w:rsid w:val="000F34BC"/>
    <w:rsid w:val="000F35A4"/>
    <w:rsid w:val="000F3912"/>
    <w:rsid w:val="000F3B38"/>
    <w:rsid w:val="000F3BA9"/>
    <w:rsid w:val="000F3E01"/>
    <w:rsid w:val="000F4010"/>
    <w:rsid w:val="000F40C3"/>
    <w:rsid w:val="000F4128"/>
    <w:rsid w:val="000F4160"/>
    <w:rsid w:val="000F4B77"/>
    <w:rsid w:val="000F4BBE"/>
    <w:rsid w:val="000F4DEB"/>
    <w:rsid w:val="000F5086"/>
    <w:rsid w:val="000F574D"/>
    <w:rsid w:val="000F583F"/>
    <w:rsid w:val="000F5AA4"/>
    <w:rsid w:val="000F5D90"/>
    <w:rsid w:val="000F5ECD"/>
    <w:rsid w:val="000F6430"/>
    <w:rsid w:val="000F67A6"/>
    <w:rsid w:val="000F69CF"/>
    <w:rsid w:val="000F7178"/>
    <w:rsid w:val="000F738F"/>
    <w:rsid w:val="000F76A3"/>
    <w:rsid w:val="000F7DB0"/>
    <w:rsid w:val="000FE071"/>
    <w:rsid w:val="00100154"/>
    <w:rsid w:val="0010017F"/>
    <w:rsid w:val="0010071A"/>
    <w:rsid w:val="00100B24"/>
    <w:rsid w:val="00100C7D"/>
    <w:rsid w:val="00100D2B"/>
    <w:rsid w:val="00100D48"/>
    <w:rsid w:val="00100DA4"/>
    <w:rsid w:val="001010F4"/>
    <w:rsid w:val="0010119C"/>
    <w:rsid w:val="0010132D"/>
    <w:rsid w:val="001013EF"/>
    <w:rsid w:val="00101433"/>
    <w:rsid w:val="00101675"/>
    <w:rsid w:val="001017A1"/>
    <w:rsid w:val="00101BA8"/>
    <w:rsid w:val="00101BF3"/>
    <w:rsid w:val="00101D3B"/>
    <w:rsid w:val="00101DB9"/>
    <w:rsid w:val="00101DC3"/>
    <w:rsid w:val="00101E3D"/>
    <w:rsid w:val="00101F29"/>
    <w:rsid w:val="00102032"/>
    <w:rsid w:val="00102332"/>
    <w:rsid w:val="0010242D"/>
    <w:rsid w:val="001025CE"/>
    <w:rsid w:val="001029B5"/>
    <w:rsid w:val="00102BDE"/>
    <w:rsid w:val="00102D33"/>
    <w:rsid w:val="00102F3E"/>
    <w:rsid w:val="00102FC1"/>
    <w:rsid w:val="00103934"/>
    <w:rsid w:val="00103D1A"/>
    <w:rsid w:val="00103D22"/>
    <w:rsid w:val="001042C2"/>
    <w:rsid w:val="001042F4"/>
    <w:rsid w:val="001043E7"/>
    <w:rsid w:val="00104747"/>
    <w:rsid w:val="00104DED"/>
    <w:rsid w:val="00105061"/>
    <w:rsid w:val="001054D5"/>
    <w:rsid w:val="001055B5"/>
    <w:rsid w:val="00105636"/>
    <w:rsid w:val="00105814"/>
    <w:rsid w:val="00105E7E"/>
    <w:rsid w:val="001060FE"/>
    <w:rsid w:val="001061C7"/>
    <w:rsid w:val="00106352"/>
    <w:rsid w:val="001065D0"/>
    <w:rsid w:val="001068AA"/>
    <w:rsid w:val="00106BA2"/>
    <w:rsid w:val="00107308"/>
    <w:rsid w:val="0010731A"/>
    <w:rsid w:val="00107583"/>
    <w:rsid w:val="00107788"/>
    <w:rsid w:val="00107892"/>
    <w:rsid w:val="0010795D"/>
    <w:rsid w:val="00107ADE"/>
    <w:rsid w:val="00107E97"/>
    <w:rsid w:val="001100CB"/>
    <w:rsid w:val="00110667"/>
    <w:rsid w:val="0011075D"/>
    <w:rsid w:val="001108C5"/>
    <w:rsid w:val="00110C56"/>
    <w:rsid w:val="00110F18"/>
    <w:rsid w:val="001113BF"/>
    <w:rsid w:val="001116BB"/>
    <w:rsid w:val="001116E8"/>
    <w:rsid w:val="00111AF6"/>
    <w:rsid w:val="00111B13"/>
    <w:rsid w:val="00111B79"/>
    <w:rsid w:val="00111D70"/>
    <w:rsid w:val="00111D9C"/>
    <w:rsid w:val="001120BD"/>
    <w:rsid w:val="0011345D"/>
    <w:rsid w:val="00113666"/>
    <w:rsid w:val="00113738"/>
    <w:rsid w:val="00113A77"/>
    <w:rsid w:val="00113B48"/>
    <w:rsid w:val="00113EAC"/>
    <w:rsid w:val="00113EE4"/>
    <w:rsid w:val="00114599"/>
    <w:rsid w:val="0011487F"/>
    <w:rsid w:val="00114955"/>
    <w:rsid w:val="00114C36"/>
    <w:rsid w:val="00114F32"/>
    <w:rsid w:val="00115157"/>
    <w:rsid w:val="00115242"/>
    <w:rsid w:val="001152A0"/>
    <w:rsid w:val="00115488"/>
    <w:rsid w:val="00115A8A"/>
    <w:rsid w:val="00115DB5"/>
    <w:rsid w:val="0011604B"/>
    <w:rsid w:val="00116184"/>
    <w:rsid w:val="0011648F"/>
    <w:rsid w:val="001164DA"/>
    <w:rsid w:val="0011653C"/>
    <w:rsid w:val="001167B6"/>
    <w:rsid w:val="001168C9"/>
    <w:rsid w:val="00116901"/>
    <w:rsid w:val="00116CE5"/>
    <w:rsid w:val="00117131"/>
    <w:rsid w:val="001172B3"/>
    <w:rsid w:val="001175A4"/>
    <w:rsid w:val="001175B6"/>
    <w:rsid w:val="001176B6"/>
    <w:rsid w:val="00117B6A"/>
    <w:rsid w:val="00117C18"/>
    <w:rsid w:val="0011EAA4"/>
    <w:rsid w:val="001201C2"/>
    <w:rsid w:val="001202E1"/>
    <w:rsid w:val="001202F6"/>
    <w:rsid w:val="001204D0"/>
    <w:rsid w:val="00120747"/>
    <w:rsid w:val="0012088B"/>
    <w:rsid w:val="00120967"/>
    <w:rsid w:val="00120D40"/>
    <w:rsid w:val="00120D8D"/>
    <w:rsid w:val="00121228"/>
    <w:rsid w:val="0012125D"/>
    <w:rsid w:val="00121329"/>
    <w:rsid w:val="00121419"/>
    <w:rsid w:val="00121701"/>
    <w:rsid w:val="0012188F"/>
    <w:rsid w:val="0012230A"/>
    <w:rsid w:val="00122573"/>
    <w:rsid w:val="00122AF8"/>
    <w:rsid w:val="00122C37"/>
    <w:rsid w:val="0012327D"/>
    <w:rsid w:val="001234BE"/>
    <w:rsid w:val="001238EA"/>
    <w:rsid w:val="00123A18"/>
    <w:rsid w:val="00123DA4"/>
    <w:rsid w:val="00123EF5"/>
    <w:rsid w:val="0012405E"/>
    <w:rsid w:val="001240DF"/>
    <w:rsid w:val="001241D8"/>
    <w:rsid w:val="001242C7"/>
    <w:rsid w:val="00124745"/>
    <w:rsid w:val="00124844"/>
    <w:rsid w:val="00124AFE"/>
    <w:rsid w:val="0012509D"/>
    <w:rsid w:val="001253A7"/>
    <w:rsid w:val="0012546B"/>
    <w:rsid w:val="0012586A"/>
    <w:rsid w:val="00125BEB"/>
    <w:rsid w:val="00125DC0"/>
    <w:rsid w:val="00125E60"/>
    <w:rsid w:val="001262BB"/>
    <w:rsid w:val="0012657F"/>
    <w:rsid w:val="00126929"/>
    <w:rsid w:val="00126C37"/>
    <w:rsid w:val="00126F21"/>
    <w:rsid w:val="001272FE"/>
    <w:rsid w:val="001274F1"/>
    <w:rsid w:val="001274F3"/>
    <w:rsid w:val="00127A8F"/>
    <w:rsid w:val="00127F43"/>
    <w:rsid w:val="00130391"/>
    <w:rsid w:val="00130477"/>
    <w:rsid w:val="001309F3"/>
    <w:rsid w:val="00130AC6"/>
    <w:rsid w:val="00130DDA"/>
    <w:rsid w:val="001310CD"/>
    <w:rsid w:val="0013132E"/>
    <w:rsid w:val="0013152F"/>
    <w:rsid w:val="0013167E"/>
    <w:rsid w:val="001317B3"/>
    <w:rsid w:val="00131B00"/>
    <w:rsid w:val="00131CDA"/>
    <w:rsid w:val="00131E7B"/>
    <w:rsid w:val="00132475"/>
    <w:rsid w:val="001324F0"/>
    <w:rsid w:val="0013261A"/>
    <w:rsid w:val="00132D5B"/>
    <w:rsid w:val="00132FF0"/>
    <w:rsid w:val="0013341C"/>
    <w:rsid w:val="0013361E"/>
    <w:rsid w:val="00133891"/>
    <w:rsid w:val="0013393F"/>
    <w:rsid w:val="00133D7A"/>
    <w:rsid w:val="0013409C"/>
    <w:rsid w:val="00134521"/>
    <w:rsid w:val="00134698"/>
    <w:rsid w:val="0013480C"/>
    <w:rsid w:val="00134BFB"/>
    <w:rsid w:val="00134D3C"/>
    <w:rsid w:val="00134FB1"/>
    <w:rsid w:val="00134FC7"/>
    <w:rsid w:val="0013504E"/>
    <w:rsid w:val="00135327"/>
    <w:rsid w:val="001354D1"/>
    <w:rsid w:val="00135C97"/>
    <w:rsid w:val="001366F0"/>
    <w:rsid w:val="00136C0C"/>
    <w:rsid w:val="00137244"/>
    <w:rsid w:val="0013730B"/>
    <w:rsid w:val="001374CF"/>
    <w:rsid w:val="0013767E"/>
    <w:rsid w:val="001379B3"/>
    <w:rsid w:val="00137C60"/>
    <w:rsid w:val="00137CC0"/>
    <w:rsid w:val="00140057"/>
    <w:rsid w:val="0014036F"/>
    <w:rsid w:val="00140570"/>
    <w:rsid w:val="00140618"/>
    <w:rsid w:val="00140960"/>
    <w:rsid w:val="00140C68"/>
    <w:rsid w:val="001413A0"/>
    <w:rsid w:val="001418A7"/>
    <w:rsid w:val="00141950"/>
    <w:rsid w:val="001419AA"/>
    <w:rsid w:val="00141A47"/>
    <w:rsid w:val="00141A9C"/>
    <w:rsid w:val="00141C2A"/>
    <w:rsid w:val="00142007"/>
    <w:rsid w:val="00142092"/>
    <w:rsid w:val="001424AE"/>
    <w:rsid w:val="0014254E"/>
    <w:rsid w:val="001428B8"/>
    <w:rsid w:val="001433BA"/>
    <w:rsid w:val="00143431"/>
    <w:rsid w:val="001439C5"/>
    <w:rsid w:val="00143C7C"/>
    <w:rsid w:val="00143E34"/>
    <w:rsid w:val="001440AF"/>
    <w:rsid w:val="00144209"/>
    <w:rsid w:val="00144839"/>
    <w:rsid w:val="0014486D"/>
    <w:rsid w:val="001449C3"/>
    <w:rsid w:val="00144B8A"/>
    <w:rsid w:val="00144FA5"/>
    <w:rsid w:val="00145017"/>
    <w:rsid w:val="001455AB"/>
    <w:rsid w:val="00145614"/>
    <w:rsid w:val="001456A2"/>
    <w:rsid w:val="001456BA"/>
    <w:rsid w:val="001459F4"/>
    <w:rsid w:val="00145FEB"/>
    <w:rsid w:val="00146051"/>
    <w:rsid w:val="00146548"/>
    <w:rsid w:val="00146AA6"/>
    <w:rsid w:val="00146B9A"/>
    <w:rsid w:val="00146C60"/>
    <w:rsid w:val="00146CC8"/>
    <w:rsid w:val="00146FCC"/>
    <w:rsid w:val="001470A5"/>
    <w:rsid w:val="00147244"/>
    <w:rsid w:val="0014770D"/>
    <w:rsid w:val="00147D67"/>
    <w:rsid w:val="001500AD"/>
    <w:rsid w:val="00150335"/>
    <w:rsid w:val="00150633"/>
    <w:rsid w:val="00150A6A"/>
    <w:rsid w:val="00150AAA"/>
    <w:rsid w:val="00150B13"/>
    <w:rsid w:val="00150B63"/>
    <w:rsid w:val="00150DE5"/>
    <w:rsid w:val="00150E78"/>
    <w:rsid w:val="00150F5A"/>
    <w:rsid w:val="00150FDF"/>
    <w:rsid w:val="00151037"/>
    <w:rsid w:val="0015103C"/>
    <w:rsid w:val="0015106B"/>
    <w:rsid w:val="0015125B"/>
    <w:rsid w:val="0015128A"/>
    <w:rsid w:val="001513B8"/>
    <w:rsid w:val="00151797"/>
    <w:rsid w:val="00151A7B"/>
    <w:rsid w:val="00151ABB"/>
    <w:rsid w:val="00151B4F"/>
    <w:rsid w:val="00151EDB"/>
    <w:rsid w:val="00152051"/>
    <w:rsid w:val="0015223B"/>
    <w:rsid w:val="00152500"/>
    <w:rsid w:val="0015256C"/>
    <w:rsid w:val="001528F7"/>
    <w:rsid w:val="00152B3A"/>
    <w:rsid w:val="001531C2"/>
    <w:rsid w:val="0015337C"/>
    <w:rsid w:val="001535D2"/>
    <w:rsid w:val="00153957"/>
    <w:rsid w:val="00153BD5"/>
    <w:rsid w:val="00153EEF"/>
    <w:rsid w:val="00153F41"/>
    <w:rsid w:val="0015440B"/>
    <w:rsid w:val="00154550"/>
    <w:rsid w:val="00154F25"/>
    <w:rsid w:val="00154F5A"/>
    <w:rsid w:val="00155323"/>
    <w:rsid w:val="001553C4"/>
    <w:rsid w:val="00155A99"/>
    <w:rsid w:val="00155AB6"/>
    <w:rsid w:val="00155C79"/>
    <w:rsid w:val="00155E47"/>
    <w:rsid w:val="00156279"/>
    <w:rsid w:val="0015670B"/>
    <w:rsid w:val="0015680F"/>
    <w:rsid w:val="00157374"/>
    <w:rsid w:val="00157582"/>
    <w:rsid w:val="0015784C"/>
    <w:rsid w:val="0016020B"/>
    <w:rsid w:val="001605C2"/>
    <w:rsid w:val="00160751"/>
    <w:rsid w:val="00160889"/>
    <w:rsid w:val="00160928"/>
    <w:rsid w:val="00160E9E"/>
    <w:rsid w:val="00160F79"/>
    <w:rsid w:val="0016112E"/>
    <w:rsid w:val="00161148"/>
    <w:rsid w:val="00162061"/>
    <w:rsid w:val="00162238"/>
    <w:rsid w:val="001622A2"/>
    <w:rsid w:val="001628EF"/>
    <w:rsid w:val="00162CB0"/>
    <w:rsid w:val="00162DE1"/>
    <w:rsid w:val="00162F5F"/>
    <w:rsid w:val="00163041"/>
    <w:rsid w:val="001632CD"/>
    <w:rsid w:val="00163642"/>
    <w:rsid w:val="00163B92"/>
    <w:rsid w:val="00163BC0"/>
    <w:rsid w:val="00163D56"/>
    <w:rsid w:val="00163E2B"/>
    <w:rsid w:val="001641B2"/>
    <w:rsid w:val="001642B8"/>
    <w:rsid w:val="00164871"/>
    <w:rsid w:val="00164C33"/>
    <w:rsid w:val="00164FF8"/>
    <w:rsid w:val="001650E5"/>
    <w:rsid w:val="00165447"/>
    <w:rsid w:val="001655B5"/>
    <w:rsid w:val="00165CB2"/>
    <w:rsid w:val="00166F00"/>
    <w:rsid w:val="00166F29"/>
    <w:rsid w:val="00167025"/>
    <w:rsid w:val="0016718C"/>
    <w:rsid w:val="001671D6"/>
    <w:rsid w:val="001674C4"/>
    <w:rsid w:val="001674D6"/>
    <w:rsid w:val="001677CF"/>
    <w:rsid w:val="00167A21"/>
    <w:rsid w:val="00167A33"/>
    <w:rsid w:val="00167D65"/>
    <w:rsid w:val="00167D66"/>
    <w:rsid w:val="00167E85"/>
    <w:rsid w:val="00167FB6"/>
    <w:rsid w:val="00170559"/>
    <w:rsid w:val="0017076F"/>
    <w:rsid w:val="00170849"/>
    <w:rsid w:val="001709C6"/>
    <w:rsid w:val="00170BD4"/>
    <w:rsid w:val="00170C1B"/>
    <w:rsid w:val="00170D36"/>
    <w:rsid w:val="00170E0E"/>
    <w:rsid w:val="00170ED3"/>
    <w:rsid w:val="00170FA2"/>
    <w:rsid w:val="0017108B"/>
    <w:rsid w:val="001711B7"/>
    <w:rsid w:val="00171314"/>
    <w:rsid w:val="001714A2"/>
    <w:rsid w:val="00171A13"/>
    <w:rsid w:val="00171DEB"/>
    <w:rsid w:val="00171E9A"/>
    <w:rsid w:val="00172447"/>
    <w:rsid w:val="00172796"/>
    <w:rsid w:val="0017286F"/>
    <w:rsid w:val="00172968"/>
    <w:rsid w:val="00172CD1"/>
    <w:rsid w:val="00173062"/>
    <w:rsid w:val="001730F4"/>
    <w:rsid w:val="001736C8"/>
    <w:rsid w:val="00173760"/>
    <w:rsid w:val="001737A8"/>
    <w:rsid w:val="00173972"/>
    <w:rsid w:val="00173DC3"/>
    <w:rsid w:val="00173E24"/>
    <w:rsid w:val="00173F9D"/>
    <w:rsid w:val="0017445E"/>
    <w:rsid w:val="001745DF"/>
    <w:rsid w:val="001746C9"/>
    <w:rsid w:val="0017478D"/>
    <w:rsid w:val="00174A70"/>
    <w:rsid w:val="00174D3A"/>
    <w:rsid w:val="00174D40"/>
    <w:rsid w:val="00174EAB"/>
    <w:rsid w:val="0017536B"/>
    <w:rsid w:val="00175469"/>
    <w:rsid w:val="001755BB"/>
    <w:rsid w:val="00175CED"/>
    <w:rsid w:val="00175FC1"/>
    <w:rsid w:val="00175FCD"/>
    <w:rsid w:val="00175FFD"/>
    <w:rsid w:val="001764A4"/>
    <w:rsid w:val="00176790"/>
    <w:rsid w:val="001772EB"/>
    <w:rsid w:val="001773DA"/>
    <w:rsid w:val="00177A1C"/>
    <w:rsid w:val="0018038B"/>
    <w:rsid w:val="001804A0"/>
    <w:rsid w:val="00180575"/>
    <w:rsid w:val="00180635"/>
    <w:rsid w:val="00180715"/>
    <w:rsid w:val="00180FC3"/>
    <w:rsid w:val="001812FF"/>
    <w:rsid w:val="00181304"/>
    <w:rsid w:val="0018163F"/>
    <w:rsid w:val="00181651"/>
    <w:rsid w:val="0018165F"/>
    <w:rsid w:val="0018175E"/>
    <w:rsid w:val="001817C0"/>
    <w:rsid w:val="00181A2F"/>
    <w:rsid w:val="00181B00"/>
    <w:rsid w:val="00181B28"/>
    <w:rsid w:val="00181B98"/>
    <w:rsid w:val="00181C94"/>
    <w:rsid w:val="00181D18"/>
    <w:rsid w:val="0018252B"/>
    <w:rsid w:val="00182AE0"/>
    <w:rsid w:val="001834A0"/>
    <w:rsid w:val="001834F5"/>
    <w:rsid w:val="0018381F"/>
    <w:rsid w:val="00183822"/>
    <w:rsid w:val="001838CB"/>
    <w:rsid w:val="00183B69"/>
    <w:rsid w:val="00183D7C"/>
    <w:rsid w:val="00184089"/>
    <w:rsid w:val="00184092"/>
    <w:rsid w:val="001840E0"/>
    <w:rsid w:val="0018428A"/>
    <w:rsid w:val="0018428C"/>
    <w:rsid w:val="001842D2"/>
    <w:rsid w:val="001844F8"/>
    <w:rsid w:val="001847C4"/>
    <w:rsid w:val="00184985"/>
    <w:rsid w:val="00184AE0"/>
    <w:rsid w:val="00184C8E"/>
    <w:rsid w:val="0018576B"/>
    <w:rsid w:val="001857C9"/>
    <w:rsid w:val="00185FD9"/>
    <w:rsid w:val="0018629F"/>
    <w:rsid w:val="001862A5"/>
    <w:rsid w:val="001867EA"/>
    <w:rsid w:val="00186C15"/>
    <w:rsid w:val="00186FB7"/>
    <w:rsid w:val="001877C7"/>
    <w:rsid w:val="001879E5"/>
    <w:rsid w:val="001902D4"/>
    <w:rsid w:val="00190388"/>
    <w:rsid w:val="00190642"/>
    <w:rsid w:val="001908BB"/>
    <w:rsid w:val="00190C17"/>
    <w:rsid w:val="00190EB7"/>
    <w:rsid w:val="001911B4"/>
    <w:rsid w:val="00191257"/>
    <w:rsid w:val="00191300"/>
    <w:rsid w:val="00191457"/>
    <w:rsid w:val="00191612"/>
    <w:rsid w:val="001916BB"/>
    <w:rsid w:val="001916BE"/>
    <w:rsid w:val="0019180F"/>
    <w:rsid w:val="00191B3E"/>
    <w:rsid w:val="00191E94"/>
    <w:rsid w:val="0019230B"/>
    <w:rsid w:val="00192582"/>
    <w:rsid w:val="00192643"/>
    <w:rsid w:val="00192766"/>
    <w:rsid w:val="00192D67"/>
    <w:rsid w:val="00192E8A"/>
    <w:rsid w:val="0019304F"/>
    <w:rsid w:val="001930A6"/>
    <w:rsid w:val="00193228"/>
    <w:rsid w:val="0019323A"/>
    <w:rsid w:val="0019323D"/>
    <w:rsid w:val="00193581"/>
    <w:rsid w:val="001935CC"/>
    <w:rsid w:val="0019369D"/>
    <w:rsid w:val="00193BF3"/>
    <w:rsid w:val="00193F02"/>
    <w:rsid w:val="00194139"/>
    <w:rsid w:val="00194314"/>
    <w:rsid w:val="0019449A"/>
    <w:rsid w:val="001945CB"/>
    <w:rsid w:val="001945E7"/>
    <w:rsid w:val="0019466C"/>
    <w:rsid w:val="00194949"/>
    <w:rsid w:val="00194E9A"/>
    <w:rsid w:val="00194EFF"/>
    <w:rsid w:val="001952E6"/>
    <w:rsid w:val="00195484"/>
    <w:rsid w:val="001959C5"/>
    <w:rsid w:val="00195C32"/>
    <w:rsid w:val="00195CE1"/>
    <w:rsid w:val="00195FD6"/>
    <w:rsid w:val="001960E1"/>
    <w:rsid w:val="001965D4"/>
    <w:rsid w:val="00196A78"/>
    <w:rsid w:val="00196C97"/>
    <w:rsid w:val="00196E0D"/>
    <w:rsid w:val="001973B9"/>
    <w:rsid w:val="001976F1"/>
    <w:rsid w:val="00197BE5"/>
    <w:rsid w:val="00197E20"/>
    <w:rsid w:val="00197F32"/>
    <w:rsid w:val="001A0096"/>
    <w:rsid w:val="001A0238"/>
    <w:rsid w:val="001A041B"/>
    <w:rsid w:val="001A056F"/>
    <w:rsid w:val="001A0617"/>
    <w:rsid w:val="001A09CC"/>
    <w:rsid w:val="001A0ADE"/>
    <w:rsid w:val="001A1076"/>
    <w:rsid w:val="001A141B"/>
    <w:rsid w:val="001A14E2"/>
    <w:rsid w:val="001A1558"/>
    <w:rsid w:val="001A183E"/>
    <w:rsid w:val="001A18AF"/>
    <w:rsid w:val="001A1BFD"/>
    <w:rsid w:val="001A1F6C"/>
    <w:rsid w:val="001A2042"/>
    <w:rsid w:val="001A24BB"/>
    <w:rsid w:val="001A2874"/>
    <w:rsid w:val="001A2FB4"/>
    <w:rsid w:val="001A327B"/>
    <w:rsid w:val="001A3387"/>
    <w:rsid w:val="001A35FB"/>
    <w:rsid w:val="001A3A9B"/>
    <w:rsid w:val="001A3BAE"/>
    <w:rsid w:val="001A3BAF"/>
    <w:rsid w:val="001A3CE6"/>
    <w:rsid w:val="001A3E19"/>
    <w:rsid w:val="001A4505"/>
    <w:rsid w:val="001A46AB"/>
    <w:rsid w:val="001A47F8"/>
    <w:rsid w:val="001A48D6"/>
    <w:rsid w:val="001A4DBE"/>
    <w:rsid w:val="001A4EBE"/>
    <w:rsid w:val="001A51AD"/>
    <w:rsid w:val="001A51BC"/>
    <w:rsid w:val="001A53C2"/>
    <w:rsid w:val="001A550D"/>
    <w:rsid w:val="001A587D"/>
    <w:rsid w:val="001A5FF5"/>
    <w:rsid w:val="001A60B8"/>
    <w:rsid w:val="001A61C8"/>
    <w:rsid w:val="001A684B"/>
    <w:rsid w:val="001A69D4"/>
    <w:rsid w:val="001A74EB"/>
    <w:rsid w:val="001A78BE"/>
    <w:rsid w:val="001A78EA"/>
    <w:rsid w:val="001A7F45"/>
    <w:rsid w:val="001B07FF"/>
    <w:rsid w:val="001B0A97"/>
    <w:rsid w:val="001B0AF8"/>
    <w:rsid w:val="001B0C1E"/>
    <w:rsid w:val="001B0C3B"/>
    <w:rsid w:val="001B0CFA"/>
    <w:rsid w:val="001B0ED5"/>
    <w:rsid w:val="001B0FBA"/>
    <w:rsid w:val="001B10B8"/>
    <w:rsid w:val="001B10DE"/>
    <w:rsid w:val="001B1123"/>
    <w:rsid w:val="001B1A78"/>
    <w:rsid w:val="001B1B4B"/>
    <w:rsid w:val="001B1BB3"/>
    <w:rsid w:val="001B1C1A"/>
    <w:rsid w:val="001B1F28"/>
    <w:rsid w:val="001B2348"/>
    <w:rsid w:val="001B2611"/>
    <w:rsid w:val="001B2909"/>
    <w:rsid w:val="001B2A94"/>
    <w:rsid w:val="001B2BB5"/>
    <w:rsid w:val="001B2C1F"/>
    <w:rsid w:val="001B2CA7"/>
    <w:rsid w:val="001B3A6E"/>
    <w:rsid w:val="001B457F"/>
    <w:rsid w:val="001B45F3"/>
    <w:rsid w:val="001B4BA9"/>
    <w:rsid w:val="001B4BB8"/>
    <w:rsid w:val="001B4DE9"/>
    <w:rsid w:val="001B52AD"/>
    <w:rsid w:val="001B63DC"/>
    <w:rsid w:val="001B6460"/>
    <w:rsid w:val="001B65EC"/>
    <w:rsid w:val="001B6A18"/>
    <w:rsid w:val="001B6E2A"/>
    <w:rsid w:val="001B6EE6"/>
    <w:rsid w:val="001B7037"/>
    <w:rsid w:val="001B79EB"/>
    <w:rsid w:val="001B7C01"/>
    <w:rsid w:val="001C008D"/>
    <w:rsid w:val="001C031E"/>
    <w:rsid w:val="001C039E"/>
    <w:rsid w:val="001C0680"/>
    <w:rsid w:val="001C07BA"/>
    <w:rsid w:val="001C08AA"/>
    <w:rsid w:val="001C0A52"/>
    <w:rsid w:val="001C0BDD"/>
    <w:rsid w:val="001C0BED"/>
    <w:rsid w:val="001C0E12"/>
    <w:rsid w:val="001C0F87"/>
    <w:rsid w:val="001C13F1"/>
    <w:rsid w:val="001C1402"/>
    <w:rsid w:val="001C140C"/>
    <w:rsid w:val="001C152A"/>
    <w:rsid w:val="001C1A44"/>
    <w:rsid w:val="001C202B"/>
    <w:rsid w:val="001C2330"/>
    <w:rsid w:val="001C2539"/>
    <w:rsid w:val="001C285E"/>
    <w:rsid w:val="001C29D4"/>
    <w:rsid w:val="001C3015"/>
    <w:rsid w:val="001C326A"/>
    <w:rsid w:val="001C3573"/>
    <w:rsid w:val="001C3C39"/>
    <w:rsid w:val="001C3D37"/>
    <w:rsid w:val="001C3D83"/>
    <w:rsid w:val="001C3FA1"/>
    <w:rsid w:val="001C42F9"/>
    <w:rsid w:val="001C43BA"/>
    <w:rsid w:val="001C4502"/>
    <w:rsid w:val="001C460A"/>
    <w:rsid w:val="001C4792"/>
    <w:rsid w:val="001C4FC5"/>
    <w:rsid w:val="001C4FED"/>
    <w:rsid w:val="001C5082"/>
    <w:rsid w:val="001C5155"/>
    <w:rsid w:val="001C522A"/>
    <w:rsid w:val="001C53B6"/>
    <w:rsid w:val="001C5600"/>
    <w:rsid w:val="001C5670"/>
    <w:rsid w:val="001C567C"/>
    <w:rsid w:val="001C5AFF"/>
    <w:rsid w:val="001C5B29"/>
    <w:rsid w:val="001C5B7C"/>
    <w:rsid w:val="001C5C2D"/>
    <w:rsid w:val="001C6A49"/>
    <w:rsid w:val="001C6E9B"/>
    <w:rsid w:val="001C70AC"/>
    <w:rsid w:val="001C748D"/>
    <w:rsid w:val="001C74FC"/>
    <w:rsid w:val="001C7554"/>
    <w:rsid w:val="001C7977"/>
    <w:rsid w:val="001C7982"/>
    <w:rsid w:val="001C7C71"/>
    <w:rsid w:val="001C7FD3"/>
    <w:rsid w:val="001D0589"/>
    <w:rsid w:val="001D0C10"/>
    <w:rsid w:val="001D0DED"/>
    <w:rsid w:val="001D0F55"/>
    <w:rsid w:val="001D11BC"/>
    <w:rsid w:val="001D1238"/>
    <w:rsid w:val="001D12D0"/>
    <w:rsid w:val="001D172A"/>
    <w:rsid w:val="001D18BC"/>
    <w:rsid w:val="001D1E47"/>
    <w:rsid w:val="001D1EE3"/>
    <w:rsid w:val="001D1EF2"/>
    <w:rsid w:val="001D210B"/>
    <w:rsid w:val="001D23DA"/>
    <w:rsid w:val="001D2584"/>
    <w:rsid w:val="001D27B4"/>
    <w:rsid w:val="001D2C20"/>
    <w:rsid w:val="001D2DCA"/>
    <w:rsid w:val="001D2E7E"/>
    <w:rsid w:val="001D2EE7"/>
    <w:rsid w:val="001D2F23"/>
    <w:rsid w:val="001D2FFE"/>
    <w:rsid w:val="001D302A"/>
    <w:rsid w:val="001D33A1"/>
    <w:rsid w:val="001D37D8"/>
    <w:rsid w:val="001D39A4"/>
    <w:rsid w:val="001D3AF0"/>
    <w:rsid w:val="001D3B33"/>
    <w:rsid w:val="001D3C13"/>
    <w:rsid w:val="001D3DEA"/>
    <w:rsid w:val="001D3DFD"/>
    <w:rsid w:val="001D42F6"/>
    <w:rsid w:val="001D4411"/>
    <w:rsid w:val="001D468A"/>
    <w:rsid w:val="001D48B0"/>
    <w:rsid w:val="001D4CFE"/>
    <w:rsid w:val="001D5331"/>
    <w:rsid w:val="001D5B55"/>
    <w:rsid w:val="001D5BED"/>
    <w:rsid w:val="001D6049"/>
    <w:rsid w:val="001D6197"/>
    <w:rsid w:val="001D6206"/>
    <w:rsid w:val="001D62DE"/>
    <w:rsid w:val="001D6551"/>
    <w:rsid w:val="001D659D"/>
    <w:rsid w:val="001D67E7"/>
    <w:rsid w:val="001D6A8E"/>
    <w:rsid w:val="001D7001"/>
    <w:rsid w:val="001D75A8"/>
    <w:rsid w:val="001D77F7"/>
    <w:rsid w:val="001D7B27"/>
    <w:rsid w:val="001D7C10"/>
    <w:rsid w:val="001E0133"/>
    <w:rsid w:val="001E0331"/>
    <w:rsid w:val="001E0557"/>
    <w:rsid w:val="001E0AEA"/>
    <w:rsid w:val="001E0F4E"/>
    <w:rsid w:val="001E1157"/>
    <w:rsid w:val="001E115D"/>
    <w:rsid w:val="001E118A"/>
    <w:rsid w:val="001E1202"/>
    <w:rsid w:val="001E141D"/>
    <w:rsid w:val="001E1500"/>
    <w:rsid w:val="001E1557"/>
    <w:rsid w:val="001E1623"/>
    <w:rsid w:val="001E167B"/>
    <w:rsid w:val="001E19B2"/>
    <w:rsid w:val="001E1BF2"/>
    <w:rsid w:val="001E1C29"/>
    <w:rsid w:val="001E1C44"/>
    <w:rsid w:val="001E1C95"/>
    <w:rsid w:val="001E1DB7"/>
    <w:rsid w:val="001E1F8A"/>
    <w:rsid w:val="001E2079"/>
    <w:rsid w:val="001E2092"/>
    <w:rsid w:val="001E21C1"/>
    <w:rsid w:val="001E22BA"/>
    <w:rsid w:val="001E246B"/>
    <w:rsid w:val="001E2531"/>
    <w:rsid w:val="001E254F"/>
    <w:rsid w:val="001E2696"/>
    <w:rsid w:val="001E29D1"/>
    <w:rsid w:val="001E2A1F"/>
    <w:rsid w:val="001E2B21"/>
    <w:rsid w:val="001E2F6D"/>
    <w:rsid w:val="001E3040"/>
    <w:rsid w:val="001E34AB"/>
    <w:rsid w:val="001E3576"/>
    <w:rsid w:val="001E35D5"/>
    <w:rsid w:val="001E362E"/>
    <w:rsid w:val="001E36E7"/>
    <w:rsid w:val="001E3AC9"/>
    <w:rsid w:val="001E3B18"/>
    <w:rsid w:val="001E3CAE"/>
    <w:rsid w:val="001E3FD9"/>
    <w:rsid w:val="001E4098"/>
    <w:rsid w:val="001E42D3"/>
    <w:rsid w:val="001E441F"/>
    <w:rsid w:val="001E4438"/>
    <w:rsid w:val="001E4580"/>
    <w:rsid w:val="001E4647"/>
    <w:rsid w:val="001E465E"/>
    <w:rsid w:val="001E46EB"/>
    <w:rsid w:val="001E4747"/>
    <w:rsid w:val="001E47C0"/>
    <w:rsid w:val="001E4881"/>
    <w:rsid w:val="001E497D"/>
    <w:rsid w:val="001E4B64"/>
    <w:rsid w:val="001E4B7E"/>
    <w:rsid w:val="001E4B81"/>
    <w:rsid w:val="001E4BE1"/>
    <w:rsid w:val="001E4DCB"/>
    <w:rsid w:val="001E4E72"/>
    <w:rsid w:val="001E4EB2"/>
    <w:rsid w:val="001E5079"/>
    <w:rsid w:val="001E5392"/>
    <w:rsid w:val="001E562A"/>
    <w:rsid w:val="001E584A"/>
    <w:rsid w:val="001E5989"/>
    <w:rsid w:val="001E633A"/>
    <w:rsid w:val="001E63E4"/>
    <w:rsid w:val="001E6640"/>
    <w:rsid w:val="001E6830"/>
    <w:rsid w:val="001E6835"/>
    <w:rsid w:val="001E6884"/>
    <w:rsid w:val="001E6D3D"/>
    <w:rsid w:val="001E7205"/>
    <w:rsid w:val="001E75BC"/>
    <w:rsid w:val="001E7872"/>
    <w:rsid w:val="001E79F1"/>
    <w:rsid w:val="001E7C5D"/>
    <w:rsid w:val="001E7E62"/>
    <w:rsid w:val="001F04C5"/>
    <w:rsid w:val="001F06DA"/>
    <w:rsid w:val="001F082A"/>
    <w:rsid w:val="001F082D"/>
    <w:rsid w:val="001F0D31"/>
    <w:rsid w:val="001F0DC4"/>
    <w:rsid w:val="001F1322"/>
    <w:rsid w:val="001F13CB"/>
    <w:rsid w:val="001F16A8"/>
    <w:rsid w:val="001F1915"/>
    <w:rsid w:val="001F1A35"/>
    <w:rsid w:val="001F20F2"/>
    <w:rsid w:val="001F2233"/>
    <w:rsid w:val="001F247E"/>
    <w:rsid w:val="001F2545"/>
    <w:rsid w:val="001F2608"/>
    <w:rsid w:val="001F28E6"/>
    <w:rsid w:val="001F2960"/>
    <w:rsid w:val="001F2B9C"/>
    <w:rsid w:val="001F2CA6"/>
    <w:rsid w:val="001F2D02"/>
    <w:rsid w:val="001F2E34"/>
    <w:rsid w:val="001F30BC"/>
    <w:rsid w:val="001F3238"/>
    <w:rsid w:val="001F3BD7"/>
    <w:rsid w:val="001F3D8F"/>
    <w:rsid w:val="001F3F8B"/>
    <w:rsid w:val="001F43BA"/>
    <w:rsid w:val="001F4969"/>
    <w:rsid w:val="001F4DAC"/>
    <w:rsid w:val="001F53D3"/>
    <w:rsid w:val="001F569E"/>
    <w:rsid w:val="001F5A0D"/>
    <w:rsid w:val="001F5C13"/>
    <w:rsid w:val="001F5C90"/>
    <w:rsid w:val="001F5D0A"/>
    <w:rsid w:val="001F5D12"/>
    <w:rsid w:val="001F5DDE"/>
    <w:rsid w:val="001F5DFC"/>
    <w:rsid w:val="001F626E"/>
    <w:rsid w:val="001F686D"/>
    <w:rsid w:val="001F6BB0"/>
    <w:rsid w:val="001F6BBB"/>
    <w:rsid w:val="001F6F4A"/>
    <w:rsid w:val="001F708D"/>
    <w:rsid w:val="001F7147"/>
    <w:rsid w:val="001F71B1"/>
    <w:rsid w:val="001F75B8"/>
    <w:rsid w:val="001F7701"/>
    <w:rsid w:val="001F7FB1"/>
    <w:rsid w:val="002000FD"/>
    <w:rsid w:val="002001E1"/>
    <w:rsid w:val="002002B0"/>
    <w:rsid w:val="00200FB9"/>
    <w:rsid w:val="00201303"/>
    <w:rsid w:val="002014E3"/>
    <w:rsid w:val="0020155A"/>
    <w:rsid w:val="0020157A"/>
    <w:rsid w:val="002015BE"/>
    <w:rsid w:val="00201800"/>
    <w:rsid w:val="00201D7A"/>
    <w:rsid w:val="0020215B"/>
    <w:rsid w:val="002021E1"/>
    <w:rsid w:val="0020257B"/>
    <w:rsid w:val="00202910"/>
    <w:rsid w:val="00202B6F"/>
    <w:rsid w:val="00202BE7"/>
    <w:rsid w:val="00202D8C"/>
    <w:rsid w:val="0020302B"/>
    <w:rsid w:val="00203036"/>
    <w:rsid w:val="00203243"/>
    <w:rsid w:val="002035C4"/>
    <w:rsid w:val="002036C8"/>
    <w:rsid w:val="00203B7C"/>
    <w:rsid w:val="00203BB9"/>
    <w:rsid w:val="00203E74"/>
    <w:rsid w:val="00203E77"/>
    <w:rsid w:val="00204387"/>
    <w:rsid w:val="002044CC"/>
    <w:rsid w:val="00204A25"/>
    <w:rsid w:val="00204BB1"/>
    <w:rsid w:val="00204C08"/>
    <w:rsid w:val="00204CAE"/>
    <w:rsid w:val="00204DEA"/>
    <w:rsid w:val="00204E60"/>
    <w:rsid w:val="00204F57"/>
    <w:rsid w:val="00205155"/>
    <w:rsid w:val="002052DD"/>
    <w:rsid w:val="002057DE"/>
    <w:rsid w:val="002057E6"/>
    <w:rsid w:val="00205875"/>
    <w:rsid w:val="00205CAF"/>
    <w:rsid w:val="00205CF7"/>
    <w:rsid w:val="00205FDA"/>
    <w:rsid w:val="00206123"/>
    <w:rsid w:val="002062DA"/>
    <w:rsid w:val="00206314"/>
    <w:rsid w:val="002067CB"/>
    <w:rsid w:val="00206D75"/>
    <w:rsid w:val="0020712B"/>
    <w:rsid w:val="00207316"/>
    <w:rsid w:val="00207350"/>
    <w:rsid w:val="002075DC"/>
    <w:rsid w:val="00207649"/>
    <w:rsid w:val="002079F1"/>
    <w:rsid w:val="00207B0D"/>
    <w:rsid w:val="00207B4F"/>
    <w:rsid w:val="00207BDE"/>
    <w:rsid w:val="00207D1B"/>
    <w:rsid w:val="00207E22"/>
    <w:rsid w:val="002101E0"/>
    <w:rsid w:val="00210261"/>
    <w:rsid w:val="002106D1"/>
    <w:rsid w:val="0021088F"/>
    <w:rsid w:val="00210976"/>
    <w:rsid w:val="00210B1A"/>
    <w:rsid w:val="00210C65"/>
    <w:rsid w:val="00210DCD"/>
    <w:rsid w:val="00210F81"/>
    <w:rsid w:val="0021136A"/>
    <w:rsid w:val="0021140F"/>
    <w:rsid w:val="002114CA"/>
    <w:rsid w:val="00211892"/>
    <w:rsid w:val="00211BB4"/>
    <w:rsid w:val="00211C0C"/>
    <w:rsid w:val="00211D04"/>
    <w:rsid w:val="002123D9"/>
    <w:rsid w:val="002123F4"/>
    <w:rsid w:val="00212521"/>
    <w:rsid w:val="0021257A"/>
    <w:rsid w:val="002125DC"/>
    <w:rsid w:val="00212737"/>
    <w:rsid w:val="00212AC1"/>
    <w:rsid w:val="00212AEC"/>
    <w:rsid w:val="00212C72"/>
    <w:rsid w:val="00212F28"/>
    <w:rsid w:val="00213137"/>
    <w:rsid w:val="002134FA"/>
    <w:rsid w:val="00213C85"/>
    <w:rsid w:val="002142E2"/>
    <w:rsid w:val="002146F5"/>
    <w:rsid w:val="00214771"/>
    <w:rsid w:val="00214AB0"/>
    <w:rsid w:val="00214BBB"/>
    <w:rsid w:val="00214D62"/>
    <w:rsid w:val="00214D68"/>
    <w:rsid w:val="00214EE2"/>
    <w:rsid w:val="0021520B"/>
    <w:rsid w:val="00215259"/>
    <w:rsid w:val="00215277"/>
    <w:rsid w:val="0021536A"/>
    <w:rsid w:val="002153D7"/>
    <w:rsid w:val="002154A7"/>
    <w:rsid w:val="0021554E"/>
    <w:rsid w:val="00215607"/>
    <w:rsid w:val="002158EA"/>
    <w:rsid w:val="002159BE"/>
    <w:rsid w:val="00215A1A"/>
    <w:rsid w:val="00215C42"/>
    <w:rsid w:val="00215E66"/>
    <w:rsid w:val="002164DB"/>
    <w:rsid w:val="0021656D"/>
    <w:rsid w:val="002166AF"/>
    <w:rsid w:val="0021672F"/>
    <w:rsid w:val="00217068"/>
    <w:rsid w:val="0021727A"/>
    <w:rsid w:val="0021744C"/>
    <w:rsid w:val="00217763"/>
    <w:rsid w:val="00217B2D"/>
    <w:rsid w:val="00217B38"/>
    <w:rsid w:val="00217F0F"/>
    <w:rsid w:val="00220297"/>
    <w:rsid w:val="00220681"/>
    <w:rsid w:val="00220741"/>
    <w:rsid w:val="00220C21"/>
    <w:rsid w:val="00220CB7"/>
    <w:rsid w:val="00221829"/>
    <w:rsid w:val="00221C2B"/>
    <w:rsid w:val="00221F30"/>
    <w:rsid w:val="00221FFB"/>
    <w:rsid w:val="00222121"/>
    <w:rsid w:val="002224D4"/>
    <w:rsid w:val="00222CA1"/>
    <w:rsid w:val="00222DA2"/>
    <w:rsid w:val="00223438"/>
    <w:rsid w:val="002239CB"/>
    <w:rsid w:val="00223E2E"/>
    <w:rsid w:val="00224046"/>
    <w:rsid w:val="0022409A"/>
    <w:rsid w:val="00224333"/>
    <w:rsid w:val="00224417"/>
    <w:rsid w:val="00224A5F"/>
    <w:rsid w:val="00224C97"/>
    <w:rsid w:val="00225145"/>
    <w:rsid w:val="002251BA"/>
    <w:rsid w:val="00225314"/>
    <w:rsid w:val="00225433"/>
    <w:rsid w:val="00225491"/>
    <w:rsid w:val="002254BE"/>
    <w:rsid w:val="0022562C"/>
    <w:rsid w:val="002256D3"/>
    <w:rsid w:val="002259BC"/>
    <w:rsid w:val="00226029"/>
    <w:rsid w:val="00226545"/>
    <w:rsid w:val="002266A5"/>
    <w:rsid w:val="002267D6"/>
    <w:rsid w:val="002269B9"/>
    <w:rsid w:val="00227062"/>
    <w:rsid w:val="002271A7"/>
    <w:rsid w:val="002275F4"/>
    <w:rsid w:val="00227AE9"/>
    <w:rsid w:val="00227B9E"/>
    <w:rsid w:val="00227BD6"/>
    <w:rsid w:val="00227D0A"/>
    <w:rsid w:val="002303B1"/>
    <w:rsid w:val="00230451"/>
    <w:rsid w:val="002305B9"/>
    <w:rsid w:val="00230621"/>
    <w:rsid w:val="00230623"/>
    <w:rsid w:val="002307E1"/>
    <w:rsid w:val="00230A8E"/>
    <w:rsid w:val="00230C1A"/>
    <w:rsid w:val="002314E7"/>
    <w:rsid w:val="00231530"/>
    <w:rsid w:val="002318AF"/>
    <w:rsid w:val="00231F5C"/>
    <w:rsid w:val="002321C1"/>
    <w:rsid w:val="002329DF"/>
    <w:rsid w:val="00232BC7"/>
    <w:rsid w:val="00232F8F"/>
    <w:rsid w:val="00232FED"/>
    <w:rsid w:val="00233026"/>
    <w:rsid w:val="002330CC"/>
    <w:rsid w:val="002332EB"/>
    <w:rsid w:val="002334EC"/>
    <w:rsid w:val="0023351D"/>
    <w:rsid w:val="0023397D"/>
    <w:rsid w:val="00233FC8"/>
    <w:rsid w:val="002344FB"/>
    <w:rsid w:val="0023481B"/>
    <w:rsid w:val="00234852"/>
    <w:rsid w:val="00234A26"/>
    <w:rsid w:val="00234B8C"/>
    <w:rsid w:val="00234C23"/>
    <w:rsid w:val="00234D4B"/>
    <w:rsid w:val="00235215"/>
    <w:rsid w:val="002353A3"/>
    <w:rsid w:val="00235655"/>
    <w:rsid w:val="00235930"/>
    <w:rsid w:val="00235A22"/>
    <w:rsid w:val="00235E1C"/>
    <w:rsid w:val="00235E92"/>
    <w:rsid w:val="0023612D"/>
    <w:rsid w:val="002365F6"/>
    <w:rsid w:val="00236636"/>
    <w:rsid w:val="00236791"/>
    <w:rsid w:val="002369C7"/>
    <w:rsid w:val="00236A87"/>
    <w:rsid w:val="00236C70"/>
    <w:rsid w:val="00237025"/>
    <w:rsid w:val="00237297"/>
    <w:rsid w:val="002372CD"/>
    <w:rsid w:val="0023736C"/>
    <w:rsid w:val="0023738F"/>
    <w:rsid w:val="0023740E"/>
    <w:rsid w:val="0023768E"/>
    <w:rsid w:val="00237791"/>
    <w:rsid w:val="00237B0C"/>
    <w:rsid w:val="00237C14"/>
    <w:rsid w:val="00240262"/>
    <w:rsid w:val="002402F3"/>
    <w:rsid w:val="002409CD"/>
    <w:rsid w:val="00240C57"/>
    <w:rsid w:val="00240DC4"/>
    <w:rsid w:val="00240EC8"/>
    <w:rsid w:val="00240EE4"/>
    <w:rsid w:val="00240F3D"/>
    <w:rsid w:val="002411F8"/>
    <w:rsid w:val="00241259"/>
    <w:rsid w:val="0024168F"/>
    <w:rsid w:val="00241690"/>
    <w:rsid w:val="002416D6"/>
    <w:rsid w:val="00241F99"/>
    <w:rsid w:val="00242040"/>
    <w:rsid w:val="002420AC"/>
    <w:rsid w:val="00242155"/>
    <w:rsid w:val="002421CF"/>
    <w:rsid w:val="002422BB"/>
    <w:rsid w:val="0024243D"/>
    <w:rsid w:val="0024246B"/>
    <w:rsid w:val="002424FA"/>
    <w:rsid w:val="002425DE"/>
    <w:rsid w:val="00242679"/>
    <w:rsid w:val="00242758"/>
    <w:rsid w:val="0024296A"/>
    <w:rsid w:val="00242D2E"/>
    <w:rsid w:val="00242F8B"/>
    <w:rsid w:val="00243222"/>
    <w:rsid w:val="00243321"/>
    <w:rsid w:val="00243712"/>
    <w:rsid w:val="00243786"/>
    <w:rsid w:val="002438A0"/>
    <w:rsid w:val="002438C2"/>
    <w:rsid w:val="00243AE0"/>
    <w:rsid w:val="00243ECB"/>
    <w:rsid w:val="0024429B"/>
    <w:rsid w:val="00244372"/>
    <w:rsid w:val="0024474C"/>
    <w:rsid w:val="00244983"/>
    <w:rsid w:val="00244E68"/>
    <w:rsid w:val="002452E9"/>
    <w:rsid w:val="00245784"/>
    <w:rsid w:val="002457F1"/>
    <w:rsid w:val="002457F6"/>
    <w:rsid w:val="002458E1"/>
    <w:rsid w:val="00245ACA"/>
    <w:rsid w:val="00245EE2"/>
    <w:rsid w:val="00245F0D"/>
    <w:rsid w:val="00246398"/>
    <w:rsid w:val="0024651F"/>
    <w:rsid w:val="00246903"/>
    <w:rsid w:val="002469D9"/>
    <w:rsid w:val="00246CC4"/>
    <w:rsid w:val="00246EBB"/>
    <w:rsid w:val="00247776"/>
    <w:rsid w:val="002479A8"/>
    <w:rsid w:val="00247FAD"/>
    <w:rsid w:val="00250100"/>
    <w:rsid w:val="002503BD"/>
    <w:rsid w:val="00250464"/>
    <w:rsid w:val="00250492"/>
    <w:rsid w:val="00250677"/>
    <w:rsid w:val="002508C2"/>
    <w:rsid w:val="002509A3"/>
    <w:rsid w:val="00250C76"/>
    <w:rsid w:val="0025114B"/>
    <w:rsid w:val="002512B0"/>
    <w:rsid w:val="0025154A"/>
    <w:rsid w:val="002515C8"/>
    <w:rsid w:val="00251938"/>
    <w:rsid w:val="00251A29"/>
    <w:rsid w:val="00251C19"/>
    <w:rsid w:val="00251F4F"/>
    <w:rsid w:val="002520E8"/>
    <w:rsid w:val="0025218D"/>
    <w:rsid w:val="002528FB"/>
    <w:rsid w:val="0025292F"/>
    <w:rsid w:val="00252D1A"/>
    <w:rsid w:val="00253038"/>
    <w:rsid w:val="00253173"/>
    <w:rsid w:val="00253437"/>
    <w:rsid w:val="0025344C"/>
    <w:rsid w:val="00253506"/>
    <w:rsid w:val="002535AB"/>
    <w:rsid w:val="00253812"/>
    <w:rsid w:val="00253E44"/>
    <w:rsid w:val="00253EE4"/>
    <w:rsid w:val="00253F0A"/>
    <w:rsid w:val="00254026"/>
    <w:rsid w:val="002541C8"/>
    <w:rsid w:val="00254282"/>
    <w:rsid w:val="00254681"/>
    <w:rsid w:val="00254732"/>
    <w:rsid w:val="002548AC"/>
    <w:rsid w:val="002549A2"/>
    <w:rsid w:val="00254D06"/>
    <w:rsid w:val="00254EAD"/>
    <w:rsid w:val="00254F72"/>
    <w:rsid w:val="002550DA"/>
    <w:rsid w:val="00255119"/>
    <w:rsid w:val="002552C9"/>
    <w:rsid w:val="002553E3"/>
    <w:rsid w:val="00255C4F"/>
    <w:rsid w:val="00255F7F"/>
    <w:rsid w:val="0025601E"/>
    <w:rsid w:val="002560E2"/>
    <w:rsid w:val="00256184"/>
    <w:rsid w:val="002566B4"/>
    <w:rsid w:val="00256784"/>
    <w:rsid w:val="00256923"/>
    <w:rsid w:val="00256B1C"/>
    <w:rsid w:val="00256FC4"/>
    <w:rsid w:val="00256FC8"/>
    <w:rsid w:val="0025709D"/>
    <w:rsid w:val="0025754A"/>
    <w:rsid w:val="002576FC"/>
    <w:rsid w:val="00257703"/>
    <w:rsid w:val="002578CB"/>
    <w:rsid w:val="00257EEB"/>
    <w:rsid w:val="00260032"/>
    <w:rsid w:val="002601CA"/>
    <w:rsid w:val="002602F5"/>
    <w:rsid w:val="0026034E"/>
    <w:rsid w:val="00260438"/>
    <w:rsid w:val="00260637"/>
    <w:rsid w:val="00260C81"/>
    <w:rsid w:val="00260C82"/>
    <w:rsid w:val="00260CE7"/>
    <w:rsid w:val="0026154D"/>
    <w:rsid w:val="0026181B"/>
    <w:rsid w:val="00261BD1"/>
    <w:rsid w:val="00262263"/>
    <w:rsid w:val="0026231C"/>
    <w:rsid w:val="00262945"/>
    <w:rsid w:val="00262962"/>
    <w:rsid w:val="00262A8F"/>
    <w:rsid w:val="00262E65"/>
    <w:rsid w:val="00262F64"/>
    <w:rsid w:val="0026313C"/>
    <w:rsid w:val="00263170"/>
    <w:rsid w:val="0026363E"/>
    <w:rsid w:val="00263993"/>
    <w:rsid w:val="00263E09"/>
    <w:rsid w:val="00263E28"/>
    <w:rsid w:val="00263E7C"/>
    <w:rsid w:val="0026400A"/>
    <w:rsid w:val="002640D0"/>
    <w:rsid w:val="00264620"/>
    <w:rsid w:val="00264C37"/>
    <w:rsid w:val="00264DD8"/>
    <w:rsid w:val="00264F06"/>
    <w:rsid w:val="00264FA8"/>
    <w:rsid w:val="00265032"/>
    <w:rsid w:val="00265111"/>
    <w:rsid w:val="00265358"/>
    <w:rsid w:val="00265CEE"/>
    <w:rsid w:val="00266092"/>
    <w:rsid w:val="002666F1"/>
    <w:rsid w:val="00266C62"/>
    <w:rsid w:val="002670B8"/>
    <w:rsid w:val="002672A6"/>
    <w:rsid w:val="002672FD"/>
    <w:rsid w:val="00267370"/>
    <w:rsid w:val="00267676"/>
    <w:rsid w:val="0027019E"/>
    <w:rsid w:val="00270220"/>
    <w:rsid w:val="00270308"/>
    <w:rsid w:val="002707B7"/>
    <w:rsid w:val="00270800"/>
    <w:rsid w:val="00270A26"/>
    <w:rsid w:val="00270A2D"/>
    <w:rsid w:val="00270D79"/>
    <w:rsid w:val="00270F86"/>
    <w:rsid w:val="00271206"/>
    <w:rsid w:val="00271696"/>
    <w:rsid w:val="00271955"/>
    <w:rsid w:val="00271EEE"/>
    <w:rsid w:val="002721B8"/>
    <w:rsid w:val="002721BB"/>
    <w:rsid w:val="00272720"/>
    <w:rsid w:val="0027286A"/>
    <w:rsid w:val="00272AF8"/>
    <w:rsid w:val="00272B99"/>
    <w:rsid w:val="00272C4C"/>
    <w:rsid w:val="00272FD6"/>
    <w:rsid w:val="00272FEA"/>
    <w:rsid w:val="0027352F"/>
    <w:rsid w:val="002738A3"/>
    <w:rsid w:val="00273A91"/>
    <w:rsid w:val="00273AD7"/>
    <w:rsid w:val="00273AE8"/>
    <w:rsid w:val="00273D10"/>
    <w:rsid w:val="002741EC"/>
    <w:rsid w:val="002742D0"/>
    <w:rsid w:val="0027478F"/>
    <w:rsid w:val="00274AA4"/>
    <w:rsid w:val="00274F8A"/>
    <w:rsid w:val="00275156"/>
    <w:rsid w:val="00275A61"/>
    <w:rsid w:val="00275DB9"/>
    <w:rsid w:val="00275E14"/>
    <w:rsid w:val="00275E4A"/>
    <w:rsid w:val="00275F0B"/>
    <w:rsid w:val="00276192"/>
    <w:rsid w:val="0027620B"/>
    <w:rsid w:val="00277158"/>
    <w:rsid w:val="002779F2"/>
    <w:rsid w:val="00277BAF"/>
    <w:rsid w:val="00277CA4"/>
    <w:rsid w:val="00277D51"/>
    <w:rsid w:val="00277EA3"/>
    <w:rsid w:val="00277FEB"/>
    <w:rsid w:val="002806F8"/>
    <w:rsid w:val="002807A2"/>
    <w:rsid w:val="0028088B"/>
    <w:rsid w:val="0028105B"/>
    <w:rsid w:val="00281223"/>
    <w:rsid w:val="00281ABD"/>
    <w:rsid w:val="00281CBA"/>
    <w:rsid w:val="00281D39"/>
    <w:rsid w:val="0028235D"/>
    <w:rsid w:val="0028282F"/>
    <w:rsid w:val="00282870"/>
    <w:rsid w:val="00282935"/>
    <w:rsid w:val="00283250"/>
    <w:rsid w:val="002833C2"/>
    <w:rsid w:val="0028341F"/>
    <w:rsid w:val="00283571"/>
    <w:rsid w:val="00283759"/>
    <w:rsid w:val="00283CED"/>
    <w:rsid w:val="00283FBE"/>
    <w:rsid w:val="00284128"/>
    <w:rsid w:val="0028452F"/>
    <w:rsid w:val="002846A3"/>
    <w:rsid w:val="00284819"/>
    <w:rsid w:val="00284B2E"/>
    <w:rsid w:val="00285372"/>
    <w:rsid w:val="00285419"/>
    <w:rsid w:val="00285719"/>
    <w:rsid w:val="00285B20"/>
    <w:rsid w:val="00285D56"/>
    <w:rsid w:val="00285EAD"/>
    <w:rsid w:val="00285FD5"/>
    <w:rsid w:val="002860A1"/>
    <w:rsid w:val="00286A8C"/>
    <w:rsid w:val="00287439"/>
    <w:rsid w:val="00287B9B"/>
    <w:rsid w:val="00287D93"/>
    <w:rsid w:val="0029027B"/>
    <w:rsid w:val="00290367"/>
    <w:rsid w:val="002908F3"/>
    <w:rsid w:val="00290D97"/>
    <w:rsid w:val="00290F30"/>
    <w:rsid w:val="002910EB"/>
    <w:rsid w:val="002917E6"/>
    <w:rsid w:val="0029183F"/>
    <w:rsid w:val="00291B42"/>
    <w:rsid w:val="00291D74"/>
    <w:rsid w:val="00291E29"/>
    <w:rsid w:val="00291EAA"/>
    <w:rsid w:val="00291FD6"/>
    <w:rsid w:val="002920FA"/>
    <w:rsid w:val="0029282A"/>
    <w:rsid w:val="002928DA"/>
    <w:rsid w:val="002928E4"/>
    <w:rsid w:val="00292B6E"/>
    <w:rsid w:val="00292B7A"/>
    <w:rsid w:val="00292BF8"/>
    <w:rsid w:val="00292CC0"/>
    <w:rsid w:val="002930A1"/>
    <w:rsid w:val="002932C4"/>
    <w:rsid w:val="00293331"/>
    <w:rsid w:val="00293384"/>
    <w:rsid w:val="002934C8"/>
    <w:rsid w:val="00293D81"/>
    <w:rsid w:val="002942DB"/>
    <w:rsid w:val="00294469"/>
    <w:rsid w:val="002945DE"/>
    <w:rsid w:val="00294669"/>
    <w:rsid w:val="002948F3"/>
    <w:rsid w:val="00294988"/>
    <w:rsid w:val="00294AE6"/>
    <w:rsid w:val="00294DED"/>
    <w:rsid w:val="00295488"/>
    <w:rsid w:val="002955A3"/>
    <w:rsid w:val="00295672"/>
    <w:rsid w:val="00295BBB"/>
    <w:rsid w:val="00295C65"/>
    <w:rsid w:val="00295D96"/>
    <w:rsid w:val="00295E3E"/>
    <w:rsid w:val="0029615E"/>
    <w:rsid w:val="00296213"/>
    <w:rsid w:val="00296BC7"/>
    <w:rsid w:val="00296D7E"/>
    <w:rsid w:val="00296DD1"/>
    <w:rsid w:val="00296EBD"/>
    <w:rsid w:val="00297069"/>
    <w:rsid w:val="00297158"/>
    <w:rsid w:val="00297240"/>
    <w:rsid w:val="002979E2"/>
    <w:rsid w:val="00297A8E"/>
    <w:rsid w:val="00297AB5"/>
    <w:rsid w:val="00297F5D"/>
    <w:rsid w:val="002A00F6"/>
    <w:rsid w:val="002A018A"/>
    <w:rsid w:val="002A0288"/>
    <w:rsid w:val="002A045D"/>
    <w:rsid w:val="002A0497"/>
    <w:rsid w:val="002A0774"/>
    <w:rsid w:val="002A0A02"/>
    <w:rsid w:val="002A0B4E"/>
    <w:rsid w:val="002A0DC7"/>
    <w:rsid w:val="002A0DFE"/>
    <w:rsid w:val="002A0E1B"/>
    <w:rsid w:val="002A1025"/>
    <w:rsid w:val="002A131F"/>
    <w:rsid w:val="002A13DA"/>
    <w:rsid w:val="002A14CE"/>
    <w:rsid w:val="002A15C4"/>
    <w:rsid w:val="002A1837"/>
    <w:rsid w:val="002A1844"/>
    <w:rsid w:val="002A1B62"/>
    <w:rsid w:val="002A1F5D"/>
    <w:rsid w:val="002A2998"/>
    <w:rsid w:val="002A29B4"/>
    <w:rsid w:val="002A3503"/>
    <w:rsid w:val="002A3590"/>
    <w:rsid w:val="002A35C6"/>
    <w:rsid w:val="002A3E62"/>
    <w:rsid w:val="002A3FB1"/>
    <w:rsid w:val="002A44C9"/>
    <w:rsid w:val="002A46E1"/>
    <w:rsid w:val="002A4753"/>
    <w:rsid w:val="002A4B51"/>
    <w:rsid w:val="002A4C3C"/>
    <w:rsid w:val="002A4DF4"/>
    <w:rsid w:val="002A4E4C"/>
    <w:rsid w:val="002A4E74"/>
    <w:rsid w:val="002A4EC3"/>
    <w:rsid w:val="002A5391"/>
    <w:rsid w:val="002A549E"/>
    <w:rsid w:val="002A576F"/>
    <w:rsid w:val="002A586A"/>
    <w:rsid w:val="002A684A"/>
    <w:rsid w:val="002A684E"/>
    <w:rsid w:val="002A6AFA"/>
    <w:rsid w:val="002A6F8B"/>
    <w:rsid w:val="002A7121"/>
    <w:rsid w:val="002A7257"/>
    <w:rsid w:val="002A735E"/>
    <w:rsid w:val="002A739D"/>
    <w:rsid w:val="002A7AC0"/>
    <w:rsid w:val="002A7B82"/>
    <w:rsid w:val="002A7FB3"/>
    <w:rsid w:val="002B0066"/>
    <w:rsid w:val="002B0193"/>
    <w:rsid w:val="002B02CB"/>
    <w:rsid w:val="002B0331"/>
    <w:rsid w:val="002B0457"/>
    <w:rsid w:val="002B09D1"/>
    <w:rsid w:val="002B0BE1"/>
    <w:rsid w:val="002B0C89"/>
    <w:rsid w:val="002B0D16"/>
    <w:rsid w:val="002B0E0E"/>
    <w:rsid w:val="002B10FC"/>
    <w:rsid w:val="002B1201"/>
    <w:rsid w:val="002B1550"/>
    <w:rsid w:val="002B1571"/>
    <w:rsid w:val="002B1599"/>
    <w:rsid w:val="002B1647"/>
    <w:rsid w:val="002B168B"/>
    <w:rsid w:val="002B19B9"/>
    <w:rsid w:val="002B19F8"/>
    <w:rsid w:val="002B1C58"/>
    <w:rsid w:val="002B1EC2"/>
    <w:rsid w:val="002B1ED1"/>
    <w:rsid w:val="002B1FEF"/>
    <w:rsid w:val="002B25B9"/>
    <w:rsid w:val="002B2B33"/>
    <w:rsid w:val="002B2D56"/>
    <w:rsid w:val="002B2E7D"/>
    <w:rsid w:val="002B30A9"/>
    <w:rsid w:val="002B310B"/>
    <w:rsid w:val="002B3114"/>
    <w:rsid w:val="002B32C0"/>
    <w:rsid w:val="002B32D2"/>
    <w:rsid w:val="002B3596"/>
    <w:rsid w:val="002B38F3"/>
    <w:rsid w:val="002B3B47"/>
    <w:rsid w:val="002B3DA7"/>
    <w:rsid w:val="002B3E2B"/>
    <w:rsid w:val="002B4146"/>
    <w:rsid w:val="002B4399"/>
    <w:rsid w:val="002B47B2"/>
    <w:rsid w:val="002B4BB4"/>
    <w:rsid w:val="002B4C29"/>
    <w:rsid w:val="002B5040"/>
    <w:rsid w:val="002B5333"/>
    <w:rsid w:val="002B5550"/>
    <w:rsid w:val="002B571B"/>
    <w:rsid w:val="002B5926"/>
    <w:rsid w:val="002B5E08"/>
    <w:rsid w:val="002B5E28"/>
    <w:rsid w:val="002B62E0"/>
    <w:rsid w:val="002B6870"/>
    <w:rsid w:val="002B6D47"/>
    <w:rsid w:val="002B6ECA"/>
    <w:rsid w:val="002B6F2A"/>
    <w:rsid w:val="002B7056"/>
    <w:rsid w:val="002B7342"/>
    <w:rsid w:val="002B76E8"/>
    <w:rsid w:val="002B7710"/>
    <w:rsid w:val="002B779B"/>
    <w:rsid w:val="002B7865"/>
    <w:rsid w:val="002B7A8B"/>
    <w:rsid w:val="002B7AAF"/>
    <w:rsid w:val="002B7B0B"/>
    <w:rsid w:val="002C005E"/>
    <w:rsid w:val="002C011B"/>
    <w:rsid w:val="002C0278"/>
    <w:rsid w:val="002C030F"/>
    <w:rsid w:val="002C061A"/>
    <w:rsid w:val="002C06DE"/>
    <w:rsid w:val="002C07B6"/>
    <w:rsid w:val="002C0829"/>
    <w:rsid w:val="002C08C9"/>
    <w:rsid w:val="002C0922"/>
    <w:rsid w:val="002C1624"/>
    <w:rsid w:val="002C1AEA"/>
    <w:rsid w:val="002C1B10"/>
    <w:rsid w:val="002C206F"/>
    <w:rsid w:val="002C215E"/>
    <w:rsid w:val="002C21D3"/>
    <w:rsid w:val="002C2BBD"/>
    <w:rsid w:val="002C2BD6"/>
    <w:rsid w:val="002C2E1B"/>
    <w:rsid w:val="002C2F3B"/>
    <w:rsid w:val="002C3431"/>
    <w:rsid w:val="002C3671"/>
    <w:rsid w:val="002C37B3"/>
    <w:rsid w:val="002C3897"/>
    <w:rsid w:val="002C39E1"/>
    <w:rsid w:val="002C3B32"/>
    <w:rsid w:val="002C3D72"/>
    <w:rsid w:val="002C3DB4"/>
    <w:rsid w:val="002C3E98"/>
    <w:rsid w:val="002C3EE5"/>
    <w:rsid w:val="002C47D0"/>
    <w:rsid w:val="002C4A24"/>
    <w:rsid w:val="002C4BFB"/>
    <w:rsid w:val="002C4C23"/>
    <w:rsid w:val="002C4D29"/>
    <w:rsid w:val="002C522E"/>
    <w:rsid w:val="002C53FF"/>
    <w:rsid w:val="002C54E6"/>
    <w:rsid w:val="002C569E"/>
    <w:rsid w:val="002C56C8"/>
    <w:rsid w:val="002C56D0"/>
    <w:rsid w:val="002C57E1"/>
    <w:rsid w:val="002C5A5F"/>
    <w:rsid w:val="002C5B1B"/>
    <w:rsid w:val="002C5E2E"/>
    <w:rsid w:val="002C637D"/>
    <w:rsid w:val="002C6E61"/>
    <w:rsid w:val="002C6EE0"/>
    <w:rsid w:val="002C7109"/>
    <w:rsid w:val="002C728C"/>
    <w:rsid w:val="002C72A7"/>
    <w:rsid w:val="002C72BF"/>
    <w:rsid w:val="002C769D"/>
    <w:rsid w:val="002C7ADD"/>
    <w:rsid w:val="002C7E5C"/>
    <w:rsid w:val="002C7EA8"/>
    <w:rsid w:val="002D03D4"/>
    <w:rsid w:val="002D082B"/>
    <w:rsid w:val="002D09B0"/>
    <w:rsid w:val="002D0AD9"/>
    <w:rsid w:val="002D0AE0"/>
    <w:rsid w:val="002D14D2"/>
    <w:rsid w:val="002D153F"/>
    <w:rsid w:val="002D1D7F"/>
    <w:rsid w:val="002D1FFF"/>
    <w:rsid w:val="002D209D"/>
    <w:rsid w:val="002D21B1"/>
    <w:rsid w:val="002D221A"/>
    <w:rsid w:val="002D2405"/>
    <w:rsid w:val="002D2C26"/>
    <w:rsid w:val="002D2D61"/>
    <w:rsid w:val="002D33A1"/>
    <w:rsid w:val="002D3606"/>
    <w:rsid w:val="002D3612"/>
    <w:rsid w:val="002D3A3C"/>
    <w:rsid w:val="002D3AD9"/>
    <w:rsid w:val="002D3C6F"/>
    <w:rsid w:val="002D3CA4"/>
    <w:rsid w:val="002D3DC1"/>
    <w:rsid w:val="002D4373"/>
    <w:rsid w:val="002D44D0"/>
    <w:rsid w:val="002D4803"/>
    <w:rsid w:val="002D4A3D"/>
    <w:rsid w:val="002D4B6C"/>
    <w:rsid w:val="002D4D76"/>
    <w:rsid w:val="002D4F25"/>
    <w:rsid w:val="002D5027"/>
    <w:rsid w:val="002D5058"/>
    <w:rsid w:val="002D50E6"/>
    <w:rsid w:val="002D5882"/>
    <w:rsid w:val="002D5983"/>
    <w:rsid w:val="002D5CC0"/>
    <w:rsid w:val="002D5D7B"/>
    <w:rsid w:val="002D646D"/>
    <w:rsid w:val="002D64BF"/>
    <w:rsid w:val="002D6540"/>
    <w:rsid w:val="002D6866"/>
    <w:rsid w:val="002D68EA"/>
    <w:rsid w:val="002D7014"/>
    <w:rsid w:val="002D72D8"/>
    <w:rsid w:val="002D739F"/>
    <w:rsid w:val="002D7A57"/>
    <w:rsid w:val="002D7B6B"/>
    <w:rsid w:val="002D7B7B"/>
    <w:rsid w:val="002D7CE1"/>
    <w:rsid w:val="002E0132"/>
    <w:rsid w:val="002E01BB"/>
    <w:rsid w:val="002E0705"/>
    <w:rsid w:val="002E09BA"/>
    <w:rsid w:val="002E0C76"/>
    <w:rsid w:val="002E0D1B"/>
    <w:rsid w:val="002E0FAB"/>
    <w:rsid w:val="002E105D"/>
    <w:rsid w:val="002E1314"/>
    <w:rsid w:val="002E1B00"/>
    <w:rsid w:val="002E1F11"/>
    <w:rsid w:val="002E1F5D"/>
    <w:rsid w:val="002E214E"/>
    <w:rsid w:val="002E2563"/>
    <w:rsid w:val="002E304D"/>
    <w:rsid w:val="002E34B6"/>
    <w:rsid w:val="002E358F"/>
    <w:rsid w:val="002E39E1"/>
    <w:rsid w:val="002E3DA2"/>
    <w:rsid w:val="002E3F12"/>
    <w:rsid w:val="002E3FB7"/>
    <w:rsid w:val="002E4176"/>
    <w:rsid w:val="002E43F6"/>
    <w:rsid w:val="002E4941"/>
    <w:rsid w:val="002E4975"/>
    <w:rsid w:val="002E4C95"/>
    <w:rsid w:val="002E4F99"/>
    <w:rsid w:val="002E50EA"/>
    <w:rsid w:val="002E51DA"/>
    <w:rsid w:val="002E527D"/>
    <w:rsid w:val="002E52C3"/>
    <w:rsid w:val="002E5654"/>
    <w:rsid w:val="002E57AB"/>
    <w:rsid w:val="002E58AA"/>
    <w:rsid w:val="002E58D2"/>
    <w:rsid w:val="002E5989"/>
    <w:rsid w:val="002E5C38"/>
    <w:rsid w:val="002E608C"/>
    <w:rsid w:val="002E62AD"/>
    <w:rsid w:val="002E6676"/>
    <w:rsid w:val="002E69EB"/>
    <w:rsid w:val="002E6E2E"/>
    <w:rsid w:val="002E6E91"/>
    <w:rsid w:val="002E6F45"/>
    <w:rsid w:val="002E7015"/>
    <w:rsid w:val="002E710A"/>
    <w:rsid w:val="002E753D"/>
    <w:rsid w:val="002E7BE8"/>
    <w:rsid w:val="002E7C26"/>
    <w:rsid w:val="002F0082"/>
    <w:rsid w:val="002F0483"/>
    <w:rsid w:val="002F06A6"/>
    <w:rsid w:val="002F0952"/>
    <w:rsid w:val="002F0AAC"/>
    <w:rsid w:val="002F0D3A"/>
    <w:rsid w:val="002F0DC3"/>
    <w:rsid w:val="002F1108"/>
    <w:rsid w:val="002F1422"/>
    <w:rsid w:val="002F162F"/>
    <w:rsid w:val="002F18D0"/>
    <w:rsid w:val="002F1900"/>
    <w:rsid w:val="002F1E54"/>
    <w:rsid w:val="002F2130"/>
    <w:rsid w:val="002F2150"/>
    <w:rsid w:val="002F2518"/>
    <w:rsid w:val="002F26F5"/>
    <w:rsid w:val="002F28C2"/>
    <w:rsid w:val="002F2B33"/>
    <w:rsid w:val="002F2BFD"/>
    <w:rsid w:val="002F2CB0"/>
    <w:rsid w:val="002F3505"/>
    <w:rsid w:val="002F38EF"/>
    <w:rsid w:val="002F3932"/>
    <w:rsid w:val="002F3B71"/>
    <w:rsid w:val="002F3FAF"/>
    <w:rsid w:val="002F40F1"/>
    <w:rsid w:val="002F4146"/>
    <w:rsid w:val="002F41DF"/>
    <w:rsid w:val="002F48E1"/>
    <w:rsid w:val="002F4977"/>
    <w:rsid w:val="002F4B6F"/>
    <w:rsid w:val="002F4C21"/>
    <w:rsid w:val="002F4D6B"/>
    <w:rsid w:val="002F50A0"/>
    <w:rsid w:val="002F5172"/>
    <w:rsid w:val="002F560C"/>
    <w:rsid w:val="002F57EB"/>
    <w:rsid w:val="002F5A35"/>
    <w:rsid w:val="002F5BC8"/>
    <w:rsid w:val="002F5EE5"/>
    <w:rsid w:val="002F61A2"/>
    <w:rsid w:val="002F6356"/>
    <w:rsid w:val="002F662F"/>
    <w:rsid w:val="002F67F2"/>
    <w:rsid w:val="002F6814"/>
    <w:rsid w:val="002F6B51"/>
    <w:rsid w:val="002F6C10"/>
    <w:rsid w:val="002F6EB2"/>
    <w:rsid w:val="002F7016"/>
    <w:rsid w:val="002F7167"/>
    <w:rsid w:val="002F736D"/>
    <w:rsid w:val="002F7378"/>
    <w:rsid w:val="002F74C6"/>
    <w:rsid w:val="002F7A9A"/>
    <w:rsid w:val="002F7E56"/>
    <w:rsid w:val="002F7EA7"/>
    <w:rsid w:val="00300236"/>
    <w:rsid w:val="0030026E"/>
    <w:rsid w:val="00300A2E"/>
    <w:rsid w:val="00300A7D"/>
    <w:rsid w:val="00300C73"/>
    <w:rsid w:val="00301637"/>
    <w:rsid w:val="003016B7"/>
    <w:rsid w:val="00301752"/>
    <w:rsid w:val="00301983"/>
    <w:rsid w:val="00301A61"/>
    <w:rsid w:val="00301E53"/>
    <w:rsid w:val="00301F2F"/>
    <w:rsid w:val="0030250F"/>
    <w:rsid w:val="003025CD"/>
    <w:rsid w:val="003025DF"/>
    <w:rsid w:val="003029A4"/>
    <w:rsid w:val="00302BFE"/>
    <w:rsid w:val="00302FD5"/>
    <w:rsid w:val="00303012"/>
    <w:rsid w:val="00303472"/>
    <w:rsid w:val="00303635"/>
    <w:rsid w:val="00303CCE"/>
    <w:rsid w:val="00303CF7"/>
    <w:rsid w:val="003045A5"/>
    <w:rsid w:val="003045C6"/>
    <w:rsid w:val="00304628"/>
    <w:rsid w:val="00304630"/>
    <w:rsid w:val="003046D1"/>
    <w:rsid w:val="00304CC1"/>
    <w:rsid w:val="00304DF8"/>
    <w:rsid w:val="00304EEB"/>
    <w:rsid w:val="00304F33"/>
    <w:rsid w:val="00305025"/>
    <w:rsid w:val="003054C0"/>
    <w:rsid w:val="00305604"/>
    <w:rsid w:val="0030560D"/>
    <w:rsid w:val="0030593F"/>
    <w:rsid w:val="00305A5C"/>
    <w:rsid w:val="00305D41"/>
    <w:rsid w:val="003060A7"/>
    <w:rsid w:val="003060AD"/>
    <w:rsid w:val="003060C6"/>
    <w:rsid w:val="003062B2"/>
    <w:rsid w:val="00306333"/>
    <w:rsid w:val="00306945"/>
    <w:rsid w:val="00306AF7"/>
    <w:rsid w:val="00306E19"/>
    <w:rsid w:val="00306E83"/>
    <w:rsid w:val="0030717B"/>
    <w:rsid w:val="003072F8"/>
    <w:rsid w:val="0030748A"/>
    <w:rsid w:val="003077D2"/>
    <w:rsid w:val="00307834"/>
    <w:rsid w:val="003079EE"/>
    <w:rsid w:val="00307D50"/>
    <w:rsid w:val="00307DD9"/>
    <w:rsid w:val="00310479"/>
    <w:rsid w:val="003105A6"/>
    <w:rsid w:val="00310C4D"/>
    <w:rsid w:val="00310C85"/>
    <w:rsid w:val="00310E59"/>
    <w:rsid w:val="00310F98"/>
    <w:rsid w:val="00311266"/>
    <w:rsid w:val="003113A9"/>
    <w:rsid w:val="0031155C"/>
    <w:rsid w:val="00311799"/>
    <w:rsid w:val="003117DA"/>
    <w:rsid w:val="00311899"/>
    <w:rsid w:val="00311BDB"/>
    <w:rsid w:val="00311F58"/>
    <w:rsid w:val="00312420"/>
    <w:rsid w:val="00312540"/>
    <w:rsid w:val="00312786"/>
    <w:rsid w:val="00312D87"/>
    <w:rsid w:val="00312EF3"/>
    <w:rsid w:val="00313073"/>
    <w:rsid w:val="00313188"/>
    <w:rsid w:val="003131FA"/>
    <w:rsid w:val="00313209"/>
    <w:rsid w:val="003134FB"/>
    <w:rsid w:val="00313986"/>
    <w:rsid w:val="00313A26"/>
    <w:rsid w:val="00313B2A"/>
    <w:rsid w:val="00313E14"/>
    <w:rsid w:val="003140E8"/>
    <w:rsid w:val="0031486F"/>
    <w:rsid w:val="00314999"/>
    <w:rsid w:val="00314A48"/>
    <w:rsid w:val="00315D86"/>
    <w:rsid w:val="00316CE5"/>
    <w:rsid w:val="00316DA1"/>
    <w:rsid w:val="00316E8F"/>
    <w:rsid w:val="0031728C"/>
    <w:rsid w:val="003173A8"/>
    <w:rsid w:val="003174DE"/>
    <w:rsid w:val="00317A29"/>
    <w:rsid w:val="00317AA0"/>
    <w:rsid w:val="00317ABB"/>
    <w:rsid w:val="00320196"/>
    <w:rsid w:val="00320CC2"/>
    <w:rsid w:val="0032133D"/>
    <w:rsid w:val="0032144D"/>
    <w:rsid w:val="0032196D"/>
    <w:rsid w:val="003223F3"/>
    <w:rsid w:val="003225AD"/>
    <w:rsid w:val="0032297B"/>
    <w:rsid w:val="00322A1D"/>
    <w:rsid w:val="00322B52"/>
    <w:rsid w:val="00322D2A"/>
    <w:rsid w:val="0032306D"/>
    <w:rsid w:val="003230AE"/>
    <w:rsid w:val="00323231"/>
    <w:rsid w:val="00323303"/>
    <w:rsid w:val="00323A19"/>
    <w:rsid w:val="00323AC7"/>
    <w:rsid w:val="00323B3E"/>
    <w:rsid w:val="00323DBB"/>
    <w:rsid w:val="00323E36"/>
    <w:rsid w:val="00323F1D"/>
    <w:rsid w:val="003240F1"/>
    <w:rsid w:val="00324272"/>
    <w:rsid w:val="00324286"/>
    <w:rsid w:val="00324631"/>
    <w:rsid w:val="00324C3F"/>
    <w:rsid w:val="003252F1"/>
    <w:rsid w:val="00325863"/>
    <w:rsid w:val="00325E70"/>
    <w:rsid w:val="00325EBD"/>
    <w:rsid w:val="00325FBC"/>
    <w:rsid w:val="003263D2"/>
    <w:rsid w:val="003263D6"/>
    <w:rsid w:val="003264AE"/>
    <w:rsid w:val="00326877"/>
    <w:rsid w:val="003268B6"/>
    <w:rsid w:val="00326A90"/>
    <w:rsid w:val="00326FCB"/>
    <w:rsid w:val="0032729A"/>
    <w:rsid w:val="003272F4"/>
    <w:rsid w:val="003275E8"/>
    <w:rsid w:val="00327695"/>
    <w:rsid w:val="003276C5"/>
    <w:rsid w:val="00327830"/>
    <w:rsid w:val="00327866"/>
    <w:rsid w:val="00327A63"/>
    <w:rsid w:val="00330081"/>
    <w:rsid w:val="003301E9"/>
    <w:rsid w:val="00330280"/>
    <w:rsid w:val="00330B20"/>
    <w:rsid w:val="00330D43"/>
    <w:rsid w:val="00330D9E"/>
    <w:rsid w:val="00330E40"/>
    <w:rsid w:val="00331093"/>
    <w:rsid w:val="00331336"/>
    <w:rsid w:val="00331989"/>
    <w:rsid w:val="003319C0"/>
    <w:rsid w:val="00331A68"/>
    <w:rsid w:val="00332225"/>
    <w:rsid w:val="00332625"/>
    <w:rsid w:val="00332649"/>
    <w:rsid w:val="00332835"/>
    <w:rsid w:val="0033285C"/>
    <w:rsid w:val="00332956"/>
    <w:rsid w:val="00332AD5"/>
    <w:rsid w:val="00332C41"/>
    <w:rsid w:val="00333042"/>
    <w:rsid w:val="00333AB7"/>
    <w:rsid w:val="0033403A"/>
    <w:rsid w:val="0033426C"/>
    <w:rsid w:val="003342AF"/>
    <w:rsid w:val="00334496"/>
    <w:rsid w:val="00334725"/>
    <w:rsid w:val="0033489E"/>
    <w:rsid w:val="00334A8A"/>
    <w:rsid w:val="00334CAF"/>
    <w:rsid w:val="00334D7D"/>
    <w:rsid w:val="0033507B"/>
    <w:rsid w:val="003353B2"/>
    <w:rsid w:val="0033545C"/>
    <w:rsid w:val="00335790"/>
    <w:rsid w:val="00335A40"/>
    <w:rsid w:val="00335AFB"/>
    <w:rsid w:val="00335E7A"/>
    <w:rsid w:val="0033631E"/>
    <w:rsid w:val="003365E3"/>
    <w:rsid w:val="00336637"/>
    <w:rsid w:val="003367CC"/>
    <w:rsid w:val="00336825"/>
    <w:rsid w:val="00336BD8"/>
    <w:rsid w:val="00336FB2"/>
    <w:rsid w:val="003370E3"/>
    <w:rsid w:val="003372A6"/>
    <w:rsid w:val="00337729"/>
    <w:rsid w:val="0033776F"/>
    <w:rsid w:val="0033799F"/>
    <w:rsid w:val="00337AB9"/>
    <w:rsid w:val="00337ED5"/>
    <w:rsid w:val="00337FFA"/>
    <w:rsid w:val="00340096"/>
    <w:rsid w:val="00340478"/>
    <w:rsid w:val="0034059E"/>
    <w:rsid w:val="00340661"/>
    <w:rsid w:val="0034067A"/>
    <w:rsid w:val="00340AFC"/>
    <w:rsid w:val="00340BD7"/>
    <w:rsid w:val="00340C4B"/>
    <w:rsid w:val="00340D3B"/>
    <w:rsid w:val="00341376"/>
    <w:rsid w:val="003418B8"/>
    <w:rsid w:val="00341B9A"/>
    <w:rsid w:val="00341C66"/>
    <w:rsid w:val="00341F98"/>
    <w:rsid w:val="00342091"/>
    <w:rsid w:val="0034229D"/>
    <w:rsid w:val="0034236B"/>
    <w:rsid w:val="0034262A"/>
    <w:rsid w:val="003426BD"/>
    <w:rsid w:val="00342796"/>
    <w:rsid w:val="00342811"/>
    <w:rsid w:val="0034298D"/>
    <w:rsid w:val="00342C1A"/>
    <w:rsid w:val="00342CF5"/>
    <w:rsid w:val="00343001"/>
    <w:rsid w:val="003431D0"/>
    <w:rsid w:val="00343809"/>
    <w:rsid w:val="00343D57"/>
    <w:rsid w:val="00343DC8"/>
    <w:rsid w:val="00343E56"/>
    <w:rsid w:val="00344079"/>
    <w:rsid w:val="003440A1"/>
    <w:rsid w:val="00344254"/>
    <w:rsid w:val="00344666"/>
    <w:rsid w:val="00344677"/>
    <w:rsid w:val="00344727"/>
    <w:rsid w:val="003447A1"/>
    <w:rsid w:val="00344808"/>
    <w:rsid w:val="00344E93"/>
    <w:rsid w:val="00344F0F"/>
    <w:rsid w:val="0034503E"/>
    <w:rsid w:val="0034511B"/>
    <w:rsid w:val="00345449"/>
    <w:rsid w:val="00345AC4"/>
    <w:rsid w:val="00345F3F"/>
    <w:rsid w:val="00345F42"/>
    <w:rsid w:val="003467A4"/>
    <w:rsid w:val="0034720E"/>
    <w:rsid w:val="00347549"/>
    <w:rsid w:val="00347999"/>
    <w:rsid w:val="003479A8"/>
    <w:rsid w:val="00347ABA"/>
    <w:rsid w:val="00347D90"/>
    <w:rsid w:val="00347E83"/>
    <w:rsid w:val="00347EB3"/>
    <w:rsid w:val="0035018F"/>
    <w:rsid w:val="003501F7"/>
    <w:rsid w:val="00350217"/>
    <w:rsid w:val="0035029E"/>
    <w:rsid w:val="003502BD"/>
    <w:rsid w:val="00350491"/>
    <w:rsid w:val="003504CD"/>
    <w:rsid w:val="00350F2D"/>
    <w:rsid w:val="00350FC7"/>
    <w:rsid w:val="003510E9"/>
    <w:rsid w:val="00351398"/>
    <w:rsid w:val="003514CB"/>
    <w:rsid w:val="00351607"/>
    <w:rsid w:val="0035168F"/>
    <w:rsid w:val="003519F3"/>
    <w:rsid w:val="00351D1E"/>
    <w:rsid w:val="00351D8B"/>
    <w:rsid w:val="00351DC5"/>
    <w:rsid w:val="003521A0"/>
    <w:rsid w:val="003521E2"/>
    <w:rsid w:val="003528C2"/>
    <w:rsid w:val="0035293B"/>
    <w:rsid w:val="00352FDC"/>
    <w:rsid w:val="00353305"/>
    <w:rsid w:val="0035333F"/>
    <w:rsid w:val="003534F8"/>
    <w:rsid w:val="00353680"/>
    <w:rsid w:val="003538CA"/>
    <w:rsid w:val="00353B04"/>
    <w:rsid w:val="00353B62"/>
    <w:rsid w:val="00353DF3"/>
    <w:rsid w:val="00353FB1"/>
    <w:rsid w:val="0035404A"/>
    <w:rsid w:val="0035483A"/>
    <w:rsid w:val="00354EC7"/>
    <w:rsid w:val="0035500B"/>
    <w:rsid w:val="003550D1"/>
    <w:rsid w:val="003553D7"/>
    <w:rsid w:val="003557DA"/>
    <w:rsid w:val="003558A6"/>
    <w:rsid w:val="00355A62"/>
    <w:rsid w:val="00355B60"/>
    <w:rsid w:val="00355C8B"/>
    <w:rsid w:val="00355D5A"/>
    <w:rsid w:val="003564DB"/>
    <w:rsid w:val="003568DF"/>
    <w:rsid w:val="00356B93"/>
    <w:rsid w:val="00356D12"/>
    <w:rsid w:val="0035713D"/>
    <w:rsid w:val="003576EC"/>
    <w:rsid w:val="00357C98"/>
    <w:rsid w:val="00360915"/>
    <w:rsid w:val="00360D9F"/>
    <w:rsid w:val="00360FC5"/>
    <w:rsid w:val="00360FE6"/>
    <w:rsid w:val="00361154"/>
    <w:rsid w:val="003611AC"/>
    <w:rsid w:val="00361532"/>
    <w:rsid w:val="00361637"/>
    <w:rsid w:val="003619B2"/>
    <w:rsid w:val="00361A07"/>
    <w:rsid w:val="00361B62"/>
    <w:rsid w:val="00361DE4"/>
    <w:rsid w:val="00361DFE"/>
    <w:rsid w:val="00362079"/>
    <w:rsid w:val="0036257E"/>
    <w:rsid w:val="003629F6"/>
    <w:rsid w:val="00362C8D"/>
    <w:rsid w:val="00362D25"/>
    <w:rsid w:val="00362EED"/>
    <w:rsid w:val="00362F07"/>
    <w:rsid w:val="0036326B"/>
    <w:rsid w:val="0036328B"/>
    <w:rsid w:val="00363406"/>
    <w:rsid w:val="00363487"/>
    <w:rsid w:val="00363745"/>
    <w:rsid w:val="0036388E"/>
    <w:rsid w:val="00363928"/>
    <w:rsid w:val="00363ABC"/>
    <w:rsid w:val="0036445D"/>
    <w:rsid w:val="0036466F"/>
    <w:rsid w:val="00364676"/>
    <w:rsid w:val="003648D2"/>
    <w:rsid w:val="0036490A"/>
    <w:rsid w:val="003649DE"/>
    <w:rsid w:val="00364A64"/>
    <w:rsid w:val="00364F4D"/>
    <w:rsid w:val="00365567"/>
    <w:rsid w:val="00365874"/>
    <w:rsid w:val="003658EF"/>
    <w:rsid w:val="003658FF"/>
    <w:rsid w:val="003659A4"/>
    <w:rsid w:val="00365A75"/>
    <w:rsid w:val="00365D64"/>
    <w:rsid w:val="00366016"/>
    <w:rsid w:val="0036658E"/>
    <w:rsid w:val="00366645"/>
    <w:rsid w:val="0036677C"/>
    <w:rsid w:val="003667C7"/>
    <w:rsid w:val="00366D7F"/>
    <w:rsid w:val="00366DF4"/>
    <w:rsid w:val="00366FE5"/>
    <w:rsid w:val="00366FEA"/>
    <w:rsid w:val="00367193"/>
    <w:rsid w:val="003674D5"/>
    <w:rsid w:val="00367517"/>
    <w:rsid w:val="00367537"/>
    <w:rsid w:val="003675F5"/>
    <w:rsid w:val="003708A2"/>
    <w:rsid w:val="00370A48"/>
    <w:rsid w:val="00370CB5"/>
    <w:rsid w:val="00370FF0"/>
    <w:rsid w:val="0037152D"/>
    <w:rsid w:val="0037167E"/>
    <w:rsid w:val="0037198C"/>
    <w:rsid w:val="003719AC"/>
    <w:rsid w:val="00371A6D"/>
    <w:rsid w:val="00372122"/>
    <w:rsid w:val="00372510"/>
    <w:rsid w:val="00372662"/>
    <w:rsid w:val="003726C4"/>
    <w:rsid w:val="003726EA"/>
    <w:rsid w:val="00372868"/>
    <w:rsid w:val="00372923"/>
    <w:rsid w:val="00372E83"/>
    <w:rsid w:val="00373152"/>
    <w:rsid w:val="00374095"/>
    <w:rsid w:val="003741C9"/>
    <w:rsid w:val="003742B1"/>
    <w:rsid w:val="003743EC"/>
    <w:rsid w:val="0037479C"/>
    <w:rsid w:val="00374838"/>
    <w:rsid w:val="00374953"/>
    <w:rsid w:val="00374DDE"/>
    <w:rsid w:val="00375059"/>
    <w:rsid w:val="003754C6"/>
    <w:rsid w:val="00375D68"/>
    <w:rsid w:val="00375DFD"/>
    <w:rsid w:val="00375EF2"/>
    <w:rsid w:val="0037644D"/>
    <w:rsid w:val="0037667D"/>
    <w:rsid w:val="00376B99"/>
    <w:rsid w:val="00376C2F"/>
    <w:rsid w:val="00376D2A"/>
    <w:rsid w:val="00376D57"/>
    <w:rsid w:val="00377071"/>
    <w:rsid w:val="003771B2"/>
    <w:rsid w:val="00377218"/>
    <w:rsid w:val="003772B9"/>
    <w:rsid w:val="003773AF"/>
    <w:rsid w:val="003774F3"/>
    <w:rsid w:val="00377580"/>
    <w:rsid w:val="00377897"/>
    <w:rsid w:val="003779BB"/>
    <w:rsid w:val="00377A83"/>
    <w:rsid w:val="00377BA0"/>
    <w:rsid w:val="003800D0"/>
    <w:rsid w:val="0038023A"/>
    <w:rsid w:val="00380A39"/>
    <w:rsid w:val="00380ADA"/>
    <w:rsid w:val="00380E6D"/>
    <w:rsid w:val="00380F14"/>
    <w:rsid w:val="0038101B"/>
    <w:rsid w:val="0038116F"/>
    <w:rsid w:val="00381178"/>
    <w:rsid w:val="003816BE"/>
    <w:rsid w:val="00381A10"/>
    <w:rsid w:val="00381CBB"/>
    <w:rsid w:val="0038218A"/>
    <w:rsid w:val="003821C8"/>
    <w:rsid w:val="00382360"/>
    <w:rsid w:val="003825A0"/>
    <w:rsid w:val="0038319D"/>
    <w:rsid w:val="003835F1"/>
    <w:rsid w:val="003839E6"/>
    <w:rsid w:val="00383A59"/>
    <w:rsid w:val="003842AA"/>
    <w:rsid w:val="0038449F"/>
    <w:rsid w:val="0038465A"/>
    <w:rsid w:val="00384820"/>
    <w:rsid w:val="00384A5C"/>
    <w:rsid w:val="003854A8"/>
    <w:rsid w:val="00385624"/>
    <w:rsid w:val="00385AD8"/>
    <w:rsid w:val="00385ED1"/>
    <w:rsid w:val="0038600F"/>
    <w:rsid w:val="0038607D"/>
    <w:rsid w:val="0038648C"/>
    <w:rsid w:val="00386773"/>
    <w:rsid w:val="00386799"/>
    <w:rsid w:val="00386854"/>
    <w:rsid w:val="00386884"/>
    <w:rsid w:val="00386D5C"/>
    <w:rsid w:val="003870A6"/>
    <w:rsid w:val="003870ED"/>
    <w:rsid w:val="003871EA"/>
    <w:rsid w:val="0038739F"/>
    <w:rsid w:val="0038745D"/>
    <w:rsid w:val="003876BF"/>
    <w:rsid w:val="003879B3"/>
    <w:rsid w:val="0039030E"/>
    <w:rsid w:val="0039089B"/>
    <w:rsid w:val="0039100D"/>
    <w:rsid w:val="00391A89"/>
    <w:rsid w:val="00391ABF"/>
    <w:rsid w:val="00391D1B"/>
    <w:rsid w:val="00391DC7"/>
    <w:rsid w:val="00391F76"/>
    <w:rsid w:val="0039262B"/>
    <w:rsid w:val="003926DF"/>
    <w:rsid w:val="0039285A"/>
    <w:rsid w:val="00392871"/>
    <w:rsid w:val="00392984"/>
    <w:rsid w:val="00392BF5"/>
    <w:rsid w:val="00392C92"/>
    <w:rsid w:val="00392EDA"/>
    <w:rsid w:val="00393155"/>
    <w:rsid w:val="003935C9"/>
    <w:rsid w:val="00393B77"/>
    <w:rsid w:val="00393CA4"/>
    <w:rsid w:val="003944E8"/>
    <w:rsid w:val="003948B1"/>
    <w:rsid w:val="00394A89"/>
    <w:rsid w:val="00394D0A"/>
    <w:rsid w:val="00395161"/>
    <w:rsid w:val="00395235"/>
    <w:rsid w:val="0039527B"/>
    <w:rsid w:val="0039531E"/>
    <w:rsid w:val="0039539D"/>
    <w:rsid w:val="003953FC"/>
    <w:rsid w:val="0039572B"/>
    <w:rsid w:val="00395795"/>
    <w:rsid w:val="003958BA"/>
    <w:rsid w:val="00395AE5"/>
    <w:rsid w:val="00395D4E"/>
    <w:rsid w:val="003961FE"/>
    <w:rsid w:val="003967AC"/>
    <w:rsid w:val="00396E3D"/>
    <w:rsid w:val="00396F38"/>
    <w:rsid w:val="00396FC1"/>
    <w:rsid w:val="00397099"/>
    <w:rsid w:val="0039710E"/>
    <w:rsid w:val="00397237"/>
    <w:rsid w:val="00397517"/>
    <w:rsid w:val="00397674"/>
    <w:rsid w:val="00397789"/>
    <w:rsid w:val="003978CB"/>
    <w:rsid w:val="003A0473"/>
    <w:rsid w:val="003A0C6D"/>
    <w:rsid w:val="003A0E55"/>
    <w:rsid w:val="003A0E5C"/>
    <w:rsid w:val="003A101B"/>
    <w:rsid w:val="003A120C"/>
    <w:rsid w:val="003A15B4"/>
    <w:rsid w:val="003A1907"/>
    <w:rsid w:val="003A1935"/>
    <w:rsid w:val="003A1C02"/>
    <w:rsid w:val="003A1DAC"/>
    <w:rsid w:val="003A1E95"/>
    <w:rsid w:val="003A1EC6"/>
    <w:rsid w:val="003A1FA3"/>
    <w:rsid w:val="003A1FE1"/>
    <w:rsid w:val="003A217A"/>
    <w:rsid w:val="003A23A1"/>
    <w:rsid w:val="003A25C7"/>
    <w:rsid w:val="003A2686"/>
    <w:rsid w:val="003A273F"/>
    <w:rsid w:val="003A2914"/>
    <w:rsid w:val="003A2A52"/>
    <w:rsid w:val="003A2B1D"/>
    <w:rsid w:val="003A30C3"/>
    <w:rsid w:val="003A328A"/>
    <w:rsid w:val="003A3417"/>
    <w:rsid w:val="003A34A5"/>
    <w:rsid w:val="003A3527"/>
    <w:rsid w:val="003A377C"/>
    <w:rsid w:val="003A3983"/>
    <w:rsid w:val="003A3C49"/>
    <w:rsid w:val="003A3DA1"/>
    <w:rsid w:val="003A3F70"/>
    <w:rsid w:val="003A40B7"/>
    <w:rsid w:val="003A4463"/>
    <w:rsid w:val="003A45DB"/>
    <w:rsid w:val="003A4956"/>
    <w:rsid w:val="003A49A3"/>
    <w:rsid w:val="003A4B62"/>
    <w:rsid w:val="003A4BAA"/>
    <w:rsid w:val="003A4EF0"/>
    <w:rsid w:val="003A50F3"/>
    <w:rsid w:val="003A53FF"/>
    <w:rsid w:val="003A55E7"/>
    <w:rsid w:val="003A562C"/>
    <w:rsid w:val="003A5B09"/>
    <w:rsid w:val="003A5FAB"/>
    <w:rsid w:val="003A6171"/>
    <w:rsid w:val="003A6304"/>
    <w:rsid w:val="003A63BB"/>
    <w:rsid w:val="003A645F"/>
    <w:rsid w:val="003A66BD"/>
    <w:rsid w:val="003A673C"/>
    <w:rsid w:val="003A6A38"/>
    <w:rsid w:val="003A6E7F"/>
    <w:rsid w:val="003A6EA4"/>
    <w:rsid w:val="003A7016"/>
    <w:rsid w:val="003A745E"/>
    <w:rsid w:val="003A756D"/>
    <w:rsid w:val="003A7577"/>
    <w:rsid w:val="003A7E57"/>
    <w:rsid w:val="003B01AF"/>
    <w:rsid w:val="003B01E5"/>
    <w:rsid w:val="003B098A"/>
    <w:rsid w:val="003B0997"/>
    <w:rsid w:val="003B0C92"/>
    <w:rsid w:val="003B0D49"/>
    <w:rsid w:val="003B0E1B"/>
    <w:rsid w:val="003B0E21"/>
    <w:rsid w:val="003B1129"/>
    <w:rsid w:val="003B1208"/>
    <w:rsid w:val="003B1236"/>
    <w:rsid w:val="003B127D"/>
    <w:rsid w:val="003B1498"/>
    <w:rsid w:val="003B171A"/>
    <w:rsid w:val="003B174D"/>
    <w:rsid w:val="003B2318"/>
    <w:rsid w:val="003B2513"/>
    <w:rsid w:val="003B2835"/>
    <w:rsid w:val="003B31E0"/>
    <w:rsid w:val="003B3225"/>
    <w:rsid w:val="003B3D25"/>
    <w:rsid w:val="003B3FB0"/>
    <w:rsid w:val="003B456D"/>
    <w:rsid w:val="003B45CC"/>
    <w:rsid w:val="003B499E"/>
    <w:rsid w:val="003B4FE5"/>
    <w:rsid w:val="003B5356"/>
    <w:rsid w:val="003B55B3"/>
    <w:rsid w:val="003B5A5F"/>
    <w:rsid w:val="003B5B6A"/>
    <w:rsid w:val="003B5C0D"/>
    <w:rsid w:val="003B5D5C"/>
    <w:rsid w:val="003B6208"/>
    <w:rsid w:val="003B6330"/>
    <w:rsid w:val="003B660C"/>
    <w:rsid w:val="003B6615"/>
    <w:rsid w:val="003B66A2"/>
    <w:rsid w:val="003B66A4"/>
    <w:rsid w:val="003B67E6"/>
    <w:rsid w:val="003B6848"/>
    <w:rsid w:val="003B6915"/>
    <w:rsid w:val="003B6C59"/>
    <w:rsid w:val="003B6DB8"/>
    <w:rsid w:val="003B6DF4"/>
    <w:rsid w:val="003B6E1F"/>
    <w:rsid w:val="003B6F38"/>
    <w:rsid w:val="003B6FFD"/>
    <w:rsid w:val="003B7005"/>
    <w:rsid w:val="003B77AA"/>
    <w:rsid w:val="003B78D6"/>
    <w:rsid w:val="003B7A79"/>
    <w:rsid w:val="003C043A"/>
    <w:rsid w:val="003C0813"/>
    <w:rsid w:val="003C092B"/>
    <w:rsid w:val="003C093F"/>
    <w:rsid w:val="003C0FBE"/>
    <w:rsid w:val="003C11B6"/>
    <w:rsid w:val="003C11DD"/>
    <w:rsid w:val="003C15C4"/>
    <w:rsid w:val="003C1C48"/>
    <w:rsid w:val="003C1F22"/>
    <w:rsid w:val="003C201C"/>
    <w:rsid w:val="003C2287"/>
    <w:rsid w:val="003C250C"/>
    <w:rsid w:val="003C272A"/>
    <w:rsid w:val="003C27EB"/>
    <w:rsid w:val="003C2B40"/>
    <w:rsid w:val="003C2BCF"/>
    <w:rsid w:val="003C3036"/>
    <w:rsid w:val="003C33DB"/>
    <w:rsid w:val="003C35DB"/>
    <w:rsid w:val="003C3BB5"/>
    <w:rsid w:val="003C3DC7"/>
    <w:rsid w:val="003C3DE2"/>
    <w:rsid w:val="003C4193"/>
    <w:rsid w:val="003C423D"/>
    <w:rsid w:val="003C43EB"/>
    <w:rsid w:val="003C47C5"/>
    <w:rsid w:val="003C4DEE"/>
    <w:rsid w:val="003C4F30"/>
    <w:rsid w:val="003C500D"/>
    <w:rsid w:val="003C51A4"/>
    <w:rsid w:val="003C520C"/>
    <w:rsid w:val="003C5588"/>
    <w:rsid w:val="003C5721"/>
    <w:rsid w:val="003C59C7"/>
    <w:rsid w:val="003C5E42"/>
    <w:rsid w:val="003C5E58"/>
    <w:rsid w:val="003C6048"/>
    <w:rsid w:val="003C62BD"/>
    <w:rsid w:val="003C63D0"/>
    <w:rsid w:val="003C65F2"/>
    <w:rsid w:val="003C6732"/>
    <w:rsid w:val="003C67A0"/>
    <w:rsid w:val="003C6905"/>
    <w:rsid w:val="003C6DE0"/>
    <w:rsid w:val="003C7370"/>
    <w:rsid w:val="003C7566"/>
    <w:rsid w:val="003C7805"/>
    <w:rsid w:val="003C7859"/>
    <w:rsid w:val="003C798B"/>
    <w:rsid w:val="003C7C92"/>
    <w:rsid w:val="003C7D00"/>
    <w:rsid w:val="003C7D60"/>
    <w:rsid w:val="003C7DCD"/>
    <w:rsid w:val="003C7E98"/>
    <w:rsid w:val="003C7F21"/>
    <w:rsid w:val="003D0614"/>
    <w:rsid w:val="003D066F"/>
    <w:rsid w:val="003D1124"/>
    <w:rsid w:val="003D13E5"/>
    <w:rsid w:val="003D160B"/>
    <w:rsid w:val="003D160C"/>
    <w:rsid w:val="003D18F7"/>
    <w:rsid w:val="003D1B1F"/>
    <w:rsid w:val="003D1B65"/>
    <w:rsid w:val="003D1B83"/>
    <w:rsid w:val="003D1B8E"/>
    <w:rsid w:val="003D2200"/>
    <w:rsid w:val="003D2380"/>
    <w:rsid w:val="003D23D3"/>
    <w:rsid w:val="003D26C0"/>
    <w:rsid w:val="003D27DC"/>
    <w:rsid w:val="003D2A83"/>
    <w:rsid w:val="003D2AB7"/>
    <w:rsid w:val="003D2DA4"/>
    <w:rsid w:val="003D32C7"/>
    <w:rsid w:val="003D33D0"/>
    <w:rsid w:val="003D3630"/>
    <w:rsid w:val="003D374E"/>
    <w:rsid w:val="003D3AEE"/>
    <w:rsid w:val="003D3C10"/>
    <w:rsid w:val="003D3FE1"/>
    <w:rsid w:val="003D40FD"/>
    <w:rsid w:val="003D4255"/>
    <w:rsid w:val="003D432E"/>
    <w:rsid w:val="003D44FB"/>
    <w:rsid w:val="003D466A"/>
    <w:rsid w:val="003D47B3"/>
    <w:rsid w:val="003D4918"/>
    <w:rsid w:val="003D4B67"/>
    <w:rsid w:val="003D4C0C"/>
    <w:rsid w:val="003D505B"/>
    <w:rsid w:val="003D58B9"/>
    <w:rsid w:val="003D58C0"/>
    <w:rsid w:val="003D58D9"/>
    <w:rsid w:val="003D5A3A"/>
    <w:rsid w:val="003D5A6E"/>
    <w:rsid w:val="003D652A"/>
    <w:rsid w:val="003D69DD"/>
    <w:rsid w:val="003D6BA0"/>
    <w:rsid w:val="003D6C0C"/>
    <w:rsid w:val="003D6DB2"/>
    <w:rsid w:val="003D7061"/>
    <w:rsid w:val="003D7373"/>
    <w:rsid w:val="003D7A63"/>
    <w:rsid w:val="003D7B8F"/>
    <w:rsid w:val="003D7BBA"/>
    <w:rsid w:val="003D7C33"/>
    <w:rsid w:val="003E0113"/>
    <w:rsid w:val="003E01B2"/>
    <w:rsid w:val="003E05AB"/>
    <w:rsid w:val="003E0604"/>
    <w:rsid w:val="003E0663"/>
    <w:rsid w:val="003E0669"/>
    <w:rsid w:val="003E067B"/>
    <w:rsid w:val="003E0725"/>
    <w:rsid w:val="003E0A2D"/>
    <w:rsid w:val="003E0A46"/>
    <w:rsid w:val="003E0E3C"/>
    <w:rsid w:val="003E0FC2"/>
    <w:rsid w:val="003E0FF3"/>
    <w:rsid w:val="003E1174"/>
    <w:rsid w:val="003E117F"/>
    <w:rsid w:val="003E1331"/>
    <w:rsid w:val="003E15AB"/>
    <w:rsid w:val="003E1A08"/>
    <w:rsid w:val="003E1E0D"/>
    <w:rsid w:val="003E1F13"/>
    <w:rsid w:val="003E21FB"/>
    <w:rsid w:val="003E2853"/>
    <w:rsid w:val="003E2862"/>
    <w:rsid w:val="003E2BD3"/>
    <w:rsid w:val="003E3071"/>
    <w:rsid w:val="003E3415"/>
    <w:rsid w:val="003E34E1"/>
    <w:rsid w:val="003E372E"/>
    <w:rsid w:val="003E3B90"/>
    <w:rsid w:val="003E3B9E"/>
    <w:rsid w:val="003E3CD1"/>
    <w:rsid w:val="003E3DF0"/>
    <w:rsid w:val="003E406F"/>
    <w:rsid w:val="003E4088"/>
    <w:rsid w:val="003E4491"/>
    <w:rsid w:val="003E466F"/>
    <w:rsid w:val="003E4AF7"/>
    <w:rsid w:val="003E4B8F"/>
    <w:rsid w:val="003E4FE8"/>
    <w:rsid w:val="003E53CA"/>
    <w:rsid w:val="003E54AB"/>
    <w:rsid w:val="003E58D4"/>
    <w:rsid w:val="003E5C24"/>
    <w:rsid w:val="003E5D59"/>
    <w:rsid w:val="003E6489"/>
    <w:rsid w:val="003E64D4"/>
    <w:rsid w:val="003E689F"/>
    <w:rsid w:val="003E6ABF"/>
    <w:rsid w:val="003E6DDD"/>
    <w:rsid w:val="003E6FFD"/>
    <w:rsid w:val="003E73D4"/>
    <w:rsid w:val="003E73DD"/>
    <w:rsid w:val="003E75B9"/>
    <w:rsid w:val="003E79FD"/>
    <w:rsid w:val="003E7A28"/>
    <w:rsid w:val="003E7A42"/>
    <w:rsid w:val="003E7AC8"/>
    <w:rsid w:val="003E7B82"/>
    <w:rsid w:val="003E7BD2"/>
    <w:rsid w:val="003E7DC7"/>
    <w:rsid w:val="003E7E44"/>
    <w:rsid w:val="003EF8F5"/>
    <w:rsid w:val="003F0340"/>
    <w:rsid w:val="003F03AF"/>
    <w:rsid w:val="003F0E6E"/>
    <w:rsid w:val="003F0FE7"/>
    <w:rsid w:val="003F1082"/>
    <w:rsid w:val="003F11B2"/>
    <w:rsid w:val="003F120A"/>
    <w:rsid w:val="003F121E"/>
    <w:rsid w:val="003F14F8"/>
    <w:rsid w:val="003F1607"/>
    <w:rsid w:val="003F200C"/>
    <w:rsid w:val="003F2778"/>
    <w:rsid w:val="003F2D47"/>
    <w:rsid w:val="003F326A"/>
    <w:rsid w:val="003F33C5"/>
    <w:rsid w:val="003F351D"/>
    <w:rsid w:val="003F356A"/>
    <w:rsid w:val="003F356C"/>
    <w:rsid w:val="003F35B3"/>
    <w:rsid w:val="003F3785"/>
    <w:rsid w:val="003F378E"/>
    <w:rsid w:val="003F3F0E"/>
    <w:rsid w:val="003F423B"/>
    <w:rsid w:val="003F4441"/>
    <w:rsid w:val="003F44A8"/>
    <w:rsid w:val="003F44DD"/>
    <w:rsid w:val="003F4560"/>
    <w:rsid w:val="003F45B0"/>
    <w:rsid w:val="003F4B57"/>
    <w:rsid w:val="003F4CDF"/>
    <w:rsid w:val="003F4E9E"/>
    <w:rsid w:val="003F50F0"/>
    <w:rsid w:val="003F513C"/>
    <w:rsid w:val="003F52AF"/>
    <w:rsid w:val="003F52B3"/>
    <w:rsid w:val="003F5AB7"/>
    <w:rsid w:val="003F5BA2"/>
    <w:rsid w:val="003F6255"/>
    <w:rsid w:val="003F629D"/>
    <w:rsid w:val="003F62EA"/>
    <w:rsid w:val="003F6720"/>
    <w:rsid w:val="003F6A51"/>
    <w:rsid w:val="003F6B39"/>
    <w:rsid w:val="003F7033"/>
    <w:rsid w:val="003F7254"/>
    <w:rsid w:val="003F7729"/>
    <w:rsid w:val="003F7738"/>
    <w:rsid w:val="003F7974"/>
    <w:rsid w:val="003F7AA0"/>
    <w:rsid w:val="003F7D47"/>
    <w:rsid w:val="003F7F1C"/>
    <w:rsid w:val="00400023"/>
    <w:rsid w:val="00400205"/>
    <w:rsid w:val="00400753"/>
    <w:rsid w:val="0040076C"/>
    <w:rsid w:val="00400952"/>
    <w:rsid w:val="004009DA"/>
    <w:rsid w:val="00400AFF"/>
    <w:rsid w:val="00400B03"/>
    <w:rsid w:val="00400B13"/>
    <w:rsid w:val="004012C8"/>
    <w:rsid w:val="004012DB"/>
    <w:rsid w:val="0040134E"/>
    <w:rsid w:val="004015C7"/>
    <w:rsid w:val="0040176D"/>
    <w:rsid w:val="0040195D"/>
    <w:rsid w:val="00401A06"/>
    <w:rsid w:val="00401C36"/>
    <w:rsid w:val="00401D9E"/>
    <w:rsid w:val="00401E54"/>
    <w:rsid w:val="0040230E"/>
    <w:rsid w:val="00402480"/>
    <w:rsid w:val="0040271D"/>
    <w:rsid w:val="00402786"/>
    <w:rsid w:val="004029AF"/>
    <w:rsid w:val="00402B23"/>
    <w:rsid w:val="00402E86"/>
    <w:rsid w:val="0040337D"/>
    <w:rsid w:val="0040351C"/>
    <w:rsid w:val="00403632"/>
    <w:rsid w:val="004038CE"/>
    <w:rsid w:val="00403901"/>
    <w:rsid w:val="004039E9"/>
    <w:rsid w:val="00403DD2"/>
    <w:rsid w:val="00404155"/>
    <w:rsid w:val="004044CA"/>
    <w:rsid w:val="004044DB"/>
    <w:rsid w:val="00404B2B"/>
    <w:rsid w:val="00404CA5"/>
    <w:rsid w:val="00404F37"/>
    <w:rsid w:val="00404FD8"/>
    <w:rsid w:val="00405230"/>
    <w:rsid w:val="0040539D"/>
    <w:rsid w:val="0040570A"/>
    <w:rsid w:val="00405789"/>
    <w:rsid w:val="00405839"/>
    <w:rsid w:val="004059D4"/>
    <w:rsid w:val="00405A7F"/>
    <w:rsid w:val="00405B95"/>
    <w:rsid w:val="00405C79"/>
    <w:rsid w:val="00405E41"/>
    <w:rsid w:val="0040602E"/>
    <w:rsid w:val="004060AC"/>
    <w:rsid w:val="00406164"/>
    <w:rsid w:val="004065CD"/>
    <w:rsid w:val="004066C1"/>
    <w:rsid w:val="00406C09"/>
    <w:rsid w:val="00406DBC"/>
    <w:rsid w:val="00406EE4"/>
    <w:rsid w:val="00407184"/>
    <w:rsid w:val="004077FF"/>
    <w:rsid w:val="0040789C"/>
    <w:rsid w:val="004079DE"/>
    <w:rsid w:val="00407B28"/>
    <w:rsid w:val="00407C5D"/>
    <w:rsid w:val="00407F83"/>
    <w:rsid w:val="00410092"/>
    <w:rsid w:val="004104D9"/>
    <w:rsid w:val="004105E1"/>
    <w:rsid w:val="004106C0"/>
    <w:rsid w:val="00410738"/>
    <w:rsid w:val="0041079E"/>
    <w:rsid w:val="004107AA"/>
    <w:rsid w:val="004107B2"/>
    <w:rsid w:val="004108C1"/>
    <w:rsid w:val="00410E12"/>
    <w:rsid w:val="00410EC2"/>
    <w:rsid w:val="00411306"/>
    <w:rsid w:val="00411311"/>
    <w:rsid w:val="00411466"/>
    <w:rsid w:val="004116FA"/>
    <w:rsid w:val="00411B02"/>
    <w:rsid w:val="00411C18"/>
    <w:rsid w:val="00411C88"/>
    <w:rsid w:val="00411DBC"/>
    <w:rsid w:val="00411E3E"/>
    <w:rsid w:val="004121BF"/>
    <w:rsid w:val="004127F5"/>
    <w:rsid w:val="00412F4B"/>
    <w:rsid w:val="00413080"/>
    <w:rsid w:val="0041316E"/>
    <w:rsid w:val="004135EE"/>
    <w:rsid w:val="0041362E"/>
    <w:rsid w:val="00413790"/>
    <w:rsid w:val="00413978"/>
    <w:rsid w:val="00413A2E"/>
    <w:rsid w:val="0041402B"/>
    <w:rsid w:val="004140C9"/>
    <w:rsid w:val="00414197"/>
    <w:rsid w:val="00414202"/>
    <w:rsid w:val="0041468C"/>
    <w:rsid w:val="00414A33"/>
    <w:rsid w:val="00414CF4"/>
    <w:rsid w:val="004153DC"/>
    <w:rsid w:val="00415623"/>
    <w:rsid w:val="00415974"/>
    <w:rsid w:val="00416015"/>
    <w:rsid w:val="00416032"/>
    <w:rsid w:val="004161DE"/>
    <w:rsid w:val="004167C9"/>
    <w:rsid w:val="004168FA"/>
    <w:rsid w:val="00416BA8"/>
    <w:rsid w:val="00416C38"/>
    <w:rsid w:val="00416F89"/>
    <w:rsid w:val="0041712C"/>
    <w:rsid w:val="004171EB"/>
    <w:rsid w:val="00417692"/>
    <w:rsid w:val="0041783C"/>
    <w:rsid w:val="00417A20"/>
    <w:rsid w:val="00417DBB"/>
    <w:rsid w:val="00420465"/>
    <w:rsid w:val="00420CCE"/>
    <w:rsid w:val="00421918"/>
    <w:rsid w:val="0042191A"/>
    <w:rsid w:val="00421CAB"/>
    <w:rsid w:val="00421CDF"/>
    <w:rsid w:val="00421E75"/>
    <w:rsid w:val="0042278A"/>
    <w:rsid w:val="00422879"/>
    <w:rsid w:val="00422BD4"/>
    <w:rsid w:val="004232EE"/>
    <w:rsid w:val="004233B8"/>
    <w:rsid w:val="004234CD"/>
    <w:rsid w:val="0042399A"/>
    <w:rsid w:val="00423BF0"/>
    <w:rsid w:val="0042484D"/>
    <w:rsid w:val="00424CB8"/>
    <w:rsid w:val="00424D49"/>
    <w:rsid w:val="0042532F"/>
    <w:rsid w:val="0042555A"/>
    <w:rsid w:val="004255B6"/>
    <w:rsid w:val="00425659"/>
    <w:rsid w:val="004257C4"/>
    <w:rsid w:val="00425876"/>
    <w:rsid w:val="00425F33"/>
    <w:rsid w:val="004260BF"/>
    <w:rsid w:val="0042651A"/>
    <w:rsid w:val="00426750"/>
    <w:rsid w:val="004269AA"/>
    <w:rsid w:val="00426B07"/>
    <w:rsid w:val="00426C19"/>
    <w:rsid w:val="00426D9E"/>
    <w:rsid w:val="00427706"/>
    <w:rsid w:val="004278DB"/>
    <w:rsid w:val="00430178"/>
    <w:rsid w:val="00430278"/>
    <w:rsid w:val="00430313"/>
    <w:rsid w:val="004304B5"/>
    <w:rsid w:val="00430DDA"/>
    <w:rsid w:val="00430E62"/>
    <w:rsid w:val="00430FF2"/>
    <w:rsid w:val="004312B7"/>
    <w:rsid w:val="004314B6"/>
    <w:rsid w:val="00431793"/>
    <w:rsid w:val="00431921"/>
    <w:rsid w:val="00431B09"/>
    <w:rsid w:val="00431C81"/>
    <w:rsid w:val="00431F89"/>
    <w:rsid w:val="0043232C"/>
    <w:rsid w:val="00432519"/>
    <w:rsid w:val="0043253A"/>
    <w:rsid w:val="004325A4"/>
    <w:rsid w:val="004325C1"/>
    <w:rsid w:val="0043278B"/>
    <w:rsid w:val="00432D47"/>
    <w:rsid w:val="00432EA4"/>
    <w:rsid w:val="00432F72"/>
    <w:rsid w:val="00433729"/>
    <w:rsid w:val="00433740"/>
    <w:rsid w:val="00433C15"/>
    <w:rsid w:val="00433DBF"/>
    <w:rsid w:val="00434341"/>
    <w:rsid w:val="0043446E"/>
    <w:rsid w:val="004346EA"/>
    <w:rsid w:val="00434D4D"/>
    <w:rsid w:val="00435272"/>
    <w:rsid w:val="004358C1"/>
    <w:rsid w:val="00435A51"/>
    <w:rsid w:val="00435A7F"/>
    <w:rsid w:val="00435AA2"/>
    <w:rsid w:val="00435AAF"/>
    <w:rsid w:val="00436011"/>
    <w:rsid w:val="0043611B"/>
    <w:rsid w:val="004369EA"/>
    <w:rsid w:val="00436BFD"/>
    <w:rsid w:val="00436C71"/>
    <w:rsid w:val="00436EC7"/>
    <w:rsid w:val="00436F79"/>
    <w:rsid w:val="00437428"/>
    <w:rsid w:val="00437875"/>
    <w:rsid w:val="004378FC"/>
    <w:rsid w:val="00437A0D"/>
    <w:rsid w:val="00437A97"/>
    <w:rsid w:val="00437EDD"/>
    <w:rsid w:val="0044016B"/>
    <w:rsid w:val="004401E0"/>
    <w:rsid w:val="00440492"/>
    <w:rsid w:val="00440D4A"/>
    <w:rsid w:val="00440D7D"/>
    <w:rsid w:val="00440EAD"/>
    <w:rsid w:val="00440EC9"/>
    <w:rsid w:val="00441629"/>
    <w:rsid w:val="00441695"/>
    <w:rsid w:val="004417E0"/>
    <w:rsid w:val="00441A73"/>
    <w:rsid w:val="00441B7A"/>
    <w:rsid w:val="00441BFA"/>
    <w:rsid w:val="00441FCA"/>
    <w:rsid w:val="00442308"/>
    <w:rsid w:val="004423ED"/>
    <w:rsid w:val="0044253D"/>
    <w:rsid w:val="00442705"/>
    <w:rsid w:val="00442AB4"/>
    <w:rsid w:val="004430FA"/>
    <w:rsid w:val="0044324A"/>
    <w:rsid w:val="00443659"/>
    <w:rsid w:val="00443802"/>
    <w:rsid w:val="00443A3A"/>
    <w:rsid w:val="00443BA3"/>
    <w:rsid w:val="00443F23"/>
    <w:rsid w:val="00444172"/>
    <w:rsid w:val="004444D4"/>
    <w:rsid w:val="0044475C"/>
    <w:rsid w:val="00444AC9"/>
    <w:rsid w:val="00444C6E"/>
    <w:rsid w:val="00444F80"/>
    <w:rsid w:val="00444FC4"/>
    <w:rsid w:val="00445018"/>
    <w:rsid w:val="004454CF"/>
    <w:rsid w:val="00445574"/>
    <w:rsid w:val="00445611"/>
    <w:rsid w:val="0044575E"/>
    <w:rsid w:val="004457AA"/>
    <w:rsid w:val="00445AAD"/>
    <w:rsid w:val="00445B14"/>
    <w:rsid w:val="00445D92"/>
    <w:rsid w:val="00445DF1"/>
    <w:rsid w:val="004463E4"/>
    <w:rsid w:val="00446424"/>
    <w:rsid w:val="00446654"/>
    <w:rsid w:val="0044667C"/>
    <w:rsid w:val="004467C3"/>
    <w:rsid w:val="00446958"/>
    <w:rsid w:val="00446B21"/>
    <w:rsid w:val="00446EFC"/>
    <w:rsid w:val="00446F5E"/>
    <w:rsid w:val="00447276"/>
    <w:rsid w:val="0044740B"/>
    <w:rsid w:val="0044777E"/>
    <w:rsid w:val="00447AF6"/>
    <w:rsid w:val="0045029F"/>
    <w:rsid w:val="00450400"/>
    <w:rsid w:val="00450415"/>
    <w:rsid w:val="004504BE"/>
    <w:rsid w:val="004509E9"/>
    <w:rsid w:val="00450C50"/>
    <w:rsid w:val="00450ECC"/>
    <w:rsid w:val="00451290"/>
    <w:rsid w:val="00451565"/>
    <w:rsid w:val="00451574"/>
    <w:rsid w:val="0045157C"/>
    <w:rsid w:val="004516CF"/>
    <w:rsid w:val="0045173B"/>
    <w:rsid w:val="004521B5"/>
    <w:rsid w:val="004521D6"/>
    <w:rsid w:val="0045220E"/>
    <w:rsid w:val="00452254"/>
    <w:rsid w:val="004523A9"/>
    <w:rsid w:val="004528BB"/>
    <w:rsid w:val="004528F0"/>
    <w:rsid w:val="0045290E"/>
    <w:rsid w:val="00452D2A"/>
    <w:rsid w:val="00452F5F"/>
    <w:rsid w:val="004531B6"/>
    <w:rsid w:val="00453372"/>
    <w:rsid w:val="0045355E"/>
    <w:rsid w:val="0045357B"/>
    <w:rsid w:val="00453604"/>
    <w:rsid w:val="00453BD4"/>
    <w:rsid w:val="00453C6C"/>
    <w:rsid w:val="00453D4A"/>
    <w:rsid w:val="00453FD2"/>
    <w:rsid w:val="0045419B"/>
    <w:rsid w:val="00454248"/>
    <w:rsid w:val="00454419"/>
    <w:rsid w:val="004544B7"/>
    <w:rsid w:val="0045479A"/>
    <w:rsid w:val="004548B2"/>
    <w:rsid w:val="004549B4"/>
    <w:rsid w:val="0045524A"/>
    <w:rsid w:val="004552C3"/>
    <w:rsid w:val="004553DC"/>
    <w:rsid w:val="004558B2"/>
    <w:rsid w:val="00455C03"/>
    <w:rsid w:val="00455EA2"/>
    <w:rsid w:val="00456079"/>
    <w:rsid w:val="00456759"/>
    <w:rsid w:val="00456A2C"/>
    <w:rsid w:val="00456C34"/>
    <w:rsid w:val="00457015"/>
    <w:rsid w:val="0045708C"/>
    <w:rsid w:val="004571D2"/>
    <w:rsid w:val="00457209"/>
    <w:rsid w:val="0045748F"/>
    <w:rsid w:val="004577B7"/>
    <w:rsid w:val="0046017A"/>
    <w:rsid w:val="004608A8"/>
    <w:rsid w:val="00460C1A"/>
    <w:rsid w:val="00460C38"/>
    <w:rsid w:val="00460E60"/>
    <w:rsid w:val="00460F11"/>
    <w:rsid w:val="00461732"/>
    <w:rsid w:val="0046196B"/>
    <w:rsid w:val="00461EA4"/>
    <w:rsid w:val="00462220"/>
    <w:rsid w:val="00462CA4"/>
    <w:rsid w:val="00462CC2"/>
    <w:rsid w:val="00462EA3"/>
    <w:rsid w:val="00462ED6"/>
    <w:rsid w:val="00463201"/>
    <w:rsid w:val="004632BE"/>
    <w:rsid w:val="004632D3"/>
    <w:rsid w:val="004632E5"/>
    <w:rsid w:val="0046354B"/>
    <w:rsid w:val="0046398D"/>
    <w:rsid w:val="00463A19"/>
    <w:rsid w:val="00463A3B"/>
    <w:rsid w:val="00463FE5"/>
    <w:rsid w:val="00464626"/>
    <w:rsid w:val="00464633"/>
    <w:rsid w:val="004646A5"/>
    <w:rsid w:val="00464C9B"/>
    <w:rsid w:val="00464CB2"/>
    <w:rsid w:val="00464D4D"/>
    <w:rsid w:val="00464E00"/>
    <w:rsid w:val="00465F09"/>
    <w:rsid w:val="0046630E"/>
    <w:rsid w:val="00466480"/>
    <w:rsid w:val="00466781"/>
    <w:rsid w:val="00466B8A"/>
    <w:rsid w:val="00466C8F"/>
    <w:rsid w:val="0046752B"/>
    <w:rsid w:val="00467764"/>
    <w:rsid w:val="00467850"/>
    <w:rsid w:val="004678A2"/>
    <w:rsid w:val="0046791D"/>
    <w:rsid w:val="00467A31"/>
    <w:rsid w:val="004700BD"/>
    <w:rsid w:val="004700E5"/>
    <w:rsid w:val="0047034D"/>
    <w:rsid w:val="0047036A"/>
    <w:rsid w:val="00470497"/>
    <w:rsid w:val="00470689"/>
    <w:rsid w:val="00470999"/>
    <w:rsid w:val="004709A0"/>
    <w:rsid w:val="00471E7F"/>
    <w:rsid w:val="00471F3A"/>
    <w:rsid w:val="0047211C"/>
    <w:rsid w:val="00472252"/>
    <w:rsid w:val="00472419"/>
    <w:rsid w:val="0047257E"/>
    <w:rsid w:val="004725CE"/>
    <w:rsid w:val="00472746"/>
    <w:rsid w:val="00472B1F"/>
    <w:rsid w:val="00472E02"/>
    <w:rsid w:val="0047318F"/>
    <w:rsid w:val="004731AD"/>
    <w:rsid w:val="004731C1"/>
    <w:rsid w:val="00473264"/>
    <w:rsid w:val="00473555"/>
    <w:rsid w:val="004735AD"/>
    <w:rsid w:val="00473A09"/>
    <w:rsid w:val="00473A64"/>
    <w:rsid w:val="00473B0C"/>
    <w:rsid w:val="00473C3A"/>
    <w:rsid w:val="00473CDC"/>
    <w:rsid w:val="00473DB8"/>
    <w:rsid w:val="00473E2A"/>
    <w:rsid w:val="00474377"/>
    <w:rsid w:val="004746B4"/>
    <w:rsid w:val="00474F0B"/>
    <w:rsid w:val="00474FF1"/>
    <w:rsid w:val="004752F7"/>
    <w:rsid w:val="004757F1"/>
    <w:rsid w:val="00475A7D"/>
    <w:rsid w:val="00475D4B"/>
    <w:rsid w:val="00475F2C"/>
    <w:rsid w:val="00475F69"/>
    <w:rsid w:val="0047606A"/>
    <w:rsid w:val="004761C0"/>
    <w:rsid w:val="0047627C"/>
    <w:rsid w:val="004768AF"/>
    <w:rsid w:val="00476B08"/>
    <w:rsid w:val="00477078"/>
    <w:rsid w:val="00477387"/>
    <w:rsid w:val="004773DF"/>
    <w:rsid w:val="004774A7"/>
    <w:rsid w:val="004774EF"/>
    <w:rsid w:val="00477511"/>
    <w:rsid w:val="0047786B"/>
    <w:rsid w:val="00477E52"/>
    <w:rsid w:val="00477FA8"/>
    <w:rsid w:val="0047E099"/>
    <w:rsid w:val="00480291"/>
    <w:rsid w:val="00480534"/>
    <w:rsid w:val="00480781"/>
    <w:rsid w:val="00480B4D"/>
    <w:rsid w:val="00480D85"/>
    <w:rsid w:val="0048110F"/>
    <w:rsid w:val="004813F7"/>
    <w:rsid w:val="0048155A"/>
    <w:rsid w:val="00481647"/>
    <w:rsid w:val="00481B84"/>
    <w:rsid w:val="00482220"/>
    <w:rsid w:val="00482414"/>
    <w:rsid w:val="0048254D"/>
    <w:rsid w:val="0048317D"/>
    <w:rsid w:val="0048331A"/>
    <w:rsid w:val="004833EB"/>
    <w:rsid w:val="00483496"/>
    <w:rsid w:val="0048369E"/>
    <w:rsid w:val="004837BB"/>
    <w:rsid w:val="00483819"/>
    <w:rsid w:val="00483B9E"/>
    <w:rsid w:val="00483BC3"/>
    <w:rsid w:val="00483D9C"/>
    <w:rsid w:val="004841D7"/>
    <w:rsid w:val="00484457"/>
    <w:rsid w:val="004849B1"/>
    <w:rsid w:val="00484D12"/>
    <w:rsid w:val="004851E6"/>
    <w:rsid w:val="0048557C"/>
    <w:rsid w:val="004857BD"/>
    <w:rsid w:val="0048594F"/>
    <w:rsid w:val="00485970"/>
    <w:rsid w:val="00485DDB"/>
    <w:rsid w:val="00485ED5"/>
    <w:rsid w:val="00485EFD"/>
    <w:rsid w:val="00486281"/>
    <w:rsid w:val="0048694E"/>
    <w:rsid w:val="0048698E"/>
    <w:rsid w:val="00486A89"/>
    <w:rsid w:val="00486B0A"/>
    <w:rsid w:val="00486BA1"/>
    <w:rsid w:val="00486E92"/>
    <w:rsid w:val="00486F1D"/>
    <w:rsid w:val="00486F43"/>
    <w:rsid w:val="00486FD3"/>
    <w:rsid w:val="004870B9"/>
    <w:rsid w:val="00487192"/>
    <w:rsid w:val="004871C8"/>
    <w:rsid w:val="004872DF"/>
    <w:rsid w:val="004873F6"/>
    <w:rsid w:val="00487608"/>
    <w:rsid w:val="00487745"/>
    <w:rsid w:val="00487AF2"/>
    <w:rsid w:val="00487E1D"/>
    <w:rsid w:val="00490004"/>
    <w:rsid w:val="0049028C"/>
    <w:rsid w:val="004902E4"/>
    <w:rsid w:val="004905CC"/>
    <w:rsid w:val="004908B5"/>
    <w:rsid w:val="004908F1"/>
    <w:rsid w:val="0049092E"/>
    <w:rsid w:val="00490BAF"/>
    <w:rsid w:val="00490F61"/>
    <w:rsid w:val="00491098"/>
    <w:rsid w:val="00491172"/>
    <w:rsid w:val="00491291"/>
    <w:rsid w:val="0049130D"/>
    <w:rsid w:val="0049136E"/>
    <w:rsid w:val="0049142F"/>
    <w:rsid w:val="0049143C"/>
    <w:rsid w:val="004917C5"/>
    <w:rsid w:val="00491991"/>
    <w:rsid w:val="00491E43"/>
    <w:rsid w:val="00491EF3"/>
    <w:rsid w:val="00491F86"/>
    <w:rsid w:val="00491FAD"/>
    <w:rsid w:val="004924A4"/>
    <w:rsid w:val="00492546"/>
    <w:rsid w:val="0049258E"/>
    <w:rsid w:val="00492658"/>
    <w:rsid w:val="0049277E"/>
    <w:rsid w:val="00492BA9"/>
    <w:rsid w:val="00492D59"/>
    <w:rsid w:val="00492F0F"/>
    <w:rsid w:val="00492FD5"/>
    <w:rsid w:val="00493218"/>
    <w:rsid w:val="00493256"/>
    <w:rsid w:val="00493407"/>
    <w:rsid w:val="0049348D"/>
    <w:rsid w:val="00493859"/>
    <w:rsid w:val="00493A87"/>
    <w:rsid w:val="00493B75"/>
    <w:rsid w:val="00493B91"/>
    <w:rsid w:val="00493BC2"/>
    <w:rsid w:val="00493CD8"/>
    <w:rsid w:val="00494001"/>
    <w:rsid w:val="00494176"/>
    <w:rsid w:val="0049419F"/>
    <w:rsid w:val="00494396"/>
    <w:rsid w:val="00494CA4"/>
    <w:rsid w:val="00494CFF"/>
    <w:rsid w:val="004952FE"/>
    <w:rsid w:val="00495757"/>
    <w:rsid w:val="004959E4"/>
    <w:rsid w:val="00495B06"/>
    <w:rsid w:val="00495F4C"/>
    <w:rsid w:val="004961CA"/>
    <w:rsid w:val="004963B1"/>
    <w:rsid w:val="0049654E"/>
    <w:rsid w:val="00496654"/>
    <w:rsid w:val="004966BF"/>
    <w:rsid w:val="00496795"/>
    <w:rsid w:val="004967FC"/>
    <w:rsid w:val="00496A73"/>
    <w:rsid w:val="00496B3A"/>
    <w:rsid w:val="00496BA0"/>
    <w:rsid w:val="00496EB7"/>
    <w:rsid w:val="00496F27"/>
    <w:rsid w:val="00497015"/>
    <w:rsid w:val="004971FE"/>
    <w:rsid w:val="0049728F"/>
    <w:rsid w:val="00497719"/>
    <w:rsid w:val="00497992"/>
    <w:rsid w:val="00497C59"/>
    <w:rsid w:val="00497F26"/>
    <w:rsid w:val="004A076B"/>
    <w:rsid w:val="004A0B43"/>
    <w:rsid w:val="004A0FB5"/>
    <w:rsid w:val="004A0FED"/>
    <w:rsid w:val="004A0FFC"/>
    <w:rsid w:val="004A1430"/>
    <w:rsid w:val="004A1643"/>
    <w:rsid w:val="004A1663"/>
    <w:rsid w:val="004A1724"/>
    <w:rsid w:val="004A187F"/>
    <w:rsid w:val="004A1DBB"/>
    <w:rsid w:val="004A1F04"/>
    <w:rsid w:val="004A1F59"/>
    <w:rsid w:val="004A223F"/>
    <w:rsid w:val="004A26BE"/>
    <w:rsid w:val="004A286B"/>
    <w:rsid w:val="004A2C05"/>
    <w:rsid w:val="004A2E0A"/>
    <w:rsid w:val="004A2E34"/>
    <w:rsid w:val="004A31FD"/>
    <w:rsid w:val="004A343A"/>
    <w:rsid w:val="004A3877"/>
    <w:rsid w:val="004A396C"/>
    <w:rsid w:val="004A3C0D"/>
    <w:rsid w:val="004A3D3E"/>
    <w:rsid w:val="004A416B"/>
    <w:rsid w:val="004A43F1"/>
    <w:rsid w:val="004A4486"/>
    <w:rsid w:val="004A45B1"/>
    <w:rsid w:val="004A4775"/>
    <w:rsid w:val="004A49BD"/>
    <w:rsid w:val="004A4D40"/>
    <w:rsid w:val="004A4EB9"/>
    <w:rsid w:val="004A5971"/>
    <w:rsid w:val="004A5BB7"/>
    <w:rsid w:val="004A5C08"/>
    <w:rsid w:val="004A5DA0"/>
    <w:rsid w:val="004A5FB8"/>
    <w:rsid w:val="004A5FE8"/>
    <w:rsid w:val="004A6676"/>
    <w:rsid w:val="004A6A0A"/>
    <w:rsid w:val="004A6B7D"/>
    <w:rsid w:val="004A6C23"/>
    <w:rsid w:val="004A6D92"/>
    <w:rsid w:val="004A7686"/>
    <w:rsid w:val="004A7881"/>
    <w:rsid w:val="004A789C"/>
    <w:rsid w:val="004A78D4"/>
    <w:rsid w:val="004A7A91"/>
    <w:rsid w:val="004A7D94"/>
    <w:rsid w:val="004A7F00"/>
    <w:rsid w:val="004B0166"/>
    <w:rsid w:val="004B06E2"/>
    <w:rsid w:val="004B13A1"/>
    <w:rsid w:val="004B151E"/>
    <w:rsid w:val="004B1664"/>
    <w:rsid w:val="004B16A2"/>
    <w:rsid w:val="004B16FD"/>
    <w:rsid w:val="004B177B"/>
    <w:rsid w:val="004B1B82"/>
    <w:rsid w:val="004B1DF9"/>
    <w:rsid w:val="004B21A7"/>
    <w:rsid w:val="004B2C65"/>
    <w:rsid w:val="004B319F"/>
    <w:rsid w:val="004B326A"/>
    <w:rsid w:val="004B32E0"/>
    <w:rsid w:val="004B341E"/>
    <w:rsid w:val="004B373F"/>
    <w:rsid w:val="004B37BD"/>
    <w:rsid w:val="004B38AB"/>
    <w:rsid w:val="004B3B1E"/>
    <w:rsid w:val="004B3FDC"/>
    <w:rsid w:val="004B4198"/>
    <w:rsid w:val="004B42D0"/>
    <w:rsid w:val="004B4550"/>
    <w:rsid w:val="004B458C"/>
    <w:rsid w:val="004B4600"/>
    <w:rsid w:val="004B50DB"/>
    <w:rsid w:val="004B51EC"/>
    <w:rsid w:val="004B51ED"/>
    <w:rsid w:val="004B524B"/>
    <w:rsid w:val="004B59E3"/>
    <w:rsid w:val="004B5B03"/>
    <w:rsid w:val="004B5BB0"/>
    <w:rsid w:val="004B5C0F"/>
    <w:rsid w:val="004B5C5B"/>
    <w:rsid w:val="004B5DB8"/>
    <w:rsid w:val="004B5F9D"/>
    <w:rsid w:val="004B6070"/>
    <w:rsid w:val="004B6110"/>
    <w:rsid w:val="004B6159"/>
    <w:rsid w:val="004B62F0"/>
    <w:rsid w:val="004B690B"/>
    <w:rsid w:val="004B6D66"/>
    <w:rsid w:val="004B6DD7"/>
    <w:rsid w:val="004B71AE"/>
    <w:rsid w:val="004B7251"/>
    <w:rsid w:val="004B7255"/>
    <w:rsid w:val="004B7362"/>
    <w:rsid w:val="004B7366"/>
    <w:rsid w:val="004B742F"/>
    <w:rsid w:val="004B74BA"/>
    <w:rsid w:val="004B74EF"/>
    <w:rsid w:val="004B7934"/>
    <w:rsid w:val="004B7CB7"/>
    <w:rsid w:val="004B7E36"/>
    <w:rsid w:val="004C026E"/>
    <w:rsid w:val="004C0494"/>
    <w:rsid w:val="004C05D1"/>
    <w:rsid w:val="004C074A"/>
    <w:rsid w:val="004C0918"/>
    <w:rsid w:val="004C0BFA"/>
    <w:rsid w:val="004C0C72"/>
    <w:rsid w:val="004C0CFA"/>
    <w:rsid w:val="004C0EF8"/>
    <w:rsid w:val="004C1624"/>
    <w:rsid w:val="004C18C6"/>
    <w:rsid w:val="004C1927"/>
    <w:rsid w:val="004C237D"/>
    <w:rsid w:val="004C244E"/>
    <w:rsid w:val="004C25D4"/>
    <w:rsid w:val="004C2727"/>
    <w:rsid w:val="004C2764"/>
    <w:rsid w:val="004C2860"/>
    <w:rsid w:val="004C2866"/>
    <w:rsid w:val="004C2D49"/>
    <w:rsid w:val="004C31F6"/>
    <w:rsid w:val="004C383E"/>
    <w:rsid w:val="004C3923"/>
    <w:rsid w:val="004C394C"/>
    <w:rsid w:val="004C3B1E"/>
    <w:rsid w:val="004C3C47"/>
    <w:rsid w:val="004C3D02"/>
    <w:rsid w:val="004C3E27"/>
    <w:rsid w:val="004C47BB"/>
    <w:rsid w:val="004C4993"/>
    <w:rsid w:val="004C49F6"/>
    <w:rsid w:val="004C4C21"/>
    <w:rsid w:val="004C5025"/>
    <w:rsid w:val="004C51B1"/>
    <w:rsid w:val="004C57DB"/>
    <w:rsid w:val="004C59BE"/>
    <w:rsid w:val="004C5A07"/>
    <w:rsid w:val="004C5B25"/>
    <w:rsid w:val="004C60A4"/>
    <w:rsid w:val="004C61C6"/>
    <w:rsid w:val="004C62C0"/>
    <w:rsid w:val="004C6572"/>
    <w:rsid w:val="004C6698"/>
    <w:rsid w:val="004C67E8"/>
    <w:rsid w:val="004C6924"/>
    <w:rsid w:val="004C6C56"/>
    <w:rsid w:val="004C6D64"/>
    <w:rsid w:val="004C76A0"/>
    <w:rsid w:val="004C7C01"/>
    <w:rsid w:val="004C7DA0"/>
    <w:rsid w:val="004C7F30"/>
    <w:rsid w:val="004D0715"/>
    <w:rsid w:val="004D0796"/>
    <w:rsid w:val="004D0A6D"/>
    <w:rsid w:val="004D0BBD"/>
    <w:rsid w:val="004D0E51"/>
    <w:rsid w:val="004D10F8"/>
    <w:rsid w:val="004D13D1"/>
    <w:rsid w:val="004D1408"/>
    <w:rsid w:val="004D16F2"/>
    <w:rsid w:val="004D1704"/>
    <w:rsid w:val="004D1953"/>
    <w:rsid w:val="004D200D"/>
    <w:rsid w:val="004D2382"/>
    <w:rsid w:val="004D263E"/>
    <w:rsid w:val="004D27AD"/>
    <w:rsid w:val="004D27AF"/>
    <w:rsid w:val="004D2DDA"/>
    <w:rsid w:val="004D2ED6"/>
    <w:rsid w:val="004D301B"/>
    <w:rsid w:val="004D338B"/>
    <w:rsid w:val="004D338E"/>
    <w:rsid w:val="004D3623"/>
    <w:rsid w:val="004D3644"/>
    <w:rsid w:val="004D3B5F"/>
    <w:rsid w:val="004D3DC7"/>
    <w:rsid w:val="004D3FFF"/>
    <w:rsid w:val="004D4368"/>
    <w:rsid w:val="004D43C6"/>
    <w:rsid w:val="004D4A36"/>
    <w:rsid w:val="004D4C4D"/>
    <w:rsid w:val="004D4F07"/>
    <w:rsid w:val="004D4F34"/>
    <w:rsid w:val="004D4FF3"/>
    <w:rsid w:val="004D51B2"/>
    <w:rsid w:val="004D56E5"/>
    <w:rsid w:val="004D5919"/>
    <w:rsid w:val="004D5EA8"/>
    <w:rsid w:val="004D6040"/>
    <w:rsid w:val="004D6094"/>
    <w:rsid w:val="004D6194"/>
    <w:rsid w:val="004D642C"/>
    <w:rsid w:val="004D6F17"/>
    <w:rsid w:val="004D7037"/>
    <w:rsid w:val="004D74A0"/>
    <w:rsid w:val="004D761B"/>
    <w:rsid w:val="004D7FCF"/>
    <w:rsid w:val="004E049D"/>
    <w:rsid w:val="004E058D"/>
    <w:rsid w:val="004E08B6"/>
    <w:rsid w:val="004E08DB"/>
    <w:rsid w:val="004E0ABA"/>
    <w:rsid w:val="004E0B65"/>
    <w:rsid w:val="004E0B8F"/>
    <w:rsid w:val="004E1101"/>
    <w:rsid w:val="004E12D2"/>
    <w:rsid w:val="004E1381"/>
    <w:rsid w:val="004E13B9"/>
    <w:rsid w:val="004E1435"/>
    <w:rsid w:val="004E1481"/>
    <w:rsid w:val="004E16C9"/>
    <w:rsid w:val="004E17AB"/>
    <w:rsid w:val="004E19FC"/>
    <w:rsid w:val="004E1BA0"/>
    <w:rsid w:val="004E1DA7"/>
    <w:rsid w:val="004E2198"/>
    <w:rsid w:val="004E23F0"/>
    <w:rsid w:val="004E2652"/>
    <w:rsid w:val="004E2C04"/>
    <w:rsid w:val="004E2F37"/>
    <w:rsid w:val="004E2F3F"/>
    <w:rsid w:val="004E3607"/>
    <w:rsid w:val="004E3CA8"/>
    <w:rsid w:val="004E3E78"/>
    <w:rsid w:val="004E40ED"/>
    <w:rsid w:val="004E41EE"/>
    <w:rsid w:val="004E42ED"/>
    <w:rsid w:val="004E4336"/>
    <w:rsid w:val="004E480F"/>
    <w:rsid w:val="004E4D52"/>
    <w:rsid w:val="004E4D91"/>
    <w:rsid w:val="004E4F62"/>
    <w:rsid w:val="004E4F7B"/>
    <w:rsid w:val="004E524D"/>
    <w:rsid w:val="004E52EF"/>
    <w:rsid w:val="004E53C0"/>
    <w:rsid w:val="004E53C8"/>
    <w:rsid w:val="004E54F9"/>
    <w:rsid w:val="004E59C4"/>
    <w:rsid w:val="004E59EF"/>
    <w:rsid w:val="004E5DD0"/>
    <w:rsid w:val="004E5FA0"/>
    <w:rsid w:val="004E6028"/>
    <w:rsid w:val="004E6070"/>
    <w:rsid w:val="004E60DA"/>
    <w:rsid w:val="004E62A5"/>
    <w:rsid w:val="004E64A1"/>
    <w:rsid w:val="004E6523"/>
    <w:rsid w:val="004E66E6"/>
    <w:rsid w:val="004E6AEC"/>
    <w:rsid w:val="004E6D00"/>
    <w:rsid w:val="004E711E"/>
    <w:rsid w:val="004E771C"/>
    <w:rsid w:val="004E7A42"/>
    <w:rsid w:val="004E7BEA"/>
    <w:rsid w:val="004E7C61"/>
    <w:rsid w:val="004F07BA"/>
    <w:rsid w:val="004F07D1"/>
    <w:rsid w:val="004F0A31"/>
    <w:rsid w:val="004F0AF6"/>
    <w:rsid w:val="004F0CD9"/>
    <w:rsid w:val="004F0DE0"/>
    <w:rsid w:val="004F0F70"/>
    <w:rsid w:val="004F11F4"/>
    <w:rsid w:val="004F12E1"/>
    <w:rsid w:val="004F136C"/>
    <w:rsid w:val="004F16AD"/>
    <w:rsid w:val="004F1B33"/>
    <w:rsid w:val="004F2023"/>
    <w:rsid w:val="004F210A"/>
    <w:rsid w:val="004F214C"/>
    <w:rsid w:val="004F24A7"/>
    <w:rsid w:val="004F2657"/>
    <w:rsid w:val="004F27E1"/>
    <w:rsid w:val="004F27E9"/>
    <w:rsid w:val="004F2845"/>
    <w:rsid w:val="004F29A6"/>
    <w:rsid w:val="004F2C86"/>
    <w:rsid w:val="004F2FB6"/>
    <w:rsid w:val="004F3003"/>
    <w:rsid w:val="004F3063"/>
    <w:rsid w:val="004F3487"/>
    <w:rsid w:val="004F3579"/>
    <w:rsid w:val="004F35C3"/>
    <w:rsid w:val="004F39C0"/>
    <w:rsid w:val="004F4108"/>
    <w:rsid w:val="004F4284"/>
    <w:rsid w:val="004F456A"/>
    <w:rsid w:val="004F4A4F"/>
    <w:rsid w:val="004F4B42"/>
    <w:rsid w:val="004F4B65"/>
    <w:rsid w:val="004F4D58"/>
    <w:rsid w:val="004F51C2"/>
    <w:rsid w:val="004F555B"/>
    <w:rsid w:val="004F56A4"/>
    <w:rsid w:val="004F593C"/>
    <w:rsid w:val="004F5A3A"/>
    <w:rsid w:val="004F5A41"/>
    <w:rsid w:val="004F5B2E"/>
    <w:rsid w:val="004F5C4C"/>
    <w:rsid w:val="004F5E5F"/>
    <w:rsid w:val="004F5F50"/>
    <w:rsid w:val="004F620E"/>
    <w:rsid w:val="004F6460"/>
    <w:rsid w:val="004F654A"/>
    <w:rsid w:val="004F6623"/>
    <w:rsid w:val="004F671F"/>
    <w:rsid w:val="004F6C6C"/>
    <w:rsid w:val="004F6E5F"/>
    <w:rsid w:val="004F6ED5"/>
    <w:rsid w:val="004F7528"/>
    <w:rsid w:val="004F7849"/>
    <w:rsid w:val="004F78A3"/>
    <w:rsid w:val="004F7970"/>
    <w:rsid w:val="004F7ABF"/>
    <w:rsid w:val="004F7ECB"/>
    <w:rsid w:val="004F7F00"/>
    <w:rsid w:val="005003B5"/>
    <w:rsid w:val="005005BA"/>
    <w:rsid w:val="00500681"/>
    <w:rsid w:val="005008C1"/>
    <w:rsid w:val="00500B8C"/>
    <w:rsid w:val="00500E47"/>
    <w:rsid w:val="00500FA1"/>
    <w:rsid w:val="00501223"/>
    <w:rsid w:val="005015BB"/>
    <w:rsid w:val="005016A3"/>
    <w:rsid w:val="005018B0"/>
    <w:rsid w:val="00501AD2"/>
    <w:rsid w:val="00501B74"/>
    <w:rsid w:val="00501BEE"/>
    <w:rsid w:val="00501EC7"/>
    <w:rsid w:val="00501F7B"/>
    <w:rsid w:val="00502074"/>
    <w:rsid w:val="0050210E"/>
    <w:rsid w:val="00502177"/>
    <w:rsid w:val="005023CE"/>
    <w:rsid w:val="00502704"/>
    <w:rsid w:val="00503861"/>
    <w:rsid w:val="00503882"/>
    <w:rsid w:val="0050404F"/>
    <w:rsid w:val="0050411A"/>
    <w:rsid w:val="0050412C"/>
    <w:rsid w:val="0050417E"/>
    <w:rsid w:val="0050426D"/>
    <w:rsid w:val="00504702"/>
    <w:rsid w:val="00504A13"/>
    <w:rsid w:val="00504A8C"/>
    <w:rsid w:val="00504B1C"/>
    <w:rsid w:val="00504D2E"/>
    <w:rsid w:val="00504F2C"/>
    <w:rsid w:val="0050543F"/>
    <w:rsid w:val="00505613"/>
    <w:rsid w:val="00505813"/>
    <w:rsid w:val="005058C1"/>
    <w:rsid w:val="005059D4"/>
    <w:rsid w:val="00505A21"/>
    <w:rsid w:val="00505ABD"/>
    <w:rsid w:val="00505BF0"/>
    <w:rsid w:val="00505E4B"/>
    <w:rsid w:val="005062AB"/>
    <w:rsid w:val="005062E9"/>
    <w:rsid w:val="00506602"/>
    <w:rsid w:val="00506659"/>
    <w:rsid w:val="005067BF"/>
    <w:rsid w:val="00506D8E"/>
    <w:rsid w:val="00506E1A"/>
    <w:rsid w:val="00506E8F"/>
    <w:rsid w:val="005070EB"/>
    <w:rsid w:val="00507FCE"/>
    <w:rsid w:val="005101C9"/>
    <w:rsid w:val="005102E5"/>
    <w:rsid w:val="00510542"/>
    <w:rsid w:val="0051063A"/>
    <w:rsid w:val="005106BF"/>
    <w:rsid w:val="00510746"/>
    <w:rsid w:val="0051096F"/>
    <w:rsid w:val="005109C6"/>
    <w:rsid w:val="00510A16"/>
    <w:rsid w:val="00511065"/>
    <w:rsid w:val="00511426"/>
    <w:rsid w:val="00511549"/>
    <w:rsid w:val="0051161A"/>
    <w:rsid w:val="0051169E"/>
    <w:rsid w:val="00511B6F"/>
    <w:rsid w:val="00511C8B"/>
    <w:rsid w:val="00512257"/>
    <w:rsid w:val="0051232C"/>
    <w:rsid w:val="00512480"/>
    <w:rsid w:val="0051261B"/>
    <w:rsid w:val="0051282D"/>
    <w:rsid w:val="00512DEB"/>
    <w:rsid w:val="00513561"/>
    <w:rsid w:val="00513602"/>
    <w:rsid w:val="00513609"/>
    <w:rsid w:val="00513669"/>
    <w:rsid w:val="00513741"/>
    <w:rsid w:val="005137BE"/>
    <w:rsid w:val="00513F45"/>
    <w:rsid w:val="0051473A"/>
    <w:rsid w:val="00514793"/>
    <w:rsid w:val="00514823"/>
    <w:rsid w:val="00514951"/>
    <w:rsid w:val="00514DE1"/>
    <w:rsid w:val="00514EBD"/>
    <w:rsid w:val="00515208"/>
    <w:rsid w:val="00515288"/>
    <w:rsid w:val="0051563C"/>
    <w:rsid w:val="00515793"/>
    <w:rsid w:val="005158F8"/>
    <w:rsid w:val="00515F06"/>
    <w:rsid w:val="005161C0"/>
    <w:rsid w:val="00516297"/>
    <w:rsid w:val="00516B66"/>
    <w:rsid w:val="00516EB8"/>
    <w:rsid w:val="00516F5C"/>
    <w:rsid w:val="00517176"/>
    <w:rsid w:val="00517709"/>
    <w:rsid w:val="00517870"/>
    <w:rsid w:val="00517920"/>
    <w:rsid w:val="005179A2"/>
    <w:rsid w:val="00517A0C"/>
    <w:rsid w:val="00517A9A"/>
    <w:rsid w:val="00517E12"/>
    <w:rsid w:val="005200C0"/>
    <w:rsid w:val="0052014B"/>
    <w:rsid w:val="005201C5"/>
    <w:rsid w:val="0052025B"/>
    <w:rsid w:val="005206DA"/>
    <w:rsid w:val="005206DC"/>
    <w:rsid w:val="00520E23"/>
    <w:rsid w:val="0052106C"/>
    <w:rsid w:val="005211BA"/>
    <w:rsid w:val="005212A3"/>
    <w:rsid w:val="00521345"/>
    <w:rsid w:val="0052194E"/>
    <w:rsid w:val="005219D5"/>
    <w:rsid w:val="00521B8C"/>
    <w:rsid w:val="00521C62"/>
    <w:rsid w:val="0052224B"/>
    <w:rsid w:val="005228F1"/>
    <w:rsid w:val="00522943"/>
    <w:rsid w:val="005229F8"/>
    <w:rsid w:val="00522A0A"/>
    <w:rsid w:val="00522CBF"/>
    <w:rsid w:val="00522FAF"/>
    <w:rsid w:val="00523253"/>
    <w:rsid w:val="00523399"/>
    <w:rsid w:val="0052350E"/>
    <w:rsid w:val="005236E2"/>
    <w:rsid w:val="0052375B"/>
    <w:rsid w:val="005237A4"/>
    <w:rsid w:val="00523AC7"/>
    <w:rsid w:val="00523B8F"/>
    <w:rsid w:val="00523BAA"/>
    <w:rsid w:val="00523FD8"/>
    <w:rsid w:val="005241DC"/>
    <w:rsid w:val="005242E7"/>
    <w:rsid w:val="00524340"/>
    <w:rsid w:val="005243F6"/>
    <w:rsid w:val="005244EC"/>
    <w:rsid w:val="00524D1D"/>
    <w:rsid w:val="00524D3E"/>
    <w:rsid w:val="00524F68"/>
    <w:rsid w:val="00525046"/>
    <w:rsid w:val="005250BE"/>
    <w:rsid w:val="00525315"/>
    <w:rsid w:val="00525339"/>
    <w:rsid w:val="005253A6"/>
    <w:rsid w:val="00525400"/>
    <w:rsid w:val="00525405"/>
    <w:rsid w:val="005254D5"/>
    <w:rsid w:val="005259F0"/>
    <w:rsid w:val="00525B9F"/>
    <w:rsid w:val="00525FB2"/>
    <w:rsid w:val="00526052"/>
    <w:rsid w:val="005260B8"/>
    <w:rsid w:val="005261D0"/>
    <w:rsid w:val="0052635C"/>
    <w:rsid w:val="00526548"/>
    <w:rsid w:val="00526870"/>
    <w:rsid w:val="00526AD9"/>
    <w:rsid w:val="00526E54"/>
    <w:rsid w:val="00527293"/>
    <w:rsid w:val="005274EA"/>
    <w:rsid w:val="005274FC"/>
    <w:rsid w:val="005277D3"/>
    <w:rsid w:val="005277F2"/>
    <w:rsid w:val="00527D5C"/>
    <w:rsid w:val="0053004B"/>
    <w:rsid w:val="005302DE"/>
    <w:rsid w:val="00530698"/>
    <w:rsid w:val="0053088C"/>
    <w:rsid w:val="00531581"/>
    <w:rsid w:val="0053174D"/>
    <w:rsid w:val="00531851"/>
    <w:rsid w:val="00532064"/>
    <w:rsid w:val="00532980"/>
    <w:rsid w:val="00532EC6"/>
    <w:rsid w:val="00532F74"/>
    <w:rsid w:val="00533473"/>
    <w:rsid w:val="00533518"/>
    <w:rsid w:val="0053374F"/>
    <w:rsid w:val="00533AC8"/>
    <w:rsid w:val="00533C29"/>
    <w:rsid w:val="00533D82"/>
    <w:rsid w:val="00533E83"/>
    <w:rsid w:val="00533F18"/>
    <w:rsid w:val="00533FBA"/>
    <w:rsid w:val="005340FA"/>
    <w:rsid w:val="00534130"/>
    <w:rsid w:val="00534902"/>
    <w:rsid w:val="00534AB4"/>
    <w:rsid w:val="00534AD7"/>
    <w:rsid w:val="00535443"/>
    <w:rsid w:val="005355FB"/>
    <w:rsid w:val="0053594B"/>
    <w:rsid w:val="00535988"/>
    <w:rsid w:val="005359B6"/>
    <w:rsid w:val="00535ACC"/>
    <w:rsid w:val="00535DBB"/>
    <w:rsid w:val="00535E19"/>
    <w:rsid w:val="005362FD"/>
    <w:rsid w:val="00536898"/>
    <w:rsid w:val="00536C92"/>
    <w:rsid w:val="00536FCC"/>
    <w:rsid w:val="0053709E"/>
    <w:rsid w:val="00537247"/>
    <w:rsid w:val="005374CA"/>
    <w:rsid w:val="005378F6"/>
    <w:rsid w:val="005379AC"/>
    <w:rsid w:val="00537D26"/>
    <w:rsid w:val="0054002F"/>
    <w:rsid w:val="005401DF"/>
    <w:rsid w:val="0054051B"/>
    <w:rsid w:val="0054083B"/>
    <w:rsid w:val="00540B40"/>
    <w:rsid w:val="00540C75"/>
    <w:rsid w:val="00540CC3"/>
    <w:rsid w:val="005413B6"/>
    <w:rsid w:val="00541508"/>
    <w:rsid w:val="005416A8"/>
    <w:rsid w:val="0054189D"/>
    <w:rsid w:val="00541DFB"/>
    <w:rsid w:val="00541FEA"/>
    <w:rsid w:val="00542061"/>
    <w:rsid w:val="00542196"/>
    <w:rsid w:val="00542A33"/>
    <w:rsid w:val="00542C62"/>
    <w:rsid w:val="00542E52"/>
    <w:rsid w:val="0054322A"/>
    <w:rsid w:val="00543272"/>
    <w:rsid w:val="005434EA"/>
    <w:rsid w:val="00543518"/>
    <w:rsid w:val="00543640"/>
    <w:rsid w:val="005436A8"/>
    <w:rsid w:val="00543727"/>
    <w:rsid w:val="00543CD3"/>
    <w:rsid w:val="00543D32"/>
    <w:rsid w:val="005443A3"/>
    <w:rsid w:val="00544430"/>
    <w:rsid w:val="00544598"/>
    <w:rsid w:val="005446EA"/>
    <w:rsid w:val="005447EC"/>
    <w:rsid w:val="00544F90"/>
    <w:rsid w:val="00545135"/>
    <w:rsid w:val="0054513F"/>
    <w:rsid w:val="00545259"/>
    <w:rsid w:val="005456E5"/>
    <w:rsid w:val="005457CA"/>
    <w:rsid w:val="00545A57"/>
    <w:rsid w:val="00545BAF"/>
    <w:rsid w:val="00545E41"/>
    <w:rsid w:val="00545E97"/>
    <w:rsid w:val="00546178"/>
    <w:rsid w:val="005462B2"/>
    <w:rsid w:val="00546C6A"/>
    <w:rsid w:val="00547760"/>
    <w:rsid w:val="00547867"/>
    <w:rsid w:val="00547B14"/>
    <w:rsid w:val="00550183"/>
    <w:rsid w:val="005503FB"/>
    <w:rsid w:val="0055047C"/>
    <w:rsid w:val="00550546"/>
    <w:rsid w:val="00550989"/>
    <w:rsid w:val="00550AB1"/>
    <w:rsid w:val="00550EEE"/>
    <w:rsid w:val="00551115"/>
    <w:rsid w:val="00551155"/>
    <w:rsid w:val="00551205"/>
    <w:rsid w:val="005512BD"/>
    <w:rsid w:val="0055150B"/>
    <w:rsid w:val="00551659"/>
    <w:rsid w:val="005516DB"/>
    <w:rsid w:val="0055179A"/>
    <w:rsid w:val="00551A5E"/>
    <w:rsid w:val="00551DDF"/>
    <w:rsid w:val="005521CB"/>
    <w:rsid w:val="0055238A"/>
    <w:rsid w:val="00552524"/>
    <w:rsid w:val="00552803"/>
    <w:rsid w:val="00552CB9"/>
    <w:rsid w:val="0055349E"/>
    <w:rsid w:val="00553859"/>
    <w:rsid w:val="005538ED"/>
    <w:rsid w:val="005539F8"/>
    <w:rsid w:val="00553B0B"/>
    <w:rsid w:val="00553DF2"/>
    <w:rsid w:val="00554237"/>
    <w:rsid w:val="005544D8"/>
    <w:rsid w:val="00554623"/>
    <w:rsid w:val="00554811"/>
    <w:rsid w:val="0055484C"/>
    <w:rsid w:val="0055496A"/>
    <w:rsid w:val="005550C8"/>
    <w:rsid w:val="00555344"/>
    <w:rsid w:val="0055561B"/>
    <w:rsid w:val="005556D1"/>
    <w:rsid w:val="0055576B"/>
    <w:rsid w:val="0055580F"/>
    <w:rsid w:val="00555818"/>
    <w:rsid w:val="00555E58"/>
    <w:rsid w:val="0055604C"/>
    <w:rsid w:val="005561E3"/>
    <w:rsid w:val="00556567"/>
    <w:rsid w:val="00556BFE"/>
    <w:rsid w:val="0055729E"/>
    <w:rsid w:val="00557743"/>
    <w:rsid w:val="005579B5"/>
    <w:rsid w:val="005579E5"/>
    <w:rsid w:val="00557B5B"/>
    <w:rsid w:val="00560155"/>
    <w:rsid w:val="00560874"/>
    <w:rsid w:val="00560987"/>
    <w:rsid w:val="00560AD9"/>
    <w:rsid w:val="00560C62"/>
    <w:rsid w:val="00560CA8"/>
    <w:rsid w:val="00560FD3"/>
    <w:rsid w:val="00560FDC"/>
    <w:rsid w:val="0056110E"/>
    <w:rsid w:val="00561449"/>
    <w:rsid w:val="00561453"/>
    <w:rsid w:val="0056188E"/>
    <w:rsid w:val="00561CB0"/>
    <w:rsid w:val="00561CD6"/>
    <w:rsid w:val="00561F7A"/>
    <w:rsid w:val="005621D5"/>
    <w:rsid w:val="00562522"/>
    <w:rsid w:val="00562572"/>
    <w:rsid w:val="00562886"/>
    <w:rsid w:val="00562888"/>
    <w:rsid w:val="00562AA3"/>
    <w:rsid w:val="00562C78"/>
    <w:rsid w:val="00562DE1"/>
    <w:rsid w:val="00562F61"/>
    <w:rsid w:val="00562FC5"/>
    <w:rsid w:val="00563467"/>
    <w:rsid w:val="005636BD"/>
    <w:rsid w:val="00563733"/>
    <w:rsid w:val="005637DD"/>
    <w:rsid w:val="00563A7F"/>
    <w:rsid w:val="00563AB2"/>
    <w:rsid w:val="00563AD0"/>
    <w:rsid w:val="00563EC0"/>
    <w:rsid w:val="0056460F"/>
    <w:rsid w:val="00564620"/>
    <w:rsid w:val="0056490A"/>
    <w:rsid w:val="0056497D"/>
    <w:rsid w:val="00564CF4"/>
    <w:rsid w:val="00564D6A"/>
    <w:rsid w:val="0056503B"/>
    <w:rsid w:val="00565099"/>
    <w:rsid w:val="005653E3"/>
    <w:rsid w:val="00565AE7"/>
    <w:rsid w:val="00565AEF"/>
    <w:rsid w:val="00565CBB"/>
    <w:rsid w:val="00565D10"/>
    <w:rsid w:val="0056616B"/>
    <w:rsid w:val="00566180"/>
    <w:rsid w:val="00566266"/>
    <w:rsid w:val="005662B3"/>
    <w:rsid w:val="005662F4"/>
    <w:rsid w:val="005663D2"/>
    <w:rsid w:val="005664EF"/>
    <w:rsid w:val="005665D4"/>
    <w:rsid w:val="00566BD4"/>
    <w:rsid w:val="00566FC4"/>
    <w:rsid w:val="0056705F"/>
    <w:rsid w:val="00567279"/>
    <w:rsid w:val="005676E4"/>
    <w:rsid w:val="005678BB"/>
    <w:rsid w:val="0057002B"/>
    <w:rsid w:val="0057012B"/>
    <w:rsid w:val="005701E4"/>
    <w:rsid w:val="00571052"/>
    <w:rsid w:val="0057106D"/>
    <w:rsid w:val="005710E8"/>
    <w:rsid w:val="005711A2"/>
    <w:rsid w:val="00571364"/>
    <w:rsid w:val="005713BC"/>
    <w:rsid w:val="00571683"/>
    <w:rsid w:val="00571CCE"/>
    <w:rsid w:val="00571CE8"/>
    <w:rsid w:val="005724F1"/>
    <w:rsid w:val="00572EFB"/>
    <w:rsid w:val="00573718"/>
    <w:rsid w:val="005737EA"/>
    <w:rsid w:val="0057385A"/>
    <w:rsid w:val="00573AC9"/>
    <w:rsid w:val="00573BBC"/>
    <w:rsid w:val="00573CEB"/>
    <w:rsid w:val="00573EFB"/>
    <w:rsid w:val="005741CE"/>
    <w:rsid w:val="005742B5"/>
    <w:rsid w:val="005742FC"/>
    <w:rsid w:val="005743B5"/>
    <w:rsid w:val="005744A5"/>
    <w:rsid w:val="005745FB"/>
    <w:rsid w:val="00574639"/>
    <w:rsid w:val="005746EB"/>
    <w:rsid w:val="00574AC0"/>
    <w:rsid w:val="00574C43"/>
    <w:rsid w:val="00574E03"/>
    <w:rsid w:val="005752D8"/>
    <w:rsid w:val="00575922"/>
    <w:rsid w:val="00575994"/>
    <w:rsid w:val="00575D0C"/>
    <w:rsid w:val="0057614A"/>
    <w:rsid w:val="00576185"/>
    <w:rsid w:val="00576243"/>
    <w:rsid w:val="0057664E"/>
    <w:rsid w:val="00576F9C"/>
    <w:rsid w:val="00577632"/>
    <w:rsid w:val="00577B35"/>
    <w:rsid w:val="00577BC9"/>
    <w:rsid w:val="00577CFA"/>
    <w:rsid w:val="00580570"/>
    <w:rsid w:val="005806B5"/>
    <w:rsid w:val="005806FF"/>
    <w:rsid w:val="00580F5F"/>
    <w:rsid w:val="00580FCC"/>
    <w:rsid w:val="005810B8"/>
    <w:rsid w:val="00581126"/>
    <w:rsid w:val="00581157"/>
    <w:rsid w:val="005812E9"/>
    <w:rsid w:val="00581333"/>
    <w:rsid w:val="00581663"/>
    <w:rsid w:val="005816EA"/>
    <w:rsid w:val="005817FA"/>
    <w:rsid w:val="00581D4B"/>
    <w:rsid w:val="00581F5F"/>
    <w:rsid w:val="0058232B"/>
    <w:rsid w:val="005824C7"/>
    <w:rsid w:val="0058275F"/>
    <w:rsid w:val="00583046"/>
    <w:rsid w:val="0058310C"/>
    <w:rsid w:val="0058318B"/>
    <w:rsid w:val="00583337"/>
    <w:rsid w:val="00583778"/>
    <w:rsid w:val="0058377E"/>
    <w:rsid w:val="00583803"/>
    <w:rsid w:val="00583AEC"/>
    <w:rsid w:val="00583E7D"/>
    <w:rsid w:val="005843D6"/>
    <w:rsid w:val="0058493D"/>
    <w:rsid w:val="00584AC8"/>
    <w:rsid w:val="00584C1D"/>
    <w:rsid w:val="005850FB"/>
    <w:rsid w:val="00585564"/>
    <w:rsid w:val="005858DC"/>
    <w:rsid w:val="00585F92"/>
    <w:rsid w:val="00586865"/>
    <w:rsid w:val="00586A07"/>
    <w:rsid w:val="00587238"/>
    <w:rsid w:val="005873B1"/>
    <w:rsid w:val="0058755E"/>
    <w:rsid w:val="005901E2"/>
    <w:rsid w:val="0059023D"/>
    <w:rsid w:val="005902AC"/>
    <w:rsid w:val="005904F1"/>
    <w:rsid w:val="005906FB"/>
    <w:rsid w:val="00590921"/>
    <w:rsid w:val="00590F08"/>
    <w:rsid w:val="00590F72"/>
    <w:rsid w:val="00590FBD"/>
    <w:rsid w:val="005910B6"/>
    <w:rsid w:val="00591637"/>
    <w:rsid w:val="005917AA"/>
    <w:rsid w:val="00591A04"/>
    <w:rsid w:val="00591A2C"/>
    <w:rsid w:val="00591B2C"/>
    <w:rsid w:val="005924BB"/>
    <w:rsid w:val="0059250E"/>
    <w:rsid w:val="005928CE"/>
    <w:rsid w:val="00592926"/>
    <w:rsid w:val="005929ED"/>
    <w:rsid w:val="00592E09"/>
    <w:rsid w:val="00592E1E"/>
    <w:rsid w:val="005933C3"/>
    <w:rsid w:val="005938E4"/>
    <w:rsid w:val="00593DDC"/>
    <w:rsid w:val="0059419A"/>
    <w:rsid w:val="005943C0"/>
    <w:rsid w:val="0059445B"/>
    <w:rsid w:val="00594510"/>
    <w:rsid w:val="005945E3"/>
    <w:rsid w:val="00594650"/>
    <w:rsid w:val="005946C0"/>
    <w:rsid w:val="00594775"/>
    <w:rsid w:val="00594A6A"/>
    <w:rsid w:val="00594D40"/>
    <w:rsid w:val="00594E16"/>
    <w:rsid w:val="00594F81"/>
    <w:rsid w:val="00595161"/>
    <w:rsid w:val="0059531C"/>
    <w:rsid w:val="005954A5"/>
    <w:rsid w:val="0059571C"/>
    <w:rsid w:val="0059572E"/>
    <w:rsid w:val="00595A7F"/>
    <w:rsid w:val="0059602B"/>
    <w:rsid w:val="00596058"/>
    <w:rsid w:val="0059607C"/>
    <w:rsid w:val="0059646B"/>
    <w:rsid w:val="005968BC"/>
    <w:rsid w:val="00596B82"/>
    <w:rsid w:val="00596E76"/>
    <w:rsid w:val="00596F77"/>
    <w:rsid w:val="00597166"/>
    <w:rsid w:val="00597285"/>
    <w:rsid w:val="0059740B"/>
    <w:rsid w:val="0059756B"/>
    <w:rsid w:val="005976C6"/>
    <w:rsid w:val="005976CA"/>
    <w:rsid w:val="005976CE"/>
    <w:rsid w:val="00597706"/>
    <w:rsid w:val="00597779"/>
    <w:rsid w:val="00597C64"/>
    <w:rsid w:val="00597DC3"/>
    <w:rsid w:val="00597DE6"/>
    <w:rsid w:val="005A00CA"/>
    <w:rsid w:val="005A04FD"/>
    <w:rsid w:val="005A0757"/>
    <w:rsid w:val="005A07FC"/>
    <w:rsid w:val="005A0D79"/>
    <w:rsid w:val="005A0EC1"/>
    <w:rsid w:val="005A0FCA"/>
    <w:rsid w:val="005A0FF5"/>
    <w:rsid w:val="005A1075"/>
    <w:rsid w:val="005A1C49"/>
    <w:rsid w:val="005A1C9F"/>
    <w:rsid w:val="005A1EC4"/>
    <w:rsid w:val="005A205C"/>
    <w:rsid w:val="005A20D3"/>
    <w:rsid w:val="005A28BA"/>
    <w:rsid w:val="005A2A20"/>
    <w:rsid w:val="005A2BC6"/>
    <w:rsid w:val="005A3130"/>
    <w:rsid w:val="005A3337"/>
    <w:rsid w:val="005A3446"/>
    <w:rsid w:val="005A3830"/>
    <w:rsid w:val="005A3C59"/>
    <w:rsid w:val="005A3D00"/>
    <w:rsid w:val="005A3E26"/>
    <w:rsid w:val="005A3EC4"/>
    <w:rsid w:val="005A3F8E"/>
    <w:rsid w:val="005A40D3"/>
    <w:rsid w:val="005A417E"/>
    <w:rsid w:val="005A417F"/>
    <w:rsid w:val="005A42C0"/>
    <w:rsid w:val="005A43B2"/>
    <w:rsid w:val="005A441C"/>
    <w:rsid w:val="005A48D4"/>
    <w:rsid w:val="005A4B19"/>
    <w:rsid w:val="005A4C88"/>
    <w:rsid w:val="005A575C"/>
    <w:rsid w:val="005A58C8"/>
    <w:rsid w:val="005A5E30"/>
    <w:rsid w:val="005A5E9F"/>
    <w:rsid w:val="005A5F03"/>
    <w:rsid w:val="005A634B"/>
    <w:rsid w:val="005A6814"/>
    <w:rsid w:val="005A6878"/>
    <w:rsid w:val="005A68EC"/>
    <w:rsid w:val="005A6E65"/>
    <w:rsid w:val="005A702E"/>
    <w:rsid w:val="005A707B"/>
    <w:rsid w:val="005A74B6"/>
    <w:rsid w:val="005A7527"/>
    <w:rsid w:val="005A7ABF"/>
    <w:rsid w:val="005A7D0C"/>
    <w:rsid w:val="005A7D53"/>
    <w:rsid w:val="005A7FC2"/>
    <w:rsid w:val="005B03F5"/>
    <w:rsid w:val="005B08FE"/>
    <w:rsid w:val="005B0963"/>
    <w:rsid w:val="005B0BFA"/>
    <w:rsid w:val="005B0F92"/>
    <w:rsid w:val="005B10D3"/>
    <w:rsid w:val="005B13AE"/>
    <w:rsid w:val="005B16CA"/>
    <w:rsid w:val="005B1CE3"/>
    <w:rsid w:val="005B1CEE"/>
    <w:rsid w:val="005B1D72"/>
    <w:rsid w:val="005B1D73"/>
    <w:rsid w:val="005B1D82"/>
    <w:rsid w:val="005B1F28"/>
    <w:rsid w:val="005B2064"/>
    <w:rsid w:val="005B2407"/>
    <w:rsid w:val="005B261D"/>
    <w:rsid w:val="005B2635"/>
    <w:rsid w:val="005B2943"/>
    <w:rsid w:val="005B2AA9"/>
    <w:rsid w:val="005B2C2C"/>
    <w:rsid w:val="005B2FD0"/>
    <w:rsid w:val="005B301A"/>
    <w:rsid w:val="005B31EA"/>
    <w:rsid w:val="005B35C2"/>
    <w:rsid w:val="005B3644"/>
    <w:rsid w:val="005B36DA"/>
    <w:rsid w:val="005B39E8"/>
    <w:rsid w:val="005B3F79"/>
    <w:rsid w:val="005B4202"/>
    <w:rsid w:val="005B4623"/>
    <w:rsid w:val="005B49CD"/>
    <w:rsid w:val="005B4A6B"/>
    <w:rsid w:val="005B4C3D"/>
    <w:rsid w:val="005B4CB4"/>
    <w:rsid w:val="005B4CDF"/>
    <w:rsid w:val="005B5094"/>
    <w:rsid w:val="005B524D"/>
    <w:rsid w:val="005B52A4"/>
    <w:rsid w:val="005B5C1E"/>
    <w:rsid w:val="005B5DBB"/>
    <w:rsid w:val="005B5F34"/>
    <w:rsid w:val="005B61A2"/>
    <w:rsid w:val="005B658C"/>
    <w:rsid w:val="005B6A23"/>
    <w:rsid w:val="005B6F57"/>
    <w:rsid w:val="005B79AB"/>
    <w:rsid w:val="005B7B62"/>
    <w:rsid w:val="005B7CF3"/>
    <w:rsid w:val="005C032A"/>
    <w:rsid w:val="005C0520"/>
    <w:rsid w:val="005C06CC"/>
    <w:rsid w:val="005C0A2D"/>
    <w:rsid w:val="005C0DF5"/>
    <w:rsid w:val="005C13FC"/>
    <w:rsid w:val="005C14FC"/>
    <w:rsid w:val="005C165A"/>
    <w:rsid w:val="005C1CBD"/>
    <w:rsid w:val="005C1D45"/>
    <w:rsid w:val="005C2CB1"/>
    <w:rsid w:val="005C2CF1"/>
    <w:rsid w:val="005C32A0"/>
    <w:rsid w:val="005C32CD"/>
    <w:rsid w:val="005C397C"/>
    <w:rsid w:val="005C3A8C"/>
    <w:rsid w:val="005C3E1F"/>
    <w:rsid w:val="005C4230"/>
    <w:rsid w:val="005C4291"/>
    <w:rsid w:val="005C42AC"/>
    <w:rsid w:val="005C4975"/>
    <w:rsid w:val="005C4B2E"/>
    <w:rsid w:val="005C4B74"/>
    <w:rsid w:val="005C4BC4"/>
    <w:rsid w:val="005C4C45"/>
    <w:rsid w:val="005C5085"/>
    <w:rsid w:val="005C5913"/>
    <w:rsid w:val="005C5AC3"/>
    <w:rsid w:val="005C5B5E"/>
    <w:rsid w:val="005C6071"/>
    <w:rsid w:val="005C6C33"/>
    <w:rsid w:val="005C6CED"/>
    <w:rsid w:val="005C6CFB"/>
    <w:rsid w:val="005C6E09"/>
    <w:rsid w:val="005C6F0B"/>
    <w:rsid w:val="005C703E"/>
    <w:rsid w:val="005C7428"/>
    <w:rsid w:val="005C7638"/>
    <w:rsid w:val="005C79DF"/>
    <w:rsid w:val="005C7C0E"/>
    <w:rsid w:val="005C7ED3"/>
    <w:rsid w:val="005D0213"/>
    <w:rsid w:val="005D032B"/>
    <w:rsid w:val="005D0464"/>
    <w:rsid w:val="005D094D"/>
    <w:rsid w:val="005D0D0C"/>
    <w:rsid w:val="005D0F7D"/>
    <w:rsid w:val="005D10B5"/>
    <w:rsid w:val="005D1569"/>
    <w:rsid w:val="005D158A"/>
    <w:rsid w:val="005D176E"/>
    <w:rsid w:val="005D27A2"/>
    <w:rsid w:val="005D2870"/>
    <w:rsid w:val="005D2BC2"/>
    <w:rsid w:val="005D2DBB"/>
    <w:rsid w:val="005D2DED"/>
    <w:rsid w:val="005D2F0E"/>
    <w:rsid w:val="005D31DD"/>
    <w:rsid w:val="005D3476"/>
    <w:rsid w:val="005D3D39"/>
    <w:rsid w:val="005D3D61"/>
    <w:rsid w:val="005D472A"/>
    <w:rsid w:val="005D4744"/>
    <w:rsid w:val="005D47EC"/>
    <w:rsid w:val="005D4931"/>
    <w:rsid w:val="005D4BB3"/>
    <w:rsid w:val="005D4D95"/>
    <w:rsid w:val="005D4E06"/>
    <w:rsid w:val="005D50BE"/>
    <w:rsid w:val="005D5228"/>
    <w:rsid w:val="005D56CE"/>
    <w:rsid w:val="005D56D5"/>
    <w:rsid w:val="005D5793"/>
    <w:rsid w:val="005D593D"/>
    <w:rsid w:val="005D5B81"/>
    <w:rsid w:val="005D5C8E"/>
    <w:rsid w:val="005D612E"/>
    <w:rsid w:val="005D63F3"/>
    <w:rsid w:val="005D64B2"/>
    <w:rsid w:val="005D67FC"/>
    <w:rsid w:val="005D6828"/>
    <w:rsid w:val="005D68D8"/>
    <w:rsid w:val="005D6CC9"/>
    <w:rsid w:val="005D6DC9"/>
    <w:rsid w:val="005D6F71"/>
    <w:rsid w:val="005D7436"/>
    <w:rsid w:val="005D74F7"/>
    <w:rsid w:val="005D755B"/>
    <w:rsid w:val="005D767F"/>
    <w:rsid w:val="005E007B"/>
    <w:rsid w:val="005E00B1"/>
    <w:rsid w:val="005E0B64"/>
    <w:rsid w:val="005E0DB5"/>
    <w:rsid w:val="005E0DC8"/>
    <w:rsid w:val="005E0F08"/>
    <w:rsid w:val="005E102F"/>
    <w:rsid w:val="005E182D"/>
    <w:rsid w:val="005E18D7"/>
    <w:rsid w:val="005E1D1F"/>
    <w:rsid w:val="005E1DFD"/>
    <w:rsid w:val="005E1F78"/>
    <w:rsid w:val="005E1FE3"/>
    <w:rsid w:val="005E2022"/>
    <w:rsid w:val="005E254B"/>
    <w:rsid w:val="005E27F7"/>
    <w:rsid w:val="005E29FD"/>
    <w:rsid w:val="005E2CED"/>
    <w:rsid w:val="005E3506"/>
    <w:rsid w:val="005E358E"/>
    <w:rsid w:val="005E3687"/>
    <w:rsid w:val="005E37F9"/>
    <w:rsid w:val="005E39B9"/>
    <w:rsid w:val="005E3F77"/>
    <w:rsid w:val="005E3FDB"/>
    <w:rsid w:val="005E405C"/>
    <w:rsid w:val="005E43B2"/>
    <w:rsid w:val="005E43C1"/>
    <w:rsid w:val="005E454B"/>
    <w:rsid w:val="005E4A4E"/>
    <w:rsid w:val="005E4C8C"/>
    <w:rsid w:val="005E53BD"/>
    <w:rsid w:val="005E553E"/>
    <w:rsid w:val="005E5742"/>
    <w:rsid w:val="005E5ACC"/>
    <w:rsid w:val="005E5EAC"/>
    <w:rsid w:val="005E6063"/>
    <w:rsid w:val="005E662F"/>
    <w:rsid w:val="005E66FA"/>
    <w:rsid w:val="005E6755"/>
    <w:rsid w:val="005E67CC"/>
    <w:rsid w:val="005E6AA0"/>
    <w:rsid w:val="005E6C1E"/>
    <w:rsid w:val="005E6EC9"/>
    <w:rsid w:val="005E6FCD"/>
    <w:rsid w:val="005E7428"/>
    <w:rsid w:val="005E7746"/>
    <w:rsid w:val="005E77DC"/>
    <w:rsid w:val="005E7849"/>
    <w:rsid w:val="005E78A2"/>
    <w:rsid w:val="005E7A2B"/>
    <w:rsid w:val="005E7D7A"/>
    <w:rsid w:val="005F08A6"/>
    <w:rsid w:val="005F093B"/>
    <w:rsid w:val="005F0BEC"/>
    <w:rsid w:val="005F0CF8"/>
    <w:rsid w:val="005F0F12"/>
    <w:rsid w:val="005F0F46"/>
    <w:rsid w:val="005F12EF"/>
    <w:rsid w:val="005F15EE"/>
    <w:rsid w:val="005F1AB5"/>
    <w:rsid w:val="005F1ADE"/>
    <w:rsid w:val="005F1B19"/>
    <w:rsid w:val="005F1C02"/>
    <w:rsid w:val="005F1D1D"/>
    <w:rsid w:val="005F1E27"/>
    <w:rsid w:val="005F2222"/>
    <w:rsid w:val="005F2270"/>
    <w:rsid w:val="005F22A7"/>
    <w:rsid w:val="005F2368"/>
    <w:rsid w:val="005F27E1"/>
    <w:rsid w:val="005F287C"/>
    <w:rsid w:val="005F2F73"/>
    <w:rsid w:val="005F30EA"/>
    <w:rsid w:val="005F316D"/>
    <w:rsid w:val="005F345C"/>
    <w:rsid w:val="005F35C9"/>
    <w:rsid w:val="005F366D"/>
    <w:rsid w:val="005F36AB"/>
    <w:rsid w:val="005F3FAF"/>
    <w:rsid w:val="005F4018"/>
    <w:rsid w:val="005F41BF"/>
    <w:rsid w:val="005F4679"/>
    <w:rsid w:val="005F480B"/>
    <w:rsid w:val="005F4C81"/>
    <w:rsid w:val="005F4D27"/>
    <w:rsid w:val="005F514F"/>
    <w:rsid w:val="005F5281"/>
    <w:rsid w:val="005F549D"/>
    <w:rsid w:val="005F5635"/>
    <w:rsid w:val="005F5975"/>
    <w:rsid w:val="005F5F35"/>
    <w:rsid w:val="005F6080"/>
    <w:rsid w:val="005F60F0"/>
    <w:rsid w:val="005F6610"/>
    <w:rsid w:val="005F6729"/>
    <w:rsid w:val="005F6763"/>
    <w:rsid w:val="005F68D9"/>
    <w:rsid w:val="005F7081"/>
    <w:rsid w:val="005F738F"/>
    <w:rsid w:val="005F7E1F"/>
    <w:rsid w:val="005F7FE3"/>
    <w:rsid w:val="0060060B"/>
    <w:rsid w:val="00600847"/>
    <w:rsid w:val="00600A11"/>
    <w:rsid w:val="00600A89"/>
    <w:rsid w:val="00600D48"/>
    <w:rsid w:val="00600E07"/>
    <w:rsid w:val="00600E82"/>
    <w:rsid w:val="00600ECB"/>
    <w:rsid w:val="006013F9"/>
    <w:rsid w:val="0060179A"/>
    <w:rsid w:val="0060196E"/>
    <w:rsid w:val="006019FE"/>
    <w:rsid w:val="00601B2A"/>
    <w:rsid w:val="00601CF2"/>
    <w:rsid w:val="006024DA"/>
    <w:rsid w:val="00602CE3"/>
    <w:rsid w:val="00602D80"/>
    <w:rsid w:val="00602E67"/>
    <w:rsid w:val="00602EC2"/>
    <w:rsid w:val="00602F57"/>
    <w:rsid w:val="00603232"/>
    <w:rsid w:val="0060359D"/>
    <w:rsid w:val="006036F9"/>
    <w:rsid w:val="00603762"/>
    <w:rsid w:val="00603A46"/>
    <w:rsid w:val="00603DC9"/>
    <w:rsid w:val="00604223"/>
    <w:rsid w:val="00604265"/>
    <w:rsid w:val="006043A4"/>
    <w:rsid w:val="006045CE"/>
    <w:rsid w:val="00604743"/>
    <w:rsid w:val="00604B14"/>
    <w:rsid w:val="00604B85"/>
    <w:rsid w:val="00604BB5"/>
    <w:rsid w:val="00604C2E"/>
    <w:rsid w:val="00604FD9"/>
    <w:rsid w:val="00605210"/>
    <w:rsid w:val="00605988"/>
    <w:rsid w:val="00605A44"/>
    <w:rsid w:val="00605ACE"/>
    <w:rsid w:val="00605C4D"/>
    <w:rsid w:val="00605D19"/>
    <w:rsid w:val="0060636C"/>
    <w:rsid w:val="0060669A"/>
    <w:rsid w:val="00606D78"/>
    <w:rsid w:val="00606DB1"/>
    <w:rsid w:val="00606F7C"/>
    <w:rsid w:val="00607115"/>
    <w:rsid w:val="00607654"/>
    <w:rsid w:val="006076E3"/>
    <w:rsid w:val="0060777D"/>
    <w:rsid w:val="006078CA"/>
    <w:rsid w:val="0060797E"/>
    <w:rsid w:val="00607D2F"/>
    <w:rsid w:val="00607D43"/>
    <w:rsid w:val="0061032D"/>
    <w:rsid w:val="006105A9"/>
    <w:rsid w:val="006109A5"/>
    <w:rsid w:val="00610B1F"/>
    <w:rsid w:val="006116A4"/>
    <w:rsid w:val="006119A7"/>
    <w:rsid w:val="00611B23"/>
    <w:rsid w:val="00611FAF"/>
    <w:rsid w:val="006120D5"/>
    <w:rsid w:val="006122BC"/>
    <w:rsid w:val="006123E1"/>
    <w:rsid w:val="00612427"/>
    <w:rsid w:val="0061242F"/>
    <w:rsid w:val="006125F3"/>
    <w:rsid w:val="0061271F"/>
    <w:rsid w:val="006127A6"/>
    <w:rsid w:val="00612BC3"/>
    <w:rsid w:val="00612C4F"/>
    <w:rsid w:val="00612EBD"/>
    <w:rsid w:val="00612F75"/>
    <w:rsid w:val="00613162"/>
    <w:rsid w:val="0061347D"/>
    <w:rsid w:val="006138CB"/>
    <w:rsid w:val="0061444B"/>
    <w:rsid w:val="006145D1"/>
    <w:rsid w:val="00614CC6"/>
    <w:rsid w:val="006150DF"/>
    <w:rsid w:val="0061534F"/>
    <w:rsid w:val="00615600"/>
    <w:rsid w:val="00615782"/>
    <w:rsid w:val="00615CA1"/>
    <w:rsid w:val="00615CC2"/>
    <w:rsid w:val="00615D98"/>
    <w:rsid w:val="00616105"/>
    <w:rsid w:val="00616408"/>
    <w:rsid w:val="00616747"/>
    <w:rsid w:val="0061691F"/>
    <w:rsid w:val="00616CCE"/>
    <w:rsid w:val="00617016"/>
    <w:rsid w:val="006171C4"/>
    <w:rsid w:val="00617392"/>
    <w:rsid w:val="00617A4A"/>
    <w:rsid w:val="00617AAD"/>
    <w:rsid w:val="00617E70"/>
    <w:rsid w:val="00620198"/>
    <w:rsid w:val="00620447"/>
    <w:rsid w:val="00620A0E"/>
    <w:rsid w:val="00620AA8"/>
    <w:rsid w:val="00620BE5"/>
    <w:rsid w:val="00621280"/>
    <w:rsid w:val="00621281"/>
    <w:rsid w:val="0062174B"/>
    <w:rsid w:val="0062176D"/>
    <w:rsid w:val="00621FBE"/>
    <w:rsid w:val="006220BE"/>
    <w:rsid w:val="0062223E"/>
    <w:rsid w:val="00622268"/>
    <w:rsid w:val="0062238E"/>
    <w:rsid w:val="00622CD8"/>
    <w:rsid w:val="006234BC"/>
    <w:rsid w:val="006235B1"/>
    <w:rsid w:val="00623636"/>
    <w:rsid w:val="00623C5F"/>
    <w:rsid w:val="00623D98"/>
    <w:rsid w:val="00623E74"/>
    <w:rsid w:val="00624001"/>
    <w:rsid w:val="006242F0"/>
    <w:rsid w:val="00624372"/>
    <w:rsid w:val="00624BF3"/>
    <w:rsid w:val="00624D09"/>
    <w:rsid w:val="00624D51"/>
    <w:rsid w:val="00625012"/>
    <w:rsid w:val="006250E8"/>
    <w:rsid w:val="00625188"/>
    <w:rsid w:val="006252A6"/>
    <w:rsid w:val="006252F2"/>
    <w:rsid w:val="00625466"/>
    <w:rsid w:val="00625830"/>
    <w:rsid w:val="00625E5B"/>
    <w:rsid w:val="006260D4"/>
    <w:rsid w:val="006262E5"/>
    <w:rsid w:val="0062660C"/>
    <w:rsid w:val="00626CC0"/>
    <w:rsid w:val="0062718F"/>
    <w:rsid w:val="006272DB"/>
    <w:rsid w:val="00627993"/>
    <w:rsid w:val="006279D3"/>
    <w:rsid w:val="006279F9"/>
    <w:rsid w:val="00627AC0"/>
    <w:rsid w:val="00627BA2"/>
    <w:rsid w:val="00627C32"/>
    <w:rsid w:val="006307A2"/>
    <w:rsid w:val="00630A72"/>
    <w:rsid w:val="00630C54"/>
    <w:rsid w:val="00630C57"/>
    <w:rsid w:val="00630D58"/>
    <w:rsid w:val="00630EE3"/>
    <w:rsid w:val="0063144E"/>
    <w:rsid w:val="0063168D"/>
    <w:rsid w:val="00631C36"/>
    <w:rsid w:val="00631C54"/>
    <w:rsid w:val="00631E24"/>
    <w:rsid w:val="006322F5"/>
    <w:rsid w:val="00632326"/>
    <w:rsid w:val="0063262E"/>
    <w:rsid w:val="00632CB1"/>
    <w:rsid w:val="00632CB2"/>
    <w:rsid w:val="00633184"/>
    <w:rsid w:val="006334B9"/>
    <w:rsid w:val="006334E7"/>
    <w:rsid w:val="00633990"/>
    <w:rsid w:val="00633AC1"/>
    <w:rsid w:val="00633B74"/>
    <w:rsid w:val="00633E41"/>
    <w:rsid w:val="00634222"/>
    <w:rsid w:val="00634258"/>
    <w:rsid w:val="0063433E"/>
    <w:rsid w:val="0063458B"/>
    <w:rsid w:val="006346A8"/>
    <w:rsid w:val="00634817"/>
    <w:rsid w:val="00634902"/>
    <w:rsid w:val="00634952"/>
    <w:rsid w:val="00634E08"/>
    <w:rsid w:val="00634ECC"/>
    <w:rsid w:val="00634F22"/>
    <w:rsid w:val="006350B8"/>
    <w:rsid w:val="00635371"/>
    <w:rsid w:val="00635678"/>
    <w:rsid w:val="00635C6F"/>
    <w:rsid w:val="00635F2E"/>
    <w:rsid w:val="00635FB3"/>
    <w:rsid w:val="006367BB"/>
    <w:rsid w:val="006367F3"/>
    <w:rsid w:val="00636814"/>
    <w:rsid w:val="00636B72"/>
    <w:rsid w:val="00637937"/>
    <w:rsid w:val="00637B6B"/>
    <w:rsid w:val="00637C03"/>
    <w:rsid w:val="00640102"/>
    <w:rsid w:val="00640D09"/>
    <w:rsid w:val="00640E96"/>
    <w:rsid w:val="00640FA4"/>
    <w:rsid w:val="00641355"/>
    <w:rsid w:val="006413F5"/>
    <w:rsid w:val="0064153F"/>
    <w:rsid w:val="00641F81"/>
    <w:rsid w:val="00642984"/>
    <w:rsid w:val="00642B18"/>
    <w:rsid w:val="00642C09"/>
    <w:rsid w:val="00642D29"/>
    <w:rsid w:val="00642D5E"/>
    <w:rsid w:val="00642DBD"/>
    <w:rsid w:val="00642FB8"/>
    <w:rsid w:val="006439FA"/>
    <w:rsid w:val="00643A91"/>
    <w:rsid w:val="00643AF7"/>
    <w:rsid w:val="00643B3C"/>
    <w:rsid w:val="00644129"/>
    <w:rsid w:val="006446B6"/>
    <w:rsid w:val="00644A0F"/>
    <w:rsid w:val="00644AF4"/>
    <w:rsid w:val="00644F2C"/>
    <w:rsid w:val="006452DD"/>
    <w:rsid w:val="0064545C"/>
    <w:rsid w:val="0064563C"/>
    <w:rsid w:val="006456F7"/>
    <w:rsid w:val="0064608E"/>
    <w:rsid w:val="00646117"/>
    <w:rsid w:val="0064617C"/>
    <w:rsid w:val="0064622F"/>
    <w:rsid w:val="00646284"/>
    <w:rsid w:val="0064629C"/>
    <w:rsid w:val="00646385"/>
    <w:rsid w:val="006463F3"/>
    <w:rsid w:val="006466D7"/>
    <w:rsid w:val="0064676C"/>
    <w:rsid w:val="00646ACF"/>
    <w:rsid w:val="00646BE4"/>
    <w:rsid w:val="00646C43"/>
    <w:rsid w:val="00646D1C"/>
    <w:rsid w:val="00646F66"/>
    <w:rsid w:val="00647043"/>
    <w:rsid w:val="006470EC"/>
    <w:rsid w:val="00647B58"/>
    <w:rsid w:val="00647BDD"/>
    <w:rsid w:val="00647D72"/>
    <w:rsid w:val="006504FE"/>
    <w:rsid w:val="00650827"/>
    <w:rsid w:val="00650F7A"/>
    <w:rsid w:val="006513D1"/>
    <w:rsid w:val="00651523"/>
    <w:rsid w:val="00651772"/>
    <w:rsid w:val="0065198C"/>
    <w:rsid w:val="00651AE7"/>
    <w:rsid w:val="00651BF3"/>
    <w:rsid w:val="00651DF1"/>
    <w:rsid w:val="0065213D"/>
    <w:rsid w:val="006528F8"/>
    <w:rsid w:val="00652A05"/>
    <w:rsid w:val="00652CEF"/>
    <w:rsid w:val="00652EBE"/>
    <w:rsid w:val="006530B8"/>
    <w:rsid w:val="006531AD"/>
    <w:rsid w:val="00653207"/>
    <w:rsid w:val="00653660"/>
    <w:rsid w:val="006537C8"/>
    <w:rsid w:val="0065389B"/>
    <w:rsid w:val="006538AD"/>
    <w:rsid w:val="00653936"/>
    <w:rsid w:val="00653EF2"/>
    <w:rsid w:val="0065460F"/>
    <w:rsid w:val="0065478D"/>
    <w:rsid w:val="00654819"/>
    <w:rsid w:val="006548D8"/>
    <w:rsid w:val="006548DC"/>
    <w:rsid w:val="00654E64"/>
    <w:rsid w:val="00654F90"/>
    <w:rsid w:val="00655265"/>
    <w:rsid w:val="006552BD"/>
    <w:rsid w:val="0065558D"/>
    <w:rsid w:val="00655820"/>
    <w:rsid w:val="00655843"/>
    <w:rsid w:val="00655AF9"/>
    <w:rsid w:val="00655B2C"/>
    <w:rsid w:val="00655C4A"/>
    <w:rsid w:val="00655D86"/>
    <w:rsid w:val="006560A0"/>
    <w:rsid w:val="006560B4"/>
    <w:rsid w:val="0065660D"/>
    <w:rsid w:val="00656776"/>
    <w:rsid w:val="00656A2E"/>
    <w:rsid w:val="00656B4E"/>
    <w:rsid w:val="0065711D"/>
    <w:rsid w:val="006572A3"/>
    <w:rsid w:val="006576FE"/>
    <w:rsid w:val="00657924"/>
    <w:rsid w:val="00657C5C"/>
    <w:rsid w:val="00657F1D"/>
    <w:rsid w:val="00657F5A"/>
    <w:rsid w:val="006600B0"/>
    <w:rsid w:val="006605C5"/>
    <w:rsid w:val="006606A8"/>
    <w:rsid w:val="006608AA"/>
    <w:rsid w:val="00660D16"/>
    <w:rsid w:val="00660DAE"/>
    <w:rsid w:val="006615D7"/>
    <w:rsid w:val="00661648"/>
    <w:rsid w:val="006617FD"/>
    <w:rsid w:val="00661CF1"/>
    <w:rsid w:val="00662860"/>
    <w:rsid w:val="006628C1"/>
    <w:rsid w:val="00662A6D"/>
    <w:rsid w:val="00662ADC"/>
    <w:rsid w:val="00662EBA"/>
    <w:rsid w:val="006630AF"/>
    <w:rsid w:val="0066311F"/>
    <w:rsid w:val="006637D4"/>
    <w:rsid w:val="006638BB"/>
    <w:rsid w:val="00663F0D"/>
    <w:rsid w:val="00663F10"/>
    <w:rsid w:val="00664032"/>
    <w:rsid w:val="006643D8"/>
    <w:rsid w:val="00664557"/>
    <w:rsid w:val="0066478A"/>
    <w:rsid w:val="00664B13"/>
    <w:rsid w:val="00664E4D"/>
    <w:rsid w:val="00665524"/>
    <w:rsid w:val="006657E4"/>
    <w:rsid w:val="00665979"/>
    <w:rsid w:val="006659D8"/>
    <w:rsid w:val="00665CE4"/>
    <w:rsid w:val="00665D0E"/>
    <w:rsid w:val="00665DB9"/>
    <w:rsid w:val="00665E39"/>
    <w:rsid w:val="00666011"/>
    <w:rsid w:val="00666379"/>
    <w:rsid w:val="00667141"/>
    <w:rsid w:val="00667465"/>
    <w:rsid w:val="00667711"/>
    <w:rsid w:val="00667817"/>
    <w:rsid w:val="00667C72"/>
    <w:rsid w:val="00667DC2"/>
    <w:rsid w:val="00667F06"/>
    <w:rsid w:val="00670080"/>
    <w:rsid w:val="00670FE8"/>
    <w:rsid w:val="00671274"/>
    <w:rsid w:val="00671A1A"/>
    <w:rsid w:val="00671C2C"/>
    <w:rsid w:val="00671C5A"/>
    <w:rsid w:val="00671CBE"/>
    <w:rsid w:val="00671E72"/>
    <w:rsid w:val="00671EE8"/>
    <w:rsid w:val="006721BC"/>
    <w:rsid w:val="0067222C"/>
    <w:rsid w:val="006724BD"/>
    <w:rsid w:val="00672534"/>
    <w:rsid w:val="00672714"/>
    <w:rsid w:val="00672808"/>
    <w:rsid w:val="00672F00"/>
    <w:rsid w:val="00673070"/>
    <w:rsid w:val="0067350F"/>
    <w:rsid w:val="0067387E"/>
    <w:rsid w:val="00673F2B"/>
    <w:rsid w:val="00674038"/>
    <w:rsid w:val="00674045"/>
    <w:rsid w:val="0067418F"/>
    <w:rsid w:val="00674634"/>
    <w:rsid w:val="00674782"/>
    <w:rsid w:val="00674931"/>
    <w:rsid w:val="00674975"/>
    <w:rsid w:val="0067501A"/>
    <w:rsid w:val="0067529B"/>
    <w:rsid w:val="006754D6"/>
    <w:rsid w:val="006754EE"/>
    <w:rsid w:val="006754FF"/>
    <w:rsid w:val="006755B6"/>
    <w:rsid w:val="00675694"/>
    <w:rsid w:val="00675CAC"/>
    <w:rsid w:val="00675E02"/>
    <w:rsid w:val="00675F63"/>
    <w:rsid w:val="006760EA"/>
    <w:rsid w:val="006761E1"/>
    <w:rsid w:val="00676338"/>
    <w:rsid w:val="00676446"/>
    <w:rsid w:val="0067647A"/>
    <w:rsid w:val="00676576"/>
    <w:rsid w:val="00676D6E"/>
    <w:rsid w:val="006772AE"/>
    <w:rsid w:val="0067744A"/>
    <w:rsid w:val="00677674"/>
    <w:rsid w:val="00677788"/>
    <w:rsid w:val="00677A6F"/>
    <w:rsid w:val="00677A96"/>
    <w:rsid w:val="00677AEF"/>
    <w:rsid w:val="00680056"/>
    <w:rsid w:val="0068064A"/>
    <w:rsid w:val="00680A62"/>
    <w:rsid w:val="00680D58"/>
    <w:rsid w:val="00681478"/>
    <w:rsid w:val="006817B5"/>
    <w:rsid w:val="006817F7"/>
    <w:rsid w:val="00681889"/>
    <w:rsid w:val="00681D57"/>
    <w:rsid w:val="00682188"/>
    <w:rsid w:val="006825BA"/>
    <w:rsid w:val="00682636"/>
    <w:rsid w:val="006828CB"/>
    <w:rsid w:val="00682978"/>
    <w:rsid w:val="00682A7E"/>
    <w:rsid w:val="00682C6C"/>
    <w:rsid w:val="00682D10"/>
    <w:rsid w:val="00682D9B"/>
    <w:rsid w:val="00683662"/>
    <w:rsid w:val="00683786"/>
    <w:rsid w:val="00683961"/>
    <w:rsid w:val="00683B0C"/>
    <w:rsid w:val="00683D7B"/>
    <w:rsid w:val="00683DF8"/>
    <w:rsid w:val="00683EAD"/>
    <w:rsid w:val="00683F28"/>
    <w:rsid w:val="00684021"/>
    <w:rsid w:val="00684074"/>
    <w:rsid w:val="00684222"/>
    <w:rsid w:val="00684401"/>
    <w:rsid w:val="00684403"/>
    <w:rsid w:val="00684542"/>
    <w:rsid w:val="00684A3E"/>
    <w:rsid w:val="00684CEB"/>
    <w:rsid w:val="00685562"/>
    <w:rsid w:val="0068567E"/>
    <w:rsid w:val="00685779"/>
    <w:rsid w:val="006857CC"/>
    <w:rsid w:val="00685A58"/>
    <w:rsid w:val="0068669D"/>
    <w:rsid w:val="006869A7"/>
    <w:rsid w:val="00686A85"/>
    <w:rsid w:val="00686BDC"/>
    <w:rsid w:val="00687115"/>
    <w:rsid w:val="006875AA"/>
    <w:rsid w:val="00687A44"/>
    <w:rsid w:val="00687E62"/>
    <w:rsid w:val="00690399"/>
    <w:rsid w:val="00690541"/>
    <w:rsid w:val="006907E1"/>
    <w:rsid w:val="006908A3"/>
    <w:rsid w:val="00690B31"/>
    <w:rsid w:val="00690C0E"/>
    <w:rsid w:val="00691377"/>
    <w:rsid w:val="006914A1"/>
    <w:rsid w:val="00691A16"/>
    <w:rsid w:val="00691B4C"/>
    <w:rsid w:val="006924CD"/>
    <w:rsid w:val="00692639"/>
    <w:rsid w:val="00692829"/>
    <w:rsid w:val="00692939"/>
    <w:rsid w:val="006929A1"/>
    <w:rsid w:val="006929DA"/>
    <w:rsid w:val="00692AEA"/>
    <w:rsid w:val="00692C6B"/>
    <w:rsid w:val="00692D00"/>
    <w:rsid w:val="00692D28"/>
    <w:rsid w:val="00693059"/>
    <w:rsid w:val="00693070"/>
    <w:rsid w:val="0069309C"/>
    <w:rsid w:val="00693118"/>
    <w:rsid w:val="006933AC"/>
    <w:rsid w:val="0069361A"/>
    <w:rsid w:val="00693783"/>
    <w:rsid w:val="00693A26"/>
    <w:rsid w:val="00693A80"/>
    <w:rsid w:val="00693DDE"/>
    <w:rsid w:val="00694274"/>
    <w:rsid w:val="006946A7"/>
    <w:rsid w:val="0069475B"/>
    <w:rsid w:val="0069488C"/>
    <w:rsid w:val="00694BF9"/>
    <w:rsid w:val="00695032"/>
    <w:rsid w:val="00695188"/>
    <w:rsid w:val="006954EB"/>
    <w:rsid w:val="00695982"/>
    <w:rsid w:val="00695C63"/>
    <w:rsid w:val="00695DB0"/>
    <w:rsid w:val="006960E9"/>
    <w:rsid w:val="0069614E"/>
    <w:rsid w:val="00696A1E"/>
    <w:rsid w:val="00696D99"/>
    <w:rsid w:val="006972F2"/>
    <w:rsid w:val="00697692"/>
    <w:rsid w:val="00697C07"/>
    <w:rsid w:val="00697E40"/>
    <w:rsid w:val="00697FA2"/>
    <w:rsid w:val="006A01D2"/>
    <w:rsid w:val="006A02B2"/>
    <w:rsid w:val="006A0B04"/>
    <w:rsid w:val="006A0F5F"/>
    <w:rsid w:val="006A106F"/>
    <w:rsid w:val="006A1104"/>
    <w:rsid w:val="006A130E"/>
    <w:rsid w:val="006A1330"/>
    <w:rsid w:val="006A133D"/>
    <w:rsid w:val="006A13EB"/>
    <w:rsid w:val="006A143D"/>
    <w:rsid w:val="006A1DA5"/>
    <w:rsid w:val="006A1E75"/>
    <w:rsid w:val="006A1EA6"/>
    <w:rsid w:val="006A20EC"/>
    <w:rsid w:val="006A216A"/>
    <w:rsid w:val="006A21F0"/>
    <w:rsid w:val="006A228B"/>
    <w:rsid w:val="006A22E8"/>
    <w:rsid w:val="006A23B3"/>
    <w:rsid w:val="006A241A"/>
    <w:rsid w:val="006A2A0A"/>
    <w:rsid w:val="006A2A91"/>
    <w:rsid w:val="006A2AD9"/>
    <w:rsid w:val="006A2C00"/>
    <w:rsid w:val="006A2C27"/>
    <w:rsid w:val="006A2CC7"/>
    <w:rsid w:val="006A2D2F"/>
    <w:rsid w:val="006A31E3"/>
    <w:rsid w:val="006A328E"/>
    <w:rsid w:val="006A3A8E"/>
    <w:rsid w:val="006A3C30"/>
    <w:rsid w:val="006A3CF5"/>
    <w:rsid w:val="006A3D36"/>
    <w:rsid w:val="006A3E02"/>
    <w:rsid w:val="006A40B3"/>
    <w:rsid w:val="006A4213"/>
    <w:rsid w:val="006A43AB"/>
    <w:rsid w:val="006A4820"/>
    <w:rsid w:val="006A483A"/>
    <w:rsid w:val="006A4909"/>
    <w:rsid w:val="006A4A4C"/>
    <w:rsid w:val="006A4A6A"/>
    <w:rsid w:val="006A4E5F"/>
    <w:rsid w:val="006A50D9"/>
    <w:rsid w:val="006A58BE"/>
    <w:rsid w:val="006A5A7D"/>
    <w:rsid w:val="006A5A99"/>
    <w:rsid w:val="006A5B61"/>
    <w:rsid w:val="006A5E57"/>
    <w:rsid w:val="006A5E7A"/>
    <w:rsid w:val="006A63EC"/>
    <w:rsid w:val="006A6528"/>
    <w:rsid w:val="006A6972"/>
    <w:rsid w:val="006A6D00"/>
    <w:rsid w:val="006A70B5"/>
    <w:rsid w:val="006A78E8"/>
    <w:rsid w:val="006A7E72"/>
    <w:rsid w:val="006A7EAD"/>
    <w:rsid w:val="006B0B43"/>
    <w:rsid w:val="006B0BBD"/>
    <w:rsid w:val="006B0BEE"/>
    <w:rsid w:val="006B0CEB"/>
    <w:rsid w:val="006B0EB4"/>
    <w:rsid w:val="006B1208"/>
    <w:rsid w:val="006B14C5"/>
    <w:rsid w:val="006B1B06"/>
    <w:rsid w:val="006B1BA4"/>
    <w:rsid w:val="006B1BB2"/>
    <w:rsid w:val="006B1FB6"/>
    <w:rsid w:val="006B2026"/>
    <w:rsid w:val="006B219F"/>
    <w:rsid w:val="006B21DE"/>
    <w:rsid w:val="006B2926"/>
    <w:rsid w:val="006B2CC6"/>
    <w:rsid w:val="006B2DBE"/>
    <w:rsid w:val="006B2DD7"/>
    <w:rsid w:val="006B2E97"/>
    <w:rsid w:val="006B2E9E"/>
    <w:rsid w:val="006B300B"/>
    <w:rsid w:val="006B310F"/>
    <w:rsid w:val="006B318C"/>
    <w:rsid w:val="006B3336"/>
    <w:rsid w:val="006B3368"/>
    <w:rsid w:val="006B3476"/>
    <w:rsid w:val="006B34BE"/>
    <w:rsid w:val="006B3788"/>
    <w:rsid w:val="006B37A8"/>
    <w:rsid w:val="006B39CB"/>
    <w:rsid w:val="006B39DB"/>
    <w:rsid w:val="006B3A5F"/>
    <w:rsid w:val="006B45E9"/>
    <w:rsid w:val="006B4871"/>
    <w:rsid w:val="006B4EBD"/>
    <w:rsid w:val="006B5B8E"/>
    <w:rsid w:val="006B5DA7"/>
    <w:rsid w:val="006B5E8D"/>
    <w:rsid w:val="006B6444"/>
    <w:rsid w:val="006B657B"/>
    <w:rsid w:val="006B673A"/>
    <w:rsid w:val="006B678B"/>
    <w:rsid w:val="006B67FE"/>
    <w:rsid w:val="006B6961"/>
    <w:rsid w:val="006B69BD"/>
    <w:rsid w:val="006B6D1B"/>
    <w:rsid w:val="006B6E31"/>
    <w:rsid w:val="006B6EDF"/>
    <w:rsid w:val="006B70A9"/>
    <w:rsid w:val="006B7577"/>
    <w:rsid w:val="006B7F81"/>
    <w:rsid w:val="006C0151"/>
    <w:rsid w:val="006C023F"/>
    <w:rsid w:val="006C02A5"/>
    <w:rsid w:val="006C037C"/>
    <w:rsid w:val="006C07FE"/>
    <w:rsid w:val="006C0ABC"/>
    <w:rsid w:val="006C0B83"/>
    <w:rsid w:val="006C0E2A"/>
    <w:rsid w:val="006C0F6D"/>
    <w:rsid w:val="006C0F80"/>
    <w:rsid w:val="006C1060"/>
    <w:rsid w:val="006C1410"/>
    <w:rsid w:val="006C151D"/>
    <w:rsid w:val="006C19A4"/>
    <w:rsid w:val="006C1C11"/>
    <w:rsid w:val="006C1C25"/>
    <w:rsid w:val="006C1F65"/>
    <w:rsid w:val="006C2265"/>
    <w:rsid w:val="006C2357"/>
    <w:rsid w:val="006C23BC"/>
    <w:rsid w:val="006C26C9"/>
    <w:rsid w:val="006C2B13"/>
    <w:rsid w:val="006C300B"/>
    <w:rsid w:val="006C3204"/>
    <w:rsid w:val="006C34F4"/>
    <w:rsid w:val="006C3525"/>
    <w:rsid w:val="006C3633"/>
    <w:rsid w:val="006C3715"/>
    <w:rsid w:val="006C3E8E"/>
    <w:rsid w:val="006C3EB1"/>
    <w:rsid w:val="006C40BD"/>
    <w:rsid w:val="006C443D"/>
    <w:rsid w:val="006C45DF"/>
    <w:rsid w:val="006C46D0"/>
    <w:rsid w:val="006C4A03"/>
    <w:rsid w:val="006C4B3C"/>
    <w:rsid w:val="006C4C2E"/>
    <w:rsid w:val="006C58D8"/>
    <w:rsid w:val="006C5A02"/>
    <w:rsid w:val="006C5A72"/>
    <w:rsid w:val="006C5B5C"/>
    <w:rsid w:val="006C5C9F"/>
    <w:rsid w:val="006C5CE0"/>
    <w:rsid w:val="006C5ECD"/>
    <w:rsid w:val="006C5F1F"/>
    <w:rsid w:val="006C62B7"/>
    <w:rsid w:val="006C6336"/>
    <w:rsid w:val="006C65F7"/>
    <w:rsid w:val="006C674D"/>
    <w:rsid w:val="006C6824"/>
    <w:rsid w:val="006C68EE"/>
    <w:rsid w:val="006C6BE9"/>
    <w:rsid w:val="006C6BEE"/>
    <w:rsid w:val="006C6D4E"/>
    <w:rsid w:val="006C6D9D"/>
    <w:rsid w:val="006C6DF1"/>
    <w:rsid w:val="006C6F0D"/>
    <w:rsid w:val="006C730D"/>
    <w:rsid w:val="006C73BF"/>
    <w:rsid w:val="006C759E"/>
    <w:rsid w:val="006C7941"/>
    <w:rsid w:val="006C7B23"/>
    <w:rsid w:val="006C7DCC"/>
    <w:rsid w:val="006D0128"/>
    <w:rsid w:val="006D0424"/>
    <w:rsid w:val="006D0754"/>
    <w:rsid w:val="006D090F"/>
    <w:rsid w:val="006D0997"/>
    <w:rsid w:val="006D0D81"/>
    <w:rsid w:val="006D0DD0"/>
    <w:rsid w:val="006D1369"/>
    <w:rsid w:val="006D15D3"/>
    <w:rsid w:val="006D1A6A"/>
    <w:rsid w:val="006D1EF1"/>
    <w:rsid w:val="006D20D1"/>
    <w:rsid w:val="006D21C3"/>
    <w:rsid w:val="006D227B"/>
    <w:rsid w:val="006D22C8"/>
    <w:rsid w:val="006D2777"/>
    <w:rsid w:val="006D284F"/>
    <w:rsid w:val="006D2BF5"/>
    <w:rsid w:val="006D3800"/>
    <w:rsid w:val="006D3814"/>
    <w:rsid w:val="006D3D9B"/>
    <w:rsid w:val="006D422B"/>
    <w:rsid w:val="006D4967"/>
    <w:rsid w:val="006D4B1A"/>
    <w:rsid w:val="006D4CBF"/>
    <w:rsid w:val="006D4DE7"/>
    <w:rsid w:val="006D504E"/>
    <w:rsid w:val="006D574E"/>
    <w:rsid w:val="006D5CDB"/>
    <w:rsid w:val="006D5E9A"/>
    <w:rsid w:val="006D5FE0"/>
    <w:rsid w:val="006D60BD"/>
    <w:rsid w:val="006D65A8"/>
    <w:rsid w:val="006D6669"/>
    <w:rsid w:val="006D69B2"/>
    <w:rsid w:val="006D6D7B"/>
    <w:rsid w:val="006D6F6B"/>
    <w:rsid w:val="006D7227"/>
    <w:rsid w:val="006D7508"/>
    <w:rsid w:val="006D77D9"/>
    <w:rsid w:val="006D7BDD"/>
    <w:rsid w:val="006E03A1"/>
    <w:rsid w:val="006E05DE"/>
    <w:rsid w:val="006E09B8"/>
    <w:rsid w:val="006E09F7"/>
    <w:rsid w:val="006E1057"/>
    <w:rsid w:val="006E1458"/>
    <w:rsid w:val="006E1638"/>
    <w:rsid w:val="006E17A6"/>
    <w:rsid w:val="006E18F4"/>
    <w:rsid w:val="006E1976"/>
    <w:rsid w:val="006E1AFD"/>
    <w:rsid w:val="006E2187"/>
    <w:rsid w:val="006E22C1"/>
    <w:rsid w:val="006E2659"/>
    <w:rsid w:val="006E26C5"/>
    <w:rsid w:val="006E2C83"/>
    <w:rsid w:val="006E2D8A"/>
    <w:rsid w:val="006E2DEA"/>
    <w:rsid w:val="006E2E59"/>
    <w:rsid w:val="006E2E94"/>
    <w:rsid w:val="006E3226"/>
    <w:rsid w:val="006E3278"/>
    <w:rsid w:val="006E3535"/>
    <w:rsid w:val="006E3949"/>
    <w:rsid w:val="006E3B23"/>
    <w:rsid w:val="006E3C5F"/>
    <w:rsid w:val="006E4015"/>
    <w:rsid w:val="006E4096"/>
    <w:rsid w:val="006E412C"/>
    <w:rsid w:val="006E4435"/>
    <w:rsid w:val="006E4652"/>
    <w:rsid w:val="006E4671"/>
    <w:rsid w:val="006E47AF"/>
    <w:rsid w:val="006E4A9F"/>
    <w:rsid w:val="006E4C28"/>
    <w:rsid w:val="006E4C7F"/>
    <w:rsid w:val="006E4D13"/>
    <w:rsid w:val="006E4D6B"/>
    <w:rsid w:val="006E5351"/>
    <w:rsid w:val="006E54C7"/>
    <w:rsid w:val="006E56C5"/>
    <w:rsid w:val="006E56E0"/>
    <w:rsid w:val="006E5EA3"/>
    <w:rsid w:val="006E5F38"/>
    <w:rsid w:val="006E5F55"/>
    <w:rsid w:val="006E5F84"/>
    <w:rsid w:val="006E6409"/>
    <w:rsid w:val="006E6484"/>
    <w:rsid w:val="006E6662"/>
    <w:rsid w:val="006E6C3E"/>
    <w:rsid w:val="006E6CDC"/>
    <w:rsid w:val="006E6EB2"/>
    <w:rsid w:val="006E70F6"/>
    <w:rsid w:val="006E7303"/>
    <w:rsid w:val="006E7715"/>
    <w:rsid w:val="006E7AAC"/>
    <w:rsid w:val="006E7C03"/>
    <w:rsid w:val="006E7DFC"/>
    <w:rsid w:val="006E7E9B"/>
    <w:rsid w:val="006E7F85"/>
    <w:rsid w:val="006F00C0"/>
    <w:rsid w:val="006F0974"/>
    <w:rsid w:val="006F1297"/>
    <w:rsid w:val="006F132F"/>
    <w:rsid w:val="006F17DE"/>
    <w:rsid w:val="006F1A78"/>
    <w:rsid w:val="006F1CF9"/>
    <w:rsid w:val="006F1E35"/>
    <w:rsid w:val="006F1E3A"/>
    <w:rsid w:val="006F2094"/>
    <w:rsid w:val="006F2255"/>
    <w:rsid w:val="006F234A"/>
    <w:rsid w:val="006F23AF"/>
    <w:rsid w:val="006F2539"/>
    <w:rsid w:val="006F26F0"/>
    <w:rsid w:val="006F2766"/>
    <w:rsid w:val="006F2B90"/>
    <w:rsid w:val="006F2EB8"/>
    <w:rsid w:val="006F2FA7"/>
    <w:rsid w:val="006F30C7"/>
    <w:rsid w:val="006F3127"/>
    <w:rsid w:val="006F333D"/>
    <w:rsid w:val="006F33AE"/>
    <w:rsid w:val="006F35F8"/>
    <w:rsid w:val="006F3952"/>
    <w:rsid w:val="006F3A1D"/>
    <w:rsid w:val="006F3A9B"/>
    <w:rsid w:val="006F3BDF"/>
    <w:rsid w:val="006F3ED6"/>
    <w:rsid w:val="006F3ED7"/>
    <w:rsid w:val="006F3F92"/>
    <w:rsid w:val="006F40EA"/>
    <w:rsid w:val="006F4561"/>
    <w:rsid w:val="006F4621"/>
    <w:rsid w:val="006F46E9"/>
    <w:rsid w:val="006F4772"/>
    <w:rsid w:val="006F4D8C"/>
    <w:rsid w:val="006F4F4F"/>
    <w:rsid w:val="006F4F52"/>
    <w:rsid w:val="006F5086"/>
    <w:rsid w:val="006F5399"/>
    <w:rsid w:val="006F5778"/>
    <w:rsid w:val="006F5C2F"/>
    <w:rsid w:val="006F5E44"/>
    <w:rsid w:val="006F66C5"/>
    <w:rsid w:val="006F6774"/>
    <w:rsid w:val="006F6E28"/>
    <w:rsid w:val="006F6EA4"/>
    <w:rsid w:val="006F7266"/>
    <w:rsid w:val="006F7325"/>
    <w:rsid w:val="006F76A6"/>
    <w:rsid w:val="006F7794"/>
    <w:rsid w:val="006F77C3"/>
    <w:rsid w:val="006F7B1C"/>
    <w:rsid w:val="00700013"/>
    <w:rsid w:val="0070020F"/>
    <w:rsid w:val="007004ED"/>
    <w:rsid w:val="007007AF"/>
    <w:rsid w:val="0070093E"/>
    <w:rsid w:val="00700AAA"/>
    <w:rsid w:val="00700F22"/>
    <w:rsid w:val="00700F79"/>
    <w:rsid w:val="00701010"/>
    <w:rsid w:val="007010E9"/>
    <w:rsid w:val="00701203"/>
    <w:rsid w:val="007016B9"/>
    <w:rsid w:val="0070194B"/>
    <w:rsid w:val="00701998"/>
    <w:rsid w:val="00701C6B"/>
    <w:rsid w:val="00701D18"/>
    <w:rsid w:val="00702214"/>
    <w:rsid w:val="007022B6"/>
    <w:rsid w:val="00702444"/>
    <w:rsid w:val="00702747"/>
    <w:rsid w:val="00702748"/>
    <w:rsid w:val="00702DC5"/>
    <w:rsid w:val="00702FB1"/>
    <w:rsid w:val="0070350D"/>
    <w:rsid w:val="00703587"/>
    <w:rsid w:val="00703777"/>
    <w:rsid w:val="007038DB"/>
    <w:rsid w:val="00703A3B"/>
    <w:rsid w:val="00703C36"/>
    <w:rsid w:val="007044B8"/>
    <w:rsid w:val="0070470D"/>
    <w:rsid w:val="00704CE1"/>
    <w:rsid w:val="00704DAD"/>
    <w:rsid w:val="00704DC1"/>
    <w:rsid w:val="007050F3"/>
    <w:rsid w:val="007053BD"/>
    <w:rsid w:val="00705416"/>
    <w:rsid w:val="007055A0"/>
    <w:rsid w:val="007056FD"/>
    <w:rsid w:val="0070582E"/>
    <w:rsid w:val="0070582F"/>
    <w:rsid w:val="00705995"/>
    <w:rsid w:val="00705AF8"/>
    <w:rsid w:val="00705F43"/>
    <w:rsid w:val="00705F50"/>
    <w:rsid w:val="007060A4"/>
    <w:rsid w:val="007060EA"/>
    <w:rsid w:val="00706125"/>
    <w:rsid w:val="0070624F"/>
    <w:rsid w:val="00706450"/>
    <w:rsid w:val="007066F2"/>
    <w:rsid w:val="0070691B"/>
    <w:rsid w:val="00707041"/>
    <w:rsid w:val="007072D3"/>
    <w:rsid w:val="007075B6"/>
    <w:rsid w:val="00707678"/>
    <w:rsid w:val="00707974"/>
    <w:rsid w:val="00707CA2"/>
    <w:rsid w:val="00707CA6"/>
    <w:rsid w:val="00707F4A"/>
    <w:rsid w:val="007105AA"/>
    <w:rsid w:val="00710833"/>
    <w:rsid w:val="00711125"/>
    <w:rsid w:val="00711ABD"/>
    <w:rsid w:val="00711B02"/>
    <w:rsid w:val="00711B4F"/>
    <w:rsid w:val="007120AC"/>
    <w:rsid w:val="007121DD"/>
    <w:rsid w:val="007122D8"/>
    <w:rsid w:val="00712A45"/>
    <w:rsid w:val="00712AF1"/>
    <w:rsid w:val="00712AF4"/>
    <w:rsid w:val="00712BD2"/>
    <w:rsid w:val="00712D29"/>
    <w:rsid w:val="00713096"/>
    <w:rsid w:val="0071336A"/>
    <w:rsid w:val="00713690"/>
    <w:rsid w:val="00713915"/>
    <w:rsid w:val="00713947"/>
    <w:rsid w:val="007139CA"/>
    <w:rsid w:val="00713AF5"/>
    <w:rsid w:val="00713C4B"/>
    <w:rsid w:val="00713D49"/>
    <w:rsid w:val="00714121"/>
    <w:rsid w:val="0071439B"/>
    <w:rsid w:val="007147F3"/>
    <w:rsid w:val="00714B98"/>
    <w:rsid w:val="00714D1A"/>
    <w:rsid w:val="00714D93"/>
    <w:rsid w:val="00715450"/>
    <w:rsid w:val="007156A7"/>
    <w:rsid w:val="007156CE"/>
    <w:rsid w:val="0071577C"/>
    <w:rsid w:val="0071583E"/>
    <w:rsid w:val="0071593C"/>
    <w:rsid w:val="00715F28"/>
    <w:rsid w:val="00715F72"/>
    <w:rsid w:val="0071663E"/>
    <w:rsid w:val="007169CE"/>
    <w:rsid w:val="007169F7"/>
    <w:rsid w:val="00716EE0"/>
    <w:rsid w:val="00716EF9"/>
    <w:rsid w:val="00717444"/>
    <w:rsid w:val="0071751B"/>
    <w:rsid w:val="00717644"/>
    <w:rsid w:val="00717676"/>
    <w:rsid w:val="0071773B"/>
    <w:rsid w:val="00717F98"/>
    <w:rsid w:val="00717FD5"/>
    <w:rsid w:val="007200C2"/>
    <w:rsid w:val="00720B94"/>
    <w:rsid w:val="00720CD9"/>
    <w:rsid w:val="00720DB1"/>
    <w:rsid w:val="00721379"/>
    <w:rsid w:val="007213C5"/>
    <w:rsid w:val="00721903"/>
    <w:rsid w:val="00721B5A"/>
    <w:rsid w:val="00721BDF"/>
    <w:rsid w:val="00721CBC"/>
    <w:rsid w:val="00721E64"/>
    <w:rsid w:val="00721F7F"/>
    <w:rsid w:val="007220DC"/>
    <w:rsid w:val="007223CD"/>
    <w:rsid w:val="00722412"/>
    <w:rsid w:val="0072243A"/>
    <w:rsid w:val="007227C1"/>
    <w:rsid w:val="007229CF"/>
    <w:rsid w:val="00723530"/>
    <w:rsid w:val="00723945"/>
    <w:rsid w:val="00723B30"/>
    <w:rsid w:val="00723B85"/>
    <w:rsid w:val="00723C09"/>
    <w:rsid w:val="00724127"/>
    <w:rsid w:val="0072420A"/>
    <w:rsid w:val="00724397"/>
    <w:rsid w:val="0072461C"/>
    <w:rsid w:val="007247EF"/>
    <w:rsid w:val="00724A06"/>
    <w:rsid w:val="00724B14"/>
    <w:rsid w:val="007250B2"/>
    <w:rsid w:val="0072517E"/>
    <w:rsid w:val="007253F5"/>
    <w:rsid w:val="00725697"/>
    <w:rsid w:val="00725B9F"/>
    <w:rsid w:val="00725DEC"/>
    <w:rsid w:val="00725E67"/>
    <w:rsid w:val="00726335"/>
    <w:rsid w:val="007263BB"/>
    <w:rsid w:val="00726448"/>
    <w:rsid w:val="00726887"/>
    <w:rsid w:val="007269F7"/>
    <w:rsid w:val="00726AFD"/>
    <w:rsid w:val="00726C8F"/>
    <w:rsid w:val="00726D39"/>
    <w:rsid w:val="00726F4B"/>
    <w:rsid w:val="00727382"/>
    <w:rsid w:val="00727BB8"/>
    <w:rsid w:val="00727C69"/>
    <w:rsid w:val="00727FAD"/>
    <w:rsid w:val="00727FC1"/>
    <w:rsid w:val="007301D0"/>
    <w:rsid w:val="00730335"/>
    <w:rsid w:val="00730491"/>
    <w:rsid w:val="00730755"/>
    <w:rsid w:val="00730C92"/>
    <w:rsid w:val="0073111A"/>
    <w:rsid w:val="00731182"/>
    <w:rsid w:val="007311C9"/>
    <w:rsid w:val="007312EB"/>
    <w:rsid w:val="00731697"/>
    <w:rsid w:val="007317CB"/>
    <w:rsid w:val="0073195E"/>
    <w:rsid w:val="00731AC4"/>
    <w:rsid w:val="0073252C"/>
    <w:rsid w:val="00732609"/>
    <w:rsid w:val="0073274E"/>
    <w:rsid w:val="007327FB"/>
    <w:rsid w:val="00732C6A"/>
    <w:rsid w:val="00732DE0"/>
    <w:rsid w:val="00732ED7"/>
    <w:rsid w:val="00732FF7"/>
    <w:rsid w:val="00733075"/>
    <w:rsid w:val="007331B6"/>
    <w:rsid w:val="007337CA"/>
    <w:rsid w:val="00733839"/>
    <w:rsid w:val="00733B6B"/>
    <w:rsid w:val="00733C55"/>
    <w:rsid w:val="00733F0C"/>
    <w:rsid w:val="007344DA"/>
    <w:rsid w:val="007344E0"/>
    <w:rsid w:val="0073453A"/>
    <w:rsid w:val="00734607"/>
    <w:rsid w:val="0073460A"/>
    <w:rsid w:val="00734BB7"/>
    <w:rsid w:val="00734C57"/>
    <w:rsid w:val="00735181"/>
    <w:rsid w:val="007357E5"/>
    <w:rsid w:val="00735E3D"/>
    <w:rsid w:val="00735F70"/>
    <w:rsid w:val="00736124"/>
    <w:rsid w:val="00736BDF"/>
    <w:rsid w:val="00736CA5"/>
    <w:rsid w:val="00736CC5"/>
    <w:rsid w:val="00736D13"/>
    <w:rsid w:val="00737134"/>
    <w:rsid w:val="007374EF"/>
    <w:rsid w:val="00737EA3"/>
    <w:rsid w:val="00737EE6"/>
    <w:rsid w:val="00740229"/>
    <w:rsid w:val="0074023A"/>
    <w:rsid w:val="007408F0"/>
    <w:rsid w:val="00740A8F"/>
    <w:rsid w:val="00740ACB"/>
    <w:rsid w:val="00740BA9"/>
    <w:rsid w:val="00740C44"/>
    <w:rsid w:val="00740FE4"/>
    <w:rsid w:val="00741084"/>
    <w:rsid w:val="0074148E"/>
    <w:rsid w:val="007415B9"/>
    <w:rsid w:val="007415ED"/>
    <w:rsid w:val="007416F6"/>
    <w:rsid w:val="0074189D"/>
    <w:rsid w:val="007418FB"/>
    <w:rsid w:val="00741995"/>
    <w:rsid w:val="00741B63"/>
    <w:rsid w:val="00741C0B"/>
    <w:rsid w:val="00741C98"/>
    <w:rsid w:val="00741CA6"/>
    <w:rsid w:val="00741F96"/>
    <w:rsid w:val="007425C5"/>
    <w:rsid w:val="00742763"/>
    <w:rsid w:val="007429F9"/>
    <w:rsid w:val="00742C6F"/>
    <w:rsid w:val="00742EFB"/>
    <w:rsid w:val="00742FB5"/>
    <w:rsid w:val="007432EB"/>
    <w:rsid w:val="0074349F"/>
    <w:rsid w:val="0074361F"/>
    <w:rsid w:val="00743696"/>
    <w:rsid w:val="007436D3"/>
    <w:rsid w:val="00743B15"/>
    <w:rsid w:val="00743BAB"/>
    <w:rsid w:val="00743E8D"/>
    <w:rsid w:val="00743EFC"/>
    <w:rsid w:val="007443AC"/>
    <w:rsid w:val="007445C0"/>
    <w:rsid w:val="00744832"/>
    <w:rsid w:val="00744981"/>
    <w:rsid w:val="00744BBE"/>
    <w:rsid w:val="00744DC0"/>
    <w:rsid w:val="00745236"/>
    <w:rsid w:val="007455B2"/>
    <w:rsid w:val="0074569E"/>
    <w:rsid w:val="007459DD"/>
    <w:rsid w:val="00745B7C"/>
    <w:rsid w:val="00745E46"/>
    <w:rsid w:val="00745E80"/>
    <w:rsid w:val="00746109"/>
    <w:rsid w:val="0074641E"/>
    <w:rsid w:val="007464D4"/>
    <w:rsid w:val="00746C59"/>
    <w:rsid w:val="007470F2"/>
    <w:rsid w:val="007472AD"/>
    <w:rsid w:val="0074737D"/>
    <w:rsid w:val="00747467"/>
    <w:rsid w:val="007475F2"/>
    <w:rsid w:val="00747710"/>
    <w:rsid w:val="00747E75"/>
    <w:rsid w:val="00747F19"/>
    <w:rsid w:val="00750242"/>
    <w:rsid w:val="007503C6"/>
    <w:rsid w:val="00750660"/>
    <w:rsid w:val="0075083A"/>
    <w:rsid w:val="00750D57"/>
    <w:rsid w:val="00750F47"/>
    <w:rsid w:val="00750FBC"/>
    <w:rsid w:val="007510F8"/>
    <w:rsid w:val="007511D3"/>
    <w:rsid w:val="0075122C"/>
    <w:rsid w:val="007514A8"/>
    <w:rsid w:val="00751551"/>
    <w:rsid w:val="0075179B"/>
    <w:rsid w:val="00751AF7"/>
    <w:rsid w:val="00751C54"/>
    <w:rsid w:val="00751EF3"/>
    <w:rsid w:val="00751EFE"/>
    <w:rsid w:val="00752049"/>
    <w:rsid w:val="00752131"/>
    <w:rsid w:val="00752196"/>
    <w:rsid w:val="007523F6"/>
    <w:rsid w:val="00752448"/>
    <w:rsid w:val="0075245C"/>
    <w:rsid w:val="00752B76"/>
    <w:rsid w:val="00752E32"/>
    <w:rsid w:val="0075305D"/>
    <w:rsid w:val="007530F1"/>
    <w:rsid w:val="007532A0"/>
    <w:rsid w:val="007532DE"/>
    <w:rsid w:val="00753524"/>
    <w:rsid w:val="007535A2"/>
    <w:rsid w:val="00753687"/>
    <w:rsid w:val="0075396C"/>
    <w:rsid w:val="00754651"/>
    <w:rsid w:val="0075479F"/>
    <w:rsid w:val="007547B8"/>
    <w:rsid w:val="00754877"/>
    <w:rsid w:val="00754AD2"/>
    <w:rsid w:val="00754D6B"/>
    <w:rsid w:val="00754E27"/>
    <w:rsid w:val="00755294"/>
    <w:rsid w:val="0075574A"/>
    <w:rsid w:val="007557FD"/>
    <w:rsid w:val="0075594C"/>
    <w:rsid w:val="00755A09"/>
    <w:rsid w:val="00755C48"/>
    <w:rsid w:val="00755C4F"/>
    <w:rsid w:val="00755C9E"/>
    <w:rsid w:val="00755DCA"/>
    <w:rsid w:val="00756156"/>
    <w:rsid w:val="007561C2"/>
    <w:rsid w:val="007561F0"/>
    <w:rsid w:val="00756602"/>
    <w:rsid w:val="00756858"/>
    <w:rsid w:val="007568FD"/>
    <w:rsid w:val="0075698F"/>
    <w:rsid w:val="00756D4E"/>
    <w:rsid w:val="00756D64"/>
    <w:rsid w:val="00757051"/>
    <w:rsid w:val="007572CD"/>
    <w:rsid w:val="00757316"/>
    <w:rsid w:val="00757376"/>
    <w:rsid w:val="00757447"/>
    <w:rsid w:val="00757A98"/>
    <w:rsid w:val="00757F49"/>
    <w:rsid w:val="00760381"/>
    <w:rsid w:val="00760392"/>
    <w:rsid w:val="007603E5"/>
    <w:rsid w:val="00760870"/>
    <w:rsid w:val="00760AA7"/>
    <w:rsid w:val="00761282"/>
    <w:rsid w:val="00761570"/>
    <w:rsid w:val="007616D3"/>
    <w:rsid w:val="007616ED"/>
    <w:rsid w:val="00761AFE"/>
    <w:rsid w:val="00761BD3"/>
    <w:rsid w:val="00761BFE"/>
    <w:rsid w:val="00761C8B"/>
    <w:rsid w:val="00761D16"/>
    <w:rsid w:val="00761DEB"/>
    <w:rsid w:val="00761F55"/>
    <w:rsid w:val="007621C8"/>
    <w:rsid w:val="00762329"/>
    <w:rsid w:val="0076280F"/>
    <w:rsid w:val="0076299B"/>
    <w:rsid w:val="007629F8"/>
    <w:rsid w:val="00762A48"/>
    <w:rsid w:val="00762B8D"/>
    <w:rsid w:val="00762CF4"/>
    <w:rsid w:val="00762D56"/>
    <w:rsid w:val="00762DAA"/>
    <w:rsid w:val="00762DEF"/>
    <w:rsid w:val="00762F90"/>
    <w:rsid w:val="007632B0"/>
    <w:rsid w:val="0076358C"/>
    <w:rsid w:val="0076395F"/>
    <w:rsid w:val="00763963"/>
    <w:rsid w:val="00763DBD"/>
    <w:rsid w:val="0076419A"/>
    <w:rsid w:val="0076457A"/>
    <w:rsid w:val="007646B2"/>
    <w:rsid w:val="007648A5"/>
    <w:rsid w:val="00765588"/>
    <w:rsid w:val="0076580A"/>
    <w:rsid w:val="00765880"/>
    <w:rsid w:val="00765AA8"/>
    <w:rsid w:val="007661EA"/>
    <w:rsid w:val="00766240"/>
    <w:rsid w:val="00766800"/>
    <w:rsid w:val="007668E6"/>
    <w:rsid w:val="00766AFF"/>
    <w:rsid w:val="00766B66"/>
    <w:rsid w:val="00766E28"/>
    <w:rsid w:val="00767434"/>
    <w:rsid w:val="007677C2"/>
    <w:rsid w:val="0076790C"/>
    <w:rsid w:val="00767C28"/>
    <w:rsid w:val="00767D45"/>
    <w:rsid w:val="007701CB"/>
    <w:rsid w:val="0077068F"/>
    <w:rsid w:val="007706EA"/>
    <w:rsid w:val="00770877"/>
    <w:rsid w:val="00770DD2"/>
    <w:rsid w:val="00771167"/>
    <w:rsid w:val="00771C0E"/>
    <w:rsid w:val="007720C2"/>
    <w:rsid w:val="00772218"/>
    <w:rsid w:val="0077243B"/>
    <w:rsid w:val="00772D0E"/>
    <w:rsid w:val="0077314E"/>
    <w:rsid w:val="007732F3"/>
    <w:rsid w:val="007738A1"/>
    <w:rsid w:val="00773997"/>
    <w:rsid w:val="00773A77"/>
    <w:rsid w:val="00773CDA"/>
    <w:rsid w:val="00773D63"/>
    <w:rsid w:val="0077410F"/>
    <w:rsid w:val="00774A72"/>
    <w:rsid w:val="00774BB9"/>
    <w:rsid w:val="00774C76"/>
    <w:rsid w:val="00774C98"/>
    <w:rsid w:val="007751EA"/>
    <w:rsid w:val="00775243"/>
    <w:rsid w:val="0077528C"/>
    <w:rsid w:val="0077561D"/>
    <w:rsid w:val="00775F00"/>
    <w:rsid w:val="00775F4A"/>
    <w:rsid w:val="007761F1"/>
    <w:rsid w:val="00776245"/>
    <w:rsid w:val="007762EF"/>
    <w:rsid w:val="00776778"/>
    <w:rsid w:val="007776DB"/>
    <w:rsid w:val="00777E6B"/>
    <w:rsid w:val="00780053"/>
    <w:rsid w:val="007801BE"/>
    <w:rsid w:val="007802C8"/>
    <w:rsid w:val="0078040C"/>
    <w:rsid w:val="0078040E"/>
    <w:rsid w:val="0078041D"/>
    <w:rsid w:val="007809FE"/>
    <w:rsid w:val="00780AE1"/>
    <w:rsid w:val="00780BCC"/>
    <w:rsid w:val="00780E12"/>
    <w:rsid w:val="007811F8"/>
    <w:rsid w:val="007813A3"/>
    <w:rsid w:val="007815A3"/>
    <w:rsid w:val="007817C2"/>
    <w:rsid w:val="00781C04"/>
    <w:rsid w:val="00782767"/>
    <w:rsid w:val="0078362C"/>
    <w:rsid w:val="0078369E"/>
    <w:rsid w:val="00783794"/>
    <w:rsid w:val="007838F6"/>
    <w:rsid w:val="00783960"/>
    <w:rsid w:val="00783988"/>
    <w:rsid w:val="007839E5"/>
    <w:rsid w:val="00783B99"/>
    <w:rsid w:val="007840B7"/>
    <w:rsid w:val="0078412B"/>
    <w:rsid w:val="00784180"/>
    <w:rsid w:val="00784383"/>
    <w:rsid w:val="00784549"/>
    <w:rsid w:val="007848F9"/>
    <w:rsid w:val="007849D5"/>
    <w:rsid w:val="00784EEB"/>
    <w:rsid w:val="007851A3"/>
    <w:rsid w:val="00785449"/>
    <w:rsid w:val="0078548D"/>
    <w:rsid w:val="007856A1"/>
    <w:rsid w:val="00785F11"/>
    <w:rsid w:val="007864E9"/>
    <w:rsid w:val="0078650D"/>
    <w:rsid w:val="00786561"/>
    <w:rsid w:val="0078675D"/>
    <w:rsid w:val="00786763"/>
    <w:rsid w:val="0078695A"/>
    <w:rsid w:val="00786D8D"/>
    <w:rsid w:val="00786D9F"/>
    <w:rsid w:val="007870AA"/>
    <w:rsid w:val="00787319"/>
    <w:rsid w:val="00787686"/>
    <w:rsid w:val="007877BF"/>
    <w:rsid w:val="00787928"/>
    <w:rsid w:val="00787AA9"/>
    <w:rsid w:val="00787D5D"/>
    <w:rsid w:val="00787EEB"/>
    <w:rsid w:val="007901E4"/>
    <w:rsid w:val="00790252"/>
    <w:rsid w:val="00790500"/>
    <w:rsid w:val="00790531"/>
    <w:rsid w:val="0079053D"/>
    <w:rsid w:val="007907FF"/>
    <w:rsid w:val="00790BD1"/>
    <w:rsid w:val="00791558"/>
    <w:rsid w:val="007916DA"/>
    <w:rsid w:val="00791F9F"/>
    <w:rsid w:val="0079201F"/>
    <w:rsid w:val="007922E8"/>
    <w:rsid w:val="00792463"/>
    <w:rsid w:val="00792505"/>
    <w:rsid w:val="0079257D"/>
    <w:rsid w:val="007926AE"/>
    <w:rsid w:val="00792997"/>
    <w:rsid w:val="00792B1A"/>
    <w:rsid w:val="00792DE4"/>
    <w:rsid w:val="007938BB"/>
    <w:rsid w:val="00793EEC"/>
    <w:rsid w:val="007941D3"/>
    <w:rsid w:val="00794452"/>
    <w:rsid w:val="00794595"/>
    <w:rsid w:val="00794666"/>
    <w:rsid w:val="007947CB"/>
    <w:rsid w:val="007948B8"/>
    <w:rsid w:val="00794972"/>
    <w:rsid w:val="007949CE"/>
    <w:rsid w:val="00794D83"/>
    <w:rsid w:val="00794FB4"/>
    <w:rsid w:val="007956B1"/>
    <w:rsid w:val="007956DE"/>
    <w:rsid w:val="00795A23"/>
    <w:rsid w:val="00795AFF"/>
    <w:rsid w:val="00795B83"/>
    <w:rsid w:val="00795BC0"/>
    <w:rsid w:val="007964B2"/>
    <w:rsid w:val="007964EC"/>
    <w:rsid w:val="007969C2"/>
    <w:rsid w:val="00796A41"/>
    <w:rsid w:val="00796F4F"/>
    <w:rsid w:val="007971F0"/>
    <w:rsid w:val="007971FE"/>
    <w:rsid w:val="0079720A"/>
    <w:rsid w:val="00797731"/>
    <w:rsid w:val="00797BDC"/>
    <w:rsid w:val="00797C20"/>
    <w:rsid w:val="00797C3A"/>
    <w:rsid w:val="00797F19"/>
    <w:rsid w:val="007A0155"/>
    <w:rsid w:val="007A02D5"/>
    <w:rsid w:val="007A0347"/>
    <w:rsid w:val="007A04D3"/>
    <w:rsid w:val="007A081C"/>
    <w:rsid w:val="007A0B91"/>
    <w:rsid w:val="007A0DEE"/>
    <w:rsid w:val="007A1083"/>
    <w:rsid w:val="007A127B"/>
    <w:rsid w:val="007A129A"/>
    <w:rsid w:val="007A133D"/>
    <w:rsid w:val="007A1999"/>
    <w:rsid w:val="007A2288"/>
    <w:rsid w:val="007A228C"/>
    <w:rsid w:val="007A22B8"/>
    <w:rsid w:val="007A23B2"/>
    <w:rsid w:val="007A2A01"/>
    <w:rsid w:val="007A2A98"/>
    <w:rsid w:val="007A2B48"/>
    <w:rsid w:val="007A2B7D"/>
    <w:rsid w:val="007A2B7F"/>
    <w:rsid w:val="007A2BD2"/>
    <w:rsid w:val="007A2C92"/>
    <w:rsid w:val="007A2EB8"/>
    <w:rsid w:val="007A3002"/>
    <w:rsid w:val="007A310B"/>
    <w:rsid w:val="007A3605"/>
    <w:rsid w:val="007A395E"/>
    <w:rsid w:val="007A3DFF"/>
    <w:rsid w:val="007A3E78"/>
    <w:rsid w:val="007A3F5E"/>
    <w:rsid w:val="007A3F91"/>
    <w:rsid w:val="007A43BC"/>
    <w:rsid w:val="007A46B3"/>
    <w:rsid w:val="007A49E3"/>
    <w:rsid w:val="007A4B25"/>
    <w:rsid w:val="007A4BA9"/>
    <w:rsid w:val="007A4DA3"/>
    <w:rsid w:val="007A4DDD"/>
    <w:rsid w:val="007A5110"/>
    <w:rsid w:val="007A51BB"/>
    <w:rsid w:val="007A53E7"/>
    <w:rsid w:val="007A55B7"/>
    <w:rsid w:val="007A5735"/>
    <w:rsid w:val="007A575B"/>
    <w:rsid w:val="007A577A"/>
    <w:rsid w:val="007A5919"/>
    <w:rsid w:val="007A59B4"/>
    <w:rsid w:val="007A5A05"/>
    <w:rsid w:val="007A5FF3"/>
    <w:rsid w:val="007A649C"/>
    <w:rsid w:val="007A64C5"/>
    <w:rsid w:val="007A64F6"/>
    <w:rsid w:val="007A65E8"/>
    <w:rsid w:val="007A672B"/>
    <w:rsid w:val="007A6869"/>
    <w:rsid w:val="007A69C3"/>
    <w:rsid w:val="007A701C"/>
    <w:rsid w:val="007A7311"/>
    <w:rsid w:val="007A783B"/>
    <w:rsid w:val="007A7AE3"/>
    <w:rsid w:val="007A7B4C"/>
    <w:rsid w:val="007A7CDE"/>
    <w:rsid w:val="007A7E5D"/>
    <w:rsid w:val="007B0075"/>
    <w:rsid w:val="007B01D3"/>
    <w:rsid w:val="007B0816"/>
    <w:rsid w:val="007B0AEF"/>
    <w:rsid w:val="007B0EBC"/>
    <w:rsid w:val="007B0EF8"/>
    <w:rsid w:val="007B1717"/>
    <w:rsid w:val="007B1A1C"/>
    <w:rsid w:val="007B1AA7"/>
    <w:rsid w:val="007B1AFF"/>
    <w:rsid w:val="007B1E0A"/>
    <w:rsid w:val="007B206E"/>
    <w:rsid w:val="007B21ED"/>
    <w:rsid w:val="007B25B4"/>
    <w:rsid w:val="007B266C"/>
    <w:rsid w:val="007B26C2"/>
    <w:rsid w:val="007B28EC"/>
    <w:rsid w:val="007B2AA5"/>
    <w:rsid w:val="007B2E50"/>
    <w:rsid w:val="007B2ECF"/>
    <w:rsid w:val="007B3040"/>
    <w:rsid w:val="007B32A9"/>
    <w:rsid w:val="007B3625"/>
    <w:rsid w:val="007B371D"/>
    <w:rsid w:val="007B3A46"/>
    <w:rsid w:val="007B4667"/>
    <w:rsid w:val="007B493B"/>
    <w:rsid w:val="007B49C0"/>
    <w:rsid w:val="007B4AB0"/>
    <w:rsid w:val="007B4C3D"/>
    <w:rsid w:val="007B4C43"/>
    <w:rsid w:val="007B4FB2"/>
    <w:rsid w:val="007B510F"/>
    <w:rsid w:val="007B5265"/>
    <w:rsid w:val="007B52F4"/>
    <w:rsid w:val="007B54C6"/>
    <w:rsid w:val="007B582F"/>
    <w:rsid w:val="007B5EED"/>
    <w:rsid w:val="007B5F12"/>
    <w:rsid w:val="007B622C"/>
    <w:rsid w:val="007B64D5"/>
    <w:rsid w:val="007B6970"/>
    <w:rsid w:val="007B6C05"/>
    <w:rsid w:val="007B72B1"/>
    <w:rsid w:val="007B74AF"/>
    <w:rsid w:val="007B7822"/>
    <w:rsid w:val="007B7858"/>
    <w:rsid w:val="007B78D1"/>
    <w:rsid w:val="007B78F6"/>
    <w:rsid w:val="007B78FC"/>
    <w:rsid w:val="007C0324"/>
    <w:rsid w:val="007C04A8"/>
    <w:rsid w:val="007C05EB"/>
    <w:rsid w:val="007C08B8"/>
    <w:rsid w:val="007C0E12"/>
    <w:rsid w:val="007C0F15"/>
    <w:rsid w:val="007C11DB"/>
    <w:rsid w:val="007C1C38"/>
    <w:rsid w:val="007C1D4B"/>
    <w:rsid w:val="007C1E0D"/>
    <w:rsid w:val="007C1FFC"/>
    <w:rsid w:val="007C207F"/>
    <w:rsid w:val="007C28C7"/>
    <w:rsid w:val="007C2B4D"/>
    <w:rsid w:val="007C3456"/>
    <w:rsid w:val="007C3570"/>
    <w:rsid w:val="007C35CD"/>
    <w:rsid w:val="007C361B"/>
    <w:rsid w:val="007C367D"/>
    <w:rsid w:val="007C3778"/>
    <w:rsid w:val="007C3867"/>
    <w:rsid w:val="007C3E31"/>
    <w:rsid w:val="007C406C"/>
    <w:rsid w:val="007C41BA"/>
    <w:rsid w:val="007C4215"/>
    <w:rsid w:val="007C4A82"/>
    <w:rsid w:val="007C5520"/>
    <w:rsid w:val="007C560F"/>
    <w:rsid w:val="007C56AD"/>
    <w:rsid w:val="007C5740"/>
    <w:rsid w:val="007C5825"/>
    <w:rsid w:val="007C5F13"/>
    <w:rsid w:val="007C618B"/>
    <w:rsid w:val="007C61A4"/>
    <w:rsid w:val="007C66E2"/>
    <w:rsid w:val="007C6794"/>
    <w:rsid w:val="007C6ACB"/>
    <w:rsid w:val="007C6B9C"/>
    <w:rsid w:val="007C6C0E"/>
    <w:rsid w:val="007C710A"/>
    <w:rsid w:val="007C73FE"/>
    <w:rsid w:val="007C7908"/>
    <w:rsid w:val="007C7D19"/>
    <w:rsid w:val="007D03BB"/>
    <w:rsid w:val="007D0AB9"/>
    <w:rsid w:val="007D0E5B"/>
    <w:rsid w:val="007D1308"/>
    <w:rsid w:val="007D16DD"/>
    <w:rsid w:val="007D1908"/>
    <w:rsid w:val="007D1958"/>
    <w:rsid w:val="007D1B07"/>
    <w:rsid w:val="007D1B41"/>
    <w:rsid w:val="007D1CFE"/>
    <w:rsid w:val="007D2171"/>
    <w:rsid w:val="007D21CA"/>
    <w:rsid w:val="007D24C8"/>
    <w:rsid w:val="007D2544"/>
    <w:rsid w:val="007D25FB"/>
    <w:rsid w:val="007D2B86"/>
    <w:rsid w:val="007D2C1F"/>
    <w:rsid w:val="007D2EE9"/>
    <w:rsid w:val="007D32B1"/>
    <w:rsid w:val="007D360B"/>
    <w:rsid w:val="007D387D"/>
    <w:rsid w:val="007D3B7D"/>
    <w:rsid w:val="007D3D59"/>
    <w:rsid w:val="007D3E8F"/>
    <w:rsid w:val="007D407D"/>
    <w:rsid w:val="007D41D3"/>
    <w:rsid w:val="007D44F3"/>
    <w:rsid w:val="007D450E"/>
    <w:rsid w:val="007D46C6"/>
    <w:rsid w:val="007D4729"/>
    <w:rsid w:val="007D4985"/>
    <w:rsid w:val="007D4E85"/>
    <w:rsid w:val="007D4F82"/>
    <w:rsid w:val="007D532B"/>
    <w:rsid w:val="007D5A65"/>
    <w:rsid w:val="007D5B9E"/>
    <w:rsid w:val="007D5F03"/>
    <w:rsid w:val="007D603C"/>
    <w:rsid w:val="007D60E4"/>
    <w:rsid w:val="007D6423"/>
    <w:rsid w:val="007D65B1"/>
    <w:rsid w:val="007D670F"/>
    <w:rsid w:val="007D6CC6"/>
    <w:rsid w:val="007D6FD6"/>
    <w:rsid w:val="007D7179"/>
    <w:rsid w:val="007D72F3"/>
    <w:rsid w:val="007D7439"/>
    <w:rsid w:val="007D7552"/>
    <w:rsid w:val="007D7719"/>
    <w:rsid w:val="007D77ED"/>
    <w:rsid w:val="007D7B6B"/>
    <w:rsid w:val="007D7C87"/>
    <w:rsid w:val="007E007A"/>
    <w:rsid w:val="007E02EB"/>
    <w:rsid w:val="007E033D"/>
    <w:rsid w:val="007E03E2"/>
    <w:rsid w:val="007E045B"/>
    <w:rsid w:val="007E061B"/>
    <w:rsid w:val="007E0985"/>
    <w:rsid w:val="007E0B84"/>
    <w:rsid w:val="007E1104"/>
    <w:rsid w:val="007E1253"/>
    <w:rsid w:val="007E12F4"/>
    <w:rsid w:val="007E1753"/>
    <w:rsid w:val="007E1801"/>
    <w:rsid w:val="007E1C2B"/>
    <w:rsid w:val="007E1C9B"/>
    <w:rsid w:val="007E1FFC"/>
    <w:rsid w:val="007E220E"/>
    <w:rsid w:val="007E259D"/>
    <w:rsid w:val="007E25A0"/>
    <w:rsid w:val="007E25AB"/>
    <w:rsid w:val="007E261E"/>
    <w:rsid w:val="007E2875"/>
    <w:rsid w:val="007E2E43"/>
    <w:rsid w:val="007E324E"/>
    <w:rsid w:val="007E34FF"/>
    <w:rsid w:val="007E3598"/>
    <w:rsid w:val="007E3B91"/>
    <w:rsid w:val="007E3CC4"/>
    <w:rsid w:val="007E40EC"/>
    <w:rsid w:val="007E46F8"/>
    <w:rsid w:val="007E490E"/>
    <w:rsid w:val="007E4AD5"/>
    <w:rsid w:val="007E4E02"/>
    <w:rsid w:val="007E520F"/>
    <w:rsid w:val="007E52EB"/>
    <w:rsid w:val="007E53CD"/>
    <w:rsid w:val="007E55C4"/>
    <w:rsid w:val="007E57CA"/>
    <w:rsid w:val="007E5C72"/>
    <w:rsid w:val="007E5DAA"/>
    <w:rsid w:val="007E628A"/>
    <w:rsid w:val="007E63DB"/>
    <w:rsid w:val="007E6696"/>
    <w:rsid w:val="007E66E1"/>
    <w:rsid w:val="007E6ACF"/>
    <w:rsid w:val="007E6B52"/>
    <w:rsid w:val="007E6DD9"/>
    <w:rsid w:val="007E6F49"/>
    <w:rsid w:val="007E7251"/>
    <w:rsid w:val="007E72AA"/>
    <w:rsid w:val="007E73AA"/>
    <w:rsid w:val="007E742F"/>
    <w:rsid w:val="007E748E"/>
    <w:rsid w:val="007E766E"/>
    <w:rsid w:val="007E76F8"/>
    <w:rsid w:val="007E77CD"/>
    <w:rsid w:val="007F0066"/>
    <w:rsid w:val="007F06E7"/>
    <w:rsid w:val="007F0A21"/>
    <w:rsid w:val="007F0A3E"/>
    <w:rsid w:val="007F0CDB"/>
    <w:rsid w:val="007F0D72"/>
    <w:rsid w:val="007F12CC"/>
    <w:rsid w:val="007F13F1"/>
    <w:rsid w:val="007F15CC"/>
    <w:rsid w:val="007F18C8"/>
    <w:rsid w:val="007F1921"/>
    <w:rsid w:val="007F1B05"/>
    <w:rsid w:val="007F1D2F"/>
    <w:rsid w:val="007F2394"/>
    <w:rsid w:val="007F256D"/>
    <w:rsid w:val="007F2887"/>
    <w:rsid w:val="007F2B7D"/>
    <w:rsid w:val="007F2EEA"/>
    <w:rsid w:val="007F2F3D"/>
    <w:rsid w:val="007F30CD"/>
    <w:rsid w:val="007F3330"/>
    <w:rsid w:val="007F36EF"/>
    <w:rsid w:val="007F39BB"/>
    <w:rsid w:val="007F3A3A"/>
    <w:rsid w:val="007F3A86"/>
    <w:rsid w:val="007F3A87"/>
    <w:rsid w:val="007F3B00"/>
    <w:rsid w:val="007F3B64"/>
    <w:rsid w:val="007F3D4C"/>
    <w:rsid w:val="007F411C"/>
    <w:rsid w:val="007F4376"/>
    <w:rsid w:val="007F43B9"/>
    <w:rsid w:val="007F4686"/>
    <w:rsid w:val="007F4A44"/>
    <w:rsid w:val="007F4CFA"/>
    <w:rsid w:val="007F4D19"/>
    <w:rsid w:val="007F4EEC"/>
    <w:rsid w:val="007F4F70"/>
    <w:rsid w:val="007F514A"/>
    <w:rsid w:val="007F5300"/>
    <w:rsid w:val="007F56DF"/>
    <w:rsid w:val="007F5BC5"/>
    <w:rsid w:val="007F5CAE"/>
    <w:rsid w:val="007F5D3A"/>
    <w:rsid w:val="007F639A"/>
    <w:rsid w:val="007F668E"/>
    <w:rsid w:val="007F66C4"/>
    <w:rsid w:val="007F6964"/>
    <w:rsid w:val="007F6A27"/>
    <w:rsid w:val="007F6C62"/>
    <w:rsid w:val="007F6D13"/>
    <w:rsid w:val="007F6D29"/>
    <w:rsid w:val="007F6DAF"/>
    <w:rsid w:val="007F6DD9"/>
    <w:rsid w:val="007F701A"/>
    <w:rsid w:val="007F7049"/>
    <w:rsid w:val="007F7569"/>
    <w:rsid w:val="007F7579"/>
    <w:rsid w:val="007F7AEB"/>
    <w:rsid w:val="008001BA"/>
    <w:rsid w:val="00800362"/>
    <w:rsid w:val="0080058E"/>
    <w:rsid w:val="00800A77"/>
    <w:rsid w:val="00800CB4"/>
    <w:rsid w:val="00800D17"/>
    <w:rsid w:val="0080116B"/>
    <w:rsid w:val="008012F1"/>
    <w:rsid w:val="00801699"/>
    <w:rsid w:val="00801753"/>
    <w:rsid w:val="00801972"/>
    <w:rsid w:val="00801D5D"/>
    <w:rsid w:val="00801D6A"/>
    <w:rsid w:val="00801D9F"/>
    <w:rsid w:val="0080202B"/>
    <w:rsid w:val="008020B2"/>
    <w:rsid w:val="0080251D"/>
    <w:rsid w:val="0080262C"/>
    <w:rsid w:val="00802A55"/>
    <w:rsid w:val="00802AFB"/>
    <w:rsid w:val="00802D96"/>
    <w:rsid w:val="00802DEB"/>
    <w:rsid w:val="00802FDC"/>
    <w:rsid w:val="00803046"/>
    <w:rsid w:val="008030A1"/>
    <w:rsid w:val="008030AF"/>
    <w:rsid w:val="008031AE"/>
    <w:rsid w:val="008034D8"/>
    <w:rsid w:val="00803709"/>
    <w:rsid w:val="0080382E"/>
    <w:rsid w:val="00803856"/>
    <w:rsid w:val="0080388F"/>
    <w:rsid w:val="00804243"/>
    <w:rsid w:val="008042FE"/>
    <w:rsid w:val="0080461B"/>
    <w:rsid w:val="00804F4E"/>
    <w:rsid w:val="008050E0"/>
    <w:rsid w:val="008056AA"/>
    <w:rsid w:val="008057A0"/>
    <w:rsid w:val="008058F7"/>
    <w:rsid w:val="00805DCC"/>
    <w:rsid w:val="00805DDE"/>
    <w:rsid w:val="00805F55"/>
    <w:rsid w:val="00806048"/>
    <w:rsid w:val="0080644E"/>
    <w:rsid w:val="00806589"/>
    <w:rsid w:val="008066CA"/>
    <w:rsid w:val="00806782"/>
    <w:rsid w:val="00806B13"/>
    <w:rsid w:val="00806C9A"/>
    <w:rsid w:val="00806EE5"/>
    <w:rsid w:val="008072C3"/>
    <w:rsid w:val="008076EB"/>
    <w:rsid w:val="00807760"/>
    <w:rsid w:val="00807BD1"/>
    <w:rsid w:val="008102A2"/>
    <w:rsid w:val="00810470"/>
    <w:rsid w:val="0081093D"/>
    <w:rsid w:val="00810DFE"/>
    <w:rsid w:val="00811284"/>
    <w:rsid w:val="008112AE"/>
    <w:rsid w:val="008115FE"/>
    <w:rsid w:val="00811645"/>
    <w:rsid w:val="008116BC"/>
    <w:rsid w:val="00811788"/>
    <w:rsid w:val="00812258"/>
    <w:rsid w:val="008122E2"/>
    <w:rsid w:val="00812821"/>
    <w:rsid w:val="00812851"/>
    <w:rsid w:val="0081285F"/>
    <w:rsid w:val="00812AAB"/>
    <w:rsid w:val="00812E80"/>
    <w:rsid w:val="00813231"/>
    <w:rsid w:val="008135CF"/>
    <w:rsid w:val="00813612"/>
    <w:rsid w:val="00813925"/>
    <w:rsid w:val="00814755"/>
    <w:rsid w:val="00814823"/>
    <w:rsid w:val="00814B39"/>
    <w:rsid w:val="00814D8E"/>
    <w:rsid w:val="00815161"/>
    <w:rsid w:val="00815361"/>
    <w:rsid w:val="0081569F"/>
    <w:rsid w:val="008156A3"/>
    <w:rsid w:val="00815803"/>
    <w:rsid w:val="00815834"/>
    <w:rsid w:val="0081584E"/>
    <w:rsid w:val="008159C3"/>
    <w:rsid w:val="0081616E"/>
    <w:rsid w:val="0081656F"/>
    <w:rsid w:val="008165A1"/>
    <w:rsid w:val="0081674F"/>
    <w:rsid w:val="008167A3"/>
    <w:rsid w:val="008167B9"/>
    <w:rsid w:val="008168A2"/>
    <w:rsid w:val="00816960"/>
    <w:rsid w:val="00817506"/>
    <w:rsid w:val="0081756C"/>
    <w:rsid w:val="008176F3"/>
    <w:rsid w:val="00817976"/>
    <w:rsid w:val="00817B3A"/>
    <w:rsid w:val="00817BE6"/>
    <w:rsid w:val="008200C2"/>
    <w:rsid w:val="0082093B"/>
    <w:rsid w:val="00820E6F"/>
    <w:rsid w:val="00820EEF"/>
    <w:rsid w:val="0082199A"/>
    <w:rsid w:val="00821A8E"/>
    <w:rsid w:val="00821BD6"/>
    <w:rsid w:val="00821EC6"/>
    <w:rsid w:val="00822139"/>
    <w:rsid w:val="00822A5C"/>
    <w:rsid w:val="00822D21"/>
    <w:rsid w:val="00822DBF"/>
    <w:rsid w:val="00822FF8"/>
    <w:rsid w:val="00823BAF"/>
    <w:rsid w:val="00823C39"/>
    <w:rsid w:val="00823F58"/>
    <w:rsid w:val="00823FC2"/>
    <w:rsid w:val="00824190"/>
    <w:rsid w:val="00824416"/>
    <w:rsid w:val="00824784"/>
    <w:rsid w:val="00824801"/>
    <w:rsid w:val="00824A5F"/>
    <w:rsid w:val="00824C64"/>
    <w:rsid w:val="00824CCE"/>
    <w:rsid w:val="00824D85"/>
    <w:rsid w:val="00824ECF"/>
    <w:rsid w:val="0082513E"/>
    <w:rsid w:val="00825B6D"/>
    <w:rsid w:val="00825C7F"/>
    <w:rsid w:val="00825EF7"/>
    <w:rsid w:val="00826116"/>
    <w:rsid w:val="00826256"/>
    <w:rsid w:val="0082649B"/>
    <w:rsid w:val="00826EC5"/>
    <w:rsid w:val="00826FD8"/>
    <w:rsid w:val="008272F7"/>
    <w:rsid w:val="008272F9"/>
    <w:rsid w:val="00827BEE"/>
    <w:rsid w:val="00827DA9"/>
    <w:rsid w:val="00827E2D"/>
    <w:rsid w:val="00827ED5"/>
    <w:rsid w:val="00827EF2"/>
    <w:rsid w:val="00827F3E"/>
    <w:rsid w:val="00830101"/>
    <w:rsid w:val="00830355"/>
    <w:rsid w:val="008303EE"/>
    <w:rsid w:val="00830662"/>
    <w:rsid w:val="0083068B"/>
    <w:rsid w:val="008306FD"/>
    <w:rsid w:val="0083076C"/>
    <w:rsid w:val="008307A2"/>
    <w:rsid w:val="00830A53"/>
    <w:rsid w:val="00830CDC"/>
    <w:rsid w:val="00830E53"/>
    <w:rsid w:val="008310CF"/>
    <w:rsid w:val="0083148C"/>
    <w:rsid w:val="008314EB"/>
    <w:rsid w:val="008315D2"/>
    <w:rsid w:val="00831971"/>
    <w:rsid w:val="00831E74"/>
    <w:rsid w:val="00832171"/>
    <w:rsid w:val="00832288"/>
    <w:rsid w:val="008322EE"/>
    <w:rsid w:val="008324B0"/>
    <w:rsid w:val="00832565"/>
    <w:rsid w:val="0083263B"/>
    <w:rsid w:val="00832956"/>
    <w:rsid w:val="008329C3"/>
    <w:rsid w:val="00832AEA"/>
    <w:rsid w:val="00832D04"/>
    <w:rsid w:val="00833077"/>
    <w:rsid w:val="00833BB4"/>
    <w:rsid w:val="00833D7A"/>
    <w:rsid w:val="00833E06"/>
    <w:rsid w:val="00833F4D"/>
    <w:rsid w:val="00834114"/>
    <w:rsid w:val="008343D2"/>
    <w:rsid w:val="008344E6"/>
    <w:rsid w:val="00834743"/>
    <w:rsid w:val="00834AA7"/>
    <w:rsid w:val="00834C67"/>
    <w:rsid w:val="00834DBF"/>
    <w:rsid w:val="0083527D"/>
    <w:rsid w:val="008353E0"/>
    <w:rsid w:val="008353FE"/>
    <w:rsid w:val="00835462"/>
    <w:rsid w:val="00835491"/>
    <w:rsid w:val="00835AA4"/>
    <w:rsid w:val="00835B17"/>
    <w:rsid w:val="00835E4B"/>
    <w:rsid w:val="00835ED0"/>
    <w:rsid w:val="008360A2"/>
    <w:rsid w:val="00836380"/>
    <w:rsid w:val="008363E0"/>
    <w:rsid w:val="00836472"/>
    <w:rsid w:val="008369A9"/>
    <w:rsid w:val="00836DFD"/>
    <w:rsid w:val="00837094"/>
    <w:rsid w:val="00837323"/>
    <w:rsid w:val="0083741D"/>
    <w:rsid w:val="00837420"/>
    <w:rsid w:val="00837878"/>
    <w:rsid w:val="00837A61"/>
    <w:rsid w:val="00837D20"/>
    <w:rsid w:val="008401B2"/>
    <w:rsid w:val="00840251"/>
    <w:rsid w:val="00840CCF"/>
    <w:rsid w:val="00840D93"/>
    <w:rsid w:val="00841A57"/>
    <w:rsid w:val="00841B57"/>
    <w:rsid w:val="00842111"/>
    <w:rsid w:val="00842465"/>
    <w:rsid w:val="0084297C"/>
    <w:rsid w:val="008429FD"/>
    <w:rsid w:val="00842DE9"/>
    <w:rsid w:val="00842F1C"/>
    <w:rsid w:val="00842F8B"/>
    <w:rsid w:val="00843501"/>
    <w:rsid w:val="00843931"/>
    <w:rsid w:val="0084396F"/>
    <w:rsid w:val="00843B64"/>
    <w:rsid w:val="00843D02"/>
    <w:rsid w:val="00843D19"/>
    <w:rsid w:val="00844052"/>
    <w:rsid w:val="008440EF"/>
    <w:rsid w:val="0084450B"/>
    <w:rsid w:val="00844879"/>
    <w:rsid w:val="00844886"/>
    <w:rsid w:val="00844A15"/>
    <w:rsid w:val="00844AE2"/>
    <w:rsid w:val="00844D31"/>
    <w:rsid w:val="00844DCE"/>
    <w:rsid w:val="00844E51"/>
    <w:rsid w:val="00844FE5"/>
    <w:rsid w:val="008450A1"/>
    <w:rsid w:val="00845392"/>
    <w:rsid w:val="008453EB"/>
    <w:rsid w:val="00845408"/>
    <w:rsid w:val="00845446"/>
    <w:rsid w:val="0084556C"/>
    <w:rsid w:val="0084570E"/>
    <w:rsid w:val="0084572D"/>
    <w:rsid w:val="00845A7F"/>
    <w:rsid w:val="00845B66"/>
    <w:rsid w:val="00845F5B"/>
    <w:rsid w:val="008464CE"/>
    <w:rsid w:val="008465C0"/>
    <w:rsid w:val="008465DF"/>
    <w:rsid w:val="00846607"/>
    <w:rsid w:val="00846622"/>
    <w:rsid w:val="00846649"/>
    <w:rsid w:val="008466E7"/>
    <w:rsid w:val="00846968"/>
    <w:rsid w:val="00846D0C"/>
    <w:rsid w:val="00847498"/>
    <w:rsid w:val="00847789"/>
    <w:rsid w:val="00847901"/>
    <w:rsid w:val="00847A19"/>
    <w:rsid w:val="00847B51"/>
    <w:rsid w:val="00847C62"/>
    <w:rsid w:val="00847E80"/>
    <w:rsid w:val="00847EF2"/>
    <w:rsid w:val="0085014D"/>
    <w:rsid w:val="00850675"/>
    <w:rsid w:val="0085088B"/>
    <w:rsid w:val="00850977"/>
    <w:rsid w:val="00850BC6"/>
    <w:rsid w:val="00850C55"/>
    <w:rsid w:val="00850C90"/>
    <w:rsid w:val="00851B1C"/>
    <w:rsid w:val="00851EE3"/>
    <w:rsid w:val="00851F17"/>
    <w:rsid w:val="00851FE2"/>
    <w:rsid w:val="00852126"/>
    <w:rsid w:val="00852400"/>
    <w:rsid w:val="00852A4E"/>
    <w:rsid w:val="00852CCF"/>
    <w:rsid w:val="00852D94"/>
    <w:rsid w:val="00853448"/>
    <w:rsid w:val="0085390C"/>
    <w:rsid w:val="00853D90"/>
    <w:rsid w:val="00853F41"/>
    <w:rsid w:val="00854216"/>
    <w:rsid w:val="008544AE"/>
    <w:rsid w:val="00854663"/>
    <w:rsid w:val="0085472B"/>
    <w:rsid w:val="008547B9"/>
    <w:rsid w:val="008548E0"/>
    <w:rsid w:val="00854A42"/>
    <w:rsid w:val="00854A65"/>
    <w:rsid w:val="00854E2F"/>
    <w:rsid w:val="00855062"/>
    <w:rsid w:val="008550F0"/>
    <w:rsid w:val="008555D1"/>
    <w:rsid w:val="00855BCC"/>
    <w:rsid w:val="00855F2F"/>
    <w:rsid w:val="00855FB4"/>
    <w:rsid w:val="00856076"/>
    <w:rsid w:val="0085618D"/>
    <w:rsid w:val="00856CF1"/>
    <w:rsid w:val="0085702A"/>
    <w:rsid w:val="008575E1"/>
    <w:rsid w:val="00857648"/>
    <w:rsid w:val="00857813"/>
    <w:rsid w:val="00857CCB"/>
    <w:rsid w:val="00857F6E"/>
    <w:rsid w:val="0086002C"/>
    <w:rsid w:val="00860146"/>
    <w:rsid w:val="00860293"/>
    <w:rsid w:val="0086067B"/>
    <w:rsid w:val="0086082B"/>
    <w:rsid w:val="00860B92"/>
    <w:rsid w:val="00860E42"/>
    <w:rsid w:val="00861259"/>
    <w:rsid w:val="00861277"/>
    <w:rsid w:val="0086159F"/>
    <w:rsid w:val="0086180E"/>
    <w:rsid w:val="00861848"/>
    <w:rsid w:val="00861B83"/>
    <w:rsid w:val="00861CCE"/>
    <w:rsid w:val="00861DBB"/>
    <w:rsid w:val="008620F0"/>
    <w:rsid w:val="00862201"/>
    <w:rsid w:val="00862FC8"/>
    <w:rsid w:val="008630FA"/>
    <w:rsid w:val="0086318D"/>
    <w:rsid w:val="008631C3"/>
    <w:rsid w:val="00863692"/>
    <w:rsid w:val="008639B0"/>
    <w:rsid w:val="00863B8B"/>
    <w:rsid w:val="00863DE5"/>
    <w:rsid w:val="00863EE8"/>
    <w:rsid w:val="00863FFD"/>
    <w:rsid w:val="00864001"/>
    <w:rsid w:val="008640E3"/>
    <w:rsid w:val="008641DE"/>
    <w:rsid w:val="00864418"/>
    <w:rsid w:val="00864B8A"/>
    <w:rsid w:val="00865592"/>
    <w:rsid w:val="008656A2"/>
    <w:rsid w:val="00865969"/>
    <w:rsid w:val="00865E70"/>
    <w:rsid w:val="00865EA5"/>
    <w:rsid w:val="00866173"/>
    <w:rsid w:val="0086633D"/>
    <w:rsid w:val="00866374"/>
    <w:rsid w:val="0086661B"/>
    <w:rsid w:val="0086667F"/>
    <w:rsid w:val="00866879"/>
    <w:rsid w:val="0086690C"/>
    <w:rsid w:val="00866A4C"/>
    <w:rsid w:val="00866A79"/>
    <w:rsid w:val="00866B78"/>
    <w:rsid w:val="0086706D"/>
    <w:rsid w:val="008670A9"/>
    <w:rsid w:val="0086737F"/>
    <w:rsid w:val="0086738E"/>
    <w:rsid w:val="0086767E"/>
    <w:rsid w:val="00867BFB"/>
    <w:rsid w:val="00867CEF"/>
    <w:rsid w:val="00867EDB"/>
    <w:rsid w:val="00870966"/>
    <w:rsid w:val="0087131F"/>
    <w:rsid w:val="00871DDB"/>
    <w:rsid w:val="00871EB6"/>
    <w:rsid w:val="00871F8B"/>
    <w:rsid w:val="00872261"/>
    <w:rsid w:val="008722A8"/>
    <w:rsid w:val="00872457"/>
    <w:rsid w:val="0087247E"/>
    <w:rsid w:val="00872835"/>
    <w:rsid w:val="00872878"/>
    <w:rsid w:val="008728E7"/>
    <w:rsid w:val="00872A9F"/>
    <w:rsid w:val="00872DB1"/>
    <w:rsid w:val="00872DD8"/>
    <w:rsid w:val="00872FE3"/>
    <w:rsid w:val="008733E7"/>
    <w:rsid w:val="00873498"/>
    <w:rsid w:val="0087350F"/>
    <w:rsid w:val="00873556"/>
    <w:rsid w:val="00873641"/>
    <w:rsid w:val="008736D5"/>
    <w:rsid w:val="0087378D"/>
    <w:rsid w:val="008737D2"/>
    <w:rsid w:val="00873DA3"/>
    <w:rsid w:val="0087400D"/>
    <w:rsid w:val="0087421D"/>
    <w:rsid w:val="00874467"/>
    <w:rsid w:val="0087446F"/>
    <w:rsid w:val="008744C3"/>
    <w:rsid w:val="008744DD"/>
    <w:rsid w:val="008747A4"/>
    <w:rsid w:val="00874C2B"/>
    <w:rsid w:val="00875114"/>
    <w:rsid w:val="0087514D"/>
    <w:rsid w:val="0087548A"/>
    <w:rsid w:val="008755DE"/>
    <w:rsid w:val="0087572E"/>
    <w:rsid w:val="0087591D"/>
    <w:rsid w:val="00875D66"/>
    <w:rsid w:val="00875F20"/>
    <w:rsid w:val="00876045"/>
    <w:rsid w:val="0087629C"/>
    <w:rsid w:val="0087639E"/>
    <w:rsid w:val="008769E2"/>
    <w:rsid w:val="00876C08"/>
    <w:rsid w:val="00876C18"/>
    <w:rsid w:val="00876E04"/>
    <w:rsid w:val="00876E94"/>
    <w:rsid w:val="008770BA"/>
    <w:rsid w:val="00877174"/>
    <w:rsid w:val="008773D7"/>
    <w:rsid w:val="00877A9B"/>
    <w:rsid w:val="00877BA7"/>
    <w:rsid w:val="00877D4F"/>
    <w:rsid w:val="008800D0"/>
    <w:rsid w:val="00880187"/>
    <w:rsid w:val="00880532"/>
    <w:rsid w:val="00880561"/>
    <w:rsid w:val="00880BD4"/>
    <w:rsid w:val="00881710"/>
    <w:rsid w:val="0088184B"/>
    <w:rsid w:val="00881A01"/>
    <w:rsid w:val="00882036"/>
    <w:rsid w:val="008820B0"/>
    <w:rsid w:val="008823FD"/>
    <w:rsid w:val="00882470"/>
    <w:rsid w:val="008828E0"/>
    <w:rsid w:val="008829CB"/>
    <w:rsid w:val="00882BE8"/>
    <w:rsid w:val="00882C84"/>
    <w:rsid w:val="008833C9"/>
    <w:rsid w:val="00883795"/>
    <w:rsid w:val="008838F8"/>
    <w:rsid w:val="00883996"/>
    <w:rsid w:val="00883A9D"/>
    <w:rsid w:val="00883B50"/>
    <w:rsid w:val="00883CB3"/>
    <w:rsid w:val="00883CF8"/>
    <w:rsid w:val="00883CFA"/>
    <w:rsid w:val="00883DAE"/>
    <w:rsid w:val="00884041"/>
    <w:rsid w:val="00884240"/>
    <w:rsid w:val="00884742"/>
    <w:rsid w:val="00884B0F"/>
    <w:rsid w:val="00884C39"/>
    <w:rsid w:val="00884D1B"/>
    <w:rsid w:val="00884E91"/>
    <w:rsid w:val="00884EF7"/>
    <w:rsid w:val="00884F31"/>
    <w:rsid w:val="00885207"/>
    <w:rsid w:val="0088543A"/>
    <w:rsid w:val="00885596"/>
    <w:rsid w:val="008856D0"/>
    <w:rsid w:val="00885737"/>
    <w:rsid w:val="008859DA"/>
    <w:rsid w:val="00885A42"/>
    <w:rsid w:val="00886354"/>
    <w:rsid w:val="008864BA"/>
    <w:rsid w:val="00886637"/>
    <w:rsid w:val="008866FA"/>
    <w:rsid w:val="00886743"/>
    <w:rsid w:val="008867EC"/>
    <w:rsid w:val="00886AAD"/>
    <w:rsid w:val="00886EE1"/>
    <w:rsid w:val="00886FFE"/>
    <w:rsid w:val="0088735F"/>
    <w:rsid w:val="008873AD"/>
    <w:rsid w:val="008873F6"/>
    <w:rsid w:val="0088745B"/>
    <w:rsid w:val="00887571"/>
    <w:rsid w:val="00887616"/>
    <w:rsid w:val="00887745"/>
    <w:rsid w:val="00887A9B"/>
    <w:rsid w:val="00890158"/>
    <w:rsid w:val="0089092C"/>
    <w:rsid w:val="00890DC8"/>
    <w:rsid w:val="00890F44"/>
    <w:rsid w:val="008913E0"/>
    <w:rsid w:val="00891514"/>
    <w:rsid w:val="0089167C"/>
    <w:rsid w:val="00891A80"/>
    <w:rsid w:val="00891AE0"/>
    <w:rsid w:val="00891CAF"/>
    <w:rsid w:val="00891CBB"/>
    <w:rsid w:val="00891DA8"/>
    <w:rsid w:val="00891DD2"/>
    <w:rsid w:val="00891DFD"/>
    <w:rsid w:val="00892003"/>
    <w:rsid w:val="0089205A"/>
    <w:rsid w:val="008920F1"/>
    <w:rsid w:val="0089223A"/>
    <w:rsid w:val="00892451"/>
    <w:rsid w:val="00892641"/>
    <w:rsid w:val="0089264C"/>
    <w:rsid w:val="008926C9"/>
    <w:rsid w:val="00892732"/>
    <w:rsid w:val="00892B2A"/>
    <w:rsid w:val="00892C36"/>
    <w:rsid w:val="00892FC2"/>
    <w:rsid w:val="008932BF"/>
    <w:rsid w:val="00893359"/>
    <w:rsid w:val="008933C6"/>
    <w:rsid w:val="008935AB"/>
    <w:rsid w:val="0089374E"/>
    <w:rsid w:val="00893B04"/>
    <w:rsid w:val="00893C37"/>
    <w:rsid w:val="00893D31"/>
    <w:rsid w:val="00893F32"/>
    <w:rsid w:val="0089405D"/>
    <w:rsid w:val="008943A6"/>
    <w:rsid w:val="00894423"/>
    <w:rsid w:val="00894475"/>
    <w:rsid w:val="0089461B"/>
    <w:rsid w:val="00895195"/>
    <w:rsid w:val="00895402"/>
    <w:rsid w:val="00895819"/>
    <w:rsid w:val="00895E33"/>
    <w:rsid w:val="00895F81"/>
    <w:rsid w:val="00896317"/>
    <w:rsid w:val="0089674C"/>
    <w:rsid w:val="00896869"/>
    <w:rsid w:val="008968CD"/>
    <w:rsid w:val="00896934"/>
    <w:rsid w:val="00896AAF"/>
    <w:rsid w:val="00896BC0"/>
    <w:rsid w:val="00896FF3"/>
    <w:rsid w:val="0089733E"/>
    <w:rsid w:val="0089742A"/>
    <w:rsid w:val="0089774F"/>
    <w:rsid w:val="0089783D"/>
    <w:rsid w:val="00897C9C"/>
    <w:rsid w:val="00897CE9"/>
    <w:rsid w:val="00897E0B"/>
    <w:rsid w:val="00897F19"/>
    <w:rsid w:val="00897FB0"/>
    <w:rsid w:val="008A003F"/>
    <w:rsid w:val="008A0100"/>
    <w:rsid w:val="008A0144"/>
    <w:rsid w:val="008A01E5"/>
    <w:rsid w:val="008A0206"/>
    <w:rsid w:val="008A03F1"/>
    <w:rsid w:val="008A0560"/>
    <w:rsid w:val="008A06C5"/>
    <w:rsid w:val="008A076C"/>
    <w:rsid w:val="008A0947"/>
    <w:rsid w:val="008A0BAC"/>
    <w:rsid w:val="008A0CF2"/>
    <w:rsid w:val="008A1110"/>
    <w:rsid w:val="008A1197"/>
    <w:rsid w:val="008A125F"/>
    <w:rsid w:val="008A1337"/>
    <w:rsid w:val="008A1782"/>
    <w:rsid w:val="008A19F5"/>
    <w:rsid w:val="008A1DF0"/>
    <w:rsid w:val="008A2794"/>
    <w:rsid w:val="008A28BE"/>
    <w:rsid w:val="008A290E"/>
    <w:rsid w:val="008A2AEA"/>
    <w:rsid w:val="008A2DFD"/>
    <w:rsid w:val="008A2E70"/>
    <w:rsid w:val="008A33FD"/>
    <w:rsid w:val="008A3418"/>
    <w:rsid w:val="008A3565"/>
    <w:rsid w:val="008A3678"/>
    <w:rsid w:val="008A36C1"/>
    <w:rsid w:val="008A3CE0"/>
    <w:rsid w:val="008A3DBA"/>
    <w:rsid w:val="008A3F04"/>
    <w:rsid w:val="008A3F61"/>
    <w:rsid w:val="008A422E"/>
    <w:rsid w:val="008A4897"/>
    <w:rsid w:val="008A49E0"/>
    <w:rsid w:val="008A4B56"/>
    <w:rsid w:val="008A4F0E"/>
    <w:rsid w:val="008A5315"/>
    <w:rsid w:val="008A54CD"/>
    <w:rsid w:val="008A5566"/>
    <w:rsid w:val="008A55A6"/>
    <w:rsid w:val="008A6077"/>
    <w:rsid w:val="008A614E"/>
    <w:rsid w:val="008A6756"/>
    <w:rsid w:val="008A69F8"/>
    <w:rsid w:val="008A6B98"/>
    <w:rsid w:val="008A70A6"/>
    <w:rsid w:val="008A71A4"/>
    <w:rsid w:val="008A7236"/>
    <w:rsid w:val="008A74D5"/>
    <w:rsid w:val="008A7B79"/>
    <w:rsid w:val="008A7EC2"/>
    <w:rsid w:val="008B0558"/>
    <w:rsid w:val="008B05A1"/>
    <w:rsid w:val="008B08FE"/>
    <w:rsid w:val="008B0C0B"/>
    <w:rsid w:val="008B0CCA"/>
    <w:rsid w:val="008B1403"/>
    <w:rsid w:val="008B1481"/>
    <w:rsid w:val="008B15AC"/>
    <w:rsid w:val="008B16DC"/>
    <w:rsid w:val="008B1792"/>
    <w:rsid w:val="008B18F0"/>
    <w:rsid w:val="008B1998"/>
    <w:rsid w:val="008B1D5E"/>
    <w:rsid w:val="008B1D68"/>
    <w:rsid w:val="008B1E5B"/>
    <w:rsid w:val="008B23B2"/>
    <w:rsid w:val="008B241F"/>
    <w:rsid w:val="008B26A0"/>
    <w:rsid w:val="008B2798"/>
    <w:rsid w:val="008B28B1"/>
    <w:rsid w:val="008B2909"/>
    <w:rsid w:val="008B2AE3"/>
    <w:rsid w:val="008B2BB9"/>
    <w:rsid w:val="008B2D82"/>
    <w:rsid w:val="008B2F7D"/>
    <w:rsid w:val="008B319A"/>
    <w:rsid w:val="008B3296"/>
    <w:rsid w:val="008B33F9"/>
    <w:rsid w:val="008B3790"/>
    <w:rsid w:val="008B37B2"/>
    <w:rsid w:val="008B38D9"/>
    <w:rsid w:val="008B39D5"/>
    <w:rsid w:val="008B3B96"/>
    <w:rsid w:val="008B3EE8"/>
    <w:rsid w:val="008B42D6"/>
    <w:rsid w:val="008B42D7"/>
    <w:rsid w:val="008B4478"/>
    <w:rsid w:val="008B48C1"/>
    <w:rsid w:val="008B4BF4"/>
    <w:rsid w:val="008B4F64"/>
    <w:rsid w:val="008B4FA0"/>
    <w:rsid w:val="008B5226"/>
    <w:rsid w:val="008B559F"/>
    <w:rsid w:val="008B584C"/>
    <w:rsid w:val="008B59D4"/>
    <w:rsid w:val="008B5ABB"/>
    <w:rsid w:val="008B5B9D"/>
    <w:rsid w:val="008B5D2F"/>
    <w:rsid w:val="008B5E07"/>
    <w:rsid w:val="008B5F64"/>
    <w:rsid w:val="008B5F99"/>
    <w:rsid w:val="008B60D9"/>
    <w:rsid w:val="008B6357"/>
    <w:rsid w:val="008B6F49"/>
    <w:rsid w:val="008B7132"/>
    <w:rsid w:val="008B7319"/>
    <w:rsid w:val="008B745B"/>
    <w:rsid w:val="008B75C7"/>
    <w:rsid w:val="008B76C5"/>
    <w:rsid w:val="008B7A7D"/>
    <w:rsid w:val="008B7DA2"/>
    <w:rsid w:val="008B7E38"/>
    <w:rsid w:val="008B8910"/>
    <w:rsid w:val="008C0276"/>
    <w:rsid w:val="008C075A"/>
    <w:rsid w:val="008C0848"/>
    <w:rsid w:val="008C0A9B"/>
    <w:rsid w:val="008C0B8F"/>
    <w:rsid w:val="008C0DAC"/>
    <w:rsid w:val="008C0DFD"/>
    <w:rsid w:val="008C0E15"/>
    <w:rsid w:val="008C1011"/>
    <w:rsid w:val="008C1239"/>
    <w:rsid w:val="008C17A9"/>
    <w:rsid w:val="008C1841"/>
    <w:rsid w:val="008C1BF3"/>
    <w:rsid w:val="008C1E5B"/>
    <w:rsid w:val="008C2501"/>
    <w:rsid w:val="008C2542"/>
    <w:rsid w:val="008C260B"/>
    <w:rsid w:val="008C30A9"/>
    <w:rsid w:val="008C3492"/>
    <w:rsid w:val="008C351D"/>
    <w:rsid w:val="008C3A61"/>
    <w:rsid w:val="008C3B69"/>
    <w:rsid w:val="008C3BB0"/>
    <w:rsid w:val="008C3D73"/>
    <w:rsid w:val="008C3EEF"/>
    <w:rsid w:val="008C40D6"/>
    <w:rsid w:val="008C43C9"/>
    <w:rsid w:val="008C4419"/>
    <w:rsid w:val="008C454C"/>
    <w:rsid w:val="008C47A9"/>
    <w:rsid w:val="008C482B"/>
    <w:rsid w:val="008C48BB"/>
    <w:rsid w:val="008C49F2"/>
    <w:rsid w:val="008C4FD2"/>
    <w:rsid w:val="008C53EF"/>
    <w:rsid w:val="008C5401"/>
    <w:rsid w:val="008C5894"/>
    <w:rsid w:val="008C58BE"/>
    <w:rsid w:val="008C5AD2"/>
    <w:rsid w:val="008C5C75"/>
    <w:rsid w:val="008C5F55"/>
    <w:rsid w:val="008C61BB"/>
    <w:rsid w:val="008C6667"/>
    <w:rsid w:val="008C6846"/>
    <w:rsid w:val="008C68FE"/>
    <w:rsid w:val="008C6D48"/>
    <w:rsid w:val="008C6D80"/>
    <w:rsid w:val="008C7962"/>
    <w:rsid w:val="008C7EA0"/>
    <w:rsid w:val="008D015B"/>
    <w:rsid w:val="008D0182"/>
    <w:rsid w:val="008D027D"/>
    <w:rsid w:val="008D0677"/>
    <w:rsid w:val="008D07D6"/>
    <w:rsid w:val="008D09E4"/>
    <w:rsid w:val="008D0DF5"/>
    <w:rsid w:val="008D10F4"/>
    <w:rsid w:val="008D117E"/>
    <w:rsid w:val="008D11DD"/>
    <w:rsid w:val="008D1244"/>
    <w:rsid w:val="008D1259"/>
    <w:rsid w:val="008D13D9"/>
    <w:rsid w:val="008D1536"/>
    <w:rsid w:val="008D158B"/>
    <w:rsid w:val="008D1765"/>
    <w:rsid w:val="008D1878"/>
    <w:rsid w:val="008D187B"/>
    <w:rsid w:val="008D188B"/>
    <w:rsid w:val="008D1A78"/>
    <w:rsid w:val="008D1AE7"/>
    <w:rsid w:val="008D1EA7"/>
    <w:rsid w:val="008D2281"/>
    <w:rsid w:val="008D22D3"/>
    <w:rsid w:val="008D2661"/>
    <w:rsid w:val="008D292C"/>
    <w:rsid w:val="008D297E"/>
    <w:rsid w:val="008D302D"/>
    <w:rsid w:val="008D32A7"/>
    <w:rsid w:val="008D3A6B"/>
    <w:rsid w:val="008D3C9E"/>
    <w:rsid w:val="008D4024"/>
    <w:rsid w:val="008D405F"/>
    <w:rsid w:val="008D443B"/>
    <w:rsid w:val="008D4A8C"/>
    <w:rsid w:val="008D4C7C"/>
    <w:rsid w:val="008D5105"/>
    <w:rsid w:val="008D558D"/>
    <w:rsid w:val="008D5826"/>
    <w:rsid w:val="008D5E13"/>
    <w:rsid w:val="008D5F7C"/>
    <w:rsid w:val="008D600A"/>
    <w:rsid w:val="008D660E"/>
    <w:rsid w:val="008D679F"/>
    <w:rsid w:val="008D67C1"/>
    <w:rsid w:val="008D6816"/>
    <w:rsid w:val="008D69A3"/>
    <w:rsid w:val="008D6EB4"/>
    <w:rsid w:val="008D6F7C"/>
    <w:rsid w:val="008D7090"/>
    <w:rsid w:val="008D756D"/>
    <w:rsid w:val="008D75A4"/>
    <w:rsid w:val="008D75D2"/>
    <w:rsid w:val="008D7A15"/>
    <w:rsid w:val="008D7D93"/>
    <w:rsid w:val="008D7F22"/>
    <w:rsid w:val="008D7FF5"/>
    <w:rsid w:val="008E00C3"/>
    <w:rsid w:val="008E02F9"/>
    <w:rsid w:val="008E04BD"/>
    <w:rsid w:val="008E0684"/>
    <w:rsid w:val="008E0774"/>
    <w:rsid w:val="008E09AF"/>
    <w:rsid w:val="008E0CA2"/>
    <w:rsid w:val="008E160A"/>
    <w:rsid w:val="008E1A61"/>
    <w:rsid w:val="008E1AAE"/>
    <w:rsid w:val="008E1C11"/>
    <w:rsid w:val="008E1F42"/>
    <w:rsid w:val="008E21B6"/>
    <w:rsid w:val="008E21ED"/>
    <w:rsid w:val="008E250B"/>
    <w:rsid w:val="008E274A"/>
    <w:rsid w:val="008E2909"/>
    <w:rsid w:val="008E312F"/>
    <w:rsid w:val="008E3181"/>
    <w:rsid w:val="008E36BA"/>
    <w:rsid w:val="008E3D56"/>
    <w:rsid w:val="008E3F0F"/>
    <w:rsid w:val="008E426C"/>
    <w:rsid w:val="008E4349"/>
    <w:rsid w:val="008E453A"/>
    <w:rsid w:val="008E45A0"/>
    <w:rsid w:val="008E466F"/>
    <w:rsid w:val="008E46DB"/>
    <w:rsid w:val="008E4854"/>
    <w:rsid w:val="008E4A9C"/>
    <w:rsid w:val="008E4B78"/>
    <w:rsid w:val="008E4D7A"/>
    <w:rsid w:val="008E51FC"/>
    <w:rsid w:val="008E59DD"/>
    <w:rsid w:val="008E5B37"/>
    <w:rsid w:val="008E6879"/>
    <w:rsid w:val="008E692A"/>
    <w:rsid w:val="008E698E"/>
    <w:rsid w:val="008E6CCE"/>
    <w:rsid w:val="008E6E35"/>
    <w:rsid w:val="008E6E87"/>
    <w:rsid w:val="008E702E"/>
    <w:rsid w:val="008E728E"/>
    <w:rsid w:val="008E73D3"/>
    <w:rsid w:val="008E7441"/>
    <w:rsid w:val="008E7971"/>
    <w:rsid w:val="008E7AD8"/>
    <w:rsid w:val="008E7C71"/>
    <w:rsid w:val="008E7CED"/>
    <w:rsid w:val="008E7D3E"/>
    <w:rsid w:val="008E7FA0"/>
    <w:rsid w:val="008F02D0"/>
    <w:rsid w:val="008F039E"/>
    <w:rsid w:val="008F06D7"/>
    <w:rsid w:val="008F082E"/>
    <w:rsid w:val="008F099F"/>
    <w:rsid w:val="008F0D46"/>
    <w:rsid w:val="008F130A"/>
    <w:rsid w:val="008F1357"/>
    <w:rsid w:val="008F157E"/>
    <w:rsid w:val="008F1ACA"/>
    <w:rsid w:val="008F1F42"/>
    <w:rsid w:val="008F203C"/>
    <w:rsid w:val="008F2058"/>
    <w:rsid w:val="008F27F2"/>
    <w:rsid w:val="008F28E6"/>
    <w:rsid w:val="008F2995"/>
    <w:rsid w:val="008F2D10"/>
    <w:rsid w:val="008F2E9A"/>
    <w:rsid w:val="008F2EF6"/>
    <w:rsid w:val="008F2F87"/>
    <w:rsid w:val="008F2FAE"/>
    <w:rsid w:val="008F3473"/>
    <w:rsid w:val="008F3769"/>
    <w:rsid w:val="008F40AE"/>
    <w:rsid w:val="008F43D7"/>
    <w:rsid w:val="008F448C"/>
    <w:rsid w:val="008F46FE"/>
    <w:rsid w:val="008F49EE"/>
    <w:rsid w:val="008F4B1B"/>
    <w:rsid w:val="008F4C19"/>
    <w:rsid w:val="008F4C6C"/>
    <w:rsid w:val="008F55FA"/>
    <w:rsid w:val="008F5D4C"/>
    <w:rsid w:val="008F606C"/>
    <w:rsid w:val="008F60D1"/>
    <w:rsid w:val="008F618F"/>
    <w:rsid w:val="008F69C0"/>
    <w:rsid w:val="008F6B3C"/>
    <w:rsid w:val="008F6E4C"/>
    <w:rsid w:val="008F6EC7"/>
    <w:rsid w:val="008F72BE"/>
    <w:rsid w:val="008F7510"/>
    <w:rsid w:val="008F7544"/>
    <w:rsid w:val="008F7579"/>
    <w:rsid w:val="008F7708"/>
    <w:rsid w:val="008F77B9"/>
    <w:rsid w:val="008F7E5B"/>
    <w:rsid w:val="009000B4"/>
    <w:rsid w:val="00900138"/>
    <w:rsid w:val="009001B1"/>
    <w:rsid w:val="009001D7"/>
    <w:rsid w:val="00900295"/>
    <w:rsid w:val="009005BB"/>
    <w:rsid w:val="009005CA"/>
    <w:rsid w:val="009005EB"/>
    <w:rsid w:val="00900673"/>
    <w:rsid w:val="00900998"/>
    <w:rsid w:val="00900CEE"/>
    <w:rsid w:val="00900DCB"/>
    <w:rsid w:val="009010BC"/>
    <w:rsid w:val="00901372"/>
    <w:rsid w:val="00901868"/>
    <w:rsid w:val="00901979"/>
    <w:rsid w:val="00901C5A"/>
    <w:rsid w:val="00901D23"/>
    <w:rsid w:val="00901F83"/>
    <w:rsid w:val="009024C4"/>
    <w:rsid w:val="00902927"/>
    <w:rsid w:val="00902FB7"/>
    <w:rsid w:val="009030EA"/>
    <w:rsid w:val="009031E5"/>
    <w:rsid w:val="009039D1"/>
    <w:rsid w:val="00903A2B"/>
    <w:rsid w:val="00904123"/>
    <w:rsid w:val="00904227"/>
    <w:rsid w:val="009043D9"/>
    <w:rsid w:val="00904A46"/>
    <w:rsid w:val="00904B8F"/>
    <w:rsid w:val="00904CB3"/>
    <w:rsid w:val="00904D19"/>
    <w:rsid w:val="009052B6"/>
    <w:rsid w:val="00905667"/>
    <w:rsid w:val="00905A54"/>
    <w:rsid w:val="00905F13"/>
    <w:rsid w:val="00906275"/>
    <w:rsid w:val="009065AA"/>
    <w:rsid w:val="0090665F"/>
    <w:rsid w:val="0090666C"/>
    <w:rsid w:val="009067E3"/>
    <w:rsid w:val="00906B6D"/>
    <w:rsid w:val="00906CAC"/>
    <w:rsid w:val="00907319"/>
    <w:rsid w:val="009074B1"/>
    <w:rsid w:val="00907A41"/>
    <w:rsid w:val="00907B05"/>
    <w:rsid w:val="00907C1F"/>
    <w:rsid w:val="00907C8D"/>
    <w:rsid w:val="00907CB8"/>
    <w:rsid w:val="00907E10"/>
    <w:rsid w:val="00907E9D"/>
    <w:rsid w:val="00910013"/>
    <w:rsid w:val="009101F0"/>
    <w:rsid w:val="0091029F"/>
    <w:rsid w:val="00910348"/>
    <w:rsid w:val="00910940"/>
    <w:rsid w:val="0091106D"/>
    <w:rsid w:val="00911B14"/>
    <w:rsid w:val="00911B6E"/>
    <w:rsid w:val="00911B88"/>
    <w:rsid w:val="00911CC1"/>
    <w:rsid w:val="00911F11"/>
    <w:rsid w:val="009127DD"/>
    <w:rsid w:val="009127EF"/>
    <w:rsid w:val="009129EB"/>
    <w:rsid w:val="00912A35"/>
    <w:rsid w:val="00912E8D"/>
    <w:rsid w:val="00913536"/>
    <w:rsid w:val="009139E6"/>
    <w:rsid w:val="00913A9E"/>
    <w:rsid w:val="0091458C"/>
    <w:rsid w:val="0091486E"/>
    <w:rsid w:val="00914F96"/>
    <w:rsid w:val="009153EF"/>
    <w:rsid w:val="009155D7"/>
    <w:rsid w:val="009157B3"/>
    <w:rsid w:val="00915B8B"/>
    <w:rsid w:val="0091626A"/>
    <w:rsid w:val="00916347"/>
    <w:rsid w:val="009167B6"/>
    <w:rsid w:val="00916BD1"/>
    <w:rsid w:val="00916EF9"/>
    <w:rsid w:val="009172D3"/>
    <w:rsid w:val="00917651"/>
    <w:rsid w:val="0091773C"/>
    <w:rsid w:val="00917CA2"/>
    <w:rsid w:val="00917F74"/>
    <w:rsid w:val="00917FB2"/>
    <w:rsid w:val="0092039B"/>
    <w:rsid w:val="0092074C"/>
    <w:rsid w:val="00920E77"/>
    <w:rsid w:val="00920ED6"/>
    <w:rsid w:val="00920F6C"/>
    <w:rsid w:val="009211B1"/>
    <w:rsid w:val="009211DE"/>
    <w:rsid w:val="009212FC"/>
    <w:rsid w:val="00921360"/>
    <w:rsid w:val="00921830"/>
    <w:rsid w:val="00921BCA"/>
    <w:rsid w:val="00921CB4"/>
    <w:rsid w:val="00921D91"/>
    <w:rsid w:val="00921E96"/>
    <w:rsid w:val="00921F65"/>
    <w:rsid w:val="0092215B"/>
    <w:rsid w:val="00922359"/>
    <w:rsid w:val="009229F6"/>
    <w:rsid w:val="00922E94"/>
    <w:rsid w:val="00923035"/>
    <w:rsid w:val="009232CF"/>
    <w:rsid w:val="00923443"/>
    <w:rsid w:val="00923512"/>
    <w:rsid w:val="00923CC0"/>
    <w:rsid w:val="00923CDF"/>
    <w:rsid w:val="00923D4E"/>
    <w:rsid w:val="00923DB6"/>
    <w:rsid w:val="00923E1F"/>
    <w:rsid w:val="00923F9A"/>
    <w:rsid w:val="0092403D"/>
    <w:rsid w:val="009244A9"/>
    <w:rsid w:val="00924583"/>
    <w:rsid w:val="00924AB2"/>
    <w:rsid w:val="00924E3B"/>
    <w:rsid w:val="009255F2"/>
    <w:rsid w:val="00925816"/>
    <w:rsid w:val="00925965"/>
    <w:rsid w:val="00925A2D"/>
    <w:rsid w:val="00925ADF"/>
    <w:rsid w:val="00925BCD"/>
    <w:rsid w:val="00925BDC"/>
    <w:rsid w:val="00925F21"/>
    <w:rsid w:val="009261FC"/>
    <w:rsid w:val="0092633F"/>
    <w:rsid w:val="00926749"/>
    <w:rsid w:val="00926A5F"/>
    <w:rsid w:val="00926C73"/>
    <w:rsid w:val="00927331"/>
    <w:rsid w:val="00927401"/>
    <w:rsid w:val="00927A2C"/>
    <w:rsid w:val="00927CA3"/>
    <w:rsid w:val="00927EBA"/>
    <w:rsid w:val="00930134"/>
    <w:rsid w:val="00930B24"/>
    <w:rsid w:val="00931150"/>
    <w:rsid w:val="0093149D"/>
    <w:rsid w:val="00931CFC"/>
    <w:rsid w:val="00931D1F"/>
    <w:rsid w:val="00931FF5"/>
    <w:rsid w:val="00932369"/>
    <w:rsid w:val="009324AC"/>
    <w:rsid w:val="0093261C"/>
    <w:rsid w:val="009326F4"/>
    <w:rsid w:val="009327F9"/>
    <w:rsid w:val="00932F4A"/>
    <w:rsid w:val="00932F66"/>
    <w:rsid w:val="00932F70"/>
    <w:rsid w:val="00933079"/>
    <w:rsid w:val="0093355E"/>
    <w:rsid w:val="00933FF3"/>
    <w:rsid w:val="0093407E"/>
    <w:rsid w:val="00934179"/>
    <w:rsid w:val="009341E0"/>
    <w:rsid w:val="00934517"/>
    <w:rsid w:val="009346D2"/>
    <w:rsid w:val="009347D0"/>
    <w:rsid w:val="00934BFB"/>
    <w:rsid w:val="00934E36"/>
    <w:rsid w:val="0093509F"/>
    <w:rsid w:val="00935445"/>
    <w:rsid w:val="009354D2"/>
    <w:rsid w:val="009359D4"/>
    <w:rsid w:val="00935F0B"/>
    <w:rsid w:val="00935F34"/>
    <w:rsid w:val="00935FD7"/>
    <w:rsid w:val="0093627A"/>
    <w:rsid w:val="0093629B"/>
    <w:rsid w:val="00936EDB"/>
    <w:rsid w:val="00936EF0"/>
    <w:rsid w:val="009373EC"/>
    <w:rsid w:val="00937AD5"/>
    <w:rsid w:val="00937AF8"/>
    <w:rsid w:val="00937BBA"/>
    <w:rsid w:val="00937DED"/>
    <w:rsid w:val="00937F1E"/>
    <w:rsid w:val="0093E2D7"/>
    <w:rsid w:val="0094056C"/>
    <w:rsid w:val="0094058F"/>
    <w:rsid w:val="009406E4"/>
    <w:rsid w:val="00940833"/>
    <w:rsid w:val="00940CB7"/>
    <w:rsid w:val="009413F1"/>
    <w:rsid w:val="00941475"/>
    <w:rsid w:val="0094178F"/>
    <w:rsid w:val="0094188D"/>
    <w:rsid w:val="009418C7"/>
    <w:rsid w:val="00941AF4"/>
    <w:rsid w:val="00941E98"/>
    <w:rsid w:val="00941EC9"/>
    <w:rsid w:val="009427B9"/>
    <w:rsid w:val="00942924"/>
    <w:rsid w:val="00942C68"/>
    <w:rsid w:val="0094307D"/>
    <w:rsid w:val="009432A0"/>
    <w:rsid w:val="009432C4"/>
    <w:rsid w:val="00943701"/>
    <w:rsid w:val="00943A52"/>
    <w:rsid w:val="00943AEF"/>
    <w:rsid w:val="00943E7F"/>
    <w:rsid w:val="00944195"/>
    <w:rsid w:val="009443EF"/>
    <w:rsid w:val="00944415"/>
    <w:rsid w:val="00944A0F"/>
    <w:rsid w:val="00944C8D"/>
    <w:rsid w:val="00945134"/>
    <w:rsid w:val="0094563D"/>
    <w:rsid w:val="00945897"/>
    <w:rsid w:val="00945E04"/>
    <w:rsid w:val="009462C3"/>
    <w:rsid w:val="00946C5B"/>
    <w:rsid w:val="00946DE3"/>
    <w:rsid w:val="00946EF9"/>
    <w:rsid w:val="00947151"/>
    <w:rsid w:val="009471F5"/>
    <w:rsid w:val="00947266"/>
    <w:rsid w:val="00947C6B"/>
    <w:rsid w:val="00950722"/>
    <w:rsid w:val="00950CAF"/>
    <w:rsid w:val="00950DBD"/>
    <w:rsid w:val="009511E5"/>
    <w:rsid w:val="009513AB"/>
    <w:rsid w:val="009515AB"/>
    <w:rsid w:val="009515F6"/>
    <w:rsid w:val="00951829"/>
    <w:rsid w:val="00951D63"/>
    <w:rsid w:val="009522DE"/>
    <w:rsid w:val="009523E9"/>
    <w:rsid w:val="009524E8"/>
    <w:rsid w:val="00952BBD"/>
    <w:rsid w:val="00952C87"/>
    <w:rsid w:val="00952DE3"/>
    <w:rsid w:val="00953071"/>
    <w:rsid w:val="00953106"/>
    <w:rsid w:val="00953200"/>
    <w:rsid w:val="0095347F"/>
    <w:rsid w:val="00953504"/>
    <w:rsid w:val="00953A23"/>
    <w:rsid w:val="00953AE8"/>
    <w:rsid w:val="00953F04"/>
    <w:rsid w:val="009541DF"/>
    <w:rsid w:val="00954289"/>
    <w:rsid w:val="00954459"/>
    <w:rsid w:val="00954601"/>
    <w:rsid w:val="0095482C"/>
    <w:rsid w:val="0095482E"/>
    <w:rsid w:val="009549FA"/>
    <w:rsid w:val="00954A8D"/>
    <w:rsid w:val="009553E4"/>
    <w:rsid w:val="009558E7"/>
    <w:rsid w:val="00955AA5"/>
    <w:rsid w:val="00955E70"/>
    <w:rsid w:val="00955F0A"/>
    <w:rsid w:val="00956285"/>
    <w:rsid w:val="00956729"/>
    <w:rsid w:val="009569D8"/>
    <w:rsid w:val="00956AF7"/>
    <w:rsid w:val="00956B0E"/>
    <w:rsid w:val="00956B81"/>
    <w:rsid w:val="00956D62"/>
    <w:rsid w:val="00956D65"/>
    <w:rsid w:val="0095738E"/>
    <w:rsid w:val="00957610"/>
    <w:rsid w:val="0095781D"/>
    <w:rsid w:val="0095789D"/>
    <w:rsid w:val="0095798F"/>
    <w:rsid w:val="00957B7D"/>
    <w:rsid w:val="00957D4A"/>
    <w:rsid w:val="00957E5E"/>
    <w:rsid w:val="00960097"/>
    <w:rsid w:val="009604DD"/>
    <w:rsid w:val="0096083E"/>
    <w:rsid w:val="009609CC"/>
    <w:rsid w:val="00960B5A"/>
    <w:rsid w:val="00960C48"/>
    <w:rsid w:val="00960D9E"/>
    <w:rsid w:val="00960ECB"/>
    <w:rsid w:val="00960F95"/>
    <w:rsid w:val="00960FB2"/>
    <w:rsid w:val="0096121C"/>
    <w:rsid w:val="00961522"/>
    <w:rsid w:val="009618FE"/>
    <w:rsid w:val="00961A41"/>
    <w:rsid w:val="00961AC6"/>
    <w:rsid w:val="00961B1E"/>
    <w:rsid w:val="00961E63"/>
    <w:rsid w:val="00961F03"/>
    <w:rsid w:val="009620A2"/>
    <w:rsid w:val="009629BF"/>
    <w:rsid w:val="009634F1"/>
    <w:rsid w:val="00963741"/>
    <w:rsid w:val="00963990"/>
    <w:rsid w:val="009639CB"/>
    <w:rsid w:val="00963B6B"/>
    <w:rsid w:val="009644BD"/>
    <w:rsid w:val="00964614"/>
    <w:rsid w:val="009647DA"/>
    <w:rsid w:val="00964897"/>
    <w:rsid w:val="0096497B"/>
    <w:rsid w:val="00965250"/>
    <w:rsid w:val="00965A9A"/>
    <w:rsid w:val="0096604F"/>
    <w:rsid w:val="00966788"/>
    <w:rsid w:val="009667F1"/>
    <w:rsid w:val="009669F5"/>
    <w:rsid w:val="00966A7C"/>
    <w:rsid w:val="00966AFD"/>
    <w:rsid w:val="00966C47"/>
    <w:rsid w:val="00966D58"/>
    <w:rsid w:val="00966F82"/>
    <w:rsid w:val="009673D2"/>
    <w:rsid w:val="009674DE"/>
    <w:rsid w:val="00967615"/>
    <w:rsid w:val="00967641"/>
    <w:rsid w:val="00967744"/>
    <w:rsid w:val="00967AD2"/>
    <w:rsid w:val="00967B05"/>
    <w:rsid w:val="00967F60"/>
    <w:rsid w:val="00970553"/>
    <w:rsid w:val="00970BF3"/>
    <w:rsid w:val="00970D34"/>
    <w:rsid w:val="0097135D"/>
    <w:rsid w:val="0097146E"/>
    <w:rsid w:val="0097180D"/>
    <w:rsid w:val="00971ABB"/>
    <w:rsid w:val="00972090"/>
    <w:rsid w:val="00972136"/>
    <w:rsid w:val="0097257D"/>
    <w:rsid w:val="00972678"/>
    <w:rsid w:val="00972749"/>
    <w:rsid w:val="00972FEF"/>
    <w:rsid w:val="00973148"/>
    <w:rsid w:val="009731C9"/>
    <w:rsid w:val="00973469"/>
    <w:rsid w:val="00973508"/>
    <w:rsid w:val="00973976"/>
    <w:rsid w:val="00973EFD"/>
    <w:rsid w:val="009741F0"/>
    <w:rsid w:val="009744E3"/>
    <w:rsid w:val="009747D3"/>
    <w:rsid w:val="00974F36"/>
    <w:rsid w:val="009750DA"/>
    <w:rsid w:val="00975143"/>
    <w:rsid w:val="009754FC"/>
    <w:rsid w:val="009756B1"/>
    <w:rsid w:val="00975752"/>
    <w:rsid w:val="00975834"/>
    <w:rsid w:val="00975C38"/>
    <w:rsid w:val="00976390"/>
    <w:rsid w:val="009763F8"/>
    <w:rsid w:val="0097642D"/>
    <w:rsid w:val="009767BF"/>
    <w:rsid w:val="00976B2B"/>
    <w:rsid w:val="00976BA2"/>
    <w:rsid w:val="00976CA4"/>
    <w:rsid w:val="00976F39"/>
    <w:rsid w:val="0097736E"/>
    <w:rsid w:val="0097763A"/>
    <w:rsid w:val="009777EF"/>
    <w:rsid w:val="009778F8"/>
    <w:rsid w:val="00977CF6"/>
    <w:rsid w:val="00980286"/>
    <w:rsid w:val="00980655"/>
    <w:rsid w:val="00980728"/>
    <w:rsid w:val="0098099E"/>
    <w:rsid w:val="009809B9"/>
    <w:rsid w:val="00980ABD"/>
    <w:rsid w:val="00980C4E"/>
    <w:rsid w:val="00980EEA"/>
    <w:rsid w:val="00980F01"/>
    <w:rsid w:val="009810E4"/>
    <w:rsid w:val="009811C7"/>
    <w:rsid w:val="009817B8"/>
    <w:rsid w:val="00981B09"/>
    <w:rsid w:val="00981B1E"/>
    <w:rsid w:val="00981C65"/>
    <w:rsid w:val="00981E05"/>
    <w:rsid w:val="009821E7"/>
    <w:rsid w:val="0098249E"/>
    <w:rsid w:val="0098268F"/>
    <w:rsid w:val="009826B5"/>
    <w:rsid w:val="009829F6"/>
    <w:rsid w:val="00982BB5"/>
    <w:rsid w:val="00982D88"/>
    <w:rsid w:val="00982F85"/>
    <w:rsid w:val="0098309D"/>
    <w:rsid w:val="00983188"/>
    <w:rsid w:val="009833E0"/>
    <w:rsid w:val="009836C2"/>
    <w:rsid w:val="00983815"/>
    <w:rsid w:val="0098384D"/>
    <w:rsid w:val="009840E1"/>
    <w:rsid w:val="009841E2"/>
    <w:rsid w:val="00984278"/>
    <w:rsid w:val="00984330"/>
    <w:rsid w:val="00984433"/>
    <w:rsid w:val="009845E6"/>
    <w:rsid w:val="00984817"/>
    <w:rsid w:val="00984884"/>
    <w:rsid w:val="00984C69"/>
    <w:rsid w:val="00984F40"/>
    <w:rsid w:val="009851DB"/>
    <w:rsid w:val="009852DD"/>
    <w:rsid w:val="00985384"/>
    <w:rsid w:val="00985AC6"/>
    <w:rsid w:val="00985F29"/>
    <w:rsid w:val="0098602B"/>
    <w:rsid w:val="009860D0"/>
    <w:rsid w:val="009863D8"/>
    <w:rsid w:val="00986560"/>
    <w:rsid w:val="0098656E"/>
    <w:rsid w:val="00986826"/>
    <w:rsid w:val="00986829"/>
    <w:rsid w:val="0098683E"/>
    <w:rsid w:val="00986B1E"/>
    <w:rsid w:val="00986D6D"/>
    <w:rsid w:val="00987031"/>
    <w:rsid w:val="0098715B"/>
    <w:rsid w:val="009872F7"/>
    <w:rsid w:val="0098735A"/>
    <w:rsid w:val="0098741A"/>
    <w:rsid w:val="0098775E"/>
    <w:rsid w:val="00987774"/>
    <w:rsid w:val="009877A4"/>
    <w:rsid w:val="009877FC"/>
    <w:rsid w:val="00987B91"/>
    <w:rsid w:val="00987BED"/>
    <w:rsid w:val="00987F82"/>
    <w:rsid w:val="00990238"/>
    <w:rsid w:val="009902C6"/>
    <w:rsid w:val="0099039A"/>
    <w:rsid w:val="009903CC"/>
    <w:rsid w:val="0099062D"/>
    <w:rsid w:val="00990AA6"/>
    <w:rsid w:val="00990E88"/>
    <w:rsid w:val="00991096"/>
    <w:rsid w:val="0099131A"/>
    <w:rsid w:val="009917A6"/>
    <w:rsid w:val="0099188D"/>
    <w:rsid w:val="00991E27"/>
    <w:rsid w:val="009920EE"/>
    <w:rsid w:val="009921D7"/>
    <w:rsid w:val="009924BE"/>
    <w:rsid w:val="0099265C"/>
    <w:rsid w:val="009929C6"/>
    <w:rsid w:val="00992A33"/>
    <w:rsid w:val="00992B65"/>
    <w:rsid w:val="00992B7D"/>
    <w:rsid w:val="00992C80"/>
    <w:rsid w:val="00993157"/>
    <w:rsid w:val="0099319E"/>
    <w:rsid w:val="009932D2"/>
    <w:rsid w:val="00993546"/>
    <w:rsid w:val="00993C61"/>
    <w:rsid w:val="00993EC7"/>
    <w:rsid w:val="00993FEA"/>
    <w:rsid w:val="0099425D"/>
    <w:rsid w:val="009942AA"/>
    <w:rsid w:val="009949C4"/>
    <w:rsid w:val="00994B20"/>
    <w:rsid w:val="00994E2A"/>
    <w:rsid w:val="00994F17"/>
    <w:rsid w:val="00994F19"/>
    <w:rsid w:val="00995157"/>
    <w:rsid w:val="00995163"/>
    <w:rsid w:val="00995834"/>
    <w:rsid w:val="00995968"/>
    <w:rsid w:val="00995CFC"/>
    <w:rsid w:val="00995F1E"/>
    <w:rsid w:val="00995FDD"/>
    <w:rsid w:val="00996336"/>
    <w:rsid w:val="009963CC"/>
    <w:rsid w:val="0099656A"/>
    <w:rsid w:val="00996E53"/>
    <w:rsid w:val="00997059"/>
    <w:rsid w:val="00997559"/>
    <w:rsid w:val="009976E2"/>
    <w:rsid w:val="00997A42"/>
    <w:rsid w:val="00997B7B"/>
    <w:rsid w:val="00997C17"/>
    <w:rsid w:val="009A0506"/>
    <w:rsid w:val="009A07A4"/>
    <w:rsid w:val="009A0A37"/>
    <w:rsid w:val="009A0CB4"/>
    <w:rsid w:val="009A0DF0"/>
    <w:rsid w:val="009A0DF5"/>
    <w:rsid w:val="009A0FEA"/>
    <w:rsid w:val="009A11ED"/>
    <w:rsid w:val="009A159D"/>
    <w:rsid w:val="009A163D"/>
    <w:rsid w:val="009A171E"/>
    <w:rsid w:val="009A1C5B"/>
    <w:rsid w:val="009A1CAA"/>
    <w:rsid w:val="009A1CE0"/>
    <w:rsid w:val="009A1F31"/>
    <w:rsid w:val="009A1F77"/>
    <w:rsid w:val="009A22B7"/>
    <w:rsid w:val="009A22D6"/>
    <w:rsid w:val="009A259C"/>
    <w:rsid w:val="009A3333"/>
    <w:rsid w:val="009A33E4"/>
    <w:rsid w:val="009A3BBF"/>
    <w:rsid w:val="009A3CB0"/>
    <w:rsid w:val="009A3F05"/>
    <w:rsid w:val="009A4374"/>
    <w:rsid w:val="009A4504"/>
    <w:rsid w:val="009A463E"/>
    <w:rsid w:val="009A46C2"/>
    <w:rsid w:val="009A48B0"/>
    <w:rsid w:val="009A4CE5"/>
    <w:rsid w:val="009A50AD"/>
    <w:rsid w:val="009A52D1"/>
    <w:rsid w:val="009A54A2"/>
    <w:rsid w:val="009A625A"/>
    <w:rsid w:val="009A6358"/>
    <w:rsid w:val="009A6699"/>
    <w:rsid w:val="009A6AAD"/>
    <w:rsid w:val="009A6AFB"/>
    <w:rsid w:val="009A752D"/>
    <w:rsid w:val="009A7556"/>
    <w:rsid w:val="009A7568"/>
    <w:rsid w:val="009A756F"/>
    <w:rsid w:val="009A774C"/>
    <w:rsid w:val="009A7992"/>
    <w:rsid w:val="009A7FA3"/>
    <w:rsid w:val="009B0017"/>
    <w:rsid w:val="009B0051"/>
    <w:rsid w:val="009B0188"/>
    <w:rsid w:val="009B0197"/>
    <w:rsid w:val="009B045D"/>
    <w:rsid w:val="009B1022"/>
    <w:rsid w:val="009B108D"/>
    <w:rsid w:val="009B13FB"/>
    <w:rsid w:val="009B143E"/>
    <w:rsid w:val="009B16E7"/>
    <w:rsid w:val="009B19B2"/>
    <w:rsid w:val="009B1CE0"/>
    <w:rsid w:val="009B1EE5"/>
    <w:rsid w:val="009B1F26"/>
    <w:rsid w:val="009B219B"/>
    <w:rsid w:val="009B231D"/>
    <w:rsid w:val="009B2358"/>
    <w:rsid w:val="009B2431"/>
    <w:rsid w:val="009B24E8"/>
    <w:rsid w:val="009B26E7"/>
    <w:rsid w:val="009B29E9"/>
    <w:rsid w:val="009B2D14"/>
    <w:rsid w:val="009B305E"/>
    <w:rsid w:val="009B3110"/>
    <w:rsid w:val="009B3747"/>
    <w:rsid w:val="009B3C35"/>
    <w:rsid w:val="009B3DC1"/>
    <w:rsid w:val="009B3EDB"/>
    <w:rsid w:val="009B406B"/>
    <w:rsid w:val="009B4665"/>
    <w:rsid w:val="009B47B4"/>
    <w:rsid w:val="009B48F4"/>
    <w:rsid w:val="009B4AE6"/>
    <w:rsid w:val="009B4B2B"/>
    <w:rsid w:val="009B50EB"/>
    <w:rsid w:val="009B5156"/>
    <w:rsid w:val="009B59D1"/>
    <w:rsid w:val="009B5B5B"/>
    <w:rsid w:val="009B5BAB"/>
    <w:rsid w:val="009B6678"/>
    <w:rsid w:val="009B66F2"/>
    <w:rsid w:val="009B6A77"/>
    <w:rsid w:val="009B6CAC"/>
    <w:rsid w:val="009B6E15"/>
    <w:rsid w:val="009B6E24"/>
    <w:rsid w:val="009B6E89"/>
    <w:rsid w:val="009B6ECA"/>
    <w:rsid w:val="009B6EFF"/>
    <w:rsid w:val="009B71FF"/>
    <w:rsid w:val="009B73D0"/>
    <w:rsid w:val="009B7A33"/>
    <w:rsid w:val="009B7CC2"/>
    <w:rsid w:val="009B7CFD"/>
    <w:rsid w:val="009B7D71"/>
    <w:rsid w:val="009C0541"/>
    <w:rsid w:val="009C0568"/>
    <w:rsid w:val="009C0ACD"/>
    <w:rsid w:val="009C0ADF"/>
    <w:rsid w:val="009C0B5A"/>
    <w:rsid w:val="009C0C2B"/>
    <w:rsid w:val="009C1076"/>
    <w:rsid w:val="009C1318"/>
    <w:rsid w:val="009C165F"/>
    <w:rsid w:val="009C167F"/>
    <w:rsid w:val="009C177D"/>
    <w:rsid w:val="009C195A"/>
    <w:rsid w:val="009C1BE4"/>
    <w:rsid w:val="009C1D78"/>
    <w:rsid w:val="009C1DCE"/>
    <w:rsid w:val="009C1FAF"/>
    <w:rsid w:val="009C2726"/>
    <w:rsid w:val="009C27D1"/>
    <w:rsid w:val="009C28C3"/>
    <w:rsid w:val="009C2DD6"/>
    <w:rsid w:val="009C2E9A"/>
    <w:rsid w:val="009C3334"/>
    <w:rsid w:val="009C3BBD"/>
    <w:rsid w:val="009C3DA7"/>
    <w:rsid w:val="009C3F2D"/>
    <w:rsid w:val="009C41CC"/>
    <w:rsid w:val="009C4277"/>
    <w:rsid w:val="009C442D"/>
    <w:rsid w:val="009C4479"/>
    <w:rsid w:val="009C4690"/>
    <w:rsid w:val="009C46D7"/>
    <w:rsid w:val="009C49D1"/>
    <w:rsid w:val="009C4E75"/>
    <w:rsid w:val="009C5102"/>
    <w:rsid w:val="009C5614"/>
    <w:rsid w:val="009C58D1"/>
    <w:rsid w:val="009C5BFF"/>
    <w:rsid w:val="009C5D17"/>
    <w:rsid w:val="009C6144"/>
    <w:rsid w:val="009C63D4"/>
    <w:rsid w:val="009C63D8"/>
    <w:rsid w:val="009C65C5"/>
    <w:rsid w:val="009C65E8"/>
    <w:rsid w:val="009C66BC"/>
    <w:rsid w:val="009C6A6D"/>
    <w:rsid w:val="009C72EC"/>
    <w:rsid w:val="009C7513"/>
    <w:rsid w:val="009C7AAE"/>
    <w:rsid w:val="009D0363"/>
    <w:rsid w:val="009D0533"/>
    <w:rsid w:val="009D05D2"/>
    <w:rsid w:val="009D0D59"/>
    <w:rsid w:val="009D0F33"/>
    <w:rsid w:val="009D0FC6"/>
    <w:rsid w:val="009D0FE8"/>
    <w:rsid w:val="009D0FFE"/>
    <w:rsid w:val="009D10E6"/>
    <w:rsid w:val="009D2152"/>
    <w:rsid w:val="009D2329"/>
    <w:rsid w:val="009D2445"/>
    <w:rsid w:val="009D24F4"/>
    <w:rsid w:val="009D2633"/>
    <w:rsid w:val="009D2889"/>
    <w:rsid w:val="009D2ACD"/>
    <w:rsid w:val="009D3135"/>
    <w:rsid w:val="009D3413"/>
    <w:rsid w:val="009D354D"/>
    <w:rsid w:val="009D3681"/>
    <w:rsid w:val="009D3898"/>
    <w:rsid w:val="009D3D0D"/>
    <w:rsid w:val="009D41BE"/>
    <w:rsid w:val="009D44FD"/>
    <w:rsid w:val="009D461B"/>
    <w:rsid w:val="009D467C"/>
    <w:rsid w:val="009D4BB3"/>
    <w:rsid w:val="009D4BEC"/>
    <w:rsid w:val="009D4C9E"/>
    <w:rsid w:val="009D4F21"/>
    <w:rsid w:val="009D5012"/>
    <w:rsid w:val="009D5046"/>
    <w:rsid w:val="009D5C2D"/>
    <w:rsid w:val="009D5FFB"/>
    <w:rsid w:val="009D67C4"/>
    <w:rsid w:val="009D6822"/>
    <w:rsid w:val="009D6B02"/>
    <w:rsid w:val="009D6CB1"/>
    <w:rsid w:val="009D6D77"/>
    <w:rsid w:val="009D6F16"/>
    <w:rsid w:val="009D712C"/>
    <w:rsid w:val="009D73C2"/>
    <w:rsid w:val="009D743C"/>
    <w:rsid w:val="009D7923"/>
    <w:rsid w:val="009E00C4"/>
    <w:rsid w:val="009E0123"/>
    <w:rsid w:val="009E067A"/>
    <w:rsid w:val="009E06FB"/>
    <w:rsid w:val="009E0A01"/>
    <w:rsid w:val="009E0D01"/>
    <w:rsid w:val="009E115B"/>
    <w:rsid w:val="009E11BB"/>
    <w:rsid w:val="009E1498"/>
    <w:rsid w:val="009E14CC"/>
    <w:rsid w:val="009E150C"/>
    <w:rsid w:val="009E1945"/>
    <w:rsid w:val="009E1B17"/>
    <w:rsid w:val="009E1DB6"/>
    <w:rsid w:val="009E1E22"/>
    <w:rsid w:val="009E227A"/>
    <w:rsid w:val="009E2650"/>
    <w:rsid w:val="009E2938"/>
    <w:rsid w:val="009E29BD"/>
    <w:rsid w:val="009E2B75"/>
    <w:rsid w:val="009E33E0"/>
    <w:rsid w:val="009E35DA"/>
    <w:rsid w:val="009E36A2"/>
    <w:rsid w:val="009E37A6"/>
    <w:rsid w:val="009E38B8"/>
    <w:rsid w:val="009E3D16"/>
    <w:rsid w:val="009E3D27"/>
    <w:rsid w:val="009E3FF9"/>
    <w:rsid w:val="009E464A"/>
    <w:rsid w:val="009E47F3"/>
    <w:rsid w:val="009E4A76"/>
    <w:rsid w:val="009E4B29"/>
    <w:rsid w:val="009E4B63"/>
    <w:rsid w:val="009E50FC"/>
    <w:rsid w:val="009E5889"/>
    <w:rsid w:val="009E5BD0"/>
    <w:rsid w:val="009E5CBD"/>
    <w:rsid w:val="009E5FD4"/>
    <w:rsid w:val="009E62E7"/>
    <w:rsid w:val="009E6456"/>
    <w:rsid w:val="009E69C3"/>
    <w:rsid w:val="009E6E43"/>
    <w:rsid w:val="009E728E"/>
    <w:rsid w:val="009E76D2"/>
    <w:rsid w:val="009E7C66"/>
    <w:rsid w:val="009E7DAE"/>
    <w:rsid w:val="009E7E33"/>
    <w:rsid w:val="009F0240"/>
    <w:rsid w:val="009F0523"/>
    <w:rsid w:val="009F06D3"/>
    <w:rsid w:val="009F07DE"/>
    <w:rsid w:val="009F0C33"/>
    <w:rsid w:val="009F0E32"/>
    <w:rsid w:val="009F0E93"/>
    <w:rsid w:val="009F1464"/>
    <w:rsid w:val="009F1BA8"/>
    <w:rsid w:val="009F1F3D"/>
    <w:rsid w:val="009F22A8"/>
    <w:rsid w:val="009F24B6"/>
    <w:rsid w:val="009F2B7B"/>
    <w:rsid w:val="009F2DB5"/>
    <w:rsid w:val="009F3072"/>
    <w:rsid w:val="009F3136"/>
    <w:rsid w:val="009F316C"/>
    <w:rsid w:val="009F329F"/>
    <w:rsid w:val="009F3392"/>
    <w:rsid w:val="009F35B4"/>
    <w:rsid w:val="009F3824"/>
    <w:rsid w:val="009F4057"/>
    <w:rsid w:val="009F40D0"/>
    <w:rsid w:val="009F4429"/>
    <w:rsid w:val="009F4478"/>
    <w:rsid w:val="009F47A9"/>
    <w:rsid w:val="009F47B5"/>
    <w:rsid w:val="009F480F"/>
    <w:rsid w:val="009F4BC2"/>
    <w:rsid w:val="009F4BE7"/>
    <w:rsid w:val="009F4EFB"/>
    <w:rsid w:val="009F51DF"/>
    <w:rsid w:val="009F5362"/>
    <w:rsid w:val="009F57F7"/>
    <w:rsid w:val="009F5BEA"/>
    <w:rsid w:val="009F5CD1"/>
    <w:rsid w:val="009F614E"/>
    <w:rsid w:val="009F6172"/>
    <w:rsid w:val="009F6456"/>
    <w:rsid w:val="009F6465"/>
    <w:rsid w:val="009F6715"/>
    <w:rsid w:val="009F6DC4"/>
    <w:rsid w:val="009F7395"/>
    <w:rsid w:val="009F74F2"/>
    <w:rsid w:val="009F775F"/>
    <w:rsid w:val="009F77AB"/>
    <w:rsid w:val="009F7B5F"/>
    <w:rsid w:val="009F7BC5"/>
    <w:rsid w:val="009F7DAA"/>
    <w:rsid w:val="009F7F5B"/>
    <w:rsid w:val="00A0002D"/>
    <w:rsid w:val="00A00104"/>
    <w:rsid w:val="00A00107"/>
    <w:rsid w:val="00A00654"/>
    <w:rsid w:val="00A0090B"/>
    <w:rsid w:val="00A00AC2"/>
    <w:rsid w:val="00A00C1B"/>
    <w:rsid w:val="00A0131F"/>
    <w:rsid w:val="00A01C87"/>
    <w:rsid w:val="00A01F46"/>
    <w:rsid w:val="00A0207D"/>
    <w:rsid w:val="00A020E6"/>
    <w:rsid w:val="00A021A1"/>
    <w:rsid w:val="00A02C9F"/>
    <w:rsid w:val="00A02E4A"/>
    <w:rsid w:val="00A03829"/>
    <w:rsid w:val="00A03D17"/>
    <w:rsid w:val="00A03D19"/>
    <w:rsid w:val="00A03EEB"/>
    <w:rsid w:val="00A04204"/>
    <w:rsid w:val="00A0439C"/>
    <w:rsid w:val="00A0443C"/>
    <w:rsid w:val="00A0455A"/>
    <w:rsid w:val="00A04BBC"/>
    <w:rsid w:val="00A04C67"/>
    <w:rsid w:val="00A04F0B"/>
    <w:rsid w:val="00A05040"/>
    <w:rsid w:val="00A051FE"/>
    <w:rsid w:val="00A0552E"/>
    <w:rsid w:val="00A0586F"/>
    <w:rsid w:val="00A05BCD"/>
    <w:rsid w:val="00A06158"/>
    <w:rsid w:val="00A06168"/>
    <w:rsid w:val="00A06291"/>
    <w:rsid w:val="00A0635C"/>
    <w:rsid w:val="00A06665"/>
    <w:rsid w:val="00A0692B"/>
    <w:rsid w:val="00A069C6"/>
    <w:rsid w:val="00A06BDB"/>
    <w:rsid w:val="00A06EA5"/>
    <w:rsid w:val="00A0716F"/>
    <w:rsid w:val="00A0746B"/>
    <w:rsid w:val="00A0756B"/>
    <w:rsid w:val="00A07D6D"/>
    <w:rsid w:val="00A07F9A"/>
    <w:rsid w:val="00A1027A"/>
    <w:rsid w:val="00A10892"/>
    <w:rsid w:val="00A10A87"/>
    <w:rsid w:val="00A10B33"/>
    <w:rsid w:val="00A10E8D"/>
    <w:rsid w:val="00A10F0E"/>
    <w:rsid w:val="00A110A6"/>
    <w:rsid w:val="00A116C4"/>
    <w:rsid w:val="00A11A44"/>
    <w:rsid w:val="00A11A72"/>
    <w:rsid w:val="00A11BBE"/>
    <w:rsid w:val="00A11C5D"/>
    <w:rsid w:val="00A11D08"/>
    <w:rsid w:val="00A120AA"/>
    <w:rsid w:val="00A121B8"/>
    <w:rsid w:val="00A122A6"/>
    <w:rsid w:val="00A1243F"/>
    <w:rsid w:val="00A12487"/>
    <w:rsid w:val="00A12597"/>
    <w:rsid w:val="00A125A9"/>
    <w:rsid w:val="00A126FB"/>
    <w:rsid w:val="00A12AB7"/>
    <w:rsid w:val="00A12B8C"/>
    <w:rsid w:val="00A12E02"/>
    <w:rsid w:val="00A1306D"/>
    <w:rsid w:val="00A13256"/>
    <w:rsid w:val="00A1336F"/>
    <w:rsid w:val="00A13775"/>
    <w:rsid w:val="00A13BFF"/>
    <w:rsid w:val="00A13D59"/>
    <w:rsid w:val="00A13DDF"/>
    <w:rsid w:val="00A13F65"/>
    <w:rsid w:val="00A1420A"/>
    <w:rsid w:val="00A1442C"/>
    <w:rsid w:val="00A14597"/>
    <w:rsid w:val="00A147FB"/>
    <w:rsid w:val="00A147FF"/>
    <w:rsid w:val="00A1552D"/>
    <w:rsid w:val="00A155F7"/>
    <w:rsid w:val="00A156B2"/>
    <w:rsid w:val="00A156D5"/>
    <w:rsid w:val="00A157FD"/>
    <w:rsid w:val="00A158CC"/>
    <w:rsid w:val="00A15BBA"/>
    <w:rsid w:val="00A15E3F"/>
    <w:rsid w:val="00A1620D"/>
    <w:rsid w:val="00A1623F"/>
    <w:rsid w:val="00A162C8"/>
    <w:rsid w:val="00A166F0"/>
    <w:rsid w:val="00A16735"/>
    <w:rsid w:val="00A16924"/>
    <w:rsid w:val="00A16A24"/>
    <w:rsid w:val="00A16DCF"/>
    <w:rsid w:val="00A170C5"/>
    <w:rsid w:val="00A177D9"/>
    <w:rsid w:val="00A1799B"/>
    <w:rsid w:val="00A17CD5"/>
    <w:rsid w:val="00A200B4"/>
    <w:rsid w:val="00A203E9"/>
    <w:rsid w:val="00A204D0"/>
    <w:rsid w:val="00A20519"/>
    <w:rsid w:val="00A20704"/>
    <w:rsid w:val="00A20D25"/>
    <w:rsid w:val="00A20D9C"/>
    <w:rsid w:val="00A2132E"/>
    <w:rsid w:val="00A21729"/>
    <w:rsid w:val="00A217D4"/>
    <w:rsid w:val="00A21954"/>
    <w:rsid w:val="00A21EDD"/>
    <w:rsid w:val="00A21F82"/>
    <w:rsid w:val="00A22109"/>
    <w:rsid w:val="00A22356"/>
    <w:rsid w:val="00A2250E"/>
    <w:rsid w:val="00A228E9"/>
    <w:rsid w:val="00A22971"/>
    <w:rsid w:val="00A22A2B"/>
    <w:rsid w:val="00A22D6F"/>
    <w:rsid w:val="00A232A0"/>
    <w:rsid w:val="00A233D0"/>
    <w:rsid w:val="00A234D1"/>
    <w:rsid w:val="00A23532"/>
    <w:rsid w:val="00A23E63"/>
    <w:rsid w:val="00A243B8"/>
    <w:rsid w:val="00A24431"/>
    <w:rsid w:val="00A24464"/>
    <w:rsid w:val="00A2447F"/>
    <w:rsid w:val="00A2455E"/>
    <w:rsid w:val="00A246B2"/>
    <w:rsid w:val="00A24D8A"/>
    <w:rsid w:val="00A25208"/>
    <w:rsid w:val="00A252F7"/>
    <w:rsid w:val="00A25657"/>
    <w:rsid w:val="00A25A6B"/>
    <w:rsid w:val="00A25A97"/>
    <w:rsid w:val="00A25C83"/>
    <w:rsid w:val="00A25DFF"/>
    <w:rsid w:val="00A25E82"/>
    <w:rsid w:val="00A25FE1"/>
    <w:rsid w:val="00A26346"/>
    <w:rsid w:val="00A2694A"/>
    <w:rsid w:val="00A26A46"/>
    <w:rsid w:val="00A27757"/>
    <w:rsid w:val="00A277A4"/>
    <w:rsid w:val="00A27915"/>
    <w:rsid w:val="00A27A2E"/>
    <w:rsid w:val="00A27B62"/>
    <w:rsid w:val="00A27C65"/>
    <w:rsid w:val="00A27DC0"/>
    <w:rsid w:val="00A27F27"/>
    <w:rsid w:val="00A30DBD"/>
    <w:rsid w:val="00A3108F"/>
    <w:rsid w:val="00A311A1"/>
    <w:rsid w:val="00A311B4"/>
    <w:rsid w:val="00A31352"/>
    <w:rsid w:val="00A31437"/>
    <w:rsid w:val="00A31702"/>
    <w:rsid w:val="00A31C91"/>
    <w:rsid w:val="00A31DF4"/>
    <w:rsid w:val="00A320C4"/>
    <w:rsid w:val="00A325B3"/>
    <w:rsid w:val="00A3265D"/>
    <w:rsid w:val="00A326A6"/>
    <w:rsid w:val="00A32B0A"/>
    <w:rsid w:val="00A32E44"/>
    <w:rsid w:val="00A3306B"/>
    <w:rsid w:val="00A3309D"/>
    <w:rsid w:val="00A33849"/>
    <w:rsid w:val="00A33C8A"/>
    <w:rsid w:val="00A343B1"/>
    <w:rsid w:val="00A34B93"/>
    <w:rsid w:val="00A352E6"/>
    <w:rsid w:val="00A35883"/>
    <w:rsid w:val="00A35DD0"/>
    <w:rsid w:val="00A35F45"/>
    <w:rsid w:val="00A35F73"/>
    <w:rsid w:val="00A35F76"/>
    <w:rsid w:val="00A3634B"/>
    <w:rsid w:val="00A3638F"/>
    <w:rsid w:val="00A36950"/>
    <w:rsid w:val="00A36979"/>
    <w:rsid w:val="00A36C3C"/>
    <w:rsid w:val="00A36C6C"/>
    <w:rsid w:val="00A36E69"/>
    <w:rsid w:val="00A36F2B"/>
    <w:rsid w:val="00A3702D"/>
    <w:rsid w:val="00A37068"/>
    <w:rsid w:val="00A37085"/>
    <w:rsid w:val="00A37132"/>
    <w:rsid w:val="00A373B9"/>
    <w:rsid w:val="00A37456"/>
    <w:rsid w:val="00A37642"/>
    <w:rsid w:val="00A376F7"/>
    <w:rsid w:val="00A37738"/>
    <w:rsid w:val="00A37766"/>
    <w:rsid w:val="00A37A2A"/>
    <w:rsid w:val="00A37B7E"/>
    <w:rsid w:val="00A37DA9"/>
    <w:rsid w:val="00A400CA"/>
    <w:rsid w:val="00A40115"/>
    <w:rsid w:val="00A403EB"/>
    <w:rsid w:val="00A4041E"/>
    <w:rsid w:val="00A40737"/>
    <w:rsid w:val="00A40E6D"/>
    <w:rsid w:val="00A40EE1"/>
    <w:rsid w:val="00A4189F"/>
    <w:rsid w:val="00A41C83"/>
    <w:rsid w:val="00A42123"/>
    <w:rsid w:val="00A426E2"/>
    <w:rsid w:val="00A42C60"/>
    <w:rsid w:val="00A42D05"/>
    <w:rsid w:val="00A42EB3"/>
    <w:rsid w:val="00A42ECC"/>
    <w:rsid w:val="00A42FE7"/>
    <w:rsid w:val="00A430CB"/>
    <w:rsid w:val="00A4363F"/>
    <w:rsid w:val="00A4384C"/>
    <w:rsid w:val="00A43A95"/>
    <w:rsid w:val="00A43BAE"/>
    <w:rsid w:val="00A43D63"/>
    <w:rsid w:val="00A43D6D"/>
    <w:rsid w:val="00A43E02"/>
    <w:rsid w:val="00A43F85"/>
    <w:rsid w:val="00A442BB"/>
    <w:rsid w:val="00A447BF"/>
    <w:rsid w:val="00A4494D"/>
    <w:rsid w:val="00A449EF"/>
    <w:rsid w:val="00A44F29"/>
    <w:rsid w:val="00A45073"/>
    <w:rsid w:val="00A4545F"/>
    <w:rsid w:val="00A458F9"/>
    <w:rsid w:val="00A45A91"/>
    <w:rsid w:val="00A45B6E"/>
    <w:rsid w:val="00A46002"/>
    <w:rsid w:val="00A461A8"/>
    <w:rsid w:val="00A46495"/>
    <w:rsid w:val="00A46532"/>
    <w:rsid w:val="00A46BF8"/>
    <w:rsid w:val="00A46E0E"/>
    <w:rsid w:val="00A46F8B"/>
    <w:rsid w:val="00A4714E"/>
    <w:rsid w:val="00A475D2"/>
    <w:rsid w:val="00A47642"/>
    <w:rsid w:val="00A47776"/>
    <w:rsid w:val="00A479F2"/>
    <w:rsid w:val="00A47A7B"/>
    <w:rsid w:val="00A47AC4"/>
    <w:rsid w:val="00A47C14"/>
    <w:rsid w:val="00A47D86"/>
    <w:rsid w:val="00A47F55"/>
    <w:rsid w:val="00A501A9"/>
    <w:rsid w:val="00A5024B"/>
    <w:rsid w:val="00A50493"/>
    <w:rsid w:val="00A5099D"/>
    <w:rsid w:val="00A50A5E"/>
    <w:rsid w:val="00A510B8"/>
    <w:rsid w:val="00A510FF"/>
    <w:rsid w:val="00A51260"/>
    <w:rsid w:val="00A512F5"/>
    <w:rsid w:val="00A51328"/>
    <w:rsid w:val="00A5137F"/>
    <w:rsid w:val="00A518D8"/>
    <w:rsid w:val="00A5193B"/>
    <w:rsid w:val="00A51DD9"/>
    <w:rsid w:val="00A51FC1"/>
    <w:rsid w:val="00A523F6"/>
    <w:rsid w:val="00A524C8"/>
    <w:rsid w:val="00A5257B"/>
    <w:rsid w:val="00A5284A"/>
    <w:rsid w:val="00A5295E"/>
    <w:rsid w:val="00A5304B"/>
    <w:rsid w:val="00A53060"/>
    <w:rsid w:val="00A5308B"/>
    <w:rsid w:val="00A53098"/>
    <w:rsid w:val="00A53159"/>
    <w:rsid w:val="00A5318F"/>
    <w:rsid w:val="00A532B9"/>
    <w:rsid w:val="00A53331"/>
    <w:rsid w:val="00A53464"/>
    <w:rsid w:val="00A53881"/>
    <w:rsid w:val="00A53B12"/>
    <w:rsid w:val="00A53DD3"/>
    <w:rsid w:val="00A53F1A"/>
    <w:rsid w:val="00A54026"/>
    <w:rsid w:val="00A5414A"/>
    <w:rsid w:val="00A545A0"/>
    <w:rsid w:val="00A545B9"/>
    <w:rsid w:val="00A54910"/>
    <w:rsid w:val="00A549C0"/>
    <w:rsid w:val="00A54F68"/>
    <w:rsid w:val="00A55076"/>
    <w:rsid w:val="00A550C7"/>
    <w:rsid w:val="00A550DC"/>
    <w:rsid w:val="00A55279"/>
    <w:rsid w:val="00A55477"/>
    <w:rsid w:val="00A558CE"/>
    <w:rsid w:val="00A55B31"/>
    <w:rsid w:val="00A55E53"/>
    <w:rsid w:val="00A55FF8"/>
    <w:rsid w:val="00A56478"/>
    <w:rsid w:val="00A56560"/>
    <w:rsid w:val="00A567F2"/>
    <w:rsid w:val="00A56A7B"/>
    <w:rsid w:val="00A56B13"/>
    <w:rsid w:val="00A573EB"/>
    <w:rsid w:val="00A5774C"/>
    <w:rsid w:val="00A57841"/>
    <w:rsid w:val="00A57870"/>
    <w:rsid w:val="00A57B28"/>
    <w:rsid w:val="00A600A0"/>
    <w:rsid w:val="00A601FC"/>
    <w:rsid w:val="00A60401"/>
    <w:rsid w:val="00A6048E"/>
    <w:rsid w:val="00A6057F"/>
    <w:rsid w:val="00A60803"/>
    <w:rsid w:val="00A60E8F"/>
    <w:rsid w:val="00A60FE9"/>
    <w:rsid w:val="00A610EC"/>
    <w:rsid w:val="00A613EB"/>
    <w:rsid w:val="00A619B2"/>
    <w:rsid w:val="00A61B48"/>
    <w:rsid w:val="00A61D0A"/>
    <w:rsid w:val="00A61DB2"/>
    <w:rsid w:val="00A62101"/>
    <w:rsid w:val="00A6220E"/>
    <w:rsid w:val="00A624EE"/>
    <w:rsid w:val="00A624EF"/>
    <w:rsid w:val="00A62581"/>
    <w:rsid w:val="00A6258B"/>
    <w:rsid w:val="00A62884"/>
    <w:rsid w:val="00A630C7"/>
    <w:rsid w:val="00A632F1"/>
    <w:rsid w:val="00A633BC"/>
    <w:rsid w:val="00A6341F"/>
    <w:rsid w:val="00A636C8"/>
    <w:rsid w:val="00A63C22"/>
    <w:rsid w:val="00A63C83"/>
    <w:rsid w:val="00A63CFF"/>
    <w:rsid w:val="00A6410A"/>
    <w:rsid w:val="00A64123"/>
    <w:rsid w:val="00A64301"/>
    <w:rsid w:val="00A6458D"/>
    <w:rsid w:val="00A64640"/>
    <w:rsid w:val="00A64B91"/>
    <w:rsid w:val="00A64C7E"/>
    <w:rsid w:val="00A64DCC"/>
    <w:rsid w:val="00A64E16"/>
    <w:rsid w:val="00A65252"/>
    <w:rsid w:val="00A6525C"/>
    <w:rsid w:val="00A652E3"/>
    <w:rsid w:val="00A65408"/>
    <w:rsid w:val="00A654B5"/>
    <w:rsid w:val="00A65AF6"/>
    <w:rsid w:val="00A65C08"/>
    <w:rsid w:val="00A65CD4"/>
    <w:rsid w:val="00A65EC0"/>
    <w:rsid w:val="00A65EFD"/>
    <w:rsid w:val="00A669A2"/>
    <w:rsid w:val="00A66A14"/>
    <w:rsid w:val="00A66DB6"/>
    <w:rsid w:val="00A66FD5"/>
    <w:rsid w:val="00A6709D"/>
    <w:rsid w:val="00A670F7"/>
    <w:rsid w:val="00A6729D"/>
    <w:rsid w:val="00A677EE"/>
    <w:rsid w:val="00A67ED4"/>
    <w:rsid w:val="00A702D9"/>
    <w:rsid w:val="00A705E0"/>
    <w:rsid w:val="00A70A30"/>
    <w:rsid w:val="00A70A61"/>
    <w:rsid w:val="00A70ECB"/>
    <w:rsid w:val="00A70F1E"/>
    <w:rsid w:val="00A70F2B"/>
    <w:rsid w:val="00A7111A"/>
    <w:rsid w:val="00A7124F"/>
    <w:rsid w:val="00A7158B"/>
    <w:rsid w:val="00A715EB"/>
    <w:rsid w:val="00A71600"/>
    <w:rsid w:val="00A717F7"/>
    <w:rsid w:val="00A71ECE"/>
    <w:rsid w:val="00A7248E"/>
    <w:rsid w:val="00A728FD"/>
    <w:rsid w:val="00A72A49"/>
    <w:rsid w:val="00A72B37"/>
    <w:rsid w:val="00A72D79"/>
    <w:rsid w:val="00A72F10"/>
    <w:rsid w:val="00A72FF3"/>
    <w:rsid w:val="00A7308A"/>
    <w:rsid w:val="00A730E1"/>
    <w:rsid w:val="00A73133"/>
    <w:rsid w:val="00A7321A"/>
    <w:rsid w:val="00A7339C"/>
    <w:rsid w:val="00A73495"/>
    <w:rsid w:val="00A736D9"/>
    <w:rsid w:val="00A7420E"/>
    <w:rsid w:val="00A7423D"/>
    <w:rsid w:val="00A744DA"/>
    <w:rsid w:val="00A74792"/>
    <w:rsid w:val="00A74D92"/>
    <w:rsid w:val="00A74DE4"/>
    <w:rsid w:val="00A74F0F"/>
    <w:rsid w:val="00A74F3E"/>
    <w:rsid w:val="00A752F9"/>
    <w:rsid w:val="00A7539A"/>
    <w:rsid w:val="00A753FC"/>
    <w:rsid w:val="00A7560F"/>
    <w:rsid w:val="00A757E8"/>
    <w:rsid w:val="00A759E4"/>
    <w:rsid w:val="00A75A37"/>
    <w:rsid w:val="00A75CB1"/>
    <w:rsid w:val="00A75CBA"/>
    <w:rsid w:val="00A75ED7"/>
    <w:rsid w:val="00A75FBE"/>
    <w:rsid w:val="00A76015"/>
    <w:rsid w:val="00A761B3"/>
    <w:rsid w:val="00A76381"/>
    <w:rsid w:val="00A768E6"/>
    <w:rsid w:val="00A76B7D"/>
    <w:rsid w:val="00A76E21"/>
    <w:rsid w:val="00A771E5"/>
    <w:rsid w:val="00A775F8"/>
    <w:rsid w:val="00A77603"/>
    <w:rsid w:val="00A77640"/>
    <w:rsid w:val="00A77817"/>
    <w:rsid w:val="00A7787C"/>
    <w:rsid w:val="00A7799D"/>
    <w:rsid w:val="00A779AA"/>
    <w:rsid w:val="00A808E4"/>
    <w:rsid w:val="00A80A56"/>
    <w:rsid w:val="00A80BFE"/>
    <w:rsid w:val="00A80C39"/>
    <w:rsid w:val="00A80F8C"/>
    <w:rsid w:val="00A8103B"/>
    <w:rsid w:val="00A813AE"/>
    <w:rsid w:val="00A81569"/>
    <w:rsid w:val="00A81841"/>
    <w:rsid w:val="00A81A5B"/>
    <w:rsid w:val="00A81B5A"/>
    <w:rsid w:val="00A822C5"/>
    <w:rsid w:val="00A8284D"/>
    <w:rsid w:val="00A82CFC"/>
    <w:rsid w:val="00A83131"/>
    <w:rsid w:val="00A8335F"/>
    <w:rsid w:val="00A833A1"/>
    <w:rsid w:val="00A83490"/>
    <w:rsid w:val="00A834EF"/>
    <w:rsid w:val="00A835C7"/>
    <w:rsid w:val="00A83B56"/>
    <w:rsid w:val="00A83B97"/>
    <w:rsid w:val="00A83F11"/>
    <w:rsid w:val="00A841C9"/>
    <w:rsid w:val="00A84273"/>
    <w:rsid w:val="00A8434E"/>
    <w:rsid w:val="00A844C3"/>
    <w:rsid w:val="00A844DA"/>
    <w:rsid w:val="00A845CC"/>
    <w:rsid w:val="00A84963"/>
    <w:rsid w:val="00A84A61"/>
    <w:rsid w:val="00A84BEC"/>
    <w:rsid w:val="00A84DB0"/>
    <w:rsid w:val="00A851FE"/>
    <w:rsid w:val="00A85712"/>
    <w:rsid w:val="00A85952"/>
    <w:rsid w:val="00A85A6A"/>
    <w:rsid w:val="00A8605F"/>
    <w:rsid w:val="00A861F9"/>
    <w:rsid w:val="00A8625B"/>
    <w:rsid w:val="00A86452"/>
    <w:rsid w:val="00A86489"/>
    <w:rsid w:val="00A8661F"/>
    <w:rsid w:val="00A869CE"/>
    <w:rsid w:val="00A86C24"/>
    <w:rsid w:val="00A86C89"/>
    <w:rsid w:val="00A86EED"/>
    <w:rsid w:val="00A87147"/>
    <w:rsid w:val="00A871A8"/>
    <w:rsid w:val="00A87905"/>
    <w:rsid w:val="00A8798C"/>
    <w:rsid w:val="00A879A7"/>
    <w:rsid w:val="00A87A8C"/>
    <w:rsid w:val="00A87AA6"/>
    <w:rsid w:val="00A87CF5"/>
    <w:rsid w:val="00A87E8C"/>
    <w:rsid w:val="00A87EAF"/>
    <w:rsid w:val="00A907B1"/>
    <w:rsid w:val="00A909AF"/>
    <w:rsid w:val="00A90EAC"/>
    <w:rsid w:val="00A91050"/>
    <w:rsid w:val="00A9132C"/>
    <w:rsid w:val="00A9155F"/>
    <w:rsid w:val="00A917D2"/>
    <w:rsid w:val="00A918BE"/>
    <w:rsid w:val="00A91BE1"/>
    <w:rsid w:val="00A91E93"/>
    <w:rsid w:val="00A91EF2"/>
    <w:rsid w:val="00A920AC"/>
    <w:rsid w:val="00A92867"/>
    <w:rsid w:val="00A92996"/>
    <w:rsid w:val="00A92B69"/>
    <w:rsid w:val="00A92F59"/>
    <w:rsid w:val="00A930EC"/>
    <w:rsid w:val="00A931D9"/>
    <w:rsid w:val="00A932FE"/>
    <w:rsid w:val="00A93AD4"/>
    <w:rsid w:val="00A93D5B"/>
    <w:rsid w:val="00A93FDE"/>
    <w:rsid w:val="00A94678"/>
    <w:rsid w:val="00A947C7"/>
    <w:rsid w:val="00A949EA"/>
    <w:rsid w:val="00A94B82"/>
    <w:rsid w:val="00A954C5"/>
    <w:rsid w:val="00A95500"/>
    <w:rsid w:val="00A95C72"/>
    <w:rsid w:val="00A95DB2"/>
    <w:rsid w:val="00A95F49"/>
    <w:rsid w:val="00A95F67"/>
    <w:rsid w:val="00A9608A"/>
    <w:rsid w:val="00A962B5"/>
    <w:rsid w:val="00A9670D"/>
    <w:rsid w:val="00A9674D"/>
    <w:rsid w:val="00A974A2"/>
    <w:rsid w:val="00A97566"/>
    <w:rsid w:val="00A9763D"/>
    <w:rsid w:val="00A977F0"/>
    <w:rsid w:val="00A979EF"/>
    <w:rsid w:val="00A979F8"/>
    <w:rsid w:val="00A97AA7"/>
    <w:rsid w:val="00A97AF8"/>
    <w:rsid w:val="00A97B95"/>
    <w:rsid w:val="00A97CA7"/>
    <w:rsid w:val="00A97CE9"/>
    <w:rsid w:val="00A97D52"/>
    <w:rsid w:val="00AA019C"/>
    <w:rsid w:val="00AA0273"/>
    <w:rsid w:val="00AA03D1"/>
    <w:rsid w:val="00AA06B6"/>
    <w:rsid w:val="00AA0DE5"/>
    <w:rsid w:val="00AA0FBC"/>
    <w:rsid w:val="00AA12B3"/>
    <w:rsid w:val="00AA1316"/>
    <w:rsid w:val="00AA1422"/>
    <w:rsid w:val="00AA1722"/>
    <w:rsid w:val="00AA2115"/>
    <w:rsid w:val="00AA28C1"/>
    <w:rsid w:val="00AA2C7C"/>
    <w:rsid w:val="00AA3270"/>
    <w:rsid w:val="00AA33D4"/>
    <w:rsid w:val="00AA33D9"/>
    <w:rsid w:val="00AA358C"/>
    <w:rsid w:val="00AA365F"/>
    <w:rsid w:val="00AA370B"/>
    <w:rsid w:val="00AA3796"/>
    <w:rsid w:val="00AA3B2C"/>
    <w:rsid w:val="00AA3E5F"/>
    <w:rsid w:val="00AA3F52"/>
    <w:rsid w:val="00AA442F"/>
    <w:rsid w:val="00AA4750"/>
    <w:rsid w:val="00AA5562"/>
    <w:rsid w:val="00AA5601"/>
    <w:rsid w:val="00AA567F"/>
    <w:rsid w:val="00AA614D"/>
    <w:rsid w:val="00AA6496"/>
    <w:rsid w:val="00AA652C"/>
    <w:rsid w:val="00AA6C62"/>
    <w:rsid w:val="00AA6DC1"/>
    <w:rsid w:val="00AA6EBE"/>
    <w:rsid w:val="00AA7157"/>
    <w:rsid w:val="00AA72AE"/>
    <w:rsid w:val="00AA73F8"/>
    <w:rsid w:val="00AA76F9"/>
    <w:rsid w:val="00AA7B79"/>
    <w:rsid w:val="00AB000D"/>
    <w:rsid w:val="00AB02EB"/>
    <w:rsid w:val="00AB04AF"/>
    <w:rsid w:val="00AB0700"/>
    <w:rsid w:val="00AB0890"/>
    <w:rsid w:val="00AB0AC3"/>
    <w:rsid w:val="00AB0C5F"/>
    <w:rsid w:val="00AB0C7E"/>
    <w:rsid w:val="00AB0E21"/>
    <w:rsid w:val="00AB0F4F"/>
    <w:rsid w:val="00AB107C"/>
    <w:rsid w:val="00AB10F2"/>
    <w:rsid w:val="00AB15A4"/>
    <w:rsid w:val="00AB1716"/>
    <w:rsid w:val="00AB1831"/>
    <w:rsid w:val="00AB2140"/>
    <w:rsid w:val="00AB2304"/>
    <w:rsid w:val="00AB2419"/>
    <w:rsid w:val="00AB24AE"/>
    <w:rsid w:val="00AB2645"/>
    <w:rsid w:val="00AB26B8"/>
    <w:rsid w:val="00AB2756"/>
    <w:rsid w:val="00AB2B63"/>
    <w:rsid w:val="00AB2BB3"/>
    <w:rsid w:val="00AB2CD1"/>
    <w:rsid w:val="00AB2D42"/>
    <w:rsid w:val="00AB303E"/>
    <w:rsid w:val="00AB3167"/>
    <w:rsid w:val="00AB3447"/>
    <w:rsid w:val="00AB35BF"/>
    <w:rsid w:val="00AB361A"/>
    <w:rsid w:val="00AB389B"/>
    <w:rsid w:val="00AB43D1"/>
    <w:rsid w:val="00AB4705"/>
    <w:rsid w:val="00AB56C4"/>
    <w:rsid w:val="00AB5896"/>
    <w:rsid w:val="00AB5C14"/>
    <w:rsid w:val="00AB5C74"/>
    <w:rsid w:val="00AB606F"/>
    <w:rsid w:val="00AB650B"/>
    <w:rsid w:val="00AB67A1"/>
    <w:rsid w:val="00AB7794"/>
    <w:rsid w:val="00AB7CDE"/>
    <w:rsid w:val="00AB7DA3"/>
    <w:rsid w:val="00AB7DBD"/>
    <w:rsid w:val="00AB7E04"/>
    <w:rsid w:val="00AB7E0A"/>
    <w:rsid w:val="00AB7EE2"/>
    <w:rsid w:val="00AC046E"/>
    <w:rsid w:val="00AC06E4"/>
    <w:rsid w:val="00AC088A"/>
    <w:rsid w:val="00AC0C79"/>
    <w:rsid w:val="00AC0E88"/>
    <w:rsid w:val="00AC0FFF"/>
    <w:rsid w:val="00AC105D"/>
    <w:rsid w:val="00AC1455"/>
    <w:rsid w:val="00AC1725"/>
    <w:rsid w:val="00AC1900"/>
    <w:rsid w:val="00AC19B2"/>
    <w:rsid w:val="00AC1B4A"/>
    <w:rsid w:val="00AC1BA2"/>
    <w:rsid w:val="00AC1CD2"/>
    <w:rsid w:val="00AC1DB7"/>
    <w:rsid w:val="00AC202F"/>
    <w:rsid w:val="00AC205A"/>
    <w:rsid w:val="00AC2EDD"/>
    <w:rsid w:val="00AC3218"/>
    <w:rsid w:val="00AC368B"/>
    <w:rsid w:val="00AC37F4"/>
    <w:rsid w:val="00AC37FB"/>
    <w:rsid w:val="00AC3821"/>
    <w:rsid w:val="00AC385A"/>
    <w:rsid w:val="00AC39DD"/>
    <w:rsid w:val="00AC3A5E"/>
    <w:rsid w:val="00AC3D35"/>
    <w:rsid w:val="00AC4255"/>
    <w:rsid w:val="00AC42CE"/>
    <w:rsid w:val="00AC42DF"/>
    <w:rsid w:val="00AC4AA3"/>
    <w:rsid w:val="00AC4B43"/>
    <w:rsid w:val="00AC4BDD"/>
    <w:rsid w:val="00AC50EC"/>
    <w:rsid w:val="00AC56F0"/>
    <w:rsid w:val="00AC58AF"/>
    <w:rsid w:val="00AC5E71"/>
    <w:rsid w:val="00AC5F8E"/>
    <w:rsid w:val="00AC6534"/>
    <w:rsid w:val="00AC682F"/>
    <w:rsid w:val="00AC6832"/>
    <w:rsid w:val="00AC6A20"/>
    <w:rsid w:val="00AC6B38"/>
    <w:rsid w:val="00AC6DBD"/>
    <w:rsid w:val="00AC733C"/>
    <w:rsid w:val="00AC7589"/>
    <w:rsid w:val="00AC76D2"/>
    <w:rsid w:val="00AC7769"/>
    <w:rsid w:val="00AC7BFA"/>
    <w:rsid w:val="00AC7E4A"/>
    <w:rsid w:val="00AC7F42"/>
    <w:rsid w:val="00AD0251"/>
    <w:rsid w:val="00AD0373"/>
    <w:rsid w:val="00AD0393"/>
    <w:rsid w:val="00AD0615"/>
    <w:rsid w:val="00AD06CD"/>
    <w:rsid w:val="00AD0B70"/>
    <w:rsid w:val="00AD0BA7"/>
    <w:rsid w:val="00AD0EA8"/>
    <w:rsid w:val="00AD13C5"/>
    <w:rsid w:val="00AD140D"/>
    <w:rsid w:val="00AD16B4"/>
    <w:rsid w:val="00AD1E04"/>
    <w:rsid w:val="00AD1E72"/>
    <w:rsid w:val="00AD2034"/>
    <w:rsid w:val="00AD20E4"/>
    <w:rsid w:val="00AD2770"/>
    <w:rsid w:val="00AD283F"/>
    <w:rsid w:val="00AD2B82"/>
    <w:rsid w:val="00AD2D89"/>
    <w:rsid w:val="00AD3173"/>
    <w:rsid w:val="00AD31D9"/>
    <w:rsid w:val="00AD3329"/>
    <w:rsid w:val="00AD3685"/>
    <w:rsid w:val="00AD3999"/>
    <w:rsid w:val="00AD3A48"/>
    <w:rsid w:val="00AD3FD8"/>
    <w:rsid w:val="00AD416C"/>
    <w:rsid w:val="00AD420A"/>
    <w:rsid w:val="00AD4503"/>
    <w:rsid w:val="00AD4C65"/>
    <w:rsid w:val="00AD4C6D"/>
    <w:rsid w:val="00AD500A"/>
    <w:rsid w:val="00AD50F9"/>
    <w:rsid w:val="00AD54C7"/>
    <w:rsid w:val="00AD5957"/>
    <w:rsid w:val="00AD5C00"/>
    <w:rsid w:val="00AD5FFB"/>
    <w:rsid w:val="00AD66EC"/>
    <w:rsid w:val="00AD6700"/>
    <w:rsid w:val="00AD676A"/>
    <w:rsid w:val="00AD6A1B"/>
    <w:rsid w:val="00AD6AC8"/>
    <w:rsid w:val="00AD6C1D"/>
    <w:rsid w:val="00AD6E1F"/>
    <w:rsid w:val="00AD723F"/>
    <w:rsid w:val="00AD72F4"/>
    <w:rsid w:val="00AD7329"/>
    <w:rsid w:val="00AD7541"/>
    <w:rsid w:val="00AD7593"/>
    <w:rsid w:val="00AD7A85"/>
    <w:rsid w:val="00AD7AD7"/>
    <w:rsid w:val="00AD7D2E"/>
    <w:rsid w:val="00AD7DB9"/>
    <w:rsid w:val="00AD7FB4"/>
    <w:rsid w:val="00AE01AC"/>
    <w:rsid w:val="00AE01EA"/>
    <w:rsid w:val="00AE0280"/>
    <w:rsid w:val="00AE05FE"/>
    <w:rsid w:val="00AE064A"/>
    <w:rsid w:val="00AE0B50"/>
    <w:rsid w:val="00AE0F1D"/>
    <w:rsid w:val="00AE106F"/>
    <w:rsid w:val="00AE1416"/>
    <w:rsid w:val="00AE1867"/>
    <w:rsid w:val="00AE1918"/>
    <w:rsid w:val="00AE19A7"/>
    <w:rsid w:val="00AE1D0F"/>
    <w:rsid w:val="00AE1E42"/>
    <w:rsid w:val="00AE1FB0"/>
    <w:rsid w:val="00AE1FE3"/>
    <w:rsid w:val="00AE2065"/>
    <w:rsid w:val="00AE2454"/>
    <w:rsid w:val="00AE25D5"/>
    <w:rsid w:val="00AE277A"/>
    <w:rsid w:val="00AE2925"/>
    <w:rsid w:val="00AE2A93"/>
    <w:rsid w:val="00AE2B43"/>
    <w:rsid w:val="00AE2EA5"/>
    <w:rsid w:val="00AE34AF"/>
    <w:rsid w:val="00AE352D"/>
    <w:rsid w:val="00AE36CC"/>
    <w:rsid w:val="00AE3EB8"/>
    <w:rsid w:val="00AE3F73"/>
    <w:rsid w:val="00AE4343"/>
    <w:rsid w:val="00AE4446"/>
    <w:rsid w:val="00AE4610"/>
    <w:rsid w:val="00AE4B7C"/>
    <w:rsid w:val="00AE55A1"/>
    <w:rsid w:val="00AE55AF"/>
    <w:rsid w:val="00AE5868"/>
    <w:rsid w:val="00AE5886"/>
    <w:rsid w:val="00AE5BB1"/>
    <w:rsid w:val="00AE5E20"/>
    <w:rsid w:val="00AE5F7A"/>
    <w:rsid w:val="00AE6015"/>
    <w:rsid w:val="00AE6184"/>
    <w:rsid w:val="00AE6C0D"/>
    <w:rsid w:val="00AE6FDD"/>
    <w:rsid w:val="00AE7351"/>
    <w:rsid w:val="00AE74B7"/>
    <w:rsid w:val="00AE7540"/>
    <w:rsid w:val="00AE7674"/>
    <w:rsid w:val="00AE7776"/>
    <w:rsid w:val="00AE788C"/>
    <w:rsid w:val="00AE7AD0"/>
    <w:rsid w:val="00AF0185"/>
    <w:rsid w:val="00AF02EF"/>
    <w:rsid w:val="00AF063F"/>
    <w:rsid w:val="00AF06C8"/>
    <w:rsid w:val="00AF0E57"/>
    <w:rsid w:val="00AF1437"/>
    <w:rsid w:val="00AF188C"/>
    <w:rsid w:val="00AF1AD4"/>
    <w:rsid w:val="00AF1BCE"/>
    <w:rsid w:val="00AF1CA7"/>
    <w:rsid w:val="00AF1E3C"/>
    <w:rsid w:val="00AF2053"/>
    <w:rsid w:val="00AF250C"/>
    <w:rsid w:val="00AF2598"/>
    <w:rsid w:val="00AF29C0"/>
    <w:rsid w:val="00AF2AFD"/>
    <w:rsid w:val="00AF2EA4"/>
    <w:rsid w:val="00AF2F9A"/>
    <w:rsid w:val="00AF3174"/>
    <w:rsid w:val="00AF3711"/>
    <w:rsid w:val="00AF3801"/>
    <w:rsid w:val="00AF3956"/>
    <w:rsid w:val="00AF3DE3"/>
    <w:rsid w:val="00AF3DE9"/>
    <w:rsid w:val="00AF4865"/>
    <w:rsid w:val="00AF501E"/>
    <w:rsid w:val="00AF5348"/>
    <w:rsid w:val="00AF5808"/>
    <w:rsid w:val="00AF5985"/>
    <w:rsid w:val="00AF5AA7"/>
    <w:rsid w:val="00AF5C05"/>
    <w:rsid w:val="00AF5E96"/>
    <w:rsid w:val="00AF5E9C"/>
    <w:rsid w:val="00AF5ECD"/>
    <w:rsid w:val="00AF5F73"/>
    <w:rsid w:val="00AF66E8"/>
    <w:rsid w:val="00AF67C5"/>
    <w:rsid w:val="00AF6C8C"/>
    <w:rsid w:val="00AF6D15"/>
    <w:rsid w:val="00AF6E85"/>
    <w:rsid w:val="00AF6EBB"/>
    <w:rsid w:val="00AF6F45"/>
    <w:rsid w:val="00AF73E2"/>
    <w:rsid w:val="00AF78DA"/>
    <w:rsid w:val="00AF7934"/>
    <w:rsid w:val="00AF7E30"/>
    <w:rsid w:val="00B00B30"/>
    <w:rsid w:val="00B00CDD"/>
    <w:rsid w:val="00B00E06"/>
    <w:rsid w:val="00B010DF"/>
    <w:rsid w:val="00B01B37"/>
    <w:rsid w:val="00B02065"/>
    <w:rsid w:val="00B020EF"/>
    <w:rsid w:val="00B023F5"/>
    <w:rsid w:val="00B02470"/>
    <w:rsid w:val="00B024A9"/>
    <w:rsid w:val="00B02EEA"/>
    <w:rsid w:val="00B035FD"/>
    <w:rsid w:val="00B03B15"/>
    <w:rsid w:val="00B03C65"/>
    <w:rsid w:val="00B03C78"/>
    <w:rsid w:val="00B04149"/>
    <w:rsid w:val="00B04E1D"/>
    <w:rsid w:val="00B04F60"/>
    <w:rsid w:val="00B0539C"/>
    <w:rsid w:val="00B05829"/>
    <w:rsid w:val="00B05A5F"/>
    <w:rsid w:val="00B05A98"/>
    <w:rsid w:val="00B060CC"/>
    <w:rsid w:val="00B06171"/>
    <w:rsid w:val="00B06257"/>
    <w:rsid w:val="00B063EF"/>
    <w:rsid w:val="00B06613"/>
    <w:rsid w:val="00B06C77"/>
    <w:rsid w:val="00B06C88"/>
    <w:rsid w:val="00B070A5"/>
    <w:rsid w:val="00B071A6"/>
    <w:rsid w:val="00B071C8"/>
    <w:rsid w:val="00B07205"/>
    <w:rsid w:val="00B076FD"/>
    <w:rsid w:val="00B07AEB"/>
    <w:rsid w:val="00B10157"/>
    <w:rsid w:val="00B1017C"/>
    <w:rsid w:val="00B103FF"/>
    <w:rsid w:val="00B10C47"/>
    <w:rsid w:val="00B112AD"/>
    <w:rsid w:val="00B11480"/>
    <w:rsid w:val="00B116CA"/>
    <w:rsid w:val="00B117BA"/>
    <w:rsid w:val="00B12091"/>
    <w:rsid w:val="00B1229D"/>
    <w:rsid w:val="00B1269D"/>
    <w:rsid w:val="00B12B38"/>
    <w:rsid w:val="00B12DD9"/>
    <w:rsid w:val="00B1300C"/>
    <w:rsid w:val="00B1306E"/>
    <w:rsid w:val="00B13294"/>
    <w:rsid w:val="00B1367C"/>
    <w:rsid w:val="00B136C4"/>
    <w:rsid w:val="00B137DA"/>
    <w:rsid w:val="00B1388B"/>
    <w:rsid w:val="00B13920"/>
    <w:rsid w:val="00B139E5"/>
    <w:rsid w:val="00B13A0F"/>
    <w:rsid w:val="00B13B52"/>
    <w:rsid w:val="00B13C3C"/>
    <w:rsid w:val="00B13E7C"/>
    <w:rsid w:val="00B14074"/>
    <w:rsid w:val="00B1407B"/>
    <w:rsid w:val="00B14400"/>
    <w:rsid w:val="00B14751"/>
    <w:rsid w:val="00B14AE4"/>
    <w:rsid w:val="00B14B46"/>
    <w:rsid w:val="00B14C9C"/>
    <w:rsid w:val="00B15116"/>
    <w:rsid w:val="00B15129"/>
    <w:rsid w:val="00B151A6"/>
    <w:rsid w:val="00B1533C"/>
    <w:rsid w:val="00B153B7"/>
    <w:rsid w:val="00B15666"/>
    <w:rsid w:val="00B15A4C"/>
    <w:rsid w:val="00B15C66"/>
    <w:rsid w:val="00B15ED2"/>
    <w:rsid w:val="00B15F3D"/>
    <w:rsid w:val="00B16400"/>
    <w:rsid w:val="00B16BD4"/>
    <w:rsid w:val="00B16DA5"/>
    <w:rsid w:val="00B16DD6"/>
    <w:rsid w:val="00B1769E"/>
    <w:rsid w:val="00B176C2"/>
    <w:rsid w:val="00B1771A"/>
    <w:rsid w:val="00B17818"/>
    <w:rsid w:val="00B17F2A"/>
    <w:rsid w:val="00B17FA7"/>
    <w:rsid w:val="00B17FB7"/>
    <w:rsid w:val="00B200C1"/>
    <w:rsid w:val="00B20B7E"/>
    <w:rsid w:val="00B20D60"/>
    <w:rsid w:val="00B20DC9"/>
    <w:rsid w:val="00B20EAD"/>
    <w:rsid w:val="00B20EC8"/>
    <w:rsid w:val="00B20EF8"/>
    <w:rsid w:val="00B20F9D"/>
    <w:rsid w:val="00B20FC9"/>
    <w:rsid w:val="00B21272"/>
    <w:rsid w:val="00B2133C"/>
    <w:rsid w:val="00B21619"/>
    <w:rsid w:val="00B218FB"/>
    <w:rsid w:val="00B219CD"/>
    <w:rsid w:val="00B21A2B"/>
    <w:rsid w:val="00B21CF0"/>
    <w:rsid w:val="00B21DAE"/>
    <w:rsid w:val="00B224B1"/>
    <w:rsid w:val="00B2273F"/>
    <w:rsid w:val="00B2289F"/>
    <w:rsid w:val="00B22A4A"/>
    <w:rsid w:val="00B22AF7"/>
    <w:rsid w:val="00B22D6D"/>
    <w:rsid w:val="00B2332B"/>
    <w:rsid w:val="00B2396F"/>
    <w:rsid w:val="00B23B3F"/>
    <w:rsid w:val="00B23DA0"/>
    <w:rsid w:val="00B240D2"/>
    <w:rsid w:val="00B24261"/>
    <w:rsid w:val="00B243D9"/>
    <w:rsid w:val="00B245A3"/>
    <w:rsid w:val="00B24768"/>
    <w:rsid w:val="00B248EF"/>
    <w:rsid w:val="00B24998"/>
    <w:rsid w:val="00B24C0A"/>
    <w:rsid w:val="00B25028"/>
    <w:rsid w:val="00B253FA"/>
    <w:rsid w:val="00B25D7F"/>
    <w:rsid w:val="00B261A9"/>
    <w:rsid w:val="00B261E6"/>
    <w:rsid w:val="00B26207"/>
    <w:rsid w:val="00B26421"/>
    <w:rsid w:val="00B2668E"/>
    <w:rsid w:val="00B266FC"/>
    <w:rsid w:val="00B2670A"/>
    <w:rsid w:val="00B26D3A"/>
    <w:rsid w:val="00B26D46"/>
    <w:rsid w:val="00B26EA2"/>
    <w:rsid w:val="00B2702C"/>
    <w:rsid w:val="00B27068"/>
    <w:rsid w:val="00B2708E"/>
    <w:rsid w:val="00B27366"/>
    <w:rsid w:val="00B276E6"/>
    <w:rsid w:val="00B2773B"/>
    <w:rsid w:val="00B2776F"/>
    <w:rsid w:val="00B27EE1"/>
    <w:rsid w:val="00B30476"/>
    <w:rsid w:val="00B31028"/>
    <w:rsid w:val="00B31344"/>
    <w:rsid w:val="00B314A7"/>
    <w:rsid w:val="00B317EE"/>
    <w:rsid w:val="00B318D6"/>
    <w:rsid w:val="00B31DFF"/>
    <w:rsid w:val="00B31F90"/>
    <w:rsid w:val="00B32348"/>
    <w:rsid w:val="00B3250D"/>
    <w:rsid w:val="00B32611"/>
    <w:rsid w:val="00B32E45"/>
    <w:rsid w:val="00B33439"/>
    <w:rsid w:val="00B33651"/>
    <w:rsid w:val="00B33694"/>
    <w:rsid w:val="00B336D7"/>
    <w:rsid w:val="00B3378E"/>
    <w:rsid w:val="00B3412B"/>
    <w:rsid w:val="00B3416F"/>
    <w:rsid w:val="00B34739"/>
    <w:rsid w:val="00B34824"/>
    <w:rsid w:val="00B34A8F"/>
    <w:rsid w:val="00B34AD0"/>
    <w:rsid w:val="00B34F93"/>
    <w:rsid w:val="00B35180"/>
    <w:rsid w:val="00B352BF"/>
    <w:rsid w:val="00B35681"/>
    <w:rsid w:val="00B358A9"/>
    <w:rsid w:val="00B35BDB"/>
    <w:rsid w:val="00B35ECC"/>
    <w:rsid w:val="00B36390"/>
    <w:rsid w:val="00B363C6"/>
    <w:rsid w:val="00B363EA"/>
    <w:rsid w:val="00B36871"/>
    <w:rsid w:val="00B36939"/>
    <w:rsid w:val="00B370F6"/>
    <w:rsid w:val="00B37338"/>
    <w:rsid w:val="00B37372"/>
    <w:rsid w:val="00B37376"/>
    <w:rsid w:val="00B3741B"/>
    <w:rsid w:val="00B374C4"/>
    <w:rsid w:val="00B378A6"/>
    <w:rsid w:val="00B37A2E"/>
    <w:rsid w:val="00B37BDF"/>
    <w:rsid w:val="00B37CCC"/>
    <w:rsid w:val="00B40201"/>
    <w:rsid w:val="00B40768"/>
    <w:rsid w:val="00B41052"/>
    <w:rsid w:val="00B411E2"/>
    <w:rsid w:val="00B4154A"/>
    <w:rsid w:val="00B419B4"/>
    <w:rsid w:val="00B41A4F"/>
    <w:rsid w:val="00B41BC8"/>
    <w:rsid w:val="00B41E97"/>
    <w:rsid w:val="00B423C0"/>
    <w:rsid w:val="00B4255D"/>
    <w:rsid w:val="00B427E7"/>
    <w:rsid w:val="00B42CF8"/>
    <w:rsid w:val="00B43398"/>
    <w:rsid w:val="00B433D8"/>
    <w:rsid w:val="00B436C4"/>
    <w:rsid w:val="00B43F12"/>
    <w:rsid w:val="00B43F1D"/>
    <w:rsid w:val="00B44087"/>
    <w:rsid w:val="00B44166"/>
    <w:rsid w:val="00B44312"/>
    <w:rsid w:val="00B44509"/>
    <w:rsid w:val="00B44711"/>
    <w:rsid w:val="00B44843"/>
    <w:rsid w:val="00B44B2A"/>
    <w:rsid w:val="00B44C73"/>
    <w:rsid w:val="00B45920"/>
    <w:rsid w:val="00B4598A"/>
    <w:rsid w:val="00B45A08"/>
    <w:rsid w:val="00B45A83"/>
    <w:rsid w:val="00B4622C"/>
    <w:rsid w:val="00B462A0"/>
    <w:rsid w:val="00B462AB"/>
    <w:rsid w:val="00B464A6"/>
    <w:rsid w:val="00B46986"/>
    <w:rsid w:val="00B46999"/>
    <w:rsid w:val="00B46ED9"/>
    <w:rsid w:val="00B46F7E"/>
    <w:rsid w:val="00B46FE0"/>
    <w:rsid w:val="00B47554"/>
    <w:rsid w:val="00B47749"/>
    <w:rsid w:val="00B47911"/>
    <w:rsid w:val="00B47951"/>
    <w:rsid w:val="00B4795A"/>
    <w:rsid w:val="00B47B0B"/>
    <w:rsid w:val="00B47EC8"/>
    <w:rsid w:val="00B502EC"/>
    <w:rsid w:val="00B50440"/>
    <w:rsid w:val="00B504C3"/>
    <w:rsid w:val="00B50A91"/>
    <w:rsid w:val="00B50DAD"/>
    <w:rsid w:val="00B50EB5"/>
    <w:rsid w:val="00B50F9E"/>
    <w:rsid w:val="00B51072"/>
    <w:rsid w:val="00B51625"/>
    <w:rsid w:val="00B5165B"/>
    <w:rsid w:val="00B51696"/>
    <w:rsid w:val="00B51A2E"/>
    <w:rsid w:val="00B51B79"/>
    <w:rsid w:val="00B51BCB"/>
    <w:rsid w:val="00B51F11"/>
    <w:rsid w:val="00B51F1E"/>
    <w:rsid w:val="00B522C6"/>
    <w:rsid w:val="00B52457"/>
    <w:rsid w:val="00B52770"/>
    <w:rsid w:val="00B52A03"/>
    <w:rsid w:val="00B52E22"/>
    <w:rsid w:val="00B5302B"/>
    <w:rsid w:val="00B53070"/>
    <w:rsid w:val="00B538C7"/>
    <w:rsid w:val="00B53C41"/>
    <w:rsid w:val="00B53CF5"/>
    <w:rsid w:val="00B54271"/>
    <w:rsid w:val="00B54492"/>
    <w:rsid w:val="00B54678"/>
    <w:rsid w:val="00B5499C"/>
    <w:rsid w:val="00B54A53"/>
    <w:rsid w:val="00B54A6F"/>
    <w:rsid w:val="00B54A8D"/>
    <w:rsid w:val="00B54C25"/>
    <w:rsid w:val="00B55291"/>
    <w:rsid w:val="00B56222"/>
    <w:rsid w:val="00B56538"/>
    <w:rsid w:val="00B565B7"/>
    <w:rsid w:val="00B56948"/>
    <w:rsid w:val="00B56FEF"/>
    <w:rsid w:val="00B57465"/>
    <w:rsid w:val="00B575DF"/>
    <w:rsid w:val="00B57738"/>
    <w:rsid w:val="00B57B13"/>
    <w:rsid w:val="00B60064"/>
    <w:rsid w:val="00B60171"/>
    <w:rsid w:val="00B60395"/>
    <w:rsid w:val="00B604B4"/>
    <w:rsid w:val="00B605CA"/>
    <w:rsid w:val="00B609C6"/>
    <w:rsid w:val="00B6110E"/>
    <w:rsid w:val="00B61225"/>
    <w:rsid w:val="00B61C9D"/>
    <w:rsid w:val="00B61F69"/>
    <w:rsid w:val="00B62434"/>
    <w:rsid w:val="00B62AF8"/>
    <w:rsid w:val="00B62B03"/>
    <w:rsid w:val="00B62C89"/>
    <w:rsid w:val="00B62D64"/>
    <w:rsid w:val="00B6302F"/>
    <w:rsid w:val="00B630E4"/>
    <w:rsid w:val="00B63307"/>
    <w:rsid w:val="00B63405"/>
    <w:rsid w:val="00B6341C"/>
    <w:rsid w:val="00B63497"/>
    <w:rsid w:val="00B634E7"/>
    <w:rsid w:val="00B63529"/>
    <w:rsid w:val="00B6396C"/>
    <w:rsid w:val="00B63B16"/>
    <w:rsid w:val="00B63B9C"/>
    <w:rsid w:val="00B63F7C"/>
    <w:rsid w:val="00B63F85"/>
    <w:rsid w:val="00B64053"/>
    <w:rsid w:val="00B641A6"/>
    <w:rsid w:val="00B642B1"/>
    <w:rsid w:val="00B642D1"/>
    <w:rsid w:val="00B645AC"/>
    <w:rsid w:val="00B64D9E"/>
    <w:rsid w:val="00B64DFE"/>
    <w:rsid w:val="00B64FEE"/>
    <w:rsid w:val="00B658E9"/>
    <w:rsid w:val="00B65B6E"/>
    <w:rsid w:val="00B65CB0"/>
    <w:rsid w:val="00B65CCD"/>
    <w:rsid w:val="00B6614B"/>
    <w:rsid w:val="00B66525"/>
    <w:rsid w:val="00B66643"/>
    <w:rsid w:val="00B6664D"/>
    <w:rsid w:val="00B666DE"/>
    <w:rsid w:val="00B66A55"/>
    <w:rsid w:val="00B66ADE"/>
    <w:rsid w:val="00B66D72"/>
    <w:rsid w:val="00B671CA"/>
    <w:rsid w:val="00B67325"/>
    <w:rsid w:val="00B67457"/>
    <w:rsid w:val="00B67534"/>
    <w:rsid w:val="00B6798B"/>
    <w:rsid w:val="00B67CED"/>
    <w:rsid w:val="00B704D6"/>
    <w:rsid w:val="00B704F6"/>
    <w:rsid w:val="00B707E9"/>
    <w:rsid w:val="00B7099A"/>
    <w:rsid w:val="00B70DE9"/>
    <w:rsid w:val="00B70F55"/>
    <w:rsid w:val="00B7122A"/>
    <w:rsid w:val="00B713DA"/>
    <w:rsid w:val="00B71462"/>
    <w:rsid w:val="00B714DA"/>
    <w:rsid w:val="00B716C5"/>
    <w:rsid w:val="00B7183E"/>
    <w:rsid w:val="00B718E4"/>
    <w:rsid w:val="00B718FE"/>
    <w:rsid w:val="00B71EBE"/>
    <w:rsid w:val="00B7211F"/>
    <w:rsid w:val="00B7214D"/>
    <w:rsid w:val="00B721AA"/>
    <w:rsid w:val="00B725FD"/>
    <w:rsid w:val="00B72859"/>
    <w:rsid w:val="00B72993"/>
    <w:rsid w:val="00B729D6"/>
    <w:rsid w:val="00B72C3F"/>
    <w:rsid w:val="00B72D9C"/>
    <w:rsid w:val="00B72FEE"/>
    <w:rsid w:val="00B73438"/>
    <w:rsid w:val="00B736EA"/>
    <w:rsid w:val="00B7378E"/>
    <w:rsid w:val="00B73E1E"/>
    <w:rsid w:val="00B74102"/>
    <w:rsid w:val="00B74211"/>
    <w:rsid w:val="00B742FE"/>
    <w:rsid w:val="00B74531"/>
    <w:rsid w:val="00B748A7"/>
    <w:rsid w:val="00B7491E"/>
    <w:rsid w:val="00B749A8"/>
    <w:rsid w:val="00B74A90"/>
    <w:rsid w:val="00B74BEA"/>
    <w:rsid w:val="00B74D3B"/>
    <w:rsid w:val="00B751BD"/>
    <w:rsid w:val="00B75430"/>
    <w:rsid w:val="00B762BB"/>
    <w:rsid w:val="00B7632A"/>
    <w:rsid w:val="00B767EE"/>
    <w:rsid w:val="00B76BC4"/>
    <w:rsid w:val="00B76EDA"/>
    <w:rsid w:val="00B770FD"/>
    <w:rsid w:val="00B772A9"/>
    <w:rsid w:val="00B77B8D"/>
    <w:rsid w:val="00B77F18"/>
    <w:rsid w:val="00B8041D"/>
    <w:rsid w:val="00B80566"/>
    <w:rsid w:val="00B8065A"/>
    <w:rsid w:val="00B80D20"/>
    <w:rsid w:val="00B81016"/>
    <w:rsid w:val="00B8133C"/>
    <w:rsid w:val="00B815B8"/>
    <w:rsid w:val="00B81D57"/>
    <w:rsid w:val="00B822C0"/>
    <w:rsid w:val="00B826A6"/>
    <w:rsid w:val="00B82760"/>
    <w:rsid w:val="00B828C7"/>
    <w:rsid w:val="00B82B37"/>
    <w:rsid w:val="00B82B8E"/>
    <w:rsid w:val="00B83492"/>
    <w:rsid w:val="00B834AF"/>
    <w:rsid w:val="00B838A4"/>
    <w:rsid w:val="00B83CC3"/>
    <w:rsid w:val="00B83D15"/>
    <w:rsid w:val="00B840FF"/>
    <w:rsid w:val="00B8412E"/>
    <w:rsid w:val="00B842DA"/>
    <w:rsid w:val="00B844A9"/>
    <w:rsid w:val="00B84EA9"/>
    <w:rsid w:val="00B85252"/>
    <w:rsid w:val="00B8551E"/>
    <w:rsid w:val="00B85551"/>
    <w:rsid w:val="00B85968"/>
    <w:rsid w:val="00B859D5"/>
    <w:rsid w:val="00B85C4F"/>
    <w:rsid w:val="00B85E08"/>
    <w:rsid w:val="00B860AD"/>
    <w:rsid w:val="00B86341"/>
    <w:rsid w:val="00B864B3"/>
    <w:rsid w:val="00B8693A"/>
    <w:rsid w:val="00B869C3"/>
    <w:rsid w:val="00B86B0E"/>
    <w:rsid w:val="00B86BA8"/>
    <w:rsid w:val="00B86C3A"/>
    <w:rsid w:val="00B86D42"/>
    <w:rsid w:val="00B87207"/>
    <w:rsid w:val="00B8752C"/>
    <w:rsid w:val="00B87593"/>
    <w:rsid w:val="00B875A1"/>
    <w:rsid w:val="00B8799C"/>
    <w:rsid w:val="00B87ABC"/>
    <w:rsid w:val="00B87D8D"/>
    <w:rsid w:val="00B87FA0"/>
    <w:rsid w:val="00B87FED"/>
    <w:rsid w:val="00B90170"/>
    <w:rsid w:val="00B90257"/>
    <w:rsid w:val="00B903DB"/>
    <w:rsid w:val="00B907D9"/>
    <w:rsid w:val="00B90A1B"/>
    <w:rsid w:val="00B90DF6"/>
    <w:rsid w:val="00B90E7B"/>
    <w:rsid w:val="00B90E9B"/>
    <w:rsid w:val="00B90FED"/>
    <w:rsid w:val="00B910F3"/>
    <w:rsid w:val="00B916ED"/>
    <w:rsid w:val="00B91711"/>
    <w:rsid w:val="00B91738"/>
    <w:rsid w:val="00B91A73"/>
    <w:rsid w:val="00B91B15"/>
    <w:rsid w:val="00B91E66"/>
    <w:rsid w:val="00B92143"/>
    <w:rsid w:val="00B921F2"/>
    <w:rsid w:val="00B92273"/>
    <w:rsid w:val="00B9241E"/>
    <w:rsid w:val="00B924F0"/>
    <w:rsid w:val="00B9295C"/>
    <w:rsid w:val="00B92AE9"/>
    <w:rsid w:val="00B92C88"/>
    <w:rsid w:val="00B92D6E"/>
    <w:rsid w:val="00B93571"/>
    <w:rsid w:val="00B9367A"/>
    <w:rsid w:val="00B936EE"/>
    <w:rsid w:val="00B937B8"/>
    <w:rsid w:val="00B9396D"/>
    <w:rsid w:val="00B93A31"/>
    <w:rsid w:val="00B93E1C"/>
    <w:rsid w:val="00B93E76"/>
    <w:rsid w:val="00B942C2"/>
    <w:rsid w:val="00B9445F"/>
    <w:rsid w:val="00B94793"/>
    <w:rsid w:val="00B9481C"/>
    <w:rsid w:val="00B948DD"/>
    <w:rsid w:val="00B949C5"/>
    <w:rsid w:val="00B949DA"/>
    <w:rsid w:val="00B94D3F"/>
    <w:rsid w:val="00B9517C"/>
    <w:rsid w:val="00B9566C"/>
    <w:rsid w:val="00B95DD6"/>
    <w:rsid w:val="00B95EFF"/>
    <w:rsid w:val="00B961F2"/>
    <w:rsid w:val="00B96402"/>
    <w:rsid w:val="00B96602"/>
    <w:rsid w:val="00B9660D"/>
    <w:rsid w:val="00B96743"/>
    <w:rsid w:val="00B96775"/>
    <w:rsid w:val="00B96CC8"/>
    <w:rsid w:val="00B96E99"/>
    <w:rsid w:val="00B9774A"/>
    <w:rsid w:val="00B97940"/>
    <w:rsid w:val="00B97B5E"/>
    <w:rsid w:val="00BA02A8"/>
    <w:rsid w:val="00BA033B"/>
    <w:rsid w:val="00BA039E"/>
    <w:rsid w:val="00BA03A9"/>
    <w:rsid w:val="00BA0614"/>
    <w:rsid w:val="00BA08FD"/>
    <w:rsid w:val="00BA0A79"/>
    <w:rsid w:val="00BA104B"/>
    <w:rsid w:val="00BA138F"/>
    <w:rsid w:val="00BA1BFF"/>
    <w:rsid w:val="00BA1F6E"/>
    <w:rsid w:val="00BA2105"/>
    <w:rsid w:val="00BA23FF"/>
    <w:rsid w:val="00BA3068"/>
    <w:rsid w:val="00BA3156"/>
    <w:rsid w:val="00BA323B"/>
    <w:rsid w:val="00BA329C"/>
    <w:rsid w:val="00BA333C"/>
    <w:rsid w:val="00BA3661"/>
    <w:rsid w:val="00BA36AA"/>
    <w:rsid w:val="00BA3B66"/>
    <w:rsid w:val="00BA3CC4"/>
    <w:rsid w:val="00BA3CF3"/>
    <w:rsid w:val="00BA3D59"/>
    <w:rsid w:val="00BA3F88"/>
    <w:rsid w:val="00BA4132"/>
    <w:rsid w:val="00BA43F5"/>
    <w:rsid w:val="00BA47AD"/>
    <w:rsid w:val="00BA48CA"/>
    <w:rsid w:val="00BA4B88"/>
    <w:rsid w:val="00BA4C04"/>
    <w:rsid w:val="00BA4ECC"/>
    <w:rsid w:val="00BA539C"/>
    <w:rsid w:val="00BA5618"/>
    <w:rsid w:val="00BA5B39"/>
    <w:rsid w:val="00BA5B46"/>
    <w:rsid w:val="00BA5C9F"/>
    <w:rsid w:val="00BA6009"/>
    <w:rsid w:val="00BA635D"/>
    <w:rsid w:val="00BA6436"/>
    <w:rsid w:val="00BA6448"/>
    <w:rsid w:val="00BA664E"/>
    <w:rsid w:val="00BA69AD"/>
    <w:rsid w:val="00BA6A08"/>
    <w:rsid w:val="00BA6AC0"/>
    <w:rsid w:val="00BA6ADD"/>
    <w:rsid w:val="00BA6CC2"/>
    <w:rsid w:val="00BA6E69"/>
    <w:rsid w:val="00BA6F45"/>
    <w:rsid w:val="00BA70D7"/>
    <w:rsid w:val="00BA716A"/>
    <w:rsid w:val="00BA7340"/>
    <w:rsid w:val="00BA736F"/>
    <w:rsid w:val="00BA7441"/>
    <w:rsid w:val="00BA74BB"/>
    <w:rsid w:val="00BA74E2"/>
    <w:rsid w:val="00BA7587"/>
    <w:rsid w:val="00BA75EF"/>
    <w:rsid w:val="00BA779A"/>
    <w:rsid w:val="00BA7A3B"/>
    <w:rsid w:val="00BA7B68"/>
    <w:rsid w:val="00BA7B96"/>
    <w:rsid w:val="00BA7BF3"/>
    <w:rsid w:val="00BA7BF6"/>
    <w:rsid w:val="00BA7C0D"/>
    <w:rsid w:val="00BB021D"/>
    <w:rsid w:val="00BB0333"/>
    <w:rsid w:val="00BB04C4"/>
    <w:rsid w:val="00BB06F1"/>
    <w:rsid w:val="00BB0F13"/>
    <w:rsid w:val="00BB110C"/>
    <w:rsid w:val="00BB13F3"/>
    <w:rsid w:val="00BB147B"/>
    <w:rsid w:val="00BB16AA"/>
    <w:rsid w:val="00BB181F"/>
    <w:rsid w:val="00BB1838"/>
    <w:rsid w:val="00BB18C6"/>
    <w:rsid w:val="00BB1983"/>
    <w:rsid w:val="00BB1D2E"/>
    <w:rsid w:val="00BB21FC"/>
    <w:rsid w:val="00BB2241"/>
    <w:rsid w:val="00BB22CF"/>
    <w:rsid w:val="00BB2796"/>
    <w:rsid w:val="00BB283C"/>
    <w:rsid w:val="00BB2A0A"/>
    <w:rsid w:val="00BB2B4D"/>
    <w:rsid w:val="00BB2BCF"/>
    <w:rsid w:val="00BB317D"/>
    <w:rsid w:val="00BB34BF"/>
    <w:rsid w:val="00BB37E9"/>
    <w:rsid w:val="00BB3A54"/>
    <w:rsid w:val="00BB3ABA"/>
    <w:rsid w:val="00BB3F34"/>
    <w:rsid w:val="00BB405C"/>
    <w:rsid w:val="00BB415D"/>
    <w:rsid w:val="00BB41B0"/>
    <w:rsid w:val="00BB43F0"/>
    <w:rsid w:val="00BB4640"/>
    <w:rsid w:val="00BB467D"/>
    <w:rsid w:val="00BB4B6D"/>
    <w:rsid w:val="00BB4D3C"/>
    <w:rsid w:val="00BB5679"/>
    <w:rsid w:val="00BB56EF"/>
    <w:rsid w:val="00BB5A14"/>
    <w:rsid w:val="00BB5A70"/>
    <w:rsid w:val="00BB5C88"/>
    <w:rsid w:val="00BB5E9F"/>
    <w:rsid w:val="00BB5FAC"/>
    <w:rsid w:val="00BB6066"/>
    <w:rsid w:val="00BB61F2"/>
    <w:rsid w:val="00BB6765"/>
    <w:rsid w:val="00BB68B4"/>
    <w:rsid w:val="00BB6B49"/>
    <w:rsid w:val="00BB6B7A"/>
    <w:rsid w:val="00BB6DED"/>
    <w:rsid w:val="00BB6F16"/>
    <w:rsid w:val="00BB753A"/>
    <w:rsid w:val="00BB7D19"/>
    <w:rsid w:val="00BB7E79"/>
    <w:rsid w:val="00BC00BA"/>
    <w:rsid w:val="00BC00D8"/>
    <w:rsid w:val="00BC0536"/>
    <w:rsid w:val="00BC056F"/>
    <w:rsid w:val="00BC07AD"/>
    <w:rsid w:val="00BC08F5"/>
    <w:rsid w:val="00BC0A2B"/>
    <w:rsid w:val="00BC1087"/>
    <w:rsid w:val="00BC1123"/>
    <w:rsid w:val="00BC12DA"/>
    <w:rsid w:val="00BC1398"/>
    <w:rsid w:val="00BC17CA"/>
    <w:rsid w:val="00BC18AD"/>
    <w:rsid w:val="00BC1A1D"/>
    <w:rsid w:val="00BC1ADE"/>
    <w:rsid w:val="00BC1D2D"/>
    <w:rsid w:val="00BC28C5"/>
    <w:rsid w:val="00BC2E02"/>
    <w:rsid w:val="00BC2E81"/>
    <w:rsid w:val="00BC2F58"/>
    <w:rsid w:val="00BC34DD"/>
    <w:rsid w:val="00BC35FB"/>
    <w:rsid w:val="00BC36D6"/>
    <w:rsid w:val="00BC3ACA"/>
    <w:rsid w:val="00BC3FDF"/>
    <w:rsid w:val="00BC4162"/>
    <w:rsid w:val="00BC4214"/>
    <w:rsid w:val="00BC43E5"/>
    <w:rsid w:val="00BC47C3"/>
    <w:rsid w:val="00BC4A5C"/>
    <w:rsid w:val="00BC4D70"/>
    <w:rsid w:val="00BC4DF5"/>
    <w:rsid w:val="00BC51A8"/>
    <w:rsid w:val="00BC5A68"/>
    <w:rsid w:val="00BC5EEF"/>
    <w:rsid w:val="00BC6146"/>
    <w:rsid w:val="00BC63B3"/>
    <w:rsid w:val="00BC6605"/>
    <w:rsid w:val="00BC69EA"/>
    <w:rsid w:val="00BC6A60"/>
    <w:rsid w:val="00BC74BC"/>
    <w:rsid w:val="00BC7B21"/>
    <w:rsid w:val="00BC7D3C"/>
    <w:rsid w:val="00BD05BA"/>
    <w:rsid w:val="00BD0630"/>
    <w:rsid w:val="00BD077C"/>
    <w:rsid w:val="00BD0892"/>
    <w:rsid w:val="00BD133C"/>
    <w:rsid w:val="00BD1486"/>
    <w:rsid w:val="00BD18A7"/>
    <w:rsid w:val="00BD1979"/>
    <w:rsid w:val="00BD1CCB"/>
    <w:rsid w:val="00BD1E1B"/>
    <w:rsid w:val="00BD2164"/>
    <w:rsid w:val="00BD238D"/>
    <w:rsid w:val="00BD23C3"/>
    <w:rsid w:val="00BD25E1"/>
    <w:rsid w:val="00BD2C65"/>
    <w:rsid w:val="00BD2F88"/>
    <w:rsid w:val="00BD2FF0"/>
    <w:rsid w:val="00BD325E"/>
    <w:rsid w:val="00BD37F2"/>
    <w:rsid w:val="00BD3B8D"/>
    <w:rsid w:val="00BD3C24"/>
    <w:rsid w:val="00BD3E3F"/>
    <w:rsid w:val="00BD3FAD"/>
    <w:rsid w:val="00BD410C"/>
    <w:rsid w:val="00BD491A"/>
    <w:rsid w:val="00BD495C"/>
    <w:rsid w:val="00BD4AC1"/>
    <w:rsid w:val="00BD4C33"/>
    <w:rsid w:val="00BD508B"/>
    <w:rsid w:val="00BD50C1"/>
    <w:rsid w:val="00BD518A"/>
    <w:rsid w:val="00BD5199"/>
    <w:rsid w:val="00BD525E"/>
    <w:rsid w:val="00BD53AA"/>
    <w:rsid w:val="00BD5456"/>
    <w:rsid w:val="00BD5777"/>
    <w:rsid w:val="00BD5CC7"/>
    <w:rsid w:val="00BD5DCE"/>
    <w:rsid w:val="00BD5DF6"/>
    <w:rsid w:val="00BD649F"/>
    <w:rsid w:val="00BD658D"/>
    <w:rsid w:val="00BD67D8"/>
    <w:rsid w:val="00BD682F"/>
    <w:rsid w:val="00BD6A8B"/>
    <w:rsid w:val="00BD6D9B"/>
    <w:rsid w:val="00BD6E67"/>
    <w:rsid w:val="00BD6E91"/>
    <w:rsid w:val="00BD713C"/>
    <w:rsid w:val="00BD7857"/>
    <w:rsid w:val="00BD7994"/>
    <w:rsid w:val="00BD79E8"/>
    <w:rsid w:val="00BD7A0E"/>
    <w:rsid w:val="00BD7CBC"/>
    <w:rsid w:val="00BD7FA9"/>
    <w:rsid w:val="00BE012A"/>
    <w:rsid w:val="00BE02F9"/>
    <w:rsid w:val="00BE034A"/>
    <w:rsid w:val="00BE03B0"/>
    <w:rsid w:val="00BE0492"/>
    <w:rsid w:val="00BE0815"/>
    <w:rsid w:val="00BE09E9"/>
    <w:rsid w:val="00BE0CD1"/>
    <w:rsid w:val="00BE0F22"/>
    <w:rsid w:val="00BE132B"/>
    <w:rsid w:val="00BE13D3"/>
    <w:rsid w:val="00BE1544"/>
    <w:rsid w:val="00BE169E"/>
    <w:rsid w:val="00BE18A0"/>
    <w:rsid w:val="00BE19E6"/>
    <w:rsid w:val="00BE1B63"/>
    <w:rsid w:val="00BE1BED"/>
    <w:rsid w:val="00BE1CFA"/>
    <w:rsid w:val="00BE1E62"/>
    <w:rsid w:val="00BE1EAD"/>
    <w:rsid w:val="00BE207C"/>
    <w:rsid w:val="00BE23D5"/>
    <w:rsid w:val="00BE252C"/>
    <w:rsid w:val="00BE275F"/>
    <w:rsid w:val="00BE2A44"/>
    <w:rsid w:val="00BE2AF8"/>
    <w:rsid w:val="00BE2E9A"/>
    <w:rsid w:val="00BE30EA"/>
    <w:rsid w:val="00BE3581"/>
    <w:rsid w:val="00BE35BE"/>
    <w:rsid w:val="00BE3846"/>
    <w:rsid w:val="00BE38C3"/>
    <w:rsid w:val="00BE38D0"/>
    <w:rsid w:val="00BE3C55"/>
    <w:rsid w:val="00BE3D5C"/>
    <w:rsid w:val="00BE3DAE"/>
    <w:rsid w:val="00BE3E29"/>
    <w:rsid w:val="00BE41F6"/>
    <w:rsid w:val="00BE45E4"/>
    <w:rsid w:val="00BE48E7"/>
    <w:rsid w:val="00BE4B09"/>
    <w:rsid w:val="00BE4B98"/>
    <w:rsid w:val="00BE4F1E"/>
    <w:rsid w:val="00BE4FD7"/>
    <w:rsid w:val="00BE501B"/>
    <w:rsid w:val="00BE50CD"/>
    <w:rsid w:val="00BE5484"/>
    <w:rsid w:val="00BE54A2"/>
    <w:rsid w:val="00BE65B6"/>
    <w:rsid w:val="00BE6A9D"/>
    <w:rsid w:val="00BE6E6D"/>
    <w:rsid w:val="00BE7096"/>
    <w:rsid w:val="00BE72C1"/>
    <w:rsid w:val="00BE7362"/>
    <w:rsid w:val="00BE73EA"/>
    <w:rsid w:val="00BE767D"/>
    <w:rsid w:val="00BF0B66"/>
    <w:rsid w:val="00BF11AF"/>
    <w:rsid w:val="00BF1279"/>
    <w:rsid w:val="00BF1454"/>
    <w:rsid w:val="00BF1872"/>
    <w:rsid w:val="00BF1C98"/>
    <w:rsid w:val="00BF1CD0"/>
    <w:rsid w:val="00BF1EFF"/>
    <w:rsid w:val="00BF227F"/>
    <w:rsid w:val="00BF292E"/>
    <w:rsid w:val="00BF2BDA"/>
    <w:rsid w:val="00BF311A"/>
    <w:rsid w:val="00BF331F"/>
    <w:rsid w:val="00BF349C"/>
    <w:rsid w:val="00BF39C3"/>
    <w:rsid w:val="00BF3C74"/>
    <w:rsid w:val="00BF3CC3"/>
    <w:rsid w:val="00BF3DA3"/>
    <w:rsid w:val="00BF434F"/>
    <w:rsid w:val="00BF4543"/>
    <w:rsid w:val="00BF46FD"/>
    <w:rsid w:val="00BF49C5"/>
    <w:rsid w:val="00BF54D3"/>
    <w:rsid w:val="00BF56E7"/>
    <w:rsid w:val="00BF5778"/>
    <w:rsid w:val="00BF57F5"/>
    <w:rsid w:val="00BF59B7"/>
    <w:rsid w:val="00BF5AC1"/>
    <w:rsid w:val="00BF618E"/>
    <w:rsid w:val="00BF6397"/>
    <w:rsid w:val="00BF64DC"/>
    <w:rsid w:val="00BF6628"/>
    <w:rsid w:val="00BF6815"/>
    <w:rsid w:val="00BF68F0"/>
    <w:rsid w:val="00BF692A"/>
    <w:rsid w:val="00BF6E20"/>
    <w:rsid w:val="00BF706C"/>
    <w:rsid w:val="00BF716E"/>
    <w:rsid w:val="00BF71CD"/>
    <w:rsid w:val="00BF783B"/>
    <w:rsid w:val="00BF7CE9"/>
    <w:rsid w:val="00BF7F7E"/>
    <w:rsid w:val="00C00213"/>
    <w:rsid w:val="00C00232"/>
    <w:rsid w:val="00C002A0"/>
    <w:rsid w:val="00C002B3"/>
    <w:rsid w:val="00C0033C"/>
    <w:rsid w:val="00C005E7"/>
    <w:rsid w:val="00C0061C"/>
    <w:rsid w:val="00C007F5"/>
    <w:rsid w:val="00C00983"/>
    <w:rsid w:val="00C009D8"/>
    <w:rsid w:val="00C00A7E"/>
    <w:rsid w:val="00C00B4F"/>
    <w:rsid w:val="00C00FEF"/>
    <w:rsid w:val="00C01104"/>
    <w:rsid w:val="00C013BB"/>
    <w:rsid w:val="00C014B2"/>
    <w:rsid w:val="00C016CA"/>
    <w:rsid w:val="00C01948"/>
    <w:rsid w:val="00C01A66"/>
    <w:rsid w:val="00C01D8F"/>
    <w:rsid w:val="00C022A1"/>
    <w:rsid w:val="00C02429"/>
    <w:rsid w:val="00C024C2"/>
    <w:rsid w:val="00C02A4D"/>
    <w:rsid w:val="00C02CB9"/>
    <w:rsid w:val="00C02CE3"/>
    <w:rsid w:val="00C02E87"/>
    <w:rsid w:val="00C03180"/>
    <w:rsid w:val="00C03181"/>
    <w:rsid w:val="00C03272"/>
    <w:rsid w:val="00C034A5"/>
    <w:rsid w:val="00C034AB"/>
    <w:rsid w:val="00C03674"/>
    <w:rsid w:val="00C0372B"/>
    <w:rsid w:val="00C04008"/>
    <w:rsid w:val="00C0403E"/>
    <w:rsid w:val="00C04133"/>
    <w:rsid w:val="00C043B6"/>
    <w:rsid w:val="00C04698"/>
    <w:rsid w:val="00C046F9"/>
    <w:rsid w:val="00C04C49"/>
    <w:rsid w:val="00C04F78"/>
    <w:rsid w:val="00C05111"/>
    <w:rsid w:val="00C05834"/>
    <w:rsid w:val="00C05A3E"/>
    <w:rsid w:val="00C06520"/>
    <w:rsid w:val="00C06601"/>
    <w:rsid w:val="00C06E55"/>
    <w:rsid w:val="00C07116"/>
    <w:rsid w:val="00C07181"/>
    <w:rsid w:val="00C0740C"/>
    <w:rsid w:val="00C0774A"/>
    <w:rsid w:val="00C07DAB"/>
    <w:rsid w:val="00C10032"/>
    <w:rsid w:val="00C1023B"/>
    <w:rsid w:val="00C1024D"/>
    <w:rsid w:val="00C103E1"/>
    <w:rsid w:val="00C10856"/>
    <w:rsid w:val="00C10878"/>
    <w:rsid w:val="00C10C3C"/>
    <w:rsid w:val="00C1162D"/>
    <w:rsid w:val="00C116FC"/>
    <w:rsid w:val="00C119B4"/>
    <w:rsid w:val="00C11D15"/>
    <w:rsid w:val="00C12063"/>
    <w:rsid w:val="00C120B8"/>
    <w:rsid w:val="00C122FE"/>
    <w:rsid w:val="00C12617"/>
    <w:rsid w:val="00C12935"/>
    <w:rsid w:val="00C12B31"/>
    <w:rsid w:val="00C12C19"/>
    <w:rsid w:val="00C12E07"/>
    <w:rsid w:val="00C13261"/>
    <w:rsid w:val="00C13319"/>
    <w:rsid w:val="00C133E0"/>
    <w:rsid w:val="00C13458"/>
    <w:rsid w:val="00C134D2"/>
    <w:rsid w:val="00C13C56"/>
    <w:rsid w:val="00C13DB7"/>
    <w:rsid w:val="00C14137"/>
    <w:rsid w:val="00C143ED"/>
    <w:rsid w:val="00C14481"/>
    <w:rsid w:val="00C14491"/>
    <w:rsid w:val="00C145C0"/>
    <w:rsid w:val="00C148B4"/>
    <w:rsid w:val="00C148D3"/>
    <w:rsid w:val="00C1498C"/>
    <w:rsid w:val="00C14D58"/>
    <w:rsid w:val="00C14FE1"/>
    <w:rsid w:val="00C1501D"/>
    <w:rsid w:val="00C15638"/>
    <w:rsid w:val="00C159F5"/>
    <w:rsid w:val="00C15BDF"/>
    <w:rsid w:val="00C15BFC"/>
    <w:rsid w:val="00C15D20"/>
    <w:rsid w:val="00C16083"/>
    <w:rsid w:val="00C16612"/>
    <w:rsid w:val="00C16D7D"/>
    <w:rsid w:val="00C16FB5"/>
    <w:rsid w:val="00C175DA"/>
    <w:rsid w:val="00C176B6"/>
    <w:rsid w:val="00C17E02"/>
    <w:rsid w:val="00C17F34"/>
    <w:rsid w:val="00C202F0"/>
    <w:rsid w:val="00C204AB"/>
    <w:rsid w:val="00C205A6"/>
    <w:rsid w:val="00C20A05"/>
    <w:rsid w:val="00C20F0F"/>
    <w:rsid w:val="00C20FD8"/>
    <w:rsid w:val="00C2149E"/>
    <w:rsid w:val="00C2159A"/>
    <w:rsid w:val="00C21C8F"/>
    <w:rsid w:val="00C21D5C"/>
    <w:rsid w:val="00C2224A"/>
    <w:rsid w:val="00C2241A"/>
    <w:rsid w:val="00C226FF"/>
    <w:rsid w:val="00C22939"/>
    <w:rsid w:val="00C22A5D"/>
    <w:rsid w:val="00C22C2E"/>
    <w:rsid w:val="00C22F07"/>
    <w:rsid w:val="00C23974"/>
    <w:rsid w:val="00C23C0B"/>
    <w:rsid w:val="00C23C11"/>
    <w:rsid w:val="00C23C64"/>
    <w:rsid w:val="00C23EA7"/>
    <w:rsid w:val="00C244A1"/>
    <w:rsid w:val="00C24E30"/>
    <w:rsid w:val="00C24F09"/>
    <w:rsid w:val="00C25284"/>
    <w:rsid w:val="00C25532"/>
    <w:rsid w:val="00C2559B"/>
    <w:rsid w:val="00C25A8C"/>
    <w:rsid w:val="00C25BD0"/>
    <w:rsid w:val="00C260C5"/>
    <w:rsid w:val="00C261E9"/>
    <w:rsid w:val="00C2662B"/>
    <w:rsid w:val="00C266F6"/>
    <w:rsid w:val="00C26BDA"/>
    <w:rsid w:val="00C275F7"/>
    <w:rsid w:val="00C27621"/>
    <w:rsid w:val="00C276A4"/>
    <w:rsid w:val="00C27F28"/>
    <w:rsid w:val="00C27FDA"/>
    <w:rsid w:val="00C300B0"/>
    <w:rsid w:val="00C3019A"/>
    <w:rsid w:val="00C301F1"/>
    <w:rsid w:val="00C302A2"/>
    <w:rsid w:val="00C306CD"/>
    <w:rsid w:val="00C30748"/>
    <w:rsid w:val="00C30897"/>
    <w:rsid w:val="00C308BF"/>
    <w:rsid w:val="00C308DC"/>
    <w:rsid w:val="00C30BAD"/>
    <w:rsid w:val="00C30D32"/>
    <w:rsid w:val="00C31032"/>
    <w:rsid w:val="00C3124C"/>
    <w:rsid w:val="00C314AA"/>
    <w:rsid w:val="00C31561"/>
    <w:rsid w:val="00C318E6"/>
    <w:rsid w:val="00C31961"/>
    <w:rsid w:val="00C31E37"/>
    <w:rsid w:val="00C325C5"/>
    <w:rsid w:val="00C327B7"/>
    <w:rsid w:val="00C327BB"/>
    <w:rsid w:val="00C3294C"/>
    <w:rsid w:val="00C32B62"/>
    <w:rsid w:val="00C32FDB"/>
    <w:rsid w:val="00C32FFA"/>
    <w:rsid w:val="00C3321F"/>
    <w:rsid w:val="00C33290"/>
    <w:rsid w:val="00C337B2"/>
    <w:rsid w:val="00C33814"/>
    <w:rsid w:val="00C339D7"/>
    <w:rsid w:val="00C33AA3"/>
    <w:rsid w:val="00C33C50"/>
    <w:rsid w:val="00C3403D"/>
    <w:rsid w:val="00C341D6"/>
    <w:rsid w:val="00C34510"/>
    <w:rsid w:val="00C346E7"/>
    <w:rsid w:val="00C3490C"/>
    <w:rsid w:val="00C34A08"/>
    <w:rsid w:val="00C3514A"/>
    <w:rsid w:val="00C35156"/>
    <w:rsid w:val="00C3542F"/>
    <w:rsid w:val="00C35497"/>
    <w:rsid w:val="00C356FC"/>
    <w:rsid w:val="00C35870"/>
    <w:rsid w:val="00C35879"/>
    <w:rsid w:val="00C35A1E"/>
    <w:rsid w:val="00C363EC"/>
    <w:rsid w:val="00C3649D"/>
    <w:rsid w:val="00C36573"/>
    <w:rsid w:val="00C36806"/>
    <w:rsid w:val="00C369D9"/>
    <w:rsid w:val="00C369DB"/>
    <w:rsid w:val="00C36FDB"/>
    <w:rsid w:val="00C37024"/>
    <w:rsid w:val="00C371A5"/>
    <w:rsid w:val="00C371CA"/>
    <w:rsid w:val="00C37300"/>
    <w:rsid w:val="00C37539"/>
    <w:rsid w:val="00C377F7"/>
    <w:rsid w:val="00C3791F"/>
    <w:rsid w:val="00C39C16"/>
    <w:rsid w:val="00C404F8"/>
    <w:rsid w:val="00C4079A"/>
    <w:rsid w:val="00C40825"/>
    <w:rsid w:val="00C408B2"/>
    <w:rsid w:val="00C40D78"/>
    <w:rsid w:val="00C40EF5"/>
    <w:rsid w:val="00C40EF8"/>
    <w:rsid w:val="00C410E0"/>
    <w:rsid w:val="00C41111"/>
    <w:rsid w:val="00C41312"/>
    <w:rsid w:val="00C41782"/>
    <w:rsid w:val="00C41810"/>
    <w:rsid w:val="00C418F6"/>
    <w:rsid w:val="00C41913"/>
    <w:rsid w:val="00C41DE0"/>
    <w:rsid w:val="00C41F13"/>
    <w:rsid w:val="00C41FCB"/>
    <w:rsid w:val="00C420EC"/>
    <w:rsid w:val="00C42127"/>
    <w:rsid w:val="00C421A4"/>
    <w:rsid w:val="00C4227B"/>
    <w:rsid w:val="00C436C3"/>
    <w:rsid w:val="00C436F6"/>
    <w:rsid w:val="00C43821"/>
    <w:rsid w:val="00C43884"/>
    <w:rsid w:val="00C43960"/>
    <w:rsid w:val="00C43D23"/>
    <w:rsid w:val="00C44004"/>
    <w:rsid w:val="00C443D0"/>
    <w:rsid w:val="00C44644"/>
    <w:rsid w:val="00C4469E"/>
    <w:rsid w:val="00C4472B"/>
    <w:rsid w:val="00C44866"/>
    <w:rsid w:val="00C44B84"/>
    <w:rsid w:val="00C44C1F"/>
    <w:rsid w:val="00C44EF9"/>
    <w:rsid w:val="00C45023"/>
    <w:rsid w:val="00C451ED"/>
    <w:rsid w:val="00C45313"/>
    <w:rsid w:val="00C4534D"/>
    <w:rsid w:val="00C458E0"/>
    <w:rsid w:val="00C45913"/>
    <w:rsid w:val="00C4595B"/>
    <w:rsid w:val="00C45A10"/>
    <w:rsid w:val="00C45F5F"/>
    <w:rsid w:val="00C462D0"/>
    <w:rsid w:val="00C464F2"/>
    <w:rsid w:val="00C465DB"/>
    <w:rsid w:val="00C4666E"/>
    <w:rsid w:val="00C46DB3"/>
    <w:rsid w:val="00C46E14"/>
    <w:rsid w:val="00C46F78"/>
    <w:rsid w:val="00C470C6"/>
    <w:rsid w:val="00C47461"/>
    <w:rsid w:val="00C474F3"/>
    <w:rsid w:val="00C475F1"/>
    <w:rsid w:val="00C47AA8"/>
    <w:rsid w:val="00C47FF1"/>
    <w:rsid w:val="00C5013D"/>
    <w:rsid w:val="00C5032F"/>
    <w:rsid w:val="00C5033F"/>
    <w:rsid w:val="00C5043C"/>
    <w:rsid w:val="00C504EC"/>
    <w:rsid w:val="00C50A1F"/>
    <w:rsid w:val="00C50C04"/>
    <w:rsid w:val="00C50E19"/>
    <w:rsid w:val="00C5102B"/>
    <w:rsid w:val="00C51060"/>
    <w:rsid w:val="00C513DA"/>
    <w:rsid w:val="00C51504"/>
    <w:rsid w:val="00C51559"/>
    <w:rsid w:val="00C515D4"/>
    <w:rsid w:val="00C51742"/>
    <w:rsid w:val="00C5175F"/>
    <w:rsid w:val="00C51EF6"/>
    <w:rsid w:val="00C52019"/>
    <w:rsid w:val="00C5211F"/>
    <w:rsid w:val="00C5265D"/>
    <w:rsid w:val="00C52A44"/>
    <w:rsid w:val="00C52B53"/>
    <w:rsid w:val="00C52C91"/>
    <w:rsid w:val="00C5304F"/>
    <w:rsid w:val="00C530F1"/>
    <w:rsid w:val="00C532B1"/>
    <w:rsid w:val="00C5339C"/>
    <w:rsid w:val="00C53523"/>
    <w:rsid w:val="00C5385C"/>
    <w:rsid w:val="00C53C53"/>
    <w:rsid w:val="00C53E34"/>
    <w:rsid w:val="00C53ED8"/>
    <w:rsid w:val="00C54763"/>
    <w:rsid w:val="00C547BF"/>
    <w:rsid w:val="00C5494E"/>
    <w:rsid w:val="00C54B5C"/>
    <w:rsid w:val="00C54B77"/>
    <w:rsid w:val="00C54F56"/>
    <w:rsid w:val="00C5517E"/>
    <w:rsid w:val="00C558FA"/>
    <w:rsid w:val="00C55A38"/>
    <w:rsid w:val="00C55E8B"/>
    <w:rsid w:val="00C55F05"/>
    <w:rsid w:val="00C55F6F"/>
    <w:rsid w:val="00C5618F"/>
    <w:rsid w:val="00C561E4"/>
    <w:rsid w:val="00C566AC"/>
    <w:rsid w:val="00C566E0"/>
    <w:rsid w:val="00C56889"/>
    <w:rsid w:val="00C56E03"/>
    <w:rsid w:val="00C57137"/>
    <w:rsid w:val="00C571BC"/>
    <w:rsid w:val="00C572E5"/>
    <w:rsid w:val="00C5768A"/>
    <w:rsid w:val="00C57935"/>
    <w:rsid w:val="00C57AF8"/>
    <w:rsid w:val="00C57ED4"/>
    <w:rsid w:val="00C6078A"/>
    <w:rsid w:val="00C60899"/>
    <w:rsid w:val="00C60A47"/>
    <w:rsid w:val="00C60B7B"/>
    <w:rsid w:val="00C60E53"/>
    <w:rsid w:val="00C61067"/>
    <w:rsid w:val="00C6125A"/>
    <w:rsid w:val="00C614A8"/>
    <w:rsid w:val="00C615D0"/>
    <w:rsid w:val="00C61835"/>
    <w:rsid w:val="00C619C7"/>
    <w:rsid w:val="00C61B83"/>
    <w:rsid w:val="00C61C2D"/>
    <w:rsid w:val="00C61FB8"/>
    <w:rsid w:val="00C621E3"/>
    <w:rsid w:val="00C626F6"/>
    <w:rsid w:val="00C62A0C"/>
    <w:rsid w:val="00C62A4F"/>
    <w:rsid w:val="00C62AF1"/>
    <w:rsid w:val="00C62E2D"/>
    <w:rsid w:val="00C63212"/>
    <w:rsid w:val="00C6336D"/>
    <w:rsid w:val="00C636DE"/>
    <w:rsid w:val="00C63885"/>
    <w:rsid w:val="00C638DF"/>
    <w:rsid w:val="00C63CFA"/>
    <w:rsid w:val="00C64067"/>
    <w:rsid w:val="00C6406A"/>
    <w:rsid w:val="00C64089"/>
    <w:rsid w:val="00C6415B"/>
    <w:rsid w:val="00C64205"/>
    <w:rsid w:val="00C645A4"/>
    <w:rsid w:val="00C64BD0"/>
    <w:rsid w:val="00C64D19"/>
    <w:rsid w:val="00C64DAD"/>
    <w:rsid w:val="00C6530C"/>
    <w:rsid w:val="00C655AB"/>
    <w:rsid w:val="00C6578A"/>
    <w:rsid w:val="00C65B4C"/>
    <w:rsid w:val="00C65CBB"/>
    <w:rsid w:val="00C65F49"/>
    <w:rsid w:val="00C660AA"/>
    <w:rsid w:val="00C6615D"/>
    <w:rsid w:val="00C661AE"/>
    <w:rsid w:val="00C661F0"/>
    <w:rsid w:val="00C6624C"/>
    <w:rsid w:val="00C66921"/>
    <w:rsid w:val="00C66961"/>
    <w:rsid w:val="00C6734E"/>
    <w:rsid w:val="00C674B7"/>
    <w:rsid w:val="00C679A3"/>
    <w:rsid w:val="00C67A81"/>
    <w:rsid w:val="00C701A0"/>
    <w:rsid w:val="00C701FB"/>
    <w:rsid w:val="00C702BA"/>
    <w:rsid w:val="00C703BB"/>
    <w:rsid w:val="00C7077B"/>
    <w:rsid w:val="00C708C3"/>
    <w:rsid w:val="00C709FF"/>
    <w:rsid w:val="00C70A8B"/>
    <w:rsid w:val="00C70C6C"/>
    <w:rsid w:val="00C70EEC"/>
    <w:rsid w:val="00C71774"/>
    <w:rsid w:val="00C71B4D"/>
    <w:rsid w:val="00C71C84"/>
    <w:rsid w:val="00C71D87"/>
    <w:rsid w:val="00C721A9"/>
    <w:rsid w:val="00C72AD9"/>
    <w:rsid w:val="00C72DFC"/>
    <w:rsid w:val="00C73175"/>
    <w:rsid w:val="00C73536"/>
    <w:rsid w:val="00C735AF"/>
    <w:rsid w:val="00C7380A"/>
    <w:rsid w:val="00C739C1"/>
    <w:rsid w:val="00C73D4D"/>
    <w:rsid w:val="00C74154"/>
    <w:rsid w:val="00C74217"/>
    <w:rsid w:val="00C74618"/>
    <w:rsid w:val="00C74710"/>
    <w:rsid w:val="00C749EA"/>
    <w:rsid w:val="00C74DED"/>
    <w:rsid w:val="00C75047"/>
    <w:rsid w:val="00C75054"/>
    <w:rsid w:val="00C75403"/>
    <w:rsid w:val="00C7592A"/>
    <w:rsid w:val="00C75D43"/>
    <w:rsid w:val="00C7600C"/>
    <w:rsid w:val="00C7633F"/>
    <w:rsid w:val="00C76773"/>
    <w:rsid w:val="00C768DB"/>
    <w:rsid w:val="00C769F9"/>
    <w:rsid w:val="00C76A18"/>
    <w:rsid w:val="00C76AEB"/>
    <w:rsid w:val="00C76E12"/>
    <w:rsid w:val="00C76E97"/>
    <w:rsid w:val="00C774D3"/>
    <w:rsid w:val="00C77564"/>
    <w:rsid w:val="00C775FB"/>
    <w:rsid w:val="00C77610"/>
    <w:rsid w:val="00C77664"/>
    <w:rsid w:val="00C7771A"/>
    <w:rsid w:val="00C7771F"/>
    <w:rsid w:val="00C779CF"/>
    <w:rsid w:val="00C77E1C"/>
    <w:rsid w:val="00C7BF60"/>
    <w:rsid w:val="00C8005A"/>
    <w:rsid w:val="00C800BB"/>
    <w:rsid w:val="00C80552"/>
    <w:rsid w:val="00C80823"/>
    <w:rsid w:val="00C80848"/>
    <w:rsid w:val="00C80B5C"/>
    <w:rsid w:val="00C80D3D"/>
    <w:rsid w:val="00C80D9E"/>
    <w:rsid w:val="00C81706"/>
    <w:rsid w:val="00C81B68"/>
    <w:rsid w:val="00C81FB7"/>
    <w:rsid w:val="00C821E7"/>
    <w:rsid w:val="00C821E8"/>
    <w:rsid w:val="00C82213"/>
    <w:rsid w:val="00C8256D"/>
    <w:rsid w:val="00C82DD6"/>
    <w:rsid w:val="00C830BD"/>
    <w:rsid w:val="00C831B0"/>
    <w:rsid w:val="00C837CE"/>
    <w:rsid w:val="00C83835"/>
    <w:rsid w:val="00C838D7"/>
    <w:rsid w:val="00C839E3"/>
    <w:rsid w:val="00C83EEA"/>
    <w:rsid w:val="00C84918"/>
    <w:rsid w:val="00C84EFF"/>
    <w:rsid w:val="00C85042"/>
    <w:rsid w:val="00C852EE"/>
    <w:rsid w:val="00C85432"/>
    <w:rsid w:val="00C856F3"/>
    <w:rsid w:val="00C8591D"/>
    <w:rsid w:val="00C85986"/>
    <w:rsid w:val="00C8598B"/>
    <w:rsid w:val="00C85CC9"/>
    <w:rsid w:val="00C85D7F"/>
    <w:rsid w:val="00C860EA"/>
    <w:rsid w:val="00C86169"/>
    <w:rsid w:val="00C8619E"/>
    <w:rsid w:val="00C861FD"/>
    <w:rsid w:val="00C8642E"/>
    <w:rsid w:val="00C86498"/>
    <w:rsid w:val="00C865F2"/>
    <w:rsid w:val="00C86DFA"/>
    <w:rsid w:val="00C870D8"/>
    <w:rsid w:val="00C876FD"/>
    <w:rsid w:val="00C87772"/>
    <w:rsid w:val="00C8794D"/>
    <w:rsid w:val="00C90091"/>
    <w:rsid w:val="00C904B6"/>
    <w:rsid w:val="00C90824"/>
    <w:rsid w:val="00C90CA0"/>
    <w:rsid w:val="00C91626"/>
    <w:rsid w:val="00C91A45"/>
    <w:rsid w:val="00C91C33"/>
    <w:rsid w:val="00C91F86"/>
    <w:rsid w:val="00C9229A"/>
    <w:rsid w:val="00C9238E"/>
    <w:rsid w:val="00C92704"/>
    <w:rsid w:val="00C929E1"/>
    <w:rsid w:val="00C92DFA"/>
    <w:rsid w:val="00C92EC3"/>
    <w:rsid w:val="00C92EF1"/>
    <w:rsid w:val="00C934A5"/>
    <w:rsid w:val="00C9365C"/>
    <w:rsid w:val="00C9373E"/>
    <w:rsid w:val="00C937D4"/>
    <w:rsid w:val="00C93B23"/>
    <w:rsid w:val="00C93F4C"/>
    <w:rsid w:val="00C94071"/>
    <w:rsid w:val="00C9416A"/>
    <w:rsid w:val="00C94183"/>
    <w:rsid w:val="00C9420D"/>
    <w:rsid w:val="00C9447C"/>
    <w:rsid w:val="00C94544"/>
    <w:rsid w:val="00C946A3"/>
    <w:rsid w:val="00C94E2F"/>
    <w:rsid w:val="00C9514F"/>
    <w:rsid w:val="00C95496"/>
    <w:rsid w:val="00C95599"/>
    <w:rsid w:val="00C955B9"/>
    <w:rsid w:val="00C957F8"/>
    <w:rsid w:val="00C9591E"/>
    <w:rsid w:val="00C959F9"/>
    <w:rsid w:val="00C95E1C"/>
    <w:rsid w:val="00C95E31"/>
    <w:rsid w:val="00C96317"/>
    <w:rsid w:val="00C963FD"/>
    <w:rsid w:val="00C9685D"/>
    <w:rsid w:val="00C96AAA"/>
    <w:rsid w:val="00C96E88"/>
    <w:rsid w:val="00C96F7B"/>
    <w:rsid w:val="00C9722D"/>
    <w:rsid w:val="00C972CB"/>
    <w:rsid w:val="00C97A47"/>
    <w:rsid w:val="00C97CB6"/>
    <w:rsid w:val="00C97D60"/>
    <w:rsid w:val="00CA0022"/>
    <w:rsid w:val="00CA0215"/>
    <w:rsid w:val="00CA02E1"/>
    <w:rsid w:val="00CA0514"/>
    <w:rsid w:val="00CA05DF"/>
    <w:rsid w:val="00CA095B"/>
    <w:rsid w:val="00CA10E3"/>
    <w:rsid w:val="00CA12F5"/>
    <w:rsid w:val="00CA184D"/>
    <w:rsid w:val="00CA187D"/>
    <w:rsid w:val="00CA1956"/>
    <w:rsid w:val="00CA1BF7"/>
    <w:rsid w:val="00CA1DF5"/>
    <w:rsid w:val="00CA1E94"/>
    <w:rsid w:val="00CA206C"/>
    <w:rsid w:val="00CA2229"/>
    <w:rsid w:val="00CA2303"/>
    <w:rsid w:val="00CA2718"/>
    <w:rsid w:val="00CA2960"/>
    <w:rsid w:val="00CA2EF1"/>
    <w:rsid w:val="00CA2F7D"/>
    <w:rsid w:val="00CA3509"/>
    <w:rsid w:val="00CA3ABF"/>
    <w:rsid w:val="00CA3B0F"/>
    <w:rsid w:val="00CA3BA9"/>
    <w:rsid w:val="00CA3BE7"/>
    <w:rsid w:val="00CA3E82"/>
    <w:rsid w:val="00CA42B9"/>
    <w:rsid w:val="00CA47DF"/>
    <w:rsid w:val="00CA4CC6"/>
    <w:rsid w:val="00CA547C"/>
    <w:rsid w:val="00CA55B7"/>
    <w:rsid w:val="00CA57D6"/>
    <w:rsid w:val="00CA5B4D"/>
    <w:rsid w:val="00CA6411"/>
    <w:rsid w:val="00CA65E1"/>
    <w:rsid w:val="00CA6707"/>
    <w:rsid w:val="00CA68D3"/>
    <w:rsid w:val="00CA6994"/>
    <w:rsid w:val="00CA69DF"/>
    <w:rsid w:val="00CA6CBF"/>
    <w:rsid w:val="00CA71B0"/>
    <w:rsid w:val="00CA72C6"/>
    <w:rsid w:val="00CA7499"/>
    <w:rsid w:val="00CA755A"/>
    <w:rsid w:val="00CA75BE"/>
    <w:rsid w:val="00CA76B3"/>
    <w:rsid w:val="00CA7DD8"/>
    <w:rsid w:val="00CB03EE"/>
    <w:rsid w:val="00CB0706"/>
    <w:rsid w:val="00CB08EF"/>
    <w:rsid w:val="00CB0A51"/>
    <w:rsid w:val="00CB0C0B"/>
    <w:rsid w:val="00CB0C73"/>
    <w:rsid w:val="00CB0C98"/>
    <w:rsid w:val="00CB100A"/>
    <w:rsid w:val="00CB1158"/>
    <w:rsid w:val="00CB12B7"/>
    <w:rsid w:val="00CB14D0"/>
    <w:rsid w:val="00CB15A0"/>
    <w:rsid w:val="00CB1854"/>
    <w:rsid w:val="00CB1939"/>
    <w:rsid w:val="00CB1CC7"/>
    <w:rsid w:val="00CB1F19"/>
    <w:rsid w:val="00CB20E7"/>
    <w:rsid w:val="00CB23A4"/>
    <w:rsid w:val="00CB2685"/>
    <w:rsid w:val="00CB28D4"/>
    <w:rsid w:val="00CB2D11"/>
    <w:rsid w:val="00CB2D21"/>
    <w:rsid w:val="00CB2DA2"/>
    <w:rsid w:val="00CB2F24"/>
    <w:rsid w:val="00CB3831"/>
    <w:rsid w:val="00CB3A09"/>
    <w:rsid w:val="00CB3C34"/>
    <w:rsid w:val="00CB3D4A"/>
    <w:rsid w:val="00CB448D"/>
    <w:rsid w:val="00CB4569"/>
    <w:rsid w:val="00CB4611"/>
    <w:rsid w:val="00CB462B"/>
    <w:rsid w:val="00CB5093"/>
    <w:rsid w:val="00CB552B"/>
    <w:rsid w:val="00CB5576"/>
    <w:rsid w:val="00CB55A9"/>
    <w:rsid w:val="00CB55CF"/>
    <w:rsid w:val="00CB581B"/>
    <w:rsid w:val="00CB5897"/>
    <w:rsid w:val="00CB58DF"/>
    <w:rsid w:val="00CB5A0E"/>
    <w:rsid w:val="00CB5A4B"/>
    <w:rsid w:val="00CB5C25"/>
    <w:rsid w:val="00CB5CB1"/>
    <w:rsid w:val="00CB5E3E"/>
    <w:rsid w:val="00CB622E"/>
    <w:rsid w:val="00CB63E0"/>
    <w:rsid w:val="00CB6547"/>
    <w:rsid w:val="00CB66BD"/>
    <w:rsid w:val="00CB6994"/>
    <w:rsid w:val="00CB6D5F"/>
    <w:rsid w:val="00CB6F0D"/>
    <w:rsid w:val="00CB7844"/>
    <w:rsid w:val="00CB7975"/>
    <w:rsid w:val="00CB7DE9"/>
    <w:rsid w:val="00CB7F83"/>
    <w:rsid w:val="00CC010C"/>
    <w:rsid w:val="00CC03AA"/>
    <w:rsid w:val="00CC0464"/>
    <w:rsid w:val="00CC08B8"/>
    <w:rsid w:val="00CC08C3"/>
    <w:rsid w:val="00CC0BA7"/>
    <w:rsid w:val="00CC114E"/>
    <w:rsid w:val="00CC14A9"/>
    <w:rsid w:val="00CC151E"/>
    <w:rsid w:val="00CC197E"/>
    <w:rsid w:val="00CC19F2"/>
    <w:rsid w:val="00CC1A57"/>
    <w:rsid w:val="00CC1BF0"/>
    <w:rsid w:val="00CC1CE5"/>
    <w:rsid w:val="00CC20DB"/>
    <w:rsid w:val="00CC2A7A"/>
    <w:rsid w:val="00CC2C37"/>
    <w:rsid w:val="00CC2CF9"/>
    <w:rsid w:val="00CC2E9E"/>
    <w:rsid w:val="00CC2FDE"/>
    <w:rsid w:val="00CC3634"/>
    <w:rsid w:val="00CC3790"/>
    <w:rsid w:val="00CC37F7"/>
    <w:rsid w:val="00CC3C10"/>
    <w:rsid w:val="00CC3C47"/>
    <w:rsid w:val="00CC3DAE"/>
    <w:rsid w:val="00CC3E50"/>
    <w:rsid w:val="00CC4403"/>
    <w:rsid w:val="00CC452A"/>
    <w:rsid w:val="00CC4AC2"/>
    <w:rsid w:val="00CC4E4B"/>
    <w:rsid w:val="00CC4E6B"/>
    <w:rsid w:val="00CC509B"/>
    <w:rsid w:val="00CC53D4"/>
    <w:rsid w:val="00CC5639"/>
    <w:rsid w:val="00CC5823"/>
    <w:rsid w:val="00CC59D4"/>
    <w:rsid w:val="00CC5C0C"/>
    <w:rsid w:val="00CC5C19"/>
    <w:rsid w:val="00CC6047"/>
    <w:rsid w:val="00CC6410"/>
    <w:rsid w:val="00CC6485"/>
    <w:rsid w:val="00CC64D3"/>
    <w:rsid w:val="00CC654D"/>
    <w:rsid w:val="00CC6A0D"/>
    <w:rsid w:val="00CC6A5B"/>
    <w:rsid w:val="00CC6CD1"/>
    <w:rsid w:val="00CC6CF2"/>
    <w:rsid w:val="00CC6D8D"/>
    <w:rsid w:val="00CC6F22"/>
    <w:rsid w:val="00CC7235"/>
    <w:rsid w:val="00CC72C3"/>
    <w:rsid w:val="00CC7D2D"/>
    <w:rsid w:val="00CC7D33"/>
    <w:rsid w:val="00CC7D49"/>
    <w:rsid w:val="00CC7DA5"/>
    <w:rsid w:val="00CD03AC"/>
    <w:rsid w:val="00CD04CD"/>
    <w:rsid w:val="00CD06DB"/>
    <w:rsid w:val="00CD0762"/>
    <w:rsid w:val="00CD08B3"/>
    <w:rsid w:val="00CD0F50"/>
    <w:rsid w:val="00CD0F8E"/>
    <w:rsid w:val="00CD1068"/>
    <w:rsid w:val="00CD1073"/>
    <w:rsid w:val="00CD1A08"/>
    <w:rsid w:val="00CD1E16"/>
    <w:rsid w:val="00CD1F62"/>
    <w:rsid w:val="00CD209B"/>
    <w:rsid w:val="00CD20D1"/>
    <w:rsid w:val="00CD252A"/>
    <w:rsid w:val="00CD28D5"/>
    <w:rsid w:val="00CD2B83"/>
    <w:rsid w:val="00CD2D3C"/>
    <w:rsid w:val="00CD2D54"/>
    <w:rsid w:val="00CD2E5F"/>
    <w:rsid w:val="00CD30C0"/>
    <w:rsid w:val="00CD3164"/>
    <w:rsid w:val="00CD3188"/>
    <w:rsid w:val="00CD3354"/>
    <w:rsid w:val="00CD363F"/>
    <w:rsid w:val="00CD37D0"/>
    <w:rsid w:val="00CD37D6"/>
    <w:rsid w:val="00CD41F4"/>
    <w:rsid w:val="00CD4227"/>
    <w:rsid w:val="00CD4606"/>
    <w:rsid w:val="00CD475A"/>
    <w:rsid w:val="00CD483E"/>
    <w:rsid w:val="00CD48CA"/>
    <w:rsid w:val="00CD4C3E"/>
    <w:rsid w:val="00CD509D"/>
    <w:rsid w:val="00CD51D6"/>
    <w:rsid w:val="00CD5575"/>
    <w:rsid w:val="00CD55F5"/>
    <w:rsid w:val="00CD5702"/>
    <w:rsid w:val="00CD61FB"/>
    <w:rsid w:val="00CD6298"/>
    <w:rsid w:val="00CD6471"/>
    <w:rsid w:val="00CD663C"/>
    <w:rsid w:val="00CD67D2"/>
    <w:rsid w:val="00CD690D"/>
    <w:rsid w:val="00CD691E"/>
    <w:rsid w:val="00CD6B33"/>
    <w:rsid w:val="00CD6B45"/>
    <w:rsid w:val="00CD6BE0"/>
    <w:rsid w:val="00CD6CA4"/>
    <w:rsid w:val="00CD6CD0"/>
    <w:rsid w:val="00CD6DC5"/>
    <w:rsid w:val="00CD6F52"/>
    <w:rsid w:val="00CD7224"/>
    <w:rsid w:val="00CD7298"/>
    <w:rsid w:val="00CD75EE"/>
    <w:rsid w:val="00CD769B"/>
    <w:rsid w:val="00CD7712"/>
    <w:rsid w:val="00CD7BBA"/>
    <w:rsid w:val="00CD7CB0"/>
    <w:rsid w:val="00CD7D28"/>
    <w:rsid w:val="00CD7FD6"/>
    <w:rsid w:val="00CE0C4B"/>
    <w:rsid w:val="00CE0D5F"/>
    <w:rsid w:val="00CE10EC"/>
    <w:rsid w:val="00CE190D"/>
    <w:rsid w:val="00CE1C90"/>
    <w:rsid w:val="00CE1E91"/>
    <w:rsid w:val="00CE1F77"/>
    <w:rsid w:val="00CE1FBA"/>
    <w:rsid w:val="00CE202A"/>
    <w:rsid w:val="00CE207F"/>
    <w:rsid w:val="00CE20CB"/>
    <w:rsid w:val="00CE2124"/>
    <w:rsid w:val="00CE21C0"/>
    <w:rsid w:val="00CE23D1"/>
    <w:rsid w:val="00CE2E65"/>
    <w:rsid w:val="00CE325F"/>
    <w:rsid w:val="00CE32AE"/>
    <w:rsid w:val="00CE3779"/>
    <w:rsid w:val="00CE3A40"/>
    <w:rsid w:val="00CE423A"/>
    <w:rsid w:val="00CE46AD"/>
    <w:rsid w:val="00CE476C"/>
    <w:rsid w:val="00CE48DB"/>
    <w:rsid w:val="00CE49F3"/>
    <w:rsid w:val="00CE4B64"/>
    <w:rsid w:val="00CE5016"/>
    <w:rsid w:val="00CE5362"/>
    <w:rsid w:val="00CE53C3"/>
    <w:rsid w:val="00CE59F0"/>
    <w:rsid w:val="00CE5E0F"/>
    <w:rsid w:val="00CE5F34"/>
    <w:rsid w:val="00CE5FEA"/>
    <w:rsid w:val="00CE618F"/>
    <w:rsid w:val="00CE62B7"/>
    <w:rsid w:val="00CE63BD"/>
    <w:rsid w:val="00CE63C7"/>
    <w:rsid w:val="00CE6603"/>
    <w:rsid w:val="00CE6AB3"/>
    <w:rsid w:val="00CE6E00"/>
    <w:rsid w:val="00CE6F8B"/>
    <w:rsid w:val="00CE7347"/>
    <w:rsid w:val="00CE74A5"/>
    <w:rsid w:val="00CE759C"/>
    <w:rsid w:val="00CE75A1"/>
    <w:rsid w:val="00CE7699"/>
    <w:rsid w:val="00CE7F24"/>
    <w:rsid w:val="00CF069D"/>
    <w:rsid w:val="00CF07A9"/>
    <w:rsid w:val="00CF0D53"/>
    <w:rsid w:val="00CF0ECF"/>
    <w:rsid w:val="00CF126C"/>
    <w:rsid w:val="00CF14DB"/>
    <w:rsid w:val="00CF14E1"/>
    <w:rsid w:val="00CF16DF"/>
    <w:rsid w:val="00CF1C38"/>
    <w:rsid w:val="00CF211C"/>
    <w:rsid w:val="00CF287B"/>
    <w:rsid w:val="00CF28F1"/>
    <w:rsid w:val="00CF2A8C"/>
    <w:rsid w:val="00CF2ACA"/>
    <w:rsid w:val="00CF2ACF"/>
    <w:rsid w:val="00CF3091"/>
    <w:rsid w:val="00CF3187"/>
    <w:rsid w:val="00CF34D1"/>
    <w:rsid w:val="00CF3580"/>
    <w:rsid w:val="00CF35A3"/>
    <w:rsid w:val="00CF3657"/>
    <w:rsid w:val="00CF36A2"/>
    <w:rsid w:val="00CF38BE"/>
    <w:rsid w:val="00CF39D2"/>
    <w:rsid w:val="00CF3ADB"/>
    <w:rsid w:val="00CF3CD3"/>
    <w:rsid w:val="00CF3D50"/>
    <w:rsid w:val="00CF4461"/>
    <w:rsid w:val="00CF4541"/>
    <w:rsid w:val="00CF4B47"/>
    <w:rsid w:val="00CF4B76"/>
    <w:rsid w:val="00CF4BEC"/>
    <w:rsid w:val="00CF4DA5"/>
    <w:rsid w:val="00CF4DAA"/>
    <w:rsid w:val="00CF4EF5"/>
    <w:rsid w:val="00CF4F31"/>
    <w:rsid w:val="00CF4F70"/>
    <w:rsid w:val="00CF4FD6"/>
    <w:rsid w:val="00CF50F2"/>
    <w:rsid w:val="00CF576B"/>
    <w:rsid w:val="00CF580F"/>
    <w:rsid w:val="00CF597E"/>
    <w:rsid w:val="00CF5A98"/>
    <w:rsid w:val="00CF5B12"/>
    <w:rsid w:val="00CF636D"/>
    <w:rsid w:val="00CF68FB"/>
    <w:rsid w:val="00CF69C4"/>
    <w:rsid w:val="00CF7097"/>
    <w:rsid w:val="00CF73CB"/>
    <w:rsid w:val="00CF750A"/>
    <w:rsid w:val="00CF7C5D"/>
    <w:rsid w:val="00CFF6A0"/>
    <w:rsid w:val="00D0058A"/>
    <w:rsid w:val="00D006F0"/>
    <w:rsid w:val="00D008CC"/>
    <w:rsid w:val="00D010A3"/>
    <w:rsid w:val="00D010C9"/>
    <w:rsid w:val="00D012DC"/>
    <w:rsid w:val="00D01758"/>
    <w:rsid w:val="00D01879"/>
    <w:rsid w:val="00D019B9"/>
    <w:rsid w:val="00D019D0"/>
    <w:rsid w:val="00D01B29"/>
    <w:rsid w:val="00D01BC0"/>
    <w:rsid w:val="00D01F50"/>
    <w:rsid w:val="00D0218A"/>
    <w:rsid w:val="00D02301"/>
    <w:rsid w:val="00D02372"/>
    <w:rsid w:val="00D02665"/>
    <w:rsid w:val="00D0269C"/>
    <w:rsid w:val="00D027A6"/>
    <w:rsid w:val="00D02852"/>
    <w:rsid w:val="00D02DB9"/>
    <w:rsid w:val="00D02E5A"/>
    <w:rsid w:val="00D02E92"/>
    <w:rsid w:val="00D02EB7"/>
    <w:rsid w:val="00D02F11"/>
    <w:rsid w:val="00D02F6E"/>
    <w:rsid w:val="00D03145"/>
    <w:rsid w:val="00D0317F"/>
    <w:rsid w:val="00D031AA"/>
    <w:rsid w:val="00D0321D"/>
    <w:rsid w:val="00D03257"/>
    <w:rsid w:val="00D03284"/>
    <w:rsid w:val="00D03B6D"/>
    <w:rsid w:val="00D03B78"/>
    <w:rsid w:val="00D03DC0"/>
    <w:rsid w:val="00D03EE8"/>
    <w:rsid w:val="00D03FC7"/>
    <w:rsid w:val="00D040D3"/>
    <w:rsid w:val="00D04320"/>
    <w:rsid w:val="00D044EC"/>
    <w:rsid w:val="00D04747"/>
    <w:rsid w:val="00D0494E"/>
    <w:rsid w:val="00D049A2"/>
    <w:rsid w:val="00D04D81"/>
    <w:rsid w:val="00D04FAB"/>
    <w:rsid w:val="00D04FFA"/>
    <w:rsid w:val="00D050C7"/>
    <w:rsid w:val="00D0556F"/>
    <w:rsid w:val="00D0589D"/>
    <w:rsid w:val="00D05B23"/>
    <w:rsid w:val="00D05C4D"/>
    <w:rsid w:val="00D06C32"/>
    <w:rsid w:val="00D06EE0"/>
    <w:rsid w:val="00D0704D"/>
    <w:rsid w:val="00D0707C"/>
    <w:rsid w:val="00D07114"/>
    <w:rsid w:val="00D07302"/>
    <w:rsid w:val="00D074A6"/>
    <w:rsid w:val="00D076A9"/>
    <w:rsid w:val="00D076BD"/>
    <w:rsid w:val="00D0773F"/>
    <w:rsid w:val="00D07C66"/>
    <w:rsid w:val="00D10129"/>
    <w:rsid w:val="00D10250"/>
    <w:rsid w:val="00D10602"/>
    <w:rsid w:val="00D10A31"/>
    <w:rsid w:val="00D10CD9"/>
    <w:rsid w:val="00D10FC0"/>
    <w:rsid w:val="00D10FD4"/>
    <w:rsid w:val="00D114CC"/>
    <w:rsid w:val="00D116FC"/>
    <w:rsid w:val="00D1173A"/>
    <w:rsid w:val="00D118E7"/>
    <w:rsid w:val="00D11CC9"/>
    <w:rsid w:val="00D11D06"/>
    <w:rsid w:val="00D11D24"/>
    <w:rsid w:val="00D1211C"/>
    <w:rsid w:val="00D121EE"/>
    <w:rsid w:val="00D1228C"/>
    <w:rsid w:val="00D12308"/>
    <w:rsid w:val="00D1248B"/>
    <w:rsid w:val="00D12543"/>
    <w:rsid w:val="00D12571"/>
    <w:rsid w:val="00D126E8"/>
    <w:rsid w:val="00D1298F"/>
    <w:rsid w:val="00D12CF4"/>
    <w:rsid w:val="00D12E67"/>
    <w:rsid w:val="00D130CB"/>
    <w:rsid w:val="00D13309"/>
    <w:rsid w:val="00D133A7"/>
    <w:rsid w:val="00D13521"/>
    <w:rsid w:val="00D135A6"/>
    <w:rsid w:val="00D13B37"/>
    <w:rsid w:val="00D13E63"/>
    <w:rsid w:val="00D13FC0"/>
    <w:rsid w:val="00D142E1"/>
    <w:rsid w:val="00D147CD"/>
    <w:rsid w:val="00D14BE4"/>
    <w:rsid w:val="00D14DD3"/>
    <w:rsid w:val="00D14F25"/>
    <w:rsid w:val="00D150CF"/>
    <w:rsid w:val="00D15226"/>
    <w:rsid w:val="00D1524B"/>
    <w:rsid w:val="00D152AC"/>
    <w:rsid w:val="00D155E3"/>
    <w:rsid w:val="00D15F04"/>
    <w:rsid w:val="00D1625A"/>
    <w:rsid w:val="00D16290"/>
    <w:rsid w:val="00D16A61"/>
    <w:rsid w:val="00D16C56"/>
    <w:rsid w:val="00D16D1D"/>
    <w:rsid w:val="00D170AA"/>
    <w:rsid w:val="00D17648"/>
    <w:rsid w:val="00D17A38"/>
    <w:rsid w:val="00D17B0F"/>
    <w:rsid w:val="00D17C7D"/>
    <w:rsid w:val="00D17D7E"/>
    <w:rsid w:val="00D17E0C"/>
    <w:rsid w:val="00D2005F"/>
    <w:rsid w:val="00D200BF"/>
    <w:rsid w:val="00D2026E"/>
    <w:rsid w:val="00D20401"/>
    <w:rsid w:val="00D2049C"/>
    <w:rsid w:val="00D20DC7"/>
    <w:rsid w:val="00D20E70"/>
    <w:rsid w:val="00D21232"/>
    <w:rsid w:val="00D21255"/>
    <w:rsid w:val="00D2157C"/>
    <w:rsid w:val="00D21AAA"/>
    <w:rsid w:val="00D21E47"/>
    <w:rsid w:val="00D21F9F"/>
    <w:rsid w:val="00D221F9"/>
    <w:rsid w:val="00D22AFF"/>
    <w:rsid w:val="00D22B2A"/>
    <w:rsid w:val="00D22B53"/>
    <w:rsid w:val="00D22C07"/>
    <w:rsid w:val="00D22DAA"/>
    <w:rsid w:val="00D23040"/>
    <w:rsid w:val="00D233C8"/>
    <w:rsid w:val="00D2350D"/>
    <w:rsid w:val="00D2354F"/>
    <w:rsid w:val="00D239E5"/>
    <w:rsid w:val="00D23A06"/>
    <w:rsid w:val="00D23CB3"/>
    <w:rsid w:val="00D23E0D"/>
    <w:rsid w:val="00D24529"/>
    <w:rsid w:val="00D24828"/>
    <w:rsid w:val="00D249C3"/>
    <w:rsid w:val="00D250D6"/>
    <w:rsid w:val="00D25350"/>
    <w:rsid w:val="00D25390"/>
    <w:rsid w:val="00D253BA"/>
    <w:rsid w:val="00D25528"/>
    <w:rsid w:val="00D25549"/>
    <w:rsid w:val="00D25649"/>
    <w:rsid w:val="00D25BD2"/>
    <w:rsid w:val="00D25D54"/>
    <w:rsid w:val="00D25F3C"/>
    <w:rsid w:val="00D260B1"/>
    <w:rsid w:val="00D260FC"/>
    <w:rsid w:val="00D267DE"/>
    <w:rsid w:val="00D26841"/>
    <w:rsid w:val="00D26877"/>
    <w:rsid w:val="00D268CD"/>
    <w:rsid w:val="00D27711"/>
    <w:rsid w:val="00D27823"/>
    <w:rsid w:val="00D27A85"/>
    <w:rsid w:val="00D27C56"/>
    <w:rsid w:val="00D27C84"/>
    <w:rsid w:val="00D27D7A"/>
    <w:rsid w:val="00D27E6C"/>
    <w:rsid w:val="00D27E6E"/>
    <w:rsid w:val="00D30200"/>
    <w:rsid w:val="00D30223"/>
    <w:rsid w:val="00D302B1"/>
    <w:rsid w:val="00D30327"/>
    <w:rsid w:val="00D30393"/>
    <w:rsid w:val="00D303E3"/>
    <w:rsid w:val="00D30502"/>
    <w:rsid w:val="00D30B50"/>
    <w:rsid w:val="00D30D74"/>
    <w:rsid w:val="00D30D7E"/>
    <w:rsid w:val="00D30F14"/>
    <w:rsid w:val="00D30F1D"/>
    <w:rsid w:val="00D310FC"/>
    <w:rsid w:val="00D311CC"/>
    <w:rsid w:val="00D313E9"/>
    <w:rsid w:val="00D31417"/>
    <w:rsid w:val="00D315E7"/>
    <w:rsid w:val="00D3187E"/>
    <w:rsid w:val="00D3198F"/>
    <w:rsid w:val="00D31C62"/>
    <w:rsid w:val="00D31CF2"/>
    <w:rsid w:val="00D31DEF"/>
    <w:rsid w:val="00D31E0B"/>
    <w:rsid w:val="00D31E2E"/>
    <w:rsid w:val="00D32120"/>
    <w:rsid w:val="00D322EB"/>
    <w:rsid w:val="00D328CC"/>
    <w:rsid w:val="00D32A9E"/>
    <w:rsid w:val="00D32B95"/>
    <w:rsid w:val="00D32BEA"/>
    <w:rsid w:val="00D32F44"/>
    <w:rsid w:val="00D32FCC"/>
    <w:rsid w:val="00D3385E"/>
    <w:rsid w:val="00D33DD2"/>
    <w:rsid w:val="00D347FC"/>
    <w:rsid w:val="00D34A8F"/>
    <w:rsid w:val="00D34AF7"/>
    <w:rsid w:val="00D34EB5"/>
    <w:rsid w:val="00D354D4"/>
    <w:rsid w:val="00D35B47"/>
    <w:rsid w:val="00D35BF3"/>
    <w:rsid w:val="00D360ED"/>
    <w:rsid w:val="00D36166"/>
    <w:rsid w:val="00D365CA"/>
    <w:rsid w:val="00D367E8"/>
    <w:rsid w:val="00D369A7"/>
    <w:rsid w:val="00D36AD9"/>
    <w:rsid w:val="00D36D0E"/>
    <w:rsid w:val="00D36D21"/>
    <w:rsid w:val="00D36ED6"/>
    <w:rsid w:val="00D37068"/>
    <w:rsid w:val="00D372C0"/>
    <w:rsid w:val="00D377C1"/>
    <w:rsid w:val="00D3787D"/>
    <w:rsid w:val="00D37CAB"/>
    <w:rsid w:val="00D37D3F"/>
    <w:rsid w:val="00D402F0"/>
    <w:rsid w:val="00D40EFC"/>
    <w:rsid w:val="00D40FA5"/>
    <w:rsid w:val="00D4104F"/>
    <w:rsid w:val="00D4160F"/>
    <w:rsid w:val="00D41734"/>
    <w:rsid w:val="00D418B7"/>
    <w:rsid w:val="00D418DF"/>
    <w:rsid w:val="00D41E7F"/>
    <w:rsid w:val="00D41EE9"/>
    <w:rsid w:val="00D41FCD"/>
    <w:rsid w:val="00D4214D"/>
    <w:rsid w:val="00D4258C"/>
    <w:rsid w:val="00D42B71"/>
    <w:rsid w:val="00D430E1"/>
    <w:rsid w:val="00D4324B"/>
    <w:rsid w:val="00D434EA"/>
    <w:rsid w:val="00D4359E"/>
    <w:rsid w:val="00D43805"/>
    <w:rsid w:val="00D439CF"/>
    <w:rsid w:val="00D43B9F"/>
    <w:rsid w:val="00D43E02"/>
    <w:rsid w:val="00D442BF"/>
    <w:rsid w:val="00D44A38"/>
    <w:rsid w:val="00D44B69"/>
    <w:rsid w:val="00D44FBC"/>
    <w:rsid w:val="00D4511B"/>
    <w:rsid w:val="00D4545F"/>
    <w:rsid w:val="00D45787"/>
    <w:rsid w:val="00D45895"/>
    <w:rsid w:val="00D45D09"/>
    <w:rsid w:val="00D46A23"/>
    <w:rsid w:val="00D4732E"/>
    <w:rsid w:val="00D4784C"/>
    <w:rsid w:val="00D479A8"/>
    <w:rsid w:val="00D47A9F"/>
    <w:rsid w:val="00D50115"/>
    <w:rsid w:val="00D501C8"/>
    <w:rsid w:val="00D502B0"/>
    <w:rsid w:val="00D508E2"/>
    <w:rsid w:val="00D50DCF"/>
    <w:rsid w:val="00D50F57"/>
    <w:rsid w:val="00D510A0"/>
    <w:rsid w:val="00D5110E"/>
    <w:rsid w:val="00D511AD"/>
    <w:rsid w:val="00D51458"/>
    <w:rsid w:val="00D5150A"/>
    <w:rsid w:val="00D5159C"/>
    <w:rsid w:val="00D51633"/>
    <w:rsid w:val="00D5178D"/>
    <w:rsid w:val="00D5179A"/>
    <w:rsid w:val="00D517F3"/>
    <w:rsid w:val="00D51BCC"/>
    <w:rsid w:val="00D51BD1"/>
    <w:rsid w:val="00D51C4F"/>
    <w:rsid w:val="00D51DD6"/>
    <w:rsid w:val="00D52010"/>
    <w:rsid w:val="00D520B9"/>
    <w:rsid w:val="00D52367"/>
    <w:rsid w:val="00D524DE"/>
    <w:rsid w:val="00D524EA"/>
    <w:rsid w:val="00D5270F"/>
    <w:rsid w:val="00D528B3"/>
    <w:rsid w:val="00D529E4"/>
    <w:rsid w:val="00D52AF2"/>
    <w:rsid w:val="00D52D72"/>
    <w:rsid w:val="00D52EEF"/>
    <w:rsid w:val="00D52F7F"/>
    <w:rsid w:val="00D53742"/>
    <w:rsid w:val="00D538B9"/>
    <w:rsid w:val="00D53D5B"/>
    <w:rsid w:val="00D53EA1"/>
    <w:rsid w:val="00D5403D"/>
    <w:rsid w:val="00D5422E"/>
    <w:rsid w:val="00D5430C"/>
    <w:rsid w:val="00D54511"/>
    <w:rsid w:val="00D54988"/>
    <w:rsid w:val="00D54AEA"/>
    <w:rsid w:val="00D54CD7"/>
    <w:rsid w:val="00D54D7D"/>
    <w:rsid w:val="00D54E32"/>
    <w:rsid w:val="00D55002"/>
    <w:rsid w:val="00D55149"/>
    <w:rsid w:val="00D552A0"/>
    <w:rsid w:val="00D55330"/>
    <w:rsid w:val="00D55634"/>
    <w:rsid w:val="00D55AC0"/>
    <w:rsid w:val="00D561CC"/>
    <w:rsid w:val="00D562D9"/>
    <w:rsid w:val="00D562E1"/>
    <w:rsid w:val="00D56F46"/>
    <w:rsid w:val="00D56FB2"/>
    <w:rsid w:val="00D57295"/>
    <w:rsid w:val="00D57609"/>
    <w:rsid w:val="00D57978"/>
    <w:rsid w:val="00D60137"/>
    <w:rsid w:val="00D60193"/>
    <w:rsid w:val="00D605B2"/>
    <w:rsid w:val="00D6085E"/>
    <w:rsid w:val="00D60B54"/>
    <w:rsid w:val="00D60C4C"/>
    <w:rsid w:val="00D60DF2"/>
    <w:rsid w:val="00D60E07"/>
    <w:rsid w:val="00D6102F"/>
    <w:rsid w:val="00D614C4"/>
    <w:rsid w:val="00D615FB"/>
    <w:rsid w:val="00D624DF"/>
    <w:rsid w:val="00D6254D"/>
    <w:rsid w:val="00D626CC"/>
    <w:rsid w:val="00D62716"/>
    <w:rsid w:val="00D627B7"/>
    <w:rsid w:val="00D62A25"/>
    <w:rsid w:val="00D6358F"/>
    <w:rsid w:val="00D63809"/>
    <w:rsid w:val="00D63887"/>
    <w:rsid w:val="00D63AA5"/>
    <w:rsid w:val="00D63DA4"/>
    <w:rsid w:val="00D63DA6"/>
    <w:rsid w:val="00D63E80"/>
    <w:rsid w:val="00D64037"/>
    <w:rsid w:val="00D640A1"/>
    <w:rsid w:val="00D64128"/>
    <w:rsid w:val="00D641C3"/>
    <w:rsid w:val="00D6432D"/>
    <w:rsid w:val="00D644BB"/>
    <w:rsid w:val="00D64651"/>
    <w:rsid w:val="00D6486E"/>
    <w:rsid w:val="00D648B7"/>
    <w:rsid w:val="00D648DB"/>
    <w:rsid w:val="00D64C27"/>
    <w:rsid w:val="00D64CF5"/>
    <w:rsid w:val="00D64D0F"/>
    <w:rsid w:val="00D6510B"/>
    <w:rsid w:val="00D6534A"/>
    <w:rsid w:val="00D656A6"/>
    <w:rsid w:val="00D65E9E"/>
    <w:rsid w:val="00D65F48"/>
    <w:rsid w:val="00D66010"/>
    <w:rsid w:val="00D66224"/>
    <w:rsid w:val="00D66294"/>
    <w:rsid w:val="00D66584"/>
    <w:rsid w:val="00D6679E"/>
    <w:rsid w:val="00D66E9D"/>
    <w:rsid w:val="00D674D0"/>
    <w:rsid w:val="00D67510"/>
    <w:rsid w:val="00D67AB2"/>
    <w:rsid w:val="00D7018A"/>
    <w:rsid w:val="00D703E6"/>
    <w:rsid w:val="00D70706"/>
    <w:rsid w:val="00D70737"/>
    <w:rsid w:val="00D70A1A"/>
    <w:rsid w:val="00D7133B"/>
    <w:rsid w:val="00D7146E"/>
    <w:rsid w:val="00D7157C"/>
    <w:rsid w:val="00D7169A"/>
    <w:rsid w:val="00D717F1"/>
    <w:rsid w:val="00D71A8B"/>
    <w:rsid w:val="00D71CF9"/>
    <w:rsid w:val="00D71E09"/>
    <w:rsid w:val="00D71F26"/>
    <w:rsid w:val="00D71F9B"/>
    <w:rsid w:val="00D71FC3"/>
    <w:rsid w:val="00D72321"/>
    <w:rsid w:val="00D724B7"/>
    <w:rsid w:val="00D7250B"/>
    <w:rsid w:val="00D7287A"/>
    <w:rsid w:val="00D72B2A"/>
    <w:rsid w:val="00D72C5A"/>
    <w:rsid w:val="00D72D7B"/>
    <w:rsid w:val="00D737E4"/>
    <w:rsid w:val="00D73FC3"/>
    <w:rsid w:val="00D7400C"/>
    <w:rsid w:val="00D74025"/>
    <w:rsid w:val="00D744B0"/>
    <w:rsid w:val="00D74563"/>
    <w:rsid w:val="00D74798"/>
    <w:rsid w:val="00D747F4"/>
    <w:rsid w:val="00D74A0F"/>
    <w:rsid w:val="00D74CBE"/>
    <w:rsid w:val="00D74EF1"/>
    <w:rsid w:val="00D750EC"/>
    <w:rsid w:val="00D75165"/>
    <w:rsid w:val="00D7516E"/>
    <w:rsid w:val="00D75513"/>
    <w:rsid w:val="00D75ED3"/>
    <w:rsid w:val="00D76173"/>
    <w:rsid w:val="00D7661A"/>
    <w:rsid w:val="00D7663E"/>
    <w:rsid w:val="00D767A8"/>
    <w:rsid w:val="00D7695A"/>
    <w:rsid w:val="00D76BC3"/>
    <w:rsid w:val="00D76C9F"/>
    <w:rsid w:val="00D76CAB"/>
    <w:rsid w:val="00D77032"/>
    <w:rsid w:val="00D770A4"/>
    <w:rsid w:val="00D77139"/>
    <w:rsid w:val="00D771DC"/>
    <w:rsid w:val="00D772B4"/>
    <w:rsid w:val="00D775B5"/>
    <w:rsid w:val="00D77902"/>
    <w:rsid w:val="00D77A5B"/>
    <w:rsid w:val="00D800CC"/>
    <w:rsid w:val="00D8037E"/>
    <w:rsid w:val="00D8038D"/>
    <w:rsid w:val="00D80C5E"/>
    <w:rsid w:val="00D80E26"/>
    <w:rsid w:val="00D80E72"/>
    <w:rsid w:val="00D8138C"/>
    <w:rsid w:val="00D815F6"/>
    <w:rsid w:val="00D81802"/>
    <w:rsid w:val="00D81BEC"/>
    <w:rsid w:val="00D81C3A"/>
    <w:rsid w:val="00D81EF8"/>
    <w:rsid w:val="00D823AB"/>
    <w:rsid w:val="00D8243F"/>
    <w:rsid w:val="00D827D3"/>
    <w:rsid w:val="00D828BB"/>
    <w:rsid w:val="00D82A1B"/>
    <w:rsid w:val="00D82DEF"/>
    <w:rsid w:val="00D830FB"/>
    <w:rsid w:val="00D83696"/>
    <w:rsid w:val="00D83710"/>
    <w:rsid w:val="00D8388E"/>
    <w:rsid w:val="00D839E8"/>
    <w:rsid w:val="00D83EF8"/>
    <w:rsid w:val="00D83FA1"/>
    <w:rsid w:val="00D8406D"/>
    <w:rsid w:val="00D84203"/>
    <w:rsid w:val="00D84252"/>
    <w:rsid w:val="00D843C2"/>
    <w:rsid w:val="00D8442E"/>
    <w:rsid w:val="00D84A7C"/>
    <w:rsid w:val="00D84B89"/>
    <w:rsid w:val="00D850F5"/>
    <w:rsid w:val="00D85162"/>
    <w:rsid w:val="00D85362"/>
    <w:rsid w:val="00D859C2"/>
    <w:rsid w:val="00D85D99"/>
    <w:rsid w:val="00D85F0B"/>
    <w:rsid w:val="00D85FCB"/>
    <w:rsid w:val="00D860AE"/>
    <w:rsid w:val="00D86A9B"/>
    <w:rsid w:val="00D86F2E"/>
    <w:rsid w:val="00D86FD2"/>
    <w:rsid w:val="00D878DA"/>
    <w:rsid w:val="00D87A30"/>
    <w:rsid w:val="00D87B2D"/>
    <w:rsid w:val="00D87B34"/>
    <w:rsid w:val="00D87C89"/>
    <w:rsid w:val="00D87DDC"/>
    <w:rsid w:val="00D87E6D"/>
    <w:rsid w:val="00D87F2A"/>
    <w:rsid w:val="00D900D7"/>
    <w:rsid w:val="00D901FF"/>
    <w:rsid w:val="00D90705"/>
    <w:rsid w:val="00D91076"/>
    <w:rsid w:val="00D913D5"/>
    <w:rsid w:val="00D9171C"/>
    <w:rsid w:val="00D91736"/>
    <w:rsid w:val="00D91B0D"/>
    <w:rsid w:val="00D91C28"/>
    <w:rsid w:val="00D91CBD"/>
    <w:rsid w:val="00D91F2E"/>
    <w:rsid w:val="00D922B5"/>
    <w:rsid w:val="00D92509"/>
    <w:rsid w:val="00D9250B"/>
    <w:rsid w:val="00D925EA"/>
    <w:rsid w:val="00D92B76"/>
    <w:rsid w:val="00D92C78"/>
    <w:rsid w:val="00D92DAD"/>
    <w:rsid w:val="00D92E38"/>
    <w:rsid w:val="00D9389D"/>
    <w:rsid w:val="00D93B4A"/>
    <w:rsid w:val="00D93C4E"/>
    <w:rsid w:val="00D93D47"/>
    <w:rsid w:val="00D94641"/>
    <w:rsid w:val="00D9477A"/>
    <w:rsid w:val="00D950CF"/>
    <w:rsid w:val="00D951EE"/>
    <w:rsid w:val="00D9520E"/>
    <w:rsid w:val="00D95261"/>
    <w:rsid w:val="00D952C0"/>
    <w:rsid w:val="00D9538C"/>
    <w:rsid w:val="00D9577E"/>
    <w:rsid w:val="00D9579D"/>
    <w:rsid w:val="00D95DE0"/>
    <w:rsid w:val="00D960D8"/>
    <w:rsid w:val="00D96982"/>
    <w:rsid w:val="00D96C0E"/>
    <w:rsid w:val="00D97060"/>
    <w:rsid w:val="00D97136"/>
    <w:rsid w:val="00D97365"/>
    <w:rsid w:val="00D973DB"/>
    <w:rsid w:val="00D97701"/>
    <w:rsid w:val="00D97986"/>
    <w:rsid w:val="00D97AA9"/>
    <w:rsid w:val="00D97AF5"/>
    <w:rsid w:val="00D97EAA"/>
    <w:rsid w:val="00D97EE4"/>
    <w:rsid w:val="00DA00F8"/>
    <w:rsid w:val="00DA01FD"/>
    <w:rsid w:val="00DA0556"/>
    <w:rsid w:val="00DA07D0"/>
    <w:rsid w:val="00DA09B5"/>
    <w:rsid w:val="00DA1066"/>
    <w:rsid w:val="00DA1075"/>
    <w:rsid w:val="00DA13FF"/>
    <w:rsid w:val="00DA1559"/>
    <w:rsid w:val="00DA1829"/>
    <w:rsid w:val="00DA1A24"/>
    <w:rsid w:val="00DA2338"/>
    <w:rsid w:val="00DA268F"/>
    <w:rsid w:val="00DA2A31"/>
    <w:rsid w:val="00DA2E34"/>
    <w:rsid w:val="00DA30E2"/>
    <w:rsid w:val="00DA310D"/>
    <w:rsid w:val="00DA36A3"/>
    <w:rsid w:val="00DA372C"/>
    <w:rsid w:val="00DA3C95"/>
    <w:rsid w:val="00DA3F42"/>
    <w:rsid w:val="00DA4287"/>
    <w:rsid w:val="00DA43B1"/>
    <w:rsid w:val="00DA44BB"/>
    <w:rsid w:val="00DA4559"/>
    <w:rsid w:val="00DA4647"/>
    <w:rsid w:val="00DA46B5"/>
    <w:rsid w:val="00DA46F2"/>
    <w:rsid w:val="00DA473B"/>
    <w:rsid w:val="00DA4D1B"/>
    <w:rsid w:val="00DA4DD7"/>
    <w:rsid w:val="00DA50E3"/>
    <w:rsid w:val="00DA58E8"/>
    <w:rsid w:val="00DA5EF0"/>
    <w:rsid w:val="00DA60F5"/>
    <w:rsid w:val="00DA62FC"/>
    <w:rsid w:val="00DA645F"/>
    <w:rsid w:val="00DA651A"/>
    <w:rsid w:val="00DA661C"/>
    <w:rsid w:val="00DA680F"/>
    <w:rsid w:val="00DA681A"/>
    <w:rsid w:val="00DA6A2F"/>
    <w:rsid w:val="00DA6D1B"/>
    <w:rsid w:val="00DA6D54"/>
    <w:rsid w:val="00DA6E84"/>
    <w:rsid w:val="00DA6FF9"/>
    <w:rsid w:val="00DA70CA"/>
    <w:rsid w:val="00DA767F"/>
    <w:rsid w:val="00DA7901"/>
    <w:rsid w:val="00DA7A6F"/>
    <w:rsid w:val="00DA7A9E"/>
    <w:rsid w:val="00DA7B04"/>
    <w:rsid w:val="00DB0193"/>
    <w:rsid w:val="00DB0464"/>
    <w:rsid w:val="00DB0476"/>
    <w:rsid w:val="00DB06C6"/>
    <w:rsid w:val="00DB0A22"/>
    <w:rsid w:val="00DB0B5F"/>
    <w:rsid w:val="00DB0B7B"/>
    <w:rsid w:val="00DB131E"/>
    <w:rsid w:val="00DB1397"/>
    <w:rsid w:val="00DB1410"/>
    <w:rsid w:val="00DB15A6"/>
    <w:rsid w:val="00DB1653"/>
    <w:rsid w:val="00DB1963"/>
    <w:rsid w:val="00DB1BD6"/>
    <w:rsid w:val="00DB2134"/>
    <w:rsid w:val="00DB21D6"/>
    <w:rsid w:val="00DB269C"/>
    <w:rsid w:val="00DB26F0"/>
    <w:rsid w:val="00DB27B5"/>
    <w:rsid w:val="00DB28E4"/>
    <w:rsid w:val="00DB2BEE"/>
    <w:rsid w:val="00DB3029"/>
    <w:rsid w:val="00DB32BE"/>
    <w:rsid w:val="00DB398F"/>
    <w:rsid w:val="00DB3A25"/>
    <w:rsid w:val="00DB3CED"/>
    <w:rsid w:val="00DB3F17"/>
    <w:rsid w:val="00DB4108"/>
    <w:rsid w:val="00DB4388"/>
    <w:rsid w:val="00DB4535"/>
    <w:rsid w:val="00DB4875"/>
    <w:rsid w:val="00DB4B65"/>
    <w:rsid w:val="00DB4F29"/>
    <w:rsid w:val="00DB4F64"/>
    <w:rsid w:val="00DB5297"/>
    <w:rsid w:val="00DB57DD"/>
    <w:rsid w:val="00DB5873"/>
    <w:rsid w:val="00DB5878"/>
    <w:rsid w:val="00DB5886"/>
    <w:rsid w:val="00DB5CFD"/>
    <w:rsid w:val="00DB5F5F"/>
    <w:rsid w:val="00DB613C"/>
    <w:rsid w:val="00DB6352"/>
    <w:rsid w:val="00DB6462"/>
    <w:rsid w:val="00DB65A8"/>
    <w:rsid w:val="00DB65BB"/>
    <w:rsid w:val="00DB65C9"/>
    <w:rsid w:val="00DB717D"/>
    <w:rsid w:val="00DB73BD"/>
    <w:rsid w:val="00DB7422"/>
    <w:rsid w:val="00DB7AC0"/>
    <w:rsid w:val="00DB7BA7"/>
    <w:rsid w:val="00DB7BF7"/>
    <w:rsid w:val="00DB7D17"/>
    <w:rsid w:val="00DB7DA5"/>
    <w:rsid w:val="00DC00DB"/>
    <w:rsid w:val="00DC0286"/>
    <w:rsid w:val="00DC04B4"/>
    <w:rsid w:val="00DC04FF"/>
    <w:rsid w:val="00DC056E"/>
    <w:rsid w:val="00DC05B6"/>
    <w:rsid w:val="00DC08C3"/>
    <w:rsid w:val="00DC0B53"/>
    <w:rsid w:val="00DC0BD8"/>
    <w:rsid w:val="00DC0EC7"/>
    <w:rsid w:val="00DC10A6"/>
    <w:rsid w:val="00DC144D"/>
    <w:rsid w:val="00DC18F7"/>
    <w:rsid w:val="00DC1BCB"/>
    <w:rsid w:val="00DC1E5E"/>
    <w:rsid w:val="00DC1EC9"/>
    <w:rsid w:val="00DC259B"/>
    <w:rsid w:val="00DC2B0A"/>
    <w:rsid w:val="00DC2C23"/>
    <w:rsid w:val="00DC2FD1"/>
    <w:rsid w:val="00DC327F"/>
    <w:rsid w:val="00DC3385"/>
    <w:rsid w:val="00DC3783"/>
    <w:rsid w:val="00DC37CC"/>
    <w:rsid w:val="00DC3C6A"/>
    <w:rsid w:val="00DC3D9B"/>
    <w:rsid w:val="00DC451F"/>
    <w:rsid w:val="00DC4DAE"/>
    <w:rsid w:val="00DC4EFB"/>
    <w:rsid w:val="00DC5326"/>
    <w:rsid w:val="00DC576A"/>
    <w:rsid w:val="00DC5BF3"/>
    <w:rsid w:val="00DC5DA4"/>
    <w:rsid w:val="00DC5E4C"/>
    <w:rsid w:val="00DC5E6B"/>
    <w:rsid w:val="00DC60E8"/>
    <w:rsid w:val="00DC625B"/>
    <w:rsid w:val="00DC62D5"/>
    <w:rsid w:val="00DC63A3"/>
    <w:rsid w:val="00DC64BC"/>
    <w:rsid w:val="00DC64F9"/>
    <w:rsid w:val="00DC6564"/>
    <w:rsid w:val="00DC6737"/>
    <w:rsid w:val="00DC693D"/>
    <w:rsid w:val="00DC7319"/>
    <w:rsid w:val="00DC7C70"/>
    <w:rsid w:val="00DC7D24"/>
    <w:rsid w:val="00DD0287"/>
    <w:rsid w:val="00DD06FF"/>
    <w:rsid w:val="00DD08C8"/>
    <w:rsid w:val="00DD09E7"/>
    <w:rsid w:val="00DD0BAB"/>
    <w:rsid w:val="00DD0F8B"/>
    <w:rsid w:val="00DD1C18"/>
    <w:rsid w:val="00DD1F1F"/>
    <w:rsid w:val="00DD228C"/>
    <w:rsid w:val="00DD2511"/>
    <w:rsid w:val="00DD2B6E"/>
    <w:rsid w:val="00DD3090"/>
    <w:rsid w:val="00DD314D"/>
    <w:rsid w:val="00DD324B"/>
    <w:rsid w:val="00DD37A2"/>
    <w:rsid w:val="00DD37F5"/>
    <w:rsid w:val="00DD380F"/>
    <w:rsid w:val="00DD3E8B"/>
    <w:rsid w:val="00DD3F3F"/>
    <w:rsid w:val="00DD411F"/>
    <w:rsid w:val="00DD4223"/>
    <w:rsid w:val="00DD425F"/>
    <w:rsid w:val="00DD446D"/>
    <w:rsid w:val="00DD4534"/>
    <w:rsid w:val="00DD474B"/>
    <w:rsid w:val="00DD484B"/>
    <w:rsid w:val="00DD4A51"/>
    <w:rsid w:val="00DD4D02"/>
    <w:rsid w:val="00DD4E1B"/>
    <w:rsid w:val="00DD50A5"/>
    <w:rsid w:val="00DD537A"/>
    <w:rsid w:val="00DD5849"/>
    <w:rsid w:val="00DD5F49"/>
    <w:rsid w:val="00DD6272"/>
    <w:rsid w:val="00DD64E0"/>
    <w:rsid w:val="00DD67DA"/>
    <w:rsid w:val="00DD6D24"/>
    <w:rsid w:val="00DD6DE2"/>
    <w:rsid w:val="00DD70F1"/>
    <w:rsid w:val="00DD72D1"/>
    <w:rsid w:val="00DD749E"/>
    <w:rsid w:val="00DD75AB"/>
    <w:rsid w:val="00DD7825"/>
    <w:rsid w:val="00DD78A2"/>
    <w:rsid w:val="00DD78B0"/>
    <w:rsid w:val="00DD797F"/>
    <w:rsid w:val="00DD7A40"/>
    <w:rsid w:val="00DD7CFB"/>
    <w:rsid w:val="00DD7D8E"/>
    <w:rsid w:val="00DD7E46"/>
    <w:rsid w:val="00DE02E8"/>
    <w:rsid w:val="00DE05D2"/>
    <w:rsid w:val="00DE05DD"/>
    <w:rsid w:val="00DE05F3"/>
    <w:rsid w:val="00DE0888"/>
    <w:rsid w:val="00DE0D77"/>
    <w:rsid w:val="00DE0EE0"/>
    <w:rsid w:val="00DE1018"/>
    <w:rsid w:val="00DE10B7"/>
    <w:rsid w:val="00DE12A6"/>
    <w:rsid w:val="00DE138F"/>
    <w:rsid w:val="00DE17C2"/>
    <w:rsid w:val="00DE1DD3"/>
    <w:rsid w:val="00DE1EF7"/>
    <w:rsid w:val="00DE2794"/>
    <w:rsid w:val="00DE2BC6"/>
    <w:rsid w:val="00DE2BD2"/>
    <w:rsid w:val="00DE2BDD"/>
    <w:rsid w:val="00DE3019"/>
    <w:rsid w:val="00DE31F9"/>
    <w:rsid w:val="00DE3297"/>
    <w:rsid w:val="00DE3476"/>
    <w:rsid w:val="00DE38E5"/>
    <w:rsid w:val="00DE3A34"/>
    <w:rsid w:val="00DE3C20"/>
    <w:rsid w:val="00DE3D24"/>
    <w:rsid w:val="00DE4451"/>
    <w:rsid w:val="00DE4CA7"/>
    <w:rsid w:val="00DE503C"/>
    <w:rsid w:val="00DE52B2"/>
    <w:rsid w:val="00DE5367"/>
    <w:rsid w:val="00DE5518"/>
    <w:rsid w:val="00DE5523"/>
    <w:rsid w:val="00DE57F6"/>
    <w:rsid w:val="00DE5A06"/>
    <w:rsid w:val="00DE5BDE"/>
    <w:rsid w:val="00DE5DED"/>
    <w:rsid w:val="00DE5FA3"/>
    <w:rsid w:val="00DE631A"/>
    <w:rsid w:val="00DE63DC"/>
    <w:rsid w:val="00DE64B9"/>
    <w:rsid w:val="00DE65A3"/>
    <w:rsid w:val="00DE684B"/>
    <w:rsid w:val="00DE6B3A"/>
    <w:rsid w:val="00DE6F72"/>
    <w:rsid w:val="00DE6F80"/>
    <w:rsid w:val="00DE7088"/>
    <w:rsid w:val="00DE7197"/>
    <w:rsid w:val="00DE72D3"/>
    <w:rsid w:val="00DE7373"/>
    <w:rsid w:val="00DE73DB"/>
    <w:rsid w:val="00DE7641"/>
    <w:rsid w:val="00DE7786"/>
    <w:rsid w:val="00DE7A50"/>
    <w:rsid w:val="00DE7DAA"/>
    <w:rsid w:val="00DE7DBE"/>
    <w:rsid w:val="00DF0144"/>
    <w:rsid w:val="00DF0241"/>
    <w:rsid w:val="00DF025C"/>
    <w:rsid w:val="00DF06C0"/>
    <w:rsid w:val="00DF06D0"/>
    <w:rsid w:val="00DF093E"/>
    <w:rsid w:val="00DF0F11"/>
    <w:rsid w:val="00DF137E"/>
    <w:rsid w:val="00DF1923"/>
    <w:rsid w:val="00DF1B73"/>
    <w:rsid w:val="00DF1EBF"/>
    <w:rsid w:val="00DF2684"/>
    <w:rsid w:val="00DF28EC"/>
    <w:rsid w:val="00DF299D"/>
    <w:rsid w:val="00DF2AD6"/>
    <w:rsid w:val="00DF31FE"/>
    <w:rsid w:val="00DF3220"/>
    <w:rsid w:val="00DF3364"/>
    <w:rsid w:val="00DF35E7"/>
    <w:rsid w:val="00DF3A45"/>
    <w:rsid w:val="00DF3ABA"/>
    <w:rsid w:val="00DF40EA"/>
    <w:rsid w:val="00DF415D"/>
    <w:rsid w:val="00DF4913"/>
    <w:rsid w:val="00DF4C3E"/>
    <w:rsid w:val="00DF4E22"/>
    <w:rsid w:val="00DF4F60"/>
    <w:rsid w:val="00DF50B7"/>
    <w:rsid w:val="00DF577B"/>
    <w:rsid w:val="00DF5A84"/>
    <w:rsid w:val="00DF5F0C"/>
    <w:rsid w:val="00DF60CC"/>
    <w:rsid w:val="00DF621C"/>
    <w:rsid w:val="00DF632F"/>
    <w:rsid w:val="00DF6748"/>
    <w:rsid w:val="00DF681D"/>
    <w:rsid w:val="00DF68B9"/>
    <w:rsid w:val="00DF6ED9"/>
    <w:rsid w:val="00DF702F"/>
    <w:rsid w:val="00DF70CB"/>
    <w:rsid w:val="00DF7349"/>
    <w:rsid w:val="00DF7851"/>
    <w:rsid w:val="00DF7CE5"/>
    <w:rsid w:val="00DF7F3F"/>
    <w:rsid w:val="00E000B5"/>
    <w:rsid w:val="00E00616"/>
    <w:rsid w:val="00E0065F"/>
    <w:rsid w:val="00E00C75"/>
    <w:rsid w:val="00E00C7D"/>
    <w:rsid w:val="00E00D09"/>
    <w:rsid w:val="00E00F36"/>
    <w:rsid w:val="00E00F4C"/>
    <w:rsid w:val="00E0108D"/>
    <w:rsid w:val="00E01228"/>
    <w:rsid w:val="00E01988"/>
    <w:rsid w:val="00E01B44"/>
    <w:rsid w:val="00E01C8D"/>
    <w:rsid w:val="00E01D1D"/>
    <w:rsid w:val="00E0288B"/>
    <w:rsid w:val="00E02892"/>
    <w:rsid w:val="00E02A35"/>
    <w:rsid w:val="00E02CF0"/>
    <w:rsid w:val="00E02D6B"/>
    <w:rsid w:val="00E0301C"/>
    <w:rsid w:val="00E035D9"/>
    <w:rsid w:val="00E03772"/>
    <w:rsid w:val="00E039EE"/>
    <w:rsid w:val="00E03A03"/>
    <w:rsid w:val="00E03B94"/>
    <w:rsid w:val="00E03E3C"/>
    <w:rsid w:val="00E04381"/>
    <w:rsid w:val="00E043DA"/>
    <w:rsid w:val="00E04622"/>
    <w:rsid w:val="00E04624"/>
    <w:rsid w:val="00E04DA5"/>
    <w:rsid w:val="00E051E3"/>
    <w:rsid w:val="00E054BE"/>
    <w:rsid w:val="00E0605F"/>
    <w:rsid w:val="00E060DE"/>
    <w:rsid w:val="00E0611F"/>
    <w:rsid w:val="00E0624E"/>
    <w:rsid w:val="00E06588"/>
    <w:rsid w:val="00E06589"/>
    <w:rsid w:val="00E0671F"/>
    <w:rsid w:val="00E06F00"/>
    <w:rsid w:val="00E0713A"/>
    <w:rsid w:val="00E072EF"/>
    <w:rsid w:val="00E07477"/>
    <w:rsid w:val="00E07842"/>
    <w:rsid w:val="00E07D83"/>
    <w:rsid w:val="00E07FC4"/>
    <w:rsid w:val="00E10095"/>
    <w:rsid w:val="00E10249"/>
    <w:rsid w:val="00E1024D"/>
    <w:rsid w:val="00E1050B"/>
    <w:rsid w:val="00E107C8"/>
    <w:rsid w:val="00E107D1"/>
    <w:rsid w:val="00E108A7"/>
    <w:rsid w:val="00E10E7B"/>
    <w:rsid w:val="00E11059"/>
    <w:rsid w:val="00E110A1"/>
    <w:rsid w:val="00E11127"/>
    <w:rsid w:val="00E11189"/>
    <w:rsid w:val="00E1138B"/>
    <w:rsid w:val="00E114BD"/>
    <w:rsid w:val="00E1155F"/>
    <w:rsid w:val="00E1177B"/>
    <w:rsid w:val="00E11AED"/>
    <w:rsid w:val="00E11DB4"/>
    <w:rsid w:val="00E12360"/>
    <w:rsid w:val="00E123E8"/>
    <w:rsid w:val="00E12446"/>
    <w:rsid w:val="00E12905"/>
    <w:rsid w:val="00E12C7A"/>
    <w:rsid w:val="00E12E14"/>
    <w:rsid w:val="00E136E3"/>
    <w:rsid w:val="00E137FE"/>
    <w:rsid w:val="00E13BD9"/>
    <w:rsid w:val="00E14040"/>
    <w:rsid w:val="00E14815"/>
    <w:rsid w:val="00E14F94"/>
    <w:rsid w:val="00E151BD"/>
    <w:rsid w:val="00E152A8"/>
    <w:rsid w:val="00E15410"/>
    <w:rsid w:val="00E15469"/>
    <w:rsid w:val="00E158C0"/>
    <w:rsid w:val="00E15B0D"/>
    <w:rsid w:val="00E15DF1"/>
    <w:rsid w:val="00E15E7C"/>
    <w:rsid w:val="00E15EFC"/>
    <w:rsid w:val="00E16571"/>
    <w:rsid w:val="00E1668C"/>
    <w:rsid w:val="00E16A41"/>
    <w:rsid w:val="00E16AC6"/>
    <w:rsid w:val="00E16C69"/>
    <w:rsid w:val="00E16D9C"/>
    <w:rsid w:val="00E173FD"/>
    <w:rsid w:val="00E17632"/>
    <w:rsid w:val="00E17A66"/>
    <w:rsid w:val="00E17C18"/>
    <w:rsid w:val="00E200FD"/>
    <w:rsid w:val="00E20240"/>
    <w:rsid w:val="00E208A8"/>
    <w:rsid w:val="00E20CF0"/>
    <w:rsid w:val="00E20FA8"/>
    <w:rsid w:val="00E212F6"/>
    <w:rsid w:val="00E214FA"/>
    <w:rsid w:val="00E21A9D"/>
    <w:rsid w:val="00E21EFE"/>
    <w:rsid w:val="00E220B4"/>
    <w:rsid w:val="00E223E7"/>
    <w:rsid w:val="00E22496"/>
    <w:rsid w:val="00E22805"/>
    <w:rsid w:val="00E228DA"/>
    <w:rsid w:val="00E22A0F"/>
    <w:rsid w:val="00E22E64"/>
    <w:rsid w:val="00E22E97"/>
    <w:rsid w:val="00E22EE8"/>
    <w:rsid w:val="00E23017"/>
    <w:rsid w:val="00E230B4"/>
    <w:rsid w:val="00E233F7"/>
    <w:rsid w:val="00E2371B"/>
    <w:rsid w:val="00E23724"/>
    <w:rsid w:val="00E2397A"/>
    <w:rsid w:val="00E2399E"/>
    <w:rsid w:val="00E23B68"/>
    <w:rsid w:val="00E23CC6"/>
    <w:rsid w:val="00E247DC"/>
    <w:rsid w:val="00E24938"/>
    <w:rsid w:val="00E24BB9"/>
    <w:rsid w:val="00E24D47"/>
    <w:rsid w:val="00E2500A"/>
    <w:rsid w:val="00E253EF"/>
    <w:rsid w:val="00E25417"/>
    <w:rsid w:val="00E2542E"/>
    <w:rsid w:val="00E25649"/>
    <w:rsid w:val="00E258C8"/>
    <w:rsid w:val="00E259A9"/>
    <w:rsid w:val="00E25AEB"/>
    <w:rsid w:val="00E262C7"/>
    <w:rsid w:val="00E2652C"/>
    <w:rsid w:val="00E26577"/>
    <w:rsid w:val="00E2660C"/>
    <w:rsid w:val="00E26C9A"/>
    <w:rsid w:val="00E26E58"/>
    <w:rsid w:val="00E26ED2"/>
    <w:rsid w:val="00E27348"/>
    <w:rsid w:val="00E2734B"/>
    <w:rsid w:val="00E27550"/>
    <w:rsid w:val="00E276BA"/>
    <w:rsid w:val="00E27737"/>
    <w:rsid w:val="00E27775"/>
    <w:rsid w:val="00E27A55"/>
    <w:rsid w:val="00E27A88"/>
    <w:rsid w:val="00E27AD4"/>
    <w:rsid w:val="00E27AFF"/>
    <w:rsid w:val="00E301C9"/>
    <w:rsid w:val="00E3026A"/>
    <w:rsid w:val="00E305EE"/>
    <w:rsid w:val="00E30622"/>
    <w:rsid w:val="00E3064E"/>
    <w:rsid w:val="00E30C6C"/>
    <w:rsid w:val="00E311D2"/>
    <w:rsid w:val="00E313E0"/>
    <w:rsid w:val="00E3160A"/>
    <w:rsid w:val="00E316AB"/>
    <w:rsid w:val="00E316F7"/>
    <w:rsid w:val="00E318F8"/>
    <w:rsid w:val="00E319E9"/>
    <w:rsid w:val="00E31A08"/>
    <w:rsid w:val="00E31B73"/>
    <w:rsid w:val="00E31BA2"/>
    <w:rsid w:val="00E31C5D"/>
    <w:rsid w:val="00E31CA2"/>
    <w:rsid w:val="00E321C5"/>
    <w:rsid w:val="00E32222"/>
    <w:rsid w:val="00E3251A"/>
    <w:rsid w:val="00E32C56"/>
    <w:rsid w:val="00E32DB8"/>
    <w:rsid w:val="00E32ED0"/>
    <w:rsid w:val="00E331B5"/>
    <w:rsid w:val="00E33273"/>
    <w:rsid w:val="00E335D1"/>
    <w:rsid w:val="00E33758"/>
    <w:rsid w:val="00E33866"/>
    <w:rsid w:val="00E339CB"/>
    <w:rsid w:val="00E33BEB"/>
    <w:rsid w:val="00E33C88"/>
    <w:rsid w:val="00E33D5D"/>
    <w:rsid w:val="00E33E65"/>
    <w:rsid w:val="00E3420D"/>
    <w:rsid w:val="00E3442B"/>
    <w:rsid w:val="00E344B6"/>
    <w:rsid w:val="00E345E9"/>
    <w:rsid w:val="00E346D2"/>
    <w:rsid w:val="00E34A1B"/>
    <w:rsid w:val="00E34A8D"/>
    <w:rsid w:val="00E34AB7"/>
    <w:rsid w:val="00E34C31"/>
    <w:rsid w:val="00E34EFD"/>
    <w:rsid w:val="00E354A4"/>
    <w:rsid w:val="00E35677"/>
    <w:rsid w:val="00E35703"/>
    <w:rsid w:val="00E35837"/>
    <w:rsid w:val="00E35DFE"/>
    <w:rsid w:val="00E35FEA"/>
    <w:rsid w:val="00E362D6"/>
    <w:rsid w:val="00E36555"/>
    <w:rsid w:val="00E366A0"/>
    <w:rsid w:val="00E366B1"/>
    <w:rsid w:val="00E368F8"/>
    <w:rsid w:val="00E36953"/>
    <w:rsid w:val="00E36B1E"/>
    <w:rsid w:val="00E3734D"/>
    <w:rsid w:val="00E37857"/>
    <w:rsid w:val="00E37FDE"/>
    <w:rsid w:val="00E3D857"/>
    <w:rsid w:val="00E4017B"/>
    <w:rsid w:val="00E4041A"/>
    <w:rsid w:val="00E404D2"/>
    <w:rsid w:val="00E40579"/>
    <w:rsid w:val="00E408A5"/>
    <w:rsid w:val="00E40CEB"/>
    <w:rsid w:val="00E40F82"/>
    <w:rsid w:val="00E41370"/>
    <w:rsid w:val="00E4148A"/>
    <w:rsid w:val="00E41924"/>
    <w:rsid w:val="00E41B85"/>
    <w:rsid w:val="00E41CB7"/>
    <w:rsid w:val="00E41D00"/>
    <w:rsid w:val="00E4235C"/>
    <w:rsid w:val="00E42414"/>
    <w:rsid w:val="00E42641"/>
    <w:rsid w:val="00E42736"/>
    <w:rsid w:val="00E42B72"/>
    <w:rsid w:val="00E42BF6"/>
    <w:rsid w:val="00E42D1C"/>
    <w:rsid w:val="00E43184"/>
    <w:rsid w:val="00E43226"/>
    <w:rsid w:val="00E43F3B"/>
    <w:rsid w:val="00E4405C"/>
    <w:rsid w:val="00E442B9"/>
    <w:rsid w:val="00E444A1"/>
    <w:rsid w:val="00E444B6"/>
    <w:rsid w:val="00E44724"/>
    <w:rsid w:val="00E44AD6"/>
    <w:rsid w:val="00E44E61"/>
    <w:rsid w:val="00E4585E"/>
    <w:rsid w:val="00E45988"/>
    <w:rsid w:val="00E45F90"/>
    <w:rsid w:val="00E4610E"/>
    <w:rsid w:val="00E46678"/>
    <w:rsid w:val="00E46A9E"/>
    <w:rsid w:val="00E46CD5"/>
    <w:rsid w:val="00E47128"/>
    <w:rsid w:val="00E47713"/>
    <w:rsid w:val="00E47F9A"/>
    <w:rsid w:val="00E50096"/>
    <w:rsid w:val="00E500B7"/>
    <w:rsid w:val="00E50288"/>
    <w:rsid w:val="00E503EA"/>
    <w:rsid w:val="00E505BC"/>
    <w:rsid w:val="00E508D7"/>
    <w:rsid w:val="00E50CA3"/>
    <w:rsid w:val="00E51379"/>
    <w:rsid w:val="00E518D7"/>
    <w:rsid w:val="00E519B4"/>
    <w:rsid w:val="00E51A31"/>
    <w:rsid w:val="00E51DE6"/>
    <w:rsid w:val="00E51DF4"/>
    <w:rsid w:val="00E51EAE"/>
    <w:rsid w:val="00E52143"/>
    <w:rsid w:val="00E5257B"/>
    <w:rsid w:val="00E525BB"/>
    <w:rsid w:val="00E527C3"/>
    <w:rsid w:val="00E52B9D"/>
    <w:rsid w:val="00E52D70"/>
    <w:rsid w:val="00E52E27"/>
    <w:rsid w:val="00E52E51"/>
    <w:rsid w:val="00E531D2"/>
    <w:rsid w:val="00E53353"/>
    <w:rsid w:val="00E5337A"/>
    <w:rsid w:val="00E53691"/>
    <w:rsid w:val="00E537D6"/>
    <w:rsid w:val="00E5385D"/>
    <w:rsid w:val="00E53A4D"/>
    <w:rsid w:val="00E5403B"/>
    <w:rsid w:val="00E5426F"/>
    <w:rsid w:val="00E543F8"/>
    <w:rsid w:val="00E5445F"/>
    <w:rsid w:val="00E544B8"/>
    <w:rsid w:val="00E5453F"/>
    <w:rsid w:val="00E5485A"/>
    <w:rsid w:val="00E54A3E"/>
    <w:rsid w:val="00E54E29"/>
    <w:rsid w:val="00E553A1"/>
    <w:rsid w:val="00E55964"/>
    <w:rsid w:val="00E55D3F"/>
    <w:rsid w:val="00E55D5C"/>
    <w:rsid w:val="00E563AF"/>
    <w:rsid w:val="00E56702"/>
    <w:rsid w:val="00E569F7"/>
    <w:rsid w:val="00E56D5C"/>
    <w:rsid w:val="00E57171"/>
    <w:rsid w:val="00E572B2"/>
    <w:rsid w:val="00E57583"/>
    <w:rsid w:val="00E57611"/>
    <w:rsid w:val="00E57840"/>
    <w:rsid w:val="00E60301"/>
    <w:rsid w:val="00E6057F"/>
    <w:rsid w:val="00E6059B"/>
    <w:rsid w:val="00E607D7"/>
    <w:rsid w:val="00E608E7"/>
    <w:rsid w:val="00E60942"/>
    <w:rsid w:val="00E60A4F"/>
    <w:rsid w:val="00E60C35"/>
    <w:rsid w:val="00E60F57"/>
    <w:rsid w:val="00E61115"/>
    <w:rsid w:val="00E61273"/>
    <w:rsid w:val="00E61283"/>
    <w:rsid w:val="00E613AB"/>
    <w:rsid w:val="00E61689"/>
    <w:rsid w:val="00E6195A"/>
    <w:rsid w:val="00E61A0A"/>
    <w:rsid w:val="00E61AF9"/>
    <w:rsid w:val="00E61BED"/>
    <w:rsid w:val="00E61C25"/>
    <w:rsid w:val="00E621E6"/>
    <w:rsid w:val="00E6224A"/>
    <w:rsid w:val="00E62364"/>
    <w:rsid w:val="00E623F7"/>
    <w:rsid w:val="00E625E9"/>
    <w:rsid w:val="00E628F5"/>
    <w:rsid w:val="00E62CCC"/>
    <w:rsid w:val="00E6364E"/>
    <w:rsid w:val="00E63779"/>
    <w:rsid w:val="00E640B1"/>
    <w:rsid w:val="00E6453A"/>
    <w:rsid w:val="00E645B7"/>
    <w:rsid w:val="00E64A7F"/>
    <w:rsid w:val="00E64A9C"/>
    <w:rsid w:val="00E64B30"/>
    <w:rsid w:val="00E64D1D"/>
    <w:rsid w:val="00E65108"/>
    <w:rsid w:val="00E6521C"/>
    <w:rsid w:val="00E652B7"/>
    <w:rsid w:val="00E6557F"/>
    <w:rsid w:val="00E65694"/>
    <w:rsid w:val="00E65C31"/>
    <w:rsid w:val="00E66098"/>
    <w:rsid w:val="00E66224"/>
    <w:rsid w:val="00E66340"/>
    <w:rsid w:val="00E664D4"/>
    <w:rsid w:val="00E66B41"/>
    <w:rsid w:val="00E66C61"/>
    <w:rsid w:val="00E66FFB"/>
    <w:rsid w:val="00E67811"/>
    <w:rsid w:val="00E67C52"/>
    <w:rsid w:val="00E70180"/>
    <w:rsid w:val="00E7048E"/>
    <w:rsid w:val="00E704C7"/>
    <w:rsid w:val="00E70990"/>
    <w:rsid w:val="00E70B58"/>
    <w:rsid w:val="00E71377"/>
    <w:rsid w:val="00E71A7D"/>
    <w:rsid w:val="00E71A89"/>
    <w:rsid w:val="00E71B28"/>
    <w:rsid w:val="00E71F0A"/>
    <w:rsid w:val="00E72294"/>
    <w:rsid w:val="00E72564"/>
    <w:rsid w:val="00E72667"/>
    <w:rsid w:val="00E72A5D"/>
    <w:rsid w:val="00E72BA8"/>
    <w:rsid w:val="00E72C7F"/>
    <w:rsid w:val="00E72F34"/>
    <w:rsid w:val="00E73015"/>
    <w:rsid w:val="00E73201"/>
    <w:rsid w:val="00E73B0B"/>
    <w:rsid w:val="00E73E20"/>
    <w:rsid w:val="00E73E24"/>
    <w:rsid w:val="00E73E4F"/>
    <w:rsid w:val="00E7439F"/>
    <w:rsid w:val="00E7497B"/>
    <w:rsid w:val="00E74CCC"/>
    <w:rsid w:val="00E74DD1"/>
    <w:rsid w:val="00E74F32"/>
    <w:rsid w:val="00E7525A"/>
    <w:rsid w:val="00E75314"/>
    <w:rsid w:val="00E7551F"/>
    <w:rsid w:val="00E75696"/>
    <w:rsid w:val="00E761F3"/>
    <w:rsid w:val="00E76242"/>
    <w:rsid w:val="00E765A1"/>
    <w:rsid w:val="00E7663E"/>
    <w:rsid w:val="00E7692D"/>
    <w:rsid w:val="00E76B5A"/>
    <w:rsid w:val="00E76B61"/>
    <w:rsid w:val="00E76CE2"/>
    <w:rsid w:val="00E76F2E"/>
    <w:rsid w:val="00E774DC"/>
    <w:rsid w:val="00E7751B"/>
    <w:rsid w:val="00E77636"/>
    <w:rsid w:val="00E776C4"/>
    <w:rsid w:val="00E777F1"/>
    <w:rsid w:val="00E77934"/>
    <w:rsid w:val="00E77962"/>
    <w:rsid w:val="00E77AC3"/>
    <w:rsid w:val="00E77D46"/>
    <w:rsid w:val="00E77D6D"/>
    <w:rsid w:val="00E806A9"/>
    <w:rsid w:val="00E80861"/>
    <w:rsid w:val="00E80C69"/>
    <w:rsid w:val="00E80D1C"/>
    <w:rsid w:val="00E810F6"/>
    <w:rsid w:val="00E811F3"/>
    <w:rsid w:val="00E8149D"/>
    <w:rsid w:val="00E81559"/>
    <w:rsid w:val="00E81C5C"/>
    <w:rsid w:val="00E81DCC"/>
    <w:rsid w:val="00E81E17"/>
    <w:rsid w:val="00E81E2B"/>
    <w:rsid w:val="00E82095"/>
    <w:rsid w:val="00E82136"/>
    <w:rsid w:val="00E8224E"/>
    <w:rsid w:val="00E8247B"/>
    <w:rsid w:val="00E8267C"/>
    <w:rsid w:val="00E82680"/>
    <w:rsid w:val="00E827A4"/>
    <w:rsid w:val="00E827C0"/>
    <w:rsid w:val="00E82805"/>
    <w:rsid w:val="00E82A79"/>
    <w:rsid w:val="00E82C2E"/>
    <w:rsid w:val="00E82FE2"/>
    <w:rsid w:val="00E832E6"/>
    <w:rsid w:val="00E83510"/>
    <w:rsid w:val="00E83AAD"/>
    <w:rsid w:val="00E8405A"/>
    <w:rsid w:val="00E840A5"/>
    <w:rsid w:val="00E843E3"/>
    <w:rsid w:val="00E84507"/>
    <w:rsid w:val="00E84718"/>
    <w:rsid w:val="00E84736"/>
    <w:rsid w:val="00E8489F"/>
    <w:rsid w:val="00E84A44"/>
    <w:rsid w:val="00E84D0C"/>
    <w:rsid w:val="00E84DEF"/>
    <w:rsid w:val="00E8527F"/>
    <w:rsid w:val="00E852D5"/>
    <w:rsid w:val="00E858A9"/>
    <w:rsid w:val="00E85B11"/>
    <w:rsid w:val="00E85F7E"/>
    <w:rsid w:val="00E85FEA"/>
    <w:rsid w:val="00E86908"/>
    <w:rsid w:val="00E86CAC"/>
    <w:rsid w:val="00E86CDC"/>
    <w:rsid w:val="00E86DFE"/>
    <w:rsid w:val="00E872D9"/>
    <w:rsid w:val="00E87729"/>
    <w:rsid w:val="00E877F1"/>
    <w:rsid w:val="00E87885"/>
    <w:rsid w:val="00E8789A"/>
    <w:rsid w:val="00E878A1"/>
    <w:rsid w:val="00E87ED0"/>
    <w:rsid w:val="00E87F4D"/>
    <w:rsid w:val="00E900C3"/>
    <w:rsid w:val="00E9045A"/>
    <w:rsid w:val="00E90B60"/>
    <w:rsid w:val="00E90BD7"/>
    <w:rsid w:val="00E913EE"/>
    <w:rsid w:val="00E91E08"/>
    <w:rsid w:val="00E92084"/>
    <w:rsid w:val="00E922BB"/>
    <w:rsid w:val="00E927A8"/>
    <w:rsid w:val="00E92EB2"/>
    <w:rsid w:val="00E92F11"/>
    <w:rsid w:val="00E93164"/>
    <w:rsid w:val="00E935F9"/>
    <w:rsid w:val="00E93F73"/>
    <w:rsid w:val="00E9464D"/>
    <w:rsid w:val="00E94C0C"/>
    <w:rsid w:val="00E94CBF"/>
    <w:rsid w:val="00E94F0F"/>
    <w:rsid w:val="00E94F20"/>
    <w:rsid w:val="00E9504B"/>
    <w:rsid w:val="00E95073"/>
    <w:rsid w:val="00E95156"/>
    <w:rsid w:val="00E9522A"/>
    <w:rsid w:val="00E957E3"/>
    <w:rsid w:val="00E9592B"/>
    <w:rsid w:val="00E95A43"/>
    <w:rsid w:val="00E95CE3"/>
    <w:rsid w:val="00E95EBA"/>
    <w:rsid w:val="00E9608A"/>
    <w:rsid w:val="00E96215"/>
    <w:rsid w:val="00E96555"/>
    <w:rsid w:val="00E9669C"/>
    <w:rsid w:val="00E9676D"/>
    <w:rsid w:val="00E9684A"/>
    <w:rsid w:val="00E96E67"/>
    <w:rsid w:val="00E974C7"/>
    <w:rsid w:val="00E9761B"/>
    <w:rsid w:val="00E97831"/>
    <w:rsid w:val="00E97B8A"/>
    <w:rsid w:val="00EA0141"/>
    <w:rsid w:val="00EA021F"/>
    <w:rsid w:val="00EA0674"/>
    <w:rsid w:val="00EA079B"/>
    <w:rsid w:val="00EA097C"/>
    <w:rsid w:val="00EA0A05"/>
    <w:rsid w:val="00EA0A9E"/>
    <w:rsid w:val="00EA0FB3"/>
    <w:rsid w:val="00EA1013"/>
    <w:rsid w:val="00EA1121"/>
    <w:rsid w:val="00EA1325"/>
    <w:rsid w:val="00EA140C"/>
    <w:rsid w:val="00EA1702"/>
    <w:rsid w:val="00EA1A24"/>
    <w:rsid w:val="00EA1B63"/>
    <w:rsid w:val="00EA21E1"/>
    <w:rsid w:val="00EA24B7"/>
    <w:rsid w:val="00EA2822"/>
    <w:rsid w:val="00EA343F"/>
    <w:rsid w:val="00EA38F9"/>
    <w:rsid w:val="00EA39D9"/>
    <w:rsid w:val="00EA39E6"/>
    <w:rsid w:val="00EA3CCA"/>
    <w:rsid w:val="00EA40F2"/>
    <w:rsid w:val="00EA4317"/>
    <w:rsid w:val="00EA4606"/>
    <w:rsid w:val="00EA46B3"/>
    <w:rsid w:val="00EA47F6"/>
    <w:rsid w:val="00EA4C83"/>
    <w:rsid w:val="00EA4FDA"/>
    <w:rsid w:val="00EA56AE"/>
    <w:rsid w:val="00EA57C7"/>
    <w:rsid w:val="00EA5B27"/>
    <w:rsid w:val="00EA5BB6"/>
    <w:rsid w:val="00EA653D"/>
    <w:rsid w:val="00EA6692"/>
    <w:rsid w:val="00EA68C9"/>
    <w:rsid w:val="00EA6991"/>
    <w:rsid w:val="00EA6A20"/>
    <w:rsid w:val="00EA6C7E"/>
    <w:rsid w:val="00EA76AA"/>
    <w:rsid w:val="00EA7908"/>
    <w:rsid w:val="00EA7CD6"/>
    <w:rsid w:val="00EB0240"/>
    <w:rsid w:val="00EB0506"/>
    <w:rsid w:val="00EB08F2"/>
    <w:rsid w:val="00EB1049"/>
    <w:rsid w:val="00EB105E"/>
    <w:rsid w:val="00EB13FA"/>
    <w:rsid w:val="00EB16A5"/>
    <w:rsid w:val="00EB1AFB"/>
    <w:rsid w:val="00EB1DC7"/>
    <w:rsid w:val="00EB1FD4"/>
    <w:rsid w:val="00EB20EC"/>
    <w:rsid w:val="00EB21E4"/>
    <w:rsid w:val="00EB2884"/>
    <w:rsid w:val="00EB2902"/>
    <w:rsid w:val="00EB2EF0"/>
    <w:rsid w:val="00EB30BC"/>
    <w:rsid w:val="00EB333E"/>
    <w:rsid w:val="00EB35BA"/>
    <w:rsid w:val="00EB35E7"/>
    <w:rsid w:val="00EB3CAF"/>
    <w:rsid w:val="00EB408C"/>
    <w:rsid w:val="00EB466B"/>
    <w:rsid w:val="00EB4684"/>
    <w:rsid w:val="00EB48BA"/>
    <w:rsid w:val="00EB4909"/>
    <w:rsid w:val="00EB4935"/>
    <w:rsid w:val="00EB49AA"/>
    <w:rsid w:val="00EB4D96"/>
    <w:rsid w:val="00EB5084"/>
    <w:rsid w:val="00EB51D5"/>
    <w:rsid w:val="00EB52BC"/>
    <w:rsid w:val="00EB52F7"/>
    <w:rsid w:val="00EB554B"/>
    <w:rsid w:val="00EB56BD"/>
    <w:rsid w:val="00EB59DD"/>
    <w:rsid w:val="00EB59E2"/>
    <w:rsid w:val="00EB5AA2"/>
    <w:rsid w:val="00EB5D2F"/>
    <w:rsid w:val="00EB6454"/>
    <w:rsid w:val="00EB656A"/>
    <w:rsid w:val="00EB6601"/>
    <w:rsid w:val="00EB6896"/>
    <w:rsid w:val="00EB6D11"/>
    <w:rsid w:val="00EB6E5D"/>
    <w:rsid w:val="00EB6ED6"/>
    <w:rsid w:val="00EB70A7"/>
    <w:rsid w:val="00EB7360"/>
    <w:rsid w:val="00EB75C9"/>
    <w:rsid w:val="00EB799F"/>
    <w:rsid w:val="00EB7A03"/>
    <w:rsid w:val="00EC004F"/>
    <w:rsid w:val="00EC019E"/>
    <w:rsid w:val="00EC028E"/>
    <w:rsid w:val="00EC04D9"/>
    <w:rsid w:val="00EC04F4"/>
    <w:rsid w:val="00EC0D6B"/>
    <w:rsid w:val="00EC122D"/>
    <w:rsid w:val="00EC1BD8"/>
    <w:rsid w:val="00EC1C4A"/>
    <w:rsid w:val="00EC1E06"/>
    <w:rsid w:val="00EC231A"/>
    <w:rsid w:val="00EC2587"/>
    <w:rsid w:val="00EC27A5"/>
    <w:rsid w:val="00EC27BB"/>
    <w:rsid w:val="00EC27F9"/>
    <w:rsid w:val="00EC2AED"/>
    <w:rsid w:val="00EC3078"/>
    <w:rsid w:val="00EC31C5"/>
    <w:rsid w:val="00EC31DE"/>
    <w:rsid w:val="00EC3237"/>
    <w:rsid w:val="00EC3C69"/>
    <w:rsid w:val="00EC445B"/>
    <w:rsid w:val="00EC47D2"/>
    <w:rsid w:val="00EC4968"/>
    <w:rsid w:val="00EC4C73"/>
    <w:rsid w:val="00EC4E23"/>
    <w:rsid w:val="00EC4EF8"/>
    <w:rsid w:val="00EC4FE5"/>
    <w:rsid w:val="00EC5900"/>
    <w:rsid w:val="00EC5CDA"/>
    <w:rsid w:val="00EC5E34"/>
    <w:rsid w:val="00EC5F57"/>
    <w:rsid w:val="00EC5FAE"/>
    <w:rsid w:val="00EC654F"/>
    <w:rsid w:val="00EC65A5"/>
    <w:rsid w:val="00EC66FA"/>
    <w:rsid w:val="00EC6725"/>
    <w:rsid w:val="00EC68F2"/>
    <w:rsid w:val="00EC69B3"/>
    <w:rsid w:val="00EC6A99"/>
    <w:rsid w:val="00EC6AAD"/>
    <w:rsid w:val="00EC6B87"/>
    <w:rsid w:val="00EC6E32"/>
    <w:rsid w:val="00EC6EE6"/>
    <w:rsid w:val="00EC72D8"/>
    <w:rsid w:val="00EC7384"/>
    <w:rsid w:val="00EC76BE"/>
    <w:rsid w:val="00EC7759"/>
    <w:rsid w:val="00EC7787"/>
    <w:rsid w:val="00EC7944"/>
    <w:rsid w:val="00EC7D82"/>
    <w:rsid w:val="00EC7EB6"/>
    <w:rsid w:val="00ED019C"/>
    <w:rsid w:val="00ED080E"/>
    <w:rsid w:val="00ED0DF7"/>
    <w:rsid w:val="00ED10AD"/>
    <w:rsid w:val="00ED141F"/>
    <w:rsid w:val="00ED17FC"/>
    <w:rsid w:val="00ED180C"/>
    <w:rsid w:val="00ED194C"/>
    <w:rsid w:val="00ED1FCE"/>
    <w:rsid w:val="00ED209D"/>
    <w:rsid w:val="00ED2B19"/>
    <w:rsid w:val="00ED2DAD"/>
    <w:rsid w:val="00ED2ED2"/>
    <w:rsid w:val="00ED2F80"/>
    <w:rsid w:val="00ED32BD"/>
    <w:rsid w:val="00ED36E1"/>
    <w:rsid w:val="00ED3C32"/>
    <w:rsid w:val="00ED4058"/>
    <w:rsid w:val="00ED4278"/>
    <w:rsid w:val="00ED4539"/>
    <w:rsid w:val="00ED4841"/>
    <w:rsid w:val="00ED49D5"/>
    <w:rsid w:val="00ED4CA7"/>
    <w:rsid w:val="00ED4CF7"/>
    <w:rsid w:val="00ED4F48"/>
    <w:rsid w:val="00ED517C"/>
    <w:rsid w:val="00ED5436"/>
    <w:rsid w:val="00ED5506"/>
    <w:rsid w:val="00ED55D6"/>
    <w:rsid w:val="00ED57FC"/>
    <w:rsid w:val="00ED5C65"/>
    <w:rsid w:val="00ED5E32"/>
    <w:rsid w:val="00ED5F13"/>
    <w:rsid w:val="00ED60B4"/>
    <w:rsid w:val="00ED6374"/>
    <w:rsid w:val="00ED6D6C"/>
    <w:rsid w:val="00ED6F94"/>
    <w:rsid w:val="00ED70A5"/>
    <w:rsid w:val="00ED710B"/>
    <w:rsid w:val="00ED7113"/>
    <w:rsid w:val="00ED7B8F"/>
    <w:rsid w:val="00EE011B"/>
    <w:rsid w:val="00EE0183"/>
    <w:rsid w:val="00EE0335"/>
    <w:rsid w:val="00EE04BD"/>
    <w:rsid w:val="00EE0771"/>
    <w:rsid w:val="00EE0805"/>
    <w:rsid w:val="00EE0B1C"/>
    <w:rsid w:val="00EE0BAE"/>
    <w:rsid w:val="00EE0BB3"/>
    <w:rsid w:val="00EE0C0D"/>
    <w:rsid w:val="00EE0CA7"/>
    <w:rsid w:val="00EE0E0A"/>
    <w:rsid w:val="00EE11FC"/>
    <w:rsid w:val="00EE1325"/>
    <w:rsid w:val="00EE1381"/>
    <w:rsid w:val="00EE1581"/>
    <w:rsid w:val="00EE1A37"/>
    <w:rsid w:val="00EE1E93"/>
    <w:rsid w:val="00EE1EEF"/>
    <w:rsid w:val="00EE1FA3"/>
    <w:rsid w:val="00EE21A0"/>
    <w:rsid w:val="00EE23B2"/>
    <w:rsid w:val="00EE2575"/>
    <w:rsid w:val="00EE274E"/>
    <w:rsid w:val="00EE28B2"/>
    <w:rsid w:val="00EE29BE"/>
    <w:rsid w:val="00EE2C8E"/>
    <w:rsid w:val="00EE2F4D"/>
    <w:rsid w:val="00EE3544"/>
    <w:rsid w:val="00EE36C8"/>
    <w:rsid w:val="00EE392A"/>
    <w:rsid w:val="00EE3D1A"/>
    <w:rsid w:val="00EE3D5F"/>
    <w:rsid w:val="00EE3E33"/>
    <w:rsid w:val="00EE3FBA"/>
    <w:rsid w:val="00EE41C1"/>
    <w:rsid w:val="00EE483C"/>
    <w:rsid w:val="00EE4978"/>
    <w:rsid w:val="00EE4A68"/>
    <w:rsid w:val="00EE4C27"/>
    <w:rsid w:val="00EE4C90"/>
    <w:rsid w:val="00EE4D3A"/>
    <w:rsid w:val="00EE4F3E"/>
    <w:rsid w:val="00EE5249"/>
    <w:rsid w:val="00EE528A"/>
    <w:rsid w:val="00EE5696"/>
    <w:rsid w:val="00EE5745"/>
    <w:rsid w:val="00EE5BE1"/>
    <w:rsid w:val="00EE5F4D"/>
    <w:rsid w:val="00EE6194"/>
    <w:rsid w:val="00EE66BD"/>
    <w:rsid w:val="00EE687E"/>
    <w:rsid w:val="00EE6BDC"/>
    <w:rsid w:val="00EE6D41"/>
    <w:rsid w:val="00EF09FF"/>
    <w:rsid w:val="00EF0AAE"/>
    <w:rsid w:val="00EF0D55"/>
    <w:rsid w:val="00EF0E8E"/>
    <w:rsid w:val="00EF0ECA"/>
    <w:rsid w:val="00EF110C"/>
    <w:rsid w:val="00EF1384"/>
    <w:rsid w:val="00EF13C2"/>
    <w:rsid w:val="00EF14D7"/>
    <w:rsid w:val="00EF15F5"/>
    <w:rsid w:val="00EF19F3"/>
    <w:rsid w:val="00EF1A9D"/>
    <w:rsid w:val="00EF1DAD"/>
    <w:rsid w:val="00EF2295"/>
    <w:rsid w:val="00EF2769"/>
    <w:rsid w:val="00EF2957"/>
    <w:rsid w:val="00EF2F59"/>
    <w:rsid w:val="00EF2F7C"/>
    <w:rsid w:val="00EF30B3"/>
    <w:rsid w:val="00EF312A"/>
    <w:rsid w:val="00EF3494"/>
    <w:rsid w:val="00EF3514"/>
    <w:rsid w:val="00EF3516"/>
    <w:rsid w:val="00EF363D"/>
    <w:rsid w:val="00EF389B"/>
    <w:rsid w:val="00EF3978"/>
    <w:rsid w:val="00EF3F54"/>
    <w:rsid w:val="00EF40C0"/>
    <w:rsid w:val="00EF462A"/>
    <w:rsid w:val="00EF48EB"/>
    <w:rsid w:val="00EF4BB3"/>
    <w:rsid w:val="00EF4C9C"/>
    <w:rsid w:val="00EF4D68"/>
    <w:rsid w:val="00EF4FCF"/>
    <w:rsid w:val="00EF518F"/>
    <w:rsid w:val="00EF534A"/>
    <w:rsid w:val="00EF53F4"/>
    <w:rsid w:val="00EF57BD"/>
    <w:rsid w:val="00EF584F"/>
    <w:rsid w:val="00EF5BDE"/>
    <w:rsid w:val="00EF5C91"/>
    <w:rsid w:val="00EF5DD7"/>
    <w:rsid w:val="00EF600A"/>
    <w:rsid w:val="00EF6033"/>
    <w:rsid w:val="00EF6450"/>
    <w:rsid w:val="00EF64F3"/>
    <w:rsid w:val="00EF66CF"/>
    <w:rsid w:val="00EF6966"/>
    <w:rsid w:val="00EF6A6D"/>
    <w:rsid w:val="00EF7193"/>
    <w:rsid w:val="00EF72B4"/>
    <w:rsid w:val="00EF74AA"/>
    <w:rsid w:val="00EF76B5"/>
    <w:rsid w:val="00EF7836"/>
    <w:rsid w:val="00EF7BCD"/>
    <w:rsid w:val="00EF7BDB"/>
    <w:rsid w:val="00EF7D15"/>
    <w:rsid w:val="00EF7EC6"/>
    <w:rsid w:val="00EF7F69"/>
    <w:rsid w:val="00F00225"/>
    <w:rsid w:val="00F003EA"/>
    <w:rsid w:val="00F0044F"/>
    <w:rsid w:val="00F004B3"/>
    <w:rsid w:val="00F00766"/>
    <w:rsid w:val="00F0090D"/>
    <w:rsid w:val="00F00B32"/>
    <w:rsid w:val="00F00E3A"/>
    <w:rsid w:val="00F00EB5"/>
    <w:rsid w:val="00F00F34"/>
    <w:rsid w:val="00F0117C"/>
    <w:rsid w:val="00F014BB"/>
    <w:rsid w:val="00F01598"/>
    <w:rsid w:val="00F0176A"/>
    <w:rsid w:val="00F01963"/>
    <w:rsid w:val="00F01F74"/>
    <w:rsid w:val="00F01FEF"/>
    <w:rsid w:val="00F02B16"/>
    <w:rsid w:val="00F02C9A"/>
    <w:rsid w:val="00F02CBC"/>
    <w:rsid w:val="00F02E52"/>
    <w:rsid w:val="00F030A1"/>
    <w:rsid w:val="00F030A6"/>
    <w:rsid w:val="00F03670"/>
    <w:rsid w:val="00F0395B"/>
    <w:rsid w:val="00F03DFD"/>
    <w:rsid w:val="00F03F04"/>
    <w:rsid w:val="00F04327"/>
    <w:rsid w:val="00F04A3F"/>
    <w:rsid w:val="00F04DC2"/>
    <w:rsid w:val="00F04E58"/>
    <w:rsid w:val="00F04EC7"/>
    <w:rsid w:val="00F0523C"/>
    <w:rsid w:val="00F054E7"/>
    <w:rsid w:val="00F0590C"/>
    <w:rsid w:val="00F05A3E"/>
    <w:rsid w:val="00F05AF9"/>
    <w:rsid w:val="00F05B92"/>
    <w:rsid w:val="00F05D2E"/>
    <w:rsid w:val="00F05DFA"/>
    <w:rsid w:val="00F05F89"/>
    <w:rsid w:val="00F05FBB"/>
    <w:rsid w:val="00F067B4"/>
    <w:rsid w:val="00F06D7A"/>
    <w:rsid w:val="00F07010"/>
    <w:rsid w:val="00F0715E"/>
    <w:rsid w:val="00F0727E"/>
    <w:rsid w:val="00F073C1"/>
    <w:rsid w:val="00F07A17"/>
    <w:rsid w:val="00F07EB6"/>
    <w:rsid w:val="00F07FF2"/>
    <w:rsid w:val="00F100F8"/>
    <w:rsid w:val="00F10479"/>
    <w:rsid w:val="00F104F1"/>
    <w:rsid w:val="00F10675"/>
    <w:rsid w:val="00F1081E"/>
    <w:rsid w:val="00F1083B"/>
    <w:rsid w:val="00F108C7"/>
    <w:rsid w:val="00F10BA3"/>
    <w:rsid w:val="00F10F45"/>
    <w:rsid w:val="00F11087"/>
    <w:rsid w:val="00F113B0"/>
    <w:rsid w:val="00F11544"/>
    <w:rsid w:val="00F115EB"/>
    <w:rsid w:val="00F11827"/>
    <w:rsid w:val="00F118BD"/>
    <w:rsid w:val="00F11A5B"/>
    <w:rsid w:val="00F11CC8"/>
    <w:rsid w:val="00F1207A"/>
    <w:rsid w:val="00F12123"/>
    <w:rsid w:val="00F125EA"/>
    <w:rsid w:val="00F126AD"/>
    <w:rsid w:val="00F1320B"/>
    <w:rsid w:val="00F13762"/>
    <w:rsid w:val="00F13860"/>
    <w:rsid w:val="00F139F4"/>
    <w:rsid w:val="00F13A69"/>
    <w:rsid w:val="00F13C3C"/>
    <w:rsid w:val="00F13DFA"/>
    <w:rsid w:val="00F14F3C"/>
    <w:rsid w:val="00F15146"/>
    <w:rsid w:val="00F1565F"/>
    <w:rsid w:val="00F15AEF"/>
    <w:rsid w:val="00F15F08"/>
    <w:rsid w:val="00F163FB"/>
    <w:rsid w:val="00F164D7"/>
    <w:rsid w:val="00F169D9"/>
    <w:rsid w:val="00F16A65"/>
    <w:rsid w:val="00F16F3B"/>
    <w:rsid w:val="00F172F4"/>
    <w:rsid w:val="00F17C4A"/>
    <w:rsid w:val="00F17DCA"/>
    <w:rsid w:val="00F17F45"/>
    <w:rsid w:val="00F200C4"/>
    <w:rsid w:val="00F20270"/>
    <w:rsid w:val="00F209DA"/>
    <w:rsid w:val="00F215CB"/>
    <w:rsid w:val="00F215F4"/>
    <w:rsid w:val="00F2164E"/>
    <w:rsid w:val="00F21770"/>
    <w:rsid w:val="00F21787"/>
    <w:rsid w:val="00F21D65"/>
    <w:rsid w:val="00F21DB1"/>
    <w:rsid w:val="00F21F74"/>
    <w:rsid w:val="00F22049"/>
    <w:rsid w:val="00F22127"/>
    <w:rsid w:val="00F2219A"/>
    <w:rsid w:val="00F229CB"/>
    <w:rsid w:val="00F230AD"/>
    <w:rsid w:val="00F23423"/>
    <w:rsid w:val="00F23E92"/>
    <w:rsid w:val="00F23F48"/>
    <w:rsid w:val="00F240FE"/>
    <w:rsid w:val="00F2433E"/>
    <w:rsid w:val="00F24643"/>
    <w:rsid w:val="00F24B7F"/>
    <w:rsid w:val="00F24FE5"/>
    <w:rsid w:val="00F25045"/>
    <w:rsid w:val="00F2570B"/>
    <w:rsid w:val="00F257AA"/>
    <w:rsid w:val="00F25AB8"/>
    <w:rsid w:val="00F25B65"/>
    <w:rsid w:val="00F25E7A"/>
    <w:rsid w:val="00F261FD"/>
    <w:rsid w:val="00F263C6"/>
    <w:rsid w:val="00F2640E"/>
    <w:rsid w:val="00F264A5"/>
    <w:rsid w:val="00F26531"/>
    <w:rsid w:val="00F26670"/>
    <w:rsid w:val="00F269E6"/>
    <w:rsid w:val="00F26B69"/>
    <w:rsid w:val="00F26F0B"/>
    <w:rsid w:val="00F26FCC"/>
    <w:rsid w:val="00F27082"/>
    <w:rsid w:val="00F270CC"/>
    <w:rsid w:val="00F27185"/>
    <w:rsid w:val="00F27227"/>
    <w:rsid w:val="00F27238"/>
    <w:rsid w:val="00F27347"/>
    <w:rsid w:val="00F274AA"/>
    <w:rsid w:val="00F27839"/>
    <w:rsid w:val="00F27AFB"/>
    <w:rsid w:val="00F27BAB"/>
    <w:rsid w:val="00F27E6F"/>
    <w:rsid w:val="00F300F7"/>
    <w:rsid w:val="00F3038A"/>
    <w:rsid w:val="00F304BC"/>
    <w:rsid w:val="00F3051A"/>
    <w:rsid w:val="00F309E1"/>
    <w:rsid w:val="00F30B0C"/>
    <w:rsid w:val="00F30B5A"/>
    <w:rsid w:val="00F30B9B"/>
    <w:rsid w:val="00F30C03"/>
    <w:rsid w:val="00F30D33"/>
    <w:rsid w:val="00F30F1D"/>
    <w:rsid w:val="00F314AA"/>
    <w:rsid w:val="00F314FD"/>
    <w:rsid w:val="00F319D5"/>
    <w:rsid w:val="00F31B36"/>
    <w:rsid w:val="00F31F27"/>
    <w:rsid w:val="00F3220C"/>
    <w:rsid w:val="00F323DC"/>
    <w:rsid w:val="00F323F2"/>
    <w:rsid w:val="00F328A1"/>
    <w:rsid w:val="00F32EEE"/>
    <w:rsid w:val="00F33076"/>
    <w:rsid w:val="00F33182"/>
    <w:rsid w:val="00F338E6"/>
    <w:rsid w:val="00F33CCE"/>
    <w:rsid w:val="00F33DA5"/>
    <w:rsid w:val="00F33FB5"/>
    <w:rsid w:val="00F34398"/>
    <w:rsid w:val="00F3446E"/>
    <w:rsid w:val="00F345B8"/>
    <w:rsid w:val="00F3465F"/>
    <w:rsid w:val="00F34728"/>
    <w:rsid w:val="00F34FE0"/>
    <w:rsid w:val="00F35045"/>
    <w:rsid w:val="00F350D5"/>
    <w:rsid w:val="00F35304"/>
    <w:rsid w:val="00F35632"/>
    <w:rsid w:val="00F356F9"/>
    <w:rsid w:val="00F35961"/>
    <w:rsid w:val="00F35D51"/>
    <w:rsid w:val="00F35E53"/>
    <w:rsid w:val="00F36108"/>
    <w:rsid w:val="00F36329"/>
    <w:rsid w:val="00F363D9"/>
    <w:rsid w:val="00F366DB"/>
    <w:rsid w:val="00F367AB"/>
    <w:rsid w:val="00F36952"/>
    <w:rsid w:val="00F3722A"/>
    <w:rsid w:val="00F37735"/>
    <w:rsid w:val="00F37D7E"/>
    <w:rsid w:val="00F37DF1"/>
    <w:rsid w:val="00F37E6A"/>
    <w:rsid w:val="00F4056D"/>
    <w:rsid w:val="00F405D1"/>
    <w:rsid w:val="00F40710"/>
    <w:rsid w:val="00F40856"/>
    <w:rsid w:val="00F40C47"/>
    <w:rsid w:val="00F40CE3"/>
    <w:rsid w:val="00F40F98"/>
    <w:rsid w:val="00F41550"/>
    <w:rsid w:val="00F41657"/>
    <w:rsid w:val="00F419F8"/>
    <w:rsid w:val="00F41ACE"/>
    <w:rsid w:val="00F41C7A"/>
    <w:rsid w:val="00F41E5B"/>
    <w:rsid w:val="00F41F41"/>
    <w:rsid w:val="00F421EC"/>
    <w:rsid w:val="00F43115"/>
    <w:rsid w:val="00F4317F"/>
    <w:rsid w:val="00F43A5A"/>
    <w:rsid w:val="00F43B4E"/>
    <w:rsid w:val="00F43C09"/>
    <w:rsid w:val="00F43C40"/>
    <w:rsid w:val="00F43F12"/>
    <w:rsid w:val="00F43FC7"/>
    <w:rsid w:val="00F4419A"/>
    <w:rsid w:val="00F44213"/>
    <w:rsid w:val="00F44247"/>
    <w:rsid w:val="00F4458D"/>
    <w:rsid w:val="00F44604"/>
    <w:rsid w:val="00F447AE"/>
    <w:rsid w:val="00F44FE7"/>
    <w:rsid w:val="00F4523C"/>
    <w:rsid w:val="00F45342"/>
    <w:rsid w:val="00F45759"/>
    <w:rsid w:val="00F45912"/>
    <w:rsid w:val="00F45C9A"/>
    <w:rsid w:val="00F464E1"/>
    <w:rsid w:val="00F4652E"/>
    <w:rsid w:val="00F466EB"/>
    <w:rsid w:val="00F467F3"/>
    <w:rsid w:val="00F469D8"/>
    <w:rsid w:val="00F46ACC"/>
    <w:rsid w:val="00F46BCB"/>
    <w:rsid w:val="00F46C08"/>
    <w:rsid w:val="00F46FEB"/>
    <w:rsid w:val="00F472C3"/>
    <w:rsid w:val="00F47443"/>
    <w:rsid w:val="00F4770F"/>
    <w:rsid w:val="00F47BB4"/>
    <w:rsid w:val="00F47D20"/>
    <w:rsid w:val="00F47DE1"/>
    <w:rsid w:val="00F5005B"/>
    <w:rsid w:val="00F5006C"/>
    <w:rsid w:val="00F502F9"/>
    <w:rsid w:val="00F50315"/>
    <w:rsid w:val="00F504ED"/>
    <w:rsid w:val="00F507A6"/>
    <w:rsid w:val="00F5092C"/>
    <w:rsid w:val="00F50A64"/>
    <w:rsid w:val="00F50CE6"/>
    <w:rsid w:val="00F50F04"/>
    <w:rsid w:val="00F50F38"/>
    <w:rsid w:val="00F514B8"/>
    <w:rsid w:val="00F515F1"/>
    <w:rsid w:val="00F51821"/>
    <w:rsid w:val="00F5192A"/>
    <w:rsid w:val="00F51C26"/>
    <w:rsid w:val="00F51CDF"/>
    <w:rsid w:val="00F520F3"/>
    <w:rsid w:val="00F52441"/>
    <w:rsid w:val="00F5249A"/>
    <w:rsid w:val="00F524CD"/>
    <w:rsid w:val="00F52877"/>
    <w:rsid w:val="00F52CE8"/>
    <w:rsid w:val="00F52D62"/>
    <w:rsid w:val="00F52FF5"/>
    <w:rsid w:val="00F5317C"/>
    <w:rsid w:val="00F53379"/>
    <w:rsid w:val="00F534CC"/>
    <w:rsid w:val="00F5355D"/>
    <w:rsid w:val="00F5370A"/>
    <w:rsid w:val="00F53AC6"/>
    <w:rsid w:val="00F53F97"/>
    <w:rsid w:val="00F53FD5"/>
    <w:rsid w:val="00F54625"/>
    <w:rsid w:val="00F54C07"/>
    <w:rsid w:val="00F54CD3"/>
    <w:rsid w:val="00F54EE6"/>
    <w:rsid w:val="00F54F0C"/>
    <w:rsid w:val="00F54FAF"/>
    <w:rsid w:val="00F550C5"/>
    <w:rsid w:val="00F550D1"/>
    <w:rsid w:val="00F55401"/>
    <w:rsid w:val="00F554F4"/>
    <w:rsid w:val="00F5570A"/>
    <w:rsid w:val="00F5586B"/>
    <w:rsid w:val="00F55A76"/>
    <w:rsid w:val="00F56177"/>
    <w:rsid w:val="00F561E1"/>
    <w:rsid w:val="00F5627F"/>
    <w:rsid w:val="00F5632D"/>
    <w:rsid w:val="00F563A1"/>
    <w:rsid w:val="00F563AF"/>
    <w:rsid w:val="00F56A26"/>
    <w:rsid w:val="00F56B96"/>
    <w:rsid w:val="00F56E51"/>
    <w:rsid w:val="00F57103"/>
    <w:rsid w:val="00F5724F"/>
    <w:rsid w:val="00F5751B"/>
    <w:rsid w:val="00F57B63"/>
    <w:rsid w:val="00F600DA"/>
    <w:rsid w:val="00F60300"/>
    <w:rsid w:val="00F60366"/>
    <w:rsid w:val="00F6063F"/>
    <w:rsid w:val="00F60665"/>
    <w:rsid w:val="00F60739"/>
    <w:rsid w:val="00F607C5"/>
    <w:rsid w:val="00F60978"/>
    <w:rsid w:val="00F6123D"/>
    <w:rsid w:val="00F61C19"/>
    <w:rsid w:val="00F61CF6"/>
    <w:rsid w:val="00F622EF"/>
    <w:rsid w:val="00F625DE"/>
    <w:rsid w:val="00F6261B"/>
    <w:rsid w:val="00F62B78"/>
    <w:rsid w:val="00F62BD8"/>
    <w:rsid w:val="00F62D22"/>
    <w:rsid w:val="00F62D9F"/>
    <w:rsid w:val="00F62EB0"/>
    <w:rsid w:val="00F62EBE"/>
    <w:rsid w:val="00F62F68"/>
    <w:rsid w:val="00F631A2"/>
    <w:rsid w:val="00F631F4"/>
    <w:rsid w:val="00F6337B"/>
    <w:rsid w:val="00F6363B"/>
    <w:rsid w:val="00F63688"/>
    <w:rsid w:val="00F636C7"/>
    <w:rsid w:val="00F637FF"/>
    <w:rsid w:val="00F6386F"/>
    <w:rsid w:val="00F63B1C"/>
    <w:rsid w:val="00F6412B"/>
    <w:rsid w:val="00F64249"/>
    <w:rsid w:val="00F642A9"/>
    <w:rsid w:val="00F64465"/>
    <w:rsid w:val="00F6453B"/>
    <w:rsid w:val="00F64702"/>
    <w:rsid w:val="00F64A56"/>
    <w:rsid w:val="00F6516F"/>
    <w:rsid w:val="00F6520A"/>
    <w:rsid w:val="00F657F6"/>
    <w:rsid w:val="00F659EA"/>
    <w:rsid w:val="00F65A78"/>
    <w:rsid w:val="00F65A7F"/>
    <w:rsid w:val="00F65E86"/>
    <w:rsid w:val="00F66672"/>
    <w:rsid w:val="00F6682B"/>
    <w:rsid w:val="00F66947"/>
    <w:rsid w:val="00F66BEB"/>
    <w:rsid w:val="00F66BFD"/>
    <w:rsid w:val="00F66CC0"/>
    <w:rsid w:val="00F66E55"/>
    <w:rsid w:val="00F66EE7"/>
    <w:rsid w:val="00F66FCA"/>
    <w:rsid w:val="00F6737C"/>
    <w:rsid w:val="00F67821"/>
    <w:rsid w:val="00F6787A"/>
    <w:rsid w:val="00F67CA9"/>
    <w:rsid w:val="00F67F89"/>
    <w:rsid w:val="00F702C5"/>
    <w:rsid w:val="00F7034E"/>
    <w:rsid w:val="00F7079B"/>
    <w:rsid w:val="00F70A1B"/>
    <w:rsid w:val="00F70AEE"/>
    <w:rsid w:val="00F70B08"/>
    <w:rsid w:val="00F70C82"/>
    <w:rsid w:val="00F70DCF"/>
    <w:rsid w:val="00F71002"/>
    <w:rsid w:val="00F71115"/>
    <w:rsid w:val="00F71122"/>
    <w:rsid w:val="00F713C6"/>
    <w:rsid w:val="00F7148D"/>
    <w:rsid w:val="00F71685"/>
    <w:rsid w:val="00F716BA"/>
    <w:rsid w:val="00F71799"/>
    <w:rsid w:val="00F71A23"/>
    <w:rsid w:val="00F71D59"/>
    <w:rsid w:val="00F71EC3"/>
    <w:rsid w:val="00F72222"/>
    <w:rsid w:val="00F722DE"/>
    <w:rsid w:val="00F72405"/>
    <w:rsid w:val="00F72451"/>
    <w:rsid w:val="00F72487"/>
    <w:rsid w:val="00F72A49"/>
    <w:rsid w:val="00F72AAA"/>
    <w:rsid w:val="00F72C96"/>
    <w:rsid w:val="00F7349F"/>
    <w:rsid w:val="00F737F7"/>
    <w:rsid w:val="00F73887"/>
    <w:rsid w:val="00F738B1"/>
    <w:rsid w:val="00F73D02"/>
    <w:rsid w:val="00F7405F"/>
    <w:rsid w:val="00F74324"/>
    <w:rsid w:val="00F7434F"/>
    <w:rsid w:val="00F745E2"/>
    <w:rsid w:val="00F75129"/>
    <w:rsid w:val="00F752FA"/>
    <w:rsid w:val="00F756CA"/>
    <w:rsid w:val="00F7573E"/>
    <w:rsid w:val="00F7582C"/>
    <w:rsid w:val="00F759A3"/>
    <w:rsid w:val="00F75D1A"/>
    <w:rsid w:val="00F7626F"/>
    <w:rsid w:val="00F764EC"/>
    <w:rsid w:val="00F76BA9"/>
    <w:rsid w:val="00F7743E"/>
    <w:rsid w:val="00F775EC"/>
    <w:rsid w:val="00F77693"/>
    <w:rsid w:val="00F77985"/>
    <w:rsid w:val="00F77CBD"/>
    <w:rsid w:val="00F8099B"/>
    <w:rsid w:val="00F80F28"/>
    <w:rsid w:val="00F80FB0"/>
    <w:rsid w:val="00F810F7"/>
    <w:rsid w:val="00F81122"/>
    <w:rsid w:val="00F813D1"/>
    <w:rsid w:val="00F815E1"/>
    <w:rsid w:val="00F81AD8"/>
    <w:rsid w:val="00F81AEF"/>
    <w:rsid w:val="00F81B4F"/>
    <w:rsid w:val="00F81BD5"/>
    <w:rsid w:val="00F827D6"/>
    <w:rsid w:val="00F827F4"/>
    <w:rsid w:val="00F82845"/>
    <w:rsid w:val="00F82A86"/>
    <w:rsid w:val="00F82C3A"/>
    <w:rsid w:val="00F82CDD"/>
    <w:rsid w:val="00F82F3C"/>
    <w:rsid w:val="00F82F59"/>
    <w:rsid w:val="00F83036"/>
    <w:rsid w:val="00F8369A"/>
    <w:rsid w:val="00F83743"/>
    <w:rsid w:val="00F83791"/>
    <w:rsid w:val="00F83A82"/>
    <w:rsid w:val="00F841CB"/>
    <w:rsid w:val="00F8422A"/>
    <w:rsid w:val="00F8480D"/>
    <w:rsid w:val="00F849A4"/>
    <w:rsid w:val="00F84AE7"/>
    <w:rsid w:val="00F84C98"/>
    <w:rsid w:val="00F8504A"/>
    <w:rsid w:val="00F852E0"/>
    <w:rsid w:val="00F857B6"/>
    <w:rsid w:val="00F85879"/>
    <w:rsid w:val="00F85E5C"/>
    <w:rsid w:val="00F860C6"/>
    <w:rsid w:val="00F86251"/>
    <w:rsid w:val="00F86276"/>
    <w:rsid w:val="00F8644F"/>
    <w:rsid w:val="00F864F9"/>
    <w:rsid w:val="00F867BD"/>
    <w:rsid w:val="00F8682C"/>
    <w:rsid w:val="00F86A73"/>
    <w:rsid w:val="00F87B6D"/>
    <w:rsid w:val="00F87ED0"/>
    <w:rsid w:val="00F9005F"/>
    <w:rsid w:val="00F90223"/>
    <w:rsid w:val="00F906EC"/>
    <w:rsid w:val="00F90964"/>
    <w:rsid w:val="00F90AAE"/>
    <w:rsid w:val="00F90C23"/>
    <w:rsid w:val="00F90D24"/>
    <w:rsid w:val="00F91109"/>
    <w:rsid w:val="00F9116C"/>
    <w:rsid w:val="00F911F7"/>
    <w:rsid w:val="00F91203"/>
    <w:rsid w:val="00F91503"/>
    <w:rsid w:val="00F91610"/>
    <w:rsid w:val="00F91952"/>
    <w:rsid w:val="00F91BAE"/>
    <w:rsid w:val="00F91BE6"/>
    <w:rsid w:val="00F91EE1"/>
    <w:rsid w:val="00F91F47"/>
    <w:rsid w:val="00F920DB"/>
    <w:rsid w:val="00F9213A"/>
    <w:rsid w:val="00F92274"/>
    <w:rsid w:val="00F92736"/>
    <w:rsid w:val="00F92BF9"/>
    <w:rsid w:val="00F92DE6"/>
    <w:rsid w:val="00F9307B"/>
    <w:rsid w:val="00F930D3"/>
    <w:rsid w:val="00F934AD"/>
    <w:rsid w:val="00F93E57"/>
    <w:rsid w:val="00F940F4"/>
    <w:rsid w:val="00F94554"/>
    <w:rsid w:val="00F94578"/>
    <w:rsid w:val="00F94710"/>
    <w:rsid w:val="00F949A2"/>
    <w:rsid w:val="00F94B58"/>
    <w:rsid w:val="00F94B78"/>
    <w:rsid w:val="00F94B97"/>
    <w:rsid w:val="00F94BB6"/>
    <w:rsid w:val="00F951D5"/>
    <w:rsid w:val="00F9567B"/>
    <w:rsid w:val="00F95716"/>
    <w:rsid w:val="00F9594A"/>
    <w:rsid w:val="00F95EE2"/>
    <w:rsid w:val="00F9606F"/>
    <w:rsid w:val="00F96410"/>
    <w:rsid w:val="00F96B31"/>
    <w:rsid w:val="00F96BFA"/>
    <w:rsid w:val="00F96C51"/>
    <w:rsid w:val="00F96DCE"/>
    <w:rsid w:val="00F96E8A"/>
    <w:rsid w:val="00F970FA"/>
    <w:rsid w:val="00F9717A"/>
    <w:rsid w:val="00F971F8"/>
    <w:rsid w:val="00F97437"/>
    <w:rsid w:val="00F975C6"/>
    <w:rsid w:val="00F9772D"/>
    <w:rsid w:val="00F97C86"/>
    <w:rsid w:val="00F97CFC"/>
    <w:rsid w:val="00FA013B"/>
    <w:rsid w:val="00FA0F6D"/>
    <w:rsid w:val="00FA0FE1"/>
    <w:rsid w:val="00FA0FF7"/>
    <w:rsid w:val="00FA12F7"/>
    <w:rsid w:val="00FA185B"/>
    <w:rsid w:val="00FA1DA0"/>
    <w:rsid w:val="00FA1F93"/>
    <w:rsid w:val="00FA202B"/>
    <w:rsid w:val="00FA2112"/>
    <w:rsid w:val="00FA21C4"/>
    <w:rsid w:val="00FA2259"/>
    <w:rsid w:val="00FA24C1"/>
    <w:rsid w:val="00FA25DA"/>
    <w:rsid w:val="00FA2866"/>
    <w:rsid w:val="00FA290B"/>
    <w:rsid w:val="00FA2EC3"/>
    <w:rsid w:val="00FA30E1"/>
    <w:rsid w:val="00FA3178"/>
    <w:rsid w:val="00FA324B"/>
    <w:rsid w:val="00FA3356"/>
    <w:rsid w:val="00FA37E1"/>
    <w:rsid w:val="00FA3837"/>
    <w:rsid w:val="00FA39A4"/>
    <w:rsid w:val="00FA3B4C"/>
    <w:rsid w:val="00FA3B91"/>
    <w:rsid w:val="00FA3E27"/>
    <w:rsid w:val="00FA402D"/>
    <w:rsid w:val="00FA447F"/>
    <w:rsid w:val="00FA4554"/>
    <w:rsid w:val="00FA4684"/>
    <w:rsid w:val="00FA46F8"/>
    <w:rsid w:val="00FA48AB"/>
    <w:rsid w:val="00FA4BB1"/>
    <w:rsid w:val="00FA4E6D"/>
    <w:rsid w:val="00FA4F97"/>
    <w:rsid w:val="00FA55BF"/>
    <w:rsid w:val="00FA5EAE"/>
    <w:rsid w:val="00FA6812"/>
    <w:rsid w:val="00FA69A7"/>
    <w:rsid w:val="00FA6B94"/>
    <w:rsid w:val="00FA6BEB"/>
    <w:rsid w:val="00FA70B9"/>
    <w:rsid w:val="00FA723F"/>
    <w:rsid w:val="00FA729F"/>
    <w:rsid w:val="00FA737D"/>
    <w:rsid w:val="00FA7589"/>
    <w:rsid w:val="00FA7AFA"/>
    <w:rsid w:val="00FA7B7C"/>
    <w:rsid w:val="00FA7D94"/>
    <w:rsid w:val="00FA7F73"/>
    <w:rsid w:val="00FB0367"/>
    <w:rsid w:val="00FB055B"/>
    <w:rsid w:val="00FB0590"/>
    <w:rsid w:val="00FB0710"/>
    <w:rsid w:val="00FB0B02"/>
    <w:rsid w:val="00FB0BC2"/>
    <w:rsid w:val="00FB0C47"/>
    <w:rsid w:val="00FB0DFC"/>
    <w:rsid w:val="00FB11AF"/>
    <w:rsid w:val="00FB11EB"/>
    <w:rsid w:val="00FB12B3"/>
    <w:rsid w:val="00FB133A"/>
    <w:rsid w:val="00FB1357"/>
    <w:rsid w:val="00FB140A"/>
    <w:rsid w:val="00FB1590"/>
    <w:rsid w:val="00FB1D4D"/>
    <w:rsid w:val="00FB1F8A"/>
    <w:rsid w:val="00FB2195"/>
    <w:rsid w:val="00FB21CF"/>
    <w:rsid w:val="00FB23F3"/>
    <w:rsid w:val="00FB2ABB"/>
    <w:rsid w:val="00FB2B44"/>
    <w:rsid w:val="00FB2C43"/>
    <w:rsid w:val="00FB2DCA"/>
    <w:rsid w:val="00FB31AA"/>
    <w:rsid w:val="00FB31FF"/>
    <w:rsid w:val="00FB35A7"/>
    <w:rsid w:val="00FB37B9"/>
    <w:rsid w:val="00FB3C75"/>
    <w:rsid w:val="00FB44DB"/>
    <w:rsid w:val="00FB4650"/>
    <w:rsid w:val="00FB482F"/>
    <w:rsid w:val="00FB4871"/>
    <w:rsid w:val="00FB4B90"/>
    <w:rsid w:val="00FB4C91"/>
    <w:rsid w:val="00FB4CA9"/>
    <w:rsid w:val="00FB4FC8"/>
    <w:rsid w:val="00FB5212"/>
    <w:rsid w:val="00FB5356"/>
    <w:rsid w:val="00FB56C1"/>
    <w:rsid w:val="00FB570E"/>
    <w:rsid w:val="00FB5985"/>
    <w:rsid w:val="00FB5C8A"/>
    <w:rsid w:val="00FB638C"/>
    <w:rsid w:val="00FB644F"/>
    <w:rsid w:val="00FB64EA"/>
    <w:rsid w:val="00FB65B9"/>
    <w:rsid w:val="00FB6810"/>
    <w:rsid w:val="00FB6B3B"/>
    <w:rsid w:val="00FB6B51"/>
    <w:rsid w:val="00FB73F9"/>
    <w:rsid w:val="00FB7515"/>
    <w:rsid w:val="00FB7946"/>
    <w:rsid w:val="00FB7BB8"/>
    <w:rsid w:val="00FC011C"/>
    <w:rsid w:val="00FC03D3"/>
    <w:rsid w:val="00FC0575"/>
    <w:rsid w:val="00FC05A9"/>
    <w:rsid w:val="00FC0742"/>
    <w:rsid w:val="00FC078D"/>
    <w:rsid w:val="00FC0943"/>
    <w:rsid w:val="00FC0C3F"/>
    <w:rsid w:val="00FC148B"/>
    <w:rsid w:val="00FC14D6"/>
    <w:rsid w:val="00FC1620"/>
    <w:rsid w:val="00FC19BD"/>
    <w:rsid w:val="00FC1B07"/>
    <w:rsid w:val="00FC1B30"/>
    <w:rsid w:val="00FC1B6C"/>
    <w:rsid w:val="00FC1CD5"/>
    <w:rsid w:val="00FC1DE3"/>
    <w:rsid w:val="00FC2016"/>
    <w:rsid w:val="00FC2122"/>
    <w:rsid w:val="00FC21A8"/>
    <w:rsid w:val="00FC29EE"/>
    <w:rsid w:val="00FC29F4"/>
    <w:rsid w:val="00FC2CE2"/>
    <w:rsid w:val="00FC3635"/>
    <w:rsid w:val="00FC369B"/>
    <w:rsid w:val="00FC3705"/>
    <w:rsid w:val="00FC3AED"/>
    <w:rsid w:val="00FC3B74"/>
    <w:rsid w:val="00FC3BBA"/>
    <w:rsid w:val="00FC3C72"/>
    <w:rsid w:val="00FC426B"/>
    <w:rsid w:val="00FC4775"/>
    <w:rsid w:val="00FC4C9C"/>
    <w:rsid w:val="00FC4E23"/>
    <w:rsid w:val="00FC52F3"/>
    <w:rsid w:val="00FC55B4"/>
    <w:rsid w:val="00FC55DA"/>
    <w:rsid w:val="00FC572C"/>
    <w:rsid w:val="00FC5777"/>
    <w:rsid w:val="00FC580D"/>
    <w:rsid w:val="00FC5AD5"/>
    <w:rsid w:val="00FC5C48"/>
    <w:rsid w:val="00FC5CBC"/>
    <w:rsid w:val="00FC5DC7"/>
    <w:rsid w:val="00FC643F"/>
    <w:rsid w:val="00FC6873"/>
    <w:rsid w:val="00FC691A"/>
    <w:rsid w:val="00FC6BF0"/>
    <w:rsid w:val="00FC6E5C"/>
    <w:rsid w:val="00FC7046"/>
    <w:rsid w:val="00FC7097"/>
    <w:rsid w:val="00FC70BA"/>
    <w:rsid w:val="00FC7172"/>
    <w:rsid w:val="00FC73CF"/>
    <w:rsid w:val="00FC7759"/>
    <w:rsid w:val="00FC7976"/>
    <w:rsid w:val="00FC7DBB"/>
    <w:rsid w:val="00FC7EF0"/>
    <w:rsid w:val="00FC7F2C"/>
    <w:rsid w:val="00FC7F3C"/>
    <w:rsid w:val="00FD0062"/>
    <w:rsid w:val="00FD0145"/>
    <w:rsid w:val="00FD0161"/>
    <w:rsid w:val="00FD0453"/>
    <w:rsid w:val="00FD06D7"/>
    <w:rsid w:val="00FD0DD1"/>
    <w:rsid w:val="00FD0F3A"/>
    <w:rsid w:val="00FD12C9"/>
    <w:rsid w:val="00FD154E"/>
    <w:rsid w:val="00FD1A07"/>
    <w:rsid w:val="00FD20D9"/>
    <w:rsid w:val="00FD225F"/>
    <w:rsid w:val="00FD238C"/>
    <w:rsid w:val="00FD2464"/>
    <w:rsid w:val="00FD25CE"/>
    <w:rsid w:val="00FD272F"/>
    <w:rsid w:val="00FD2989"/>
    <w:rsid w:val="00FD2FEA"/>
    <w:rsid w:val="00FD31C7"/>
    <w:rsid w:val="00FD396F"/>
    <w:rsid w:val="00FD3D76"/>
    <w:rsid w:val="00FD3E67"/>
    <w:rsid w:val="00FD3E6A"/>
    <w:rsid w:val="00FD40A2"/>
    <w:rsid w:val="00FD4252"/>
    <w:rsid w:val="00FD4627"/>
    <w:rsid w:val="00FD4738"/>
    <w:rsid w:val="00FD47EF"/>
    <w:rsid w:val="00FD48A7"/>
    <w:rsid w:val="00FD50EE"/>
    <w:rsid w:val="00FD5591"/>
    <w:rsid w:val="00FD55C1"/>
    <w:rsid w:val="00FD5631"/>
    <w:rsid w:val="00FD582A"/>
    <w:rsid w:val="00FD585B"/>
    <w:rsid w:val="00FD59D0"/>
    <w:rsid w:val="00FD5ADE"/>
    <w:rsid w:val="00FD60CC"/>
    <w:rsid w:val="00FD625D"/>
    <w:rsid w:val="00FD655B"/>
    <w:rsid w:val="00FD669B"/>
    <w:rsid w:val="00FD694C"/>
    <w:rsid w:val="00FD6B4B"/>
    <w:rsid w:val="00FD6D3B"/>
    <w:rsid w:val="00FD703E"/>
    <w:rsid w:val="00FD726E"/>
    <w:rsid w:val="00FD738B"/>
    <w:rsid w:val="00FD75EF"/>
    <w:rsid w:val="00FD7D62"/>
    <w:rsid w:val="00FD7FAB"/>
    <w:rsid w:val="00FE0275"/>
    <w:rsid w:val="00FE0599"/>
    <w:rsid w:val="00FE0681"/>
    <w:rsid w:val="00FE09D2"/>
    <w:rsid w:val="00FE0B7C"/>
    <w:rsid w:val="00FE0BFB"/>
    <w:rsid w:val="00FE0C85"/>
    <w:rsid w:val="00FE1879"/>
    <w:rsid w:val="00FE1A1B"/>
    <w:rsid w:val="00FE1B00"/>
    <w:rsid w:val="00FE1B20"/>
    <w:rsid w:val="00FE1BFC"/>
    <w:rsid w:val="00FE1CC3"/>
    <w:rsid w:val="00FE1E12"/>
    <w:rsid w:val="00FE1F36"/>
    <w:rsid w:val="00FE1F96"/>
    <w:rsid w:val="00FE2114"/>
    <w:rsid w:val="00FE2528"/>
    <w:rsid w:val="00FE2691"/>
    <w:rsid w:val="00FE293F"/>
    <w:rsid w:val="00FE2CDB"/>
    <w:rsid w:val="00FE2D7B"/>
    <w:rsid w:val="00FE3302"/>
    <w:rsid w:val="00FE3403"/>
    <w:rsid w:val="00FE34F4"/>
    <w:rsid w:val="00FE3952"/>
    <w:rsid w:val="00FE3EF5"/>
    <w:rsid w:val="00FE41DB"/>
    <w:rsid w:val="00FE4225"/>
    <w:rsid w:val="00FE44DC"/>
    <w:rsid w:val="00FE44F6"/>
    <w:rsid w:val="00FE4956"/>
    <w:rsid w:val="00FE4CCC"/>
    <w:rsid w:val="00FE4E26"/>
    <w:rsid w:val="00FE52EC"/>
    <w:rsid w:val="00FE54BD"/>
    <w:rsid w:val="00FE54C6"/>
    <w:rsid w:val="00FE54FD"/>
    <w:rsid w:val="00FE5D3C"/>
    <w:rsid w:val="00FE5F90"/>
    <w:rsid w:val="00FE6020"/>
    <w:rsid w:val="00FE67BB"/>
    <w:rsid w:val="00FE6AFA"/>
    <w:rsid w:val="00FE74A2"/>
    <w:rsid w:val="00FE7F1F"/>
    <w:rsid w:val="00FE7F98"/>
    <w:rsid w:val="00FF00FA"/>
    <w:rsid w:val="00FF0166"/>
    <w:rsid w:val="00FF039C"/>
    <w:rsid w:val="00FF0824"/>
    <w:rsid w:val="00FF08CE"/>
    <w:rsid w:val="00FF092F"/>
    <w:rsid w:val="00FF0BD1"/>
    <w:rsid w:val="00FF0EDB"/>
    <w:rsid w:val="00FF111B"/>
    <w:rsid w:val="00FF12B5"/>
    <w:rsid w:val="00FF1361"/>
    <w:rsid w:val="00FF1535"/>
    <w:rsid w:val="00FF169C"/>
    <w:rsid w:val="00FF23EC"/>
    <w:rsid w:val="00FF253C"/>
    <w:rsid w:val="00FF28FC"/>
    <w:rsid w:val="00FF33DE"/>
    <w:rsid w:val="00FF3647"/>
    <w:rsid w:val="00FF367E"/>
    <w:rsid w:val="00FF398A"/>
    <w:rsid w:val="00FF39FE"/>
    <w:rsid w:val="00FF3AE8"/>
    <w:rsid w:val="00FF3EB6"/>
    <w:rsid w:val="00FF42E3"/>
    <w:rsid w:val="00FF4394"/>
    <w:rsid w:val="00FF45AE"/>
    <w:rsid w:val="00FF4E86"/>
    <w:rsid w:val="00FF4F9B"/>
    <w:rsid w:val="00FF5161"/>
    <w:rsid w:val="00FF5203"/>
    <w:rsid w:val="00FF53C9"/>
    <w:rsid w:val="00FF5533"/>
    <w:rsid w:val="00FF57FB"/>
    <w:rsid w:val="00FF5986"/>
    <w:rsid w:val="00FF5D86"/>
    <w:rsid w:val="00FF5EC4"/>
    <w:rsid w:val="00FF5F51"/>
    <w:rsid w:val="00FF630A"/>
    <w:rsid w:val="00FF65B6"/>
    <w:rsid w:val="00FF684C"/>
    <w:rsid w:val="00FF6B89"/>
    <w:rsid w:val="00FF6C79"/>
    <w:rsid w:val="00FF6F86"/>
    <w:rsid w:val="00FF7109"/>
    <w:rsid w:val="00FF764F"/>
    <w:rsid w:val="00FF7670"/>
    <w:rsid w:val="00FF77FF"/>
    <w:rsid w:val="00FF7DDB"/>
    <w:rsid w:val="00FF7E5C"/>
    <w:rsid w:val="011531CF"/>
    <w:rsid w:val="012CD7D2"/>
    <w:rsid w:val="0130F47A"/>
    <w:rsid w:val="0133CE4C"/>
    <w:rsid w:val="01351C97"/>
    <w:rsid w:val="0141D641"/>
    <w:rsid w:val="0155EAA5"/>
    <w:rsid w:val="016A4CDA"/>
    <w:rsid w:val="016F68A7"/>
    <w:rsid w:val="0170B728"/>
    <w:rsid w:val="017B640F"/>
    <w:rsid w:val="017F4416"/>
    <w:rsid w:val="0194E356"/>
    <w:rsid w:val="01957B13"/>
    <w:rsid w:val="01A69F6B"/>
    <w:rsid w:val="01B554DE"/>
    <w:rsid w:val="01DEE685"/>
    <w:rsid w:val="01DF27EE"/>
    <w:rsid w:val="01F8BF0D"/>
    <w:rsid w:val="023A09BB"/>
    <w:rsid w:val="024D008C"/>
    <w:rsid w:val="02559EF0"/>
    <w:rsid w:val="0264AEB8"/>
    <w:rsid w:val="02697CCE"/>
    <w:rsid w:val="02956680"/>
    <w:rsid w:val="02B74B74"/>
    <w:rsid w:val="02E36E59"/>
    <w:rsid w:val="02F1D8A9"/>
    <w:rsid w:val="032CF355"/>
    <w:rsid w:val="0333440E"/>
    <w:rsid w:val="0335301D"/>
    <w:rsid w:val="0351970E"/>
    <w:rsid w:val="0352B22E"/>
    <w:rsid w:val="035896CB"/>
    <w:rsid w:val="035FA7FA"/>
    <w:rsid w:val="03636E96"/>
    <w:rsid w:val="038210A8"/>
    <w:rsid w:val="03898E1A"/>
    <w:rsid w:val="0391302D"/>
    <w:rsid w:val="0396CAF2"/>
    <w:rsid w:val="03B84229"/>
    <w:rsid w:val="03BD223C"/>
    <w:rsid w:val="03C00150"/>
    <w:rsid w:val="040E13BA"/>
    <w:rsid w:val="042F3EA3"/>
    <w:rsid w:val="043DEF3C"/>
    <w:rsid w:val="043F5EAC"/>
    <w:rsid w:val="044D5124"/>
    <w:rsid w:val="048A2610"/>
    <w:rsid w:val="04BAB551"/>
    <w:rsid w:val="04BC840F"/>
    <w:rsid w:val="04C59AC8"/>
    <w:rsid w:val="04CA0D8C"/>
    <w:rsid w:val="04FDB9DB"/>
    <w:rsid w:val="0520BE41"/>
    <w:rsid w:val="0525157F"/>
    <w:rsid w:val="05272FBE"/>
    <w:rsid w:val="052846EC"/>
    <w:rsid w:val="0532D566"/>
    <w:rsid w:val="0535DDD6"/>
    <w:rsid w:val="054C903A"/>
    <w:rsid w:val="05526BF0"/>
    <w:rsid w:val="05623A12"/>
    <w:rsid w:val="056392B0"/>
    <w:rsid w:val="057E7E66"/>
    <w:rsid w:val="05899A1B"/>
    <w:rsid w:val="058E8451"/>
    <w:rsid w:val="05B1FD5D"/>
    <w:rsid w:val="05D8369C"/>
    <w:rsid w:val="05EDFDAC"/>
    <w:rsid w:val="05F2B788"/>
    <w:rsid w:val="05F8BF10"/>
    <w:rsid w:val="06074F1F"/>
    <w:rsid w:val="06134294"/>
    <w:rsid w:val="0614FB7A"/>
    <w:rsid w:val="061DA32A"/>
    <w:rsid w:val="062AC5EB"/>
    <w:rsid w:val="062F3051"/>
    <w:rsid w:val="064DAD64"/>
    <w:rsid w:val="0650BBD0"/>
    <w:rsid w:val="065EC548"/>
    <w:rsid w:val="06676332"/>
    <w:rsid w:val="066B2D9D"/>
    <w:rsid w:val="066C5356"/>
    <w:rsid w:val="068076DC"/>
    <w:rsid w:val="06812C28"/>
    <w:rsid w:val="0688D06C"/>
    <w:rsid w:val="0690378D"/>
    <w:rsid w:val="0697E8CD"/>
    <w:rsid w:val="069A057E"/>
    <w:rsid w:val="069D53D6"/>
    <w:rsid w:val="06A3A5C7"/>
    <w:rsid w:val="06A6FF5D"/>
    <w:rsid w:val="06BC13D0"/>
    <w:rsid w:val="06F8211A"/>
    <w:rsid w:val="06FD1E2E"/>
    <w:rsid w:val="06FE5511"/>
    <w:rsid w:val="070CA954"/>
    <w:rsid w:val="071495C7"/>
    <w:rsid w:val="072D7ECE"/>
    <w:rsid w:val="0768E503"/>
    <w:rsid w:val="0779FA34"/>
    <w:rsid w:val="0780685D"/>
    <w:rsid w:val="07A94BA0"/>
    <w:rsid w:val="07C09455"/>
    <w:rsid w:val="07D4CCFD"/>
    <w:rsid w:val="08555E1D"/>
    <w:rsid w:val="08632668"/>
    <w:rsid w:val="08A09B6C"/>
    <w:rsid w:val="08A1BDD3"/>
    <w:rsid w:val="08BD0C59"/>
    <w:rsid w:val="08F08DE2"/>
    <w:rsid w:val="09193632"/>
    <w:rsid w:val="0932EEA5"/>
    <w:rsid w:val="095181AF"/>
    <w:rsid w:val="095CFEA1"/>
    <w:rsid w:val="098E44D2"/>
    <w:rsid w:val="09938954"/>
    <w:rsid w:val="09A9746F"/>
    <w:rsid w:val="09B5549F"/>
    <w:rsid w:val="09B88949"/>
    <w:rsid w:val="09C13716"/>
    <w:rsid w:val="09D1F6F3"/>
    <w:rsid w:val="09E2CB5E"/>
    <w:rsid w:val="0A12F4CA"/>
    <w:rsid w:val="0A166171"/>
    <w:rsid w:val="0A1AB967"/>
    <w:rsid w:val="0A239D8E"/>
    <w:rsid w:val="0A391C73"/>
    <w:rsid w:val="0A4E8997"/>
    <w:rsid w:val="0A83E932"/>
    <w:rsid w:val="0AA7046D"/>
    <w:rsid w:val="0ABC1415"/>
    <w:rsid w:val="0AD0E56C"/>
    <w:rsid w:val="0B2C95B2"/>
    <w:rsid w:val="0B36AEC8"/>
    <w:rsid w:val="0B428E75"/>
    <w:rsid w:val="0B45BF72"/>
    <w:rsid w:val="0B49505F"/>
    <w:rsid w:val="0B65283A"/>
    <w:rsid w:val="0B65FC26"/>
    <w:rsid w:val="0BA386B1"/>
    <w:rsid w:val="0BAE1B38"/>
    <w:rsid w:val="0BC5C154"/>
    <w:rsid w:val="0BD6996B"/>
    <w:rsid w:val="0BEDE7ED"/>
    <w:rsid w:val="0C0298A4"/>
    <w:rsid w:val="0C093BCA"/>
    <w:rsid w:val="0C184F18"/>
    <w:rsid w:val="0C1DE956"/>
    <w:rsid w:val="0C2285F9"/>
    <w:rsid w:val="0C2A6171"/>
    <w:rsid w:val="0C526D83"/>
    <w:rsid w:val="0C536747"/>
    <w:rsid w:val="0C549C8A"/>
    <w:rsid w:val="0C5D7839"/>
    <w:rsid w:val="0C8CDC42"/>
    <w:rsid w:val="0CB862D3"/>
    <w:rsid w:val="0CCA984A"/>
    <w:rsid w:val="0CD33C63"/>
    <w:rsid w:val="0CDC8F6D"/>
    <w:rsid w:val="0CDCECEE"/>
    <w:rsid w:val="0D1BDDDB"/>
    <w:rsid w:val="0D3FC802"/>
    <w:rsid w:val="0D49129B"/>
    <w:rsid w:val="0D526501"/>
    <w:rsid w:val="0D67FC74"/>
    <w:rsid w:val="0D874896"/>
    <w:rsid w:val="0DBB1162"/>
    <w:rsid w:val="0DD97D57"/>
    <w:rsid w:val="0DFF481E"/>
    <w:rsid w:val="0E0AF5F0"/>
    <w:rsid w:val="0E1F955E"/>
    <w:rsid w:val="0E328F42"/>
    <w:rsid w:val="0E35A425"/>
    <w:rsid w:val="0E35EE0F"/>
    <w:rsid w:val="0E392F56"/>
    <w:rsid w:val="0E3D654D"/>
    <w:rsid w:val="0E49A8F1"/>
    <w:rsid w:val="0E4A26BE"/>
    <w:rsid w:val="0E533F81"/>
    <w:rsid w:val="0E6CABA9"/>
    <w:rsid w:val="0E850F6D"/>
    <w:rsid w:val="0EAE16AE"/>
    <w:rsid w:val="0EC1B120"/>
    <w:rsid w:val="0EC774D3"/>
    <w:rsid w:val="0ED22343"/>
    <w:rsid w:val="0F31B266"/>
    <w:rsid w:val="0F5EAE69"/>
    <w:rsid w:val="0F860951"/>
    <w:rsid w:val="0F88A867"/>
    <w:rsid w:val="0F94426B"/>
    <w:rsid w:val="0F962CEB"/>
    <w:rsid w:val="0F9D42DD"/>
    <w:rsid w:val="0FAD0E22"/>
    <w:rsid w:val="0FADD31D"/>
    <w:rsid w:val="0FF12A5F"/>
    <w:rsid w:val="0FF35AB3"/>
    <w:rsid w:val="0FF493F2"/>
    <w:rsid w:val="0FFB68B6"/>
    <w:rsid w:val="0FFCB136"/>
    <w:rsid w:val="10392F40"/>
    <w:rsid w:val="104929A0"/>
    <w:rsid w:val="1057DF9E"/>
    <w:rsid w:val="105E1222"/>
    <w:rsid w:val="107ED7AC"/>
    <w:rsid w:val="107FB159"/>
    <w:rsid w:val="108A782C"/>
    <w:rsid w:val="10B345E6"/>
    <w:rsid w:val="10BF3F8D"/>
    <w:rsid w:val="10C6ECAD"/>
    <w:rsid w:val="10CD9FC9"/>
    <w:rsid w:val="10D38473"/>
    <w:rsid w:val="10D67C1C"/>
    <w:rsid w:val="10E59418"/>
    <w:rsid w:val="10EDC76E"/>
    <w:rsid w:val="10EE903E"/>
    <w:rsid w:val="10F4A31F"/>
    <w:rsid w:val="1110A709"/>
    <w:rsid w:val="1114B8FF"/>
    <w:rsid w:val="112EA738"/>
    <w:rsid w:val="1142FF85"/>
    <w:rsid w:val="1149BCCE"/>
    <w:rsid w:val="1154EF3A"/>
    <w:rsid w:val="11599BF7"/>
    <w:rsid w:val="116BA117"/>
    <w:rsid w:val="11719564"/>
    <w:rsid w:val="117674C6"/>
    <w:rsid w:val="1190764B"/>
    <w:rsid w:val="1197C7F6"/>
    <w:rsid w:val="11A74085"/>
    <w:rsid w:val="11AA170D"/>
    <w:rsid w:val="11CBCC55"/>
    <w:rsid w:val="11D006ED"/>
    <w:rsid w:val="11F077C3"/>
    <w:rsid w:val="11FE02A9"/>
    <w:rsid w:val="12018D45"/>
    <w:rsid w:val="1253787A"/>
    <w:rsid w:val="125597D2"/>
    <w:rsid w:val="126411A7"/>
    <w:rsid w:val="126C38CF"/>
    <w:rsid w:val="1289883B"/>
    <w:rsid w:val="129480E7"/>
    <w:rsid w:val="129A0AB5"/>
    <w:rsid w:val="129B5452"/>
    <w:rsid w:val="12BA09F7"/>
    <w:rsid w:val="12D4938F"/>
    <w:rsid w:val="12F20A62"/>
    <w:rsid w:val="1302F9F8"/>
    <w:rsid w:val="1309FFEE"/>
    <w:rsid w:val="131308D9"/>
    <w:rsid w:val="1315C664"/>
    <w:rsid w:val="132A4A38"/>
    <w:rsid w:val="1357E5A5"/>
    <w:rsid w:val="135DFCAE"/>
    <w:rsid w:val="1375B003"/>
    <w:rsid w:val="13923C58"/>
    <w:rsid w:val="13967DC6"/>
    <w:rsid w:val="1399E4FF"/>
    <w:rsid w:val="13A42D25"/>
    <w:rsid w:val="13AA5443"/>
    <w:rsid w:val="13B146F4"/>
    <w:rsid w:val="13C5DB87"/>
    <w:rsid w:val="13DB2DAF"/>
    <w:rsid w:val="13DEB8E6"/>
    <w:rsid w:val="13FE4D94"/>
    <w:rsid w:val="1407533F"/>
    <w:rsid w:val="141ECBF2"/>
    <w:rsid w:val="142C77BC"/>
    <w:rsid w:val="143DF4B5"/>
    <w:rsid w:val="143DFF50"/>
    <w:rsid w:val="14497CC3"/>
    <w:rsid w:val="1483D794"/>
    <w:rsid w:val="14B48D1F"/>
    <w:rsid w:val="14BC2BD2"/>
    <w:rsid w:val="14C15FD4"/>
    <w:rsid w:val="14C80515"/>
    <w:rsid w:val="14DD446C"/>
    <w:rsid w:val="14F2748B"/>
    <w:rsid w:val="14F78A20"/>
    <w:rsid w:val="15014EBB"/>
    <w:rsid w:val="150D0024"/>
    <w:rsid w:val="1518D50A"/>
    <w:rsid w:val="15564BE0"/>
    <w:rsid w:val="15641C00"/>
    <w:rsid w:val="156A7022"/>
    <w:rsid w:val="156F9DF1"/>
    <w:rsid w:val="1571D649"/>
    <w:rsid w:val="157EB3F2"/>
    <w:rsid w:val="15803593"/>
    <w:rsid w:val="158A3D7D"/>
    <w:rsid w:val="158FE335"/>
    <w:rsid w:val="15A7EDCE"/>
    <w:rsid w:val="15A892DB"/>
    <w:rsid w:val="15AAB03C"/>
    <w:rsid w:val="15AE7AE9"/>
    <w:rsid w:val="15F1F984"/>
    <w:rsid w:val="15F7BD33"/>
    <w:rsid w:val="15FB2479"/>
    <w:rsid w:val="1601CA6D"/>
    <w:rsid w:val="16202911"/>
    <w:rsid w:val="16202A07"/>
    <w:rsid w:val="163019FA"/>
    <w:rsid w:val="1657A4C5"/>
    <w:rsid w:val="1663542C"/>
    <w:rsid w:val="16667743"/>
    <w:rsid w:val="167AB1A8"/>
    <w:rsid w:val="168D718B"/>
    <w:rsid w:val="168DB4E3"/>
    <w:rsid w:val="169B9493"/>
    <w:rsid w:val="169C6E1F"/>
    <w:rsid w:val="16A3E8B3"/>
    <w:rsid w:val="16F42A52"/>
    <w:rsid w:val="16F63090"/>
    <w:rsid w:val="16FE2277"/>
    <w:rsid w:val="1718BCC5"/>
    <w:rsid w:val="17270F16"/>
    <w:rsid w:val="17352611"/>
    <w:rsid w:val="1739692C"/>
    <w:rsid w:val="17666B03"/>
    <w:rsid w:val="1798E2AA"/>
    <w:rsid w:val="179B9DD4"/>
    <w:rsid w:val="17A85A9B"/>
    <w:rsid w:val="17BFD34C"/>
    <w:rsid w:val="17DEAD89"/>
    <w:rsid w:val="17F13F3C"/>
    <w:rsid w:val="17FF9F4D"/>
    <w:rsid w:val="1802EA90"/>
    <w:rsid w:val="1814432D"/>
    <w:rsid w:val="181F618B"/>
    <w:rsid w:val="18277560"/>
    <w:rsid w:val="183BDF20"/>
    <w:rsid w:val="183EF77E"/>
    <w:rsid w:val="185057ED"/>
    <w:rsid w:val="186398C0"/>
    <w:rsid w:val="188D587D"/>
    <w:rsid w:val="1898F33A"/>
    <w:rsid w:val="18BDCE63"/>
    <w:rsid w:val="18D50785"/>
    <w:rsid w:val="18F17372"/>
    <w:rsid w:val="1906540B"/>
    <w:rsid w:val="1906CE9F"/>
    <w:rsid w:val="1947FBC4"/>
    <w:rsid w:val="195BC929"/>
    <w:rsid w:val="195D9D8A"/>
    <w:rsid w:val="19793A59"/>
    <w:rsid w:val="19937A19"/>
    <w:rsid w:val="19A28A91"/>
    <w:rsid w:val="19AD9547"/>
    <w:rsid w:val="19AF9934"/>
    <w:rsid w:val="19BD89BE"/>
    <w:rsid w:val="19CDC0FB"/>
    <w:rsid w:val="19D617E4"/>
    <w:rsid w:val="19F467A6"/>
    <w:rsid w:val="19F471F9"/>
    <w:rsid w:val="19FF0F0E"/>
    <w:rsid w:val="1A18232E"/>
    <w:rsid w:val="1A29ACE5"/>
    <w:rsid w:val="1A68F08F"/>
    <w:rsid w:val="1A6B78D8"/>
    <w:rsid w:val="1A6E33AD"/>
    <w:rsid w:val="1A7D142D"/>
    <w:rsid w:val="1A8B4BB3"/>
    <w:rsid w:val="1AB4D6A2"/>
    <w:rsid w:val="1AB4EF5C"/>
    <w:rsid w:val="1ABEF5AD"/>
    <w:rsid w:val="1AC17E98"/>
    <w:rsid w:val="1AC56CB5"/>
    <w:rsid w:val="1AC896E1"/>
    <w:rsid w:val="1AE3B346"/>
    <w:rsid w:val="1AEB9CAA"/>
    <w:rsid w:val="1B07E05F"/>
    <w:rsid w:val="1B0BE0AA"/>
    <w:rsid w:val="1B146A30"/>
    <w:rsid w:val="1B173248"/>
    <w:rsid w:val="1B17CBC6"/>
    <w:rsid w:val="1B320F89"/>
    <w:rsid w:val="1B3FB337"/>
    <w:rsid w:val="1B44BBC7"/>
    <w:rsid w:val="1B7139F4"/>
    <w:rsid w:val="1B7274EE"/>
    <w:rsid w:val="1B798502"/>
    <w:rsid w:val="1B9CD788"/>
    <w:rsid w:val="1BB19E0A"/>
    <w:rsid w:val="1BB7DB53"/>
    <w:rsid w:val="1BBE5E8D"/>
    <w:rsid w:val="1BC60E6D"/>
    <w:rsid w:val="1BE35DAB"/>
    <w:rsid w:val="1C0335CE"/>
    <w:rsid w:val="1C06909A"/>
    <w:rsid w:val="1C11B05B"/>
    <w:rsid w:val="1C267070"/>
    <w:rsid w:val="1C4F40B0"/>
    <w:rsid w:val="1C5527E4"/>
    <w:rsid w:val="1C55D80F"/>
    <w:rsid w:val="1C5BBBDC"/>
    <w:rsid w:val="1C5D7681"/>
    <w:rsid w:val="1C65121C"/>
    <w:rsid w:val="1C73B2A0"/>
    <w:rsid w:val="1C876D0B"/>
    <w:rsid w:val="1C8AB122"/>
    <w:rsid w:val="1CA30878"/>
    <w:rsid w:val="1CBFA262"/>
    <w:rsid w:val="1CBFAEB1"/>
    <w:rsid w:val="1CD5B02B"/>
    <w:rsid w:val="1CD95FF1"/>
    <w:rsid w:val="1CDB4AE3"/>
    <w:rsid w:val="1D0BFDB6"/>
    <w:rsid w:val="1D0DB8D3"/>
    <w:rsid w:val="1D10C9A9"/>
    <w:rsid w:val="1D161219"/>
    <w:rsid w:val="1D1B1BF7"/>
    <w:rsid w:val="1D1DEA4F"/>
    <w:rsid w:val="1D35CF50"/>
    <w:rsid w:val="1D42EDF1"/>
    <w:rsid w:val="1D48A2D6"/>
    <w:rsid w:val="1D5A4C52"/>
    <w:rsid w:val="1D5AC0B6"/>
    <w:rsid w:val="1D5D0C8F"/>
    <w:rsid w:val="1D8CA1C3"/>
    <w:rsid w:val="1DB144DE"/>
    <w:rsid w:val="1DB6B149"/>
    <w:rsid w:val="1DC8F1EA"/>
    <w:rsid w:val="1DCA9896"/>
    <w:rsid w:val="1DCE3A54"/>
    <w:rsid w:val="1DF91C5D"/>
    <w:rsid w:val="1E018A91"/>
    <w:rsid w:val="1E2D085A"/>
    <w:rsid w:val="1E374051"/>
    <w:rsid w:val="1E813BDC"/>
    <w:rsid w:val="1E8A2DB5"/>
    <w:rsid w:val="1E9CBE7D"/>
    <w:rsid w:val="1EE15187"/>
    <w:rsid w:val="1EF7DE81"/>
    <w:rsid w:val="1F112142"/>
    <w:rsid w:val="1F214598"/>
    <w:rsid w:val="1F34A16B"/>
    <w:rsid w:val="1F362E03"/>
    <w:rsid w:val="1F40F52A"/>
    <w:rsid w:val="1F7FF60E"/>
    <w:rsid w:val="1F801330"/>
    <w:rsid w:val="1F84C1D3"/>
    <w:rsid w:val="1FAA2CC0"/>
    <w:rsid w:val="1FAE8CAD"/>
    <w:rsid w:val="1FCC9118"/>
    <w:rsid w:val="1FFC7330"/>
    <w:rsid w:val="2025C311"/>
    <w:rsid w:val="20513499"/>
    <w:rsid w:val="2058135B"/>
    <w:rsid w:val="208867B0"/>
    <w:rsid w:val="208C39F1"/>
    <w:rsid w:val="20984A76"/>
    <w:rsid w:val="20A621FA"/>
    <w:rsid w:val="20A88A4D"/>
    <w:rsid w:val="20D96DD8"/>
    <w:rsid w:val="2123CCD3"/>
    <w:rsid w:val="21419D05"/>
    <w:rsid w:val="21550BF5"/>
    <w:rsid w:val="215DADA8"/>
    <w:rsid w:val="21609B8D"/>
    <w:rsid w:val="2173617E"/>
    <w:rsid w:val="218A2782"/>
    <w:rsid w:val="218C4406"/>
    <w:rsid w:val="218FBA1D"/>
    <w:rsid w:val="219C74A3"/>
    <w:rsid w:val="21AFAB28"/>
    <w:rsid w:val="21B400D0"/>
    <w:rsid w:val="21E125D6"/>
    <w:rsid w:val="21E95F6C"/>
    <w:rsid w:val="21EE59ED"/>
    <w:rsid w:val="21F6B050"/>
    <w:rsid w:val="2246B39B"/>
    <w:rsid w:val="224D3AB9"/>
    <w:rsid w:val="2253EE46"/>
    <w:rsid w:val="227C5607"/>
    <w:rsid w:val="22884B52"/>
    <w:rsid w:val="229C476E"/>
    <w:rsid w:val="22B7A572"/>
    <w:rsid w:val="22C05EA4"/>
    <w:rsid w:val="22D7811A"/>
    <w:rsid w:val="22E79022"/>
    <w:rsid w:val="22F9E93F"/>
    <w:rsid w:val="2307897B"/>
    <w:rsid w:val="23111D1B"/>
    <w:rsid w:val="2315B9CA"/>
    <w:rsid w:val="231A5E2A"/>
    <w:rsid w:val="23366BCA"/>
    <w:rsid w:val="234A4604"/>
    <w:rsid w:val="238CE4F9"/>
    <w:rsid w:val="2391C876"/>
    <w:rsid w:val="239F983B"/>
    <w:rsid w:val="23B662B8"/>
    <w:rsid w:val="23C46099"/>
    <w:rsid w:val="23C81D54"/>
    <w:rsid w:val="23EFE7DF"/>
    <w:rsid w:val="2415DE94"/>
    <w:rsid w:val="24278003"/>
    <w:rsid w:val="244243BA"/>
    <w:rsid w:val="24838BCE"/>
    <w:rsid w:val="249E454A"/>
    <w:rsid w:val="24B12B78"/>
    <w:rsid w:val="24C3B5C9"/>
    <w:rsid w:val="24D71A3B"/>
    <w:rsid w:val="24F66474"/>
    <w:rsid w:val="24F9F94C"/>
    <w:rsid w:val="250EFD34"/>
    <w:rsid w:val="2510C824"/>
    <w:rsid w:val="25125ABC"/>
    <w:rsid w:val="254F923F"/>
    <w:rsid w:val="2551846E"/>
    <w:rsid w:val="25533BE8"/>
    <w:rsid w:val="2559E671"/>
    <w:rsid w:val="257C42B9"/>
    <w:rsid w:val="2584870E"/>
    <w:rsid w:val="2587032E"/>
    <w:rsid w:val="258FDEEE"/>
    <w:rsid w:val="259B1E51"/>
    <w:rsid w:val="25C009EF"/>
    <w:rsid w:val="25CC63EA"/>
    <w:rsid w:val="25DD98BA"/>
    <w:rsid w:val="25E49C08"/>
    <w:rsid w:val="25E5E877"/>
    <w:rsid w:val="25EC7E02"/>
    <w:rsid w:val="25F85A50"/>
    <w:rsid w:val="26258603"/>
    <w:rsid w:val="2632B301"/>
    <w:rsid w:val="2633C889"/>
    <w:rsid w:val="263E109A"/>
    <w:rsid w:val="26455060"/>
    <w:rsid w:val="2657F5CE"/>
    <w:rsid w:val="266079F9"/>
    <w:rsid w:val="2664FE94"/>
    <w:rsid w:val="26718B6B"/>
    <w:rsid w:val="2681A3E7"/>
    <w:rsid w:val="269DD98A"/>
    <w:rsid w:val="26A246A7"/>
    <w:rsid w:val="26DB0F07"/>
    <w:rsid w:val="26E59C78"/>
    <w:rsid w:val="26EA7D57"/>
    <w:rsid w:val="26EF1DA2"/>
    <w:rsid w:val="26F4D429"/>
    <w:rsid w:val="2709A51B"/>
    <w:rsid w:val="2715C7BA"/>
    <w:rsid w:val="2769A043"/>
    <w:rsid w:val="276F64C5"/>
    <w:rsid w:val="27720C2A"/>
    <w:rsid w:val="2782BCCA"/>
    <w:rsid w:val="278486B0"/>
    <w:rsid w:val="278C1C20"/>
    <w:rsid w:val="27909BA3"/>
    <w:rsid w:val="27AFDF40"/>
    <w:rsid w:val="27E24036"/>
    <w:rsid w:val="27F4C8E5"/>
    <w:rsid w:val="280336FE"/>
    <w:rsid w:val="280C4767"/>
    <w:rsid w:val="281642E1"/>
    <w:rsid w:val="28224635"/>
    <w:rsid w:val="283993C1"/>
    <w:rsid w:val="283B5F0F"/>
    <w:rsid w:val="283D8643"/>
    <w:rsid w:val="286B170A"/>
    <w:rsid w:val="2873ADCE"/>
    <w:rsid w:val="288FCADE"/>
    <w:rsid w:val="2890FA53"/>
    <w:rsid w:val="289EDD44"/>
    <w:rsid w:val="28BDE5CC"/>
    <w:rsid w:val="28D30966"/>
    <w:rsid w:val="28E7C391"/>
    <w:rsid w:val="28E83A54"/>
    <w:rsid w:val="28F8B624"/>
    <w:rsid w:val="2906A5F9"/>
    <w:rsid w:val="29112F51"/>
    <w:rsid w:val="2919B2C6"/>
    <w:rsid w:val="2922FD30"/>
    <w:rsid w:val="2923B77A"/>
    <w:rsid w:val="2923C7D9"/>
    <w:rsid w:val="292640C9"/>
    <w:rsid w:val="29316C86"/>
    <w:rsid w:val="293DE92A"/>
    <w:rsid w:val="2949A828"/>
    <w:rsid w:val="29634D4E"/>
    <w:rsid w:val="297773E6"/>
    <w:rsid w:val="298C5FB5"/>
    <w:rsid w:val="298F2943"/>
    <w:rsid w:val="2998A020"/>
    <w:rsid w:val="29B5EC06"/>
    <w:rsid w:val="29BC48C1"/>
    <w:rsid w:val="29C1A141"/>
    <w:rsid w:val="2A00A8EE"/>
    <w:rsid w:val="2A1FDD62"/>
    <w:rsid w:val="2A383B79"/>
    <w:rsid w:val="2A427350"/>
    <w:rsid w:val="2A4AAC67"/>
    <w:rsid w:val="2A59484A"/>
    <w:rsid w:val="2A5B9E0B"/>
    <w:rsid w:val="2A5FF294"/>
    <w:rsid w:val="2A646D5A"/>
    <w:rsid w:val="2A92D4FD"/>
    <w:rsid w:val="2A953B6C"/>
    <w:rsid w:val="2A9569C4"/>
    <w:rsid w:val="2AA4520B"/>
    <w:rsid w:val="2ADE650A"/>
    <w:rsid w:val="2AF26393"/>
    <w:rsid w:val="2AFF692E"/>
    <w:rsid w:val="2B1DF5E1"/>
    <w:rsid w:val="2B204A56"/>
    <w:rsid w:val="2B2C52EA"/>
    <w:rsid w:val="2B37D5D2"/>
    <w:rsid w:val="2B4AC7C1"/>
    <w:rsid w:val="2B4EEDD6"/>
    <w:rsid w:val="2B59A829"/>
    <w:rsid w:val="2B5A1BB2"/>
    <w:rsid w:val="2B5EB4ED"/>
    <w:rsid w:val="2B5FA119"/>
    <w:rsid w:val="2B7F960E"/>
    <w:rsid w:val="2B94E6B6"/>
    <w:rsid w:val="2B96C3DB"/>
    <w:rsid w:val="2BA8C86C"/>
    <w:rsid w:val="2BB62B72"/>
    <w:rsid w:val="2BE29358"/>
    <w:rsid w:val="2BEB38B6"/>
    <w:rsid w:val="2C0A107E"/>
    <w:rsid w:val="2C0D3F28"/>
    <w:rsid w:val="2C19A9D8"/>
    <w:rsid w:val="2C232CBB"/>
    <w:rsid w:val="2C31AD9A"/>
    <w:rsid w:val="2C356A2E"/>
    <w:rsid w:val="2C3B82EC"/>
    <w:rsid w:val="2C3D01EE"/>
    <w:rsid w:val="2C5C3A51"/>
    <w:rsid w:val="2C636CFB"/>
    <w:rsid w:val="2C6B0A12"/>
    <w:rsid w:val="2CA84D79"/>
    <w:rsid w:val="2CABB673"/>
    <w:rsid w:val="2CBC3286"/>
    <w:rsid w:val="2CC9B747"/>
    <w:rsid w:val="2CCB467C"/>
    <w:rsid w:val="2CD9D5AC"/>
    <w:rsid w:val="2CE299B9"/>
    <w:rsid w:val="2CEA0F64"/>
    <w:rsid w:val="2CF66DE8"/>
    <w:rsid w:val="2D014722"/>
    <w:rsid w:val="2D31DB13"/>
    <w:rsid w:val="2D3BF6E3"/>
    <w:rsid w:val="2D460E47"/>
    <w:rsid w:val="2D5002D0"/>
    <w:rsid w:val="2D69DE76"/>
    <w:rsid w:val="2D6A0CE7"/>
    <w:rsid w:val="2D774E0D"/>
    <w:rsid w:val="2D80CFDF"/>
    <w:rsid w:val="2D8D91EB"/>
    <w:rsid w:val="2D9147F2"/>
    <w:rsid w:val="2D9EA8BB"/>
    <w:rsid w:val="2DB238D2"/>
    <w:rsid w:val="2DC3CACA"/>
    <w:rsid w:val="2DCE9CB0"/>
    <w:rsid w:val="2DD55259"/>
    <w:rsid w:val="2DE83236"/>
    <w:rsid w:val="2E16D140"/>
    <w:rsid w:val="2E17E5E9"/>
    <w:rsid w:val="2E2A3E3C"/>
    <w:rsid w:val="2E2AD936"/>
    <w:rsid w:val="2E467245"/>
    <w:rsid w:val="2E49372A"/>
    <w:rsid w:val="2E4EDA41"/>
    <w:rsid w:val="2E5AE4A3"/>
    <w:rsid w:val="2E637BF4"/>
    <w:rsid w:val="2E6967A4"/>
    <w:rsid w:val="2E7257C3"/>
    <w:rsid w:val="2E7D9FD1"/>
    <w:rsid w:val="2E813951"/>
    <w:rsid w:val="2E81AD0C"/>
    <w:rsid w:val="2E832B9D"/>
    <w:rsid w:val="2E941058"/>
    <w:rsid w:val="2E9F2AA5"/>
    <w:rsid w:val="2EA036B4"/>
    <w:rsid w:val="2EBF8DF2"/>
    <w:rsid w:val="2EC0F5F0"/>
    <w:rsid w:val="2EC18231"/>
    <w:rsid w:val="2EC80DF6"/>
    <w:rsid w:val="2EF002AF"/>
    <w:rsid w:val="2F117E67"/>
    <w:rsid w:val="2F1D132A"/>
    <w:rsid w:val="2F61E7C7"/>
    <w:rsid w:val="2F649C70"/>
    <w:rsid w:val="2F74F13A"/>
    <w:rsid w:val="2F89BFC6"/>
    <w:rsid w:val="2F8B5D03"/>
    <w:rsid w:val="2F9B0DBD"/>
    <w:rsid w:val="2FA844E9"/>
    <w:rsid w:val="2FAB98AC"/>
    <w:rsid w:val="2FB4F523"/>
    <w:rsid w:val="2FD53197"/>
    <w:rsid w:val="2FD80A49"/>
    <w:rsid w:val="2FF96B92"/>
    <w:rsid w:val="3000462F"/>
    <w:rsid w:val="301A91E9"/>
    <w:rsid w:val="301B0285"/>
    <w:rsid w:val="3031E054"/>
    <w:rsid w:val="30378691"/>
    <w:rsid w:val="30385636"/>
    <w:rsid w:val="304FFFFD"/>
    <w:rsid w:val="3067833B"/>
    <w:rsid w:val="30749880"/>
    <w:rsid w:val="308A7585"/>
    <w:rsid w:val="308CD115"/>
    <w:rsid w:val="30906DF2"/>
    <w:rsid w:val="30B2F007"/>
    <w:rsid w:val="30C5A3B2"/>
    <w:rsid w:val="30CAAB29"/>
    <w:rsid w:val="30CCAE18"/>
    <w:rsid w:val="30DB3618"/>
    <w:rsid w:val="30DFA16B"/>
    <w:rsid w:val="30F60D14"/>
    <w:rsid w:val="31051E7A"/>
    <w:rsid w:val="31173452"/>
    <w:rsid w:val="3119034F"/>
    <w:rsid w:val="311F3845"/>
    <w:rsid w:val="3122ED42"/>
    <w:rsid w:val="3129E5F7"/>
    <w:rsid w:val="316397BC"/>
    <w:rsid w:val="3166D016"/>
    <w:rsid w:val="317C953F"/>
    <w:rsid w:val="3187127B"/>
    <w:rsid w:val="31D7B74E"/>
    <w:rsid w:val="3203E88B"/>
    <w:rsid w:val="320B5F44"/>
    <w:rsid w:val="324B9C8E"/>
    <w:rsid w:val="32596517"/>
    <w:rsid w:val="325D45BE"/>
    <w:rsid w:val="3268FE63"/>
    <w:rsid w:val="326996C7"/>
    <w:rsid w:val="3272AEE9"/>
    <w:rsid w:val="3274775C"/>
    <w:rsid w:val="327E0278"/>
    <w:rsid w:val="32A9003B"/>
    <w:rsid w:val="32CC76BB"/>
    <w:rsid w:val="32CFA1ED"/>
    <w:rsid w:val="330A6CC8"/>
    <w:rsid w:val="3317A6E6"/>
    <w:rsid w:val="331DBD1F"/>
    <w:rsid w:val="3325FAB6"/>
    <w:rsid w:val="332CF3B8"/>
    <w:rsid w:val="332E317D"/>
    <w:rsid w:val="3338DAD6"/>
    <w:rsid w:val="3341A3E2"/>
    <w:rsid w:val="334357C8"/>
    <w:rsid w:val="33678BD0"/>
    <w:rsid w:val="33BCD7E5"/>
    <w:rsid w:val="33C3CFAE"/>
    <w:rsid w:val="33DC3A61"/>
    <w:rsid w:val="33DD6108"/>
    <w:rsid w:val="33F06BE7"/>
    <w:rsid w:val="33F246DB"/>
    <w:rsid w:val="33F64049"/>
    <w:rsid w:val="34058288"/>
    <w:rsid w:val="3409D3CF"/>
    <w:rsid w:val="3420ABFA"/>
    <w:rsid w:val="342D5066"/>
    <w:rsid w:val="343E1C58"/>
    <w:rsid w:val="3441A8DF"/>
    <w:rsid w:val="344CDAD3"/>
    <w:rsid w:val="34770F96"/>
    <w:rsid w:val="3488C2FA"/>
    <w:rsid w:val="34ACBB6F"/>
    <w:rsid w:val="34B54B02"/>
    <w:rsid w:val="34B5C85F"/>
    <w:rsid w:val="34C34F52"/>
    <w:rsid w:val="34C7FCCD"/>
    <w:rsid w:val="34F00CB9"/>
    <w:rsid w:val="34FBF14A"/>
    <w:rsid w:val="3502D686"/>
    <w:rsid w:val="350ACF0F"/>
    <w:rsid w:val="350D23FD"/>
    <w:rsid w:val="3510A16C"/>
    <w:rsid w:val="35147A80"/>
    <w:rsid w:val="351F583F"/>
    <w:rsid w:val="3530B278"/>
    <w:rsid w:val="35430006"/>
    <w:rsid w:val="354EBD1C"/>
    <w:rsid w:val="356241D3"/>
    <w:rsid w:val="356572FA"/>
    <w:rsid w:val="357150D2"/>
    <w:rsid w:val="358698A7"/>
    <w:rsid w:val="3590DC4C"/>
    <w:rsid w:val="35A5D71A"/>
    <w:rsid w:val="35B42A2E"/>
    <w:rsid w:val="35E2680F"/>
    <w:rsid w:val="35E354DA"/>
    <w:rsid w:val="35E4027D"/>
    <w:rsid w:val="35F5BA84"/>
    <w:rsid w:val="360E657E"/>
    <w:rsid w:val="36195AA6"/>
    <w:rsid w:val="36198B9C"/>
    <w:rsid w:val="361ADA30"/>
    <w:rsid w:val="36262BCA"/>
    <w:rsid w:val="364BD436"/>
    <w:rsid w:val="36507818"/>
    <w:rsid w:val="3650B6D1"/>
    <w:rsid w:val="366F6234"/>
    <w:rsid w:val="36819DE6"/>
    <w:rsid w:val="368225CF"/>
    <w:rsid w:val="369498C5"/>
    <w:rsid w:val="36A2DD58"/>
    <w:rsid w:val="36C48A22"/>
    <w:rsid w:val="36D6C856"/>
    <w:rsid w:val="36E3108E"/>
    <w:rsid w:val="36FBD94D"/>
    <w:rsid w:val="371B43A2"/>
    <w:rsid w:val="3729814B"/>
    <w:rsid w:val="37745FFE"/>
    <w:rsid w:val="3780831F"/>
    <w:rsid w:val="37867C6E"/>
    <w:rsid w:val="37B9C953"/>
    <w:rsid w:val="37DC71BB"/>
    <w:rsid w:val="37DED306"/>
    <w:rsid w:val="37FE3369"/>
    <w:rsid w:val="383D3CDB"/>
    <w:rsid w:val="38662982"/>
    <w:rsid w:val="3887CB67"/>
    <w:rsid w:val="388DF49C"/>
    <w:rsid w:val="388EAD5E"/>
    <w:rsid w:val="388F4C4E"/>
    <w:rsid w:val="38BADE12"/>
    <w:rsid w:val="38C5AA88"/>
    <w:rsid w:val="38E54847"/>
    <w:rsid w:val="38E75CBE"/>
    <w:rsid w:val="38E947ED"/>
    <w:rsid w:val="38FF81F3"/>
    <w:rsid w:val="39210D0A"/>
    <w:rsid w:val="392E6C3E"/>
    <w:rsid w:val="393453EC"/>
    <w:rsid w:val="393C7E7F"/>
    <w:rsid w:val="393D46FD"/>
    <w:rsid w:val="394D54AF"/>
    <w:rsid w:val="3966D87B"/>
    <w:rsid w:val="396DDF4B"/>
    <w:rsid w:val="396E4835"/>
    <w:rsid w:val="398718C8"/>
    <w:rsid w:val="39A187FB"/>
    <w:rsid w:val="39A3D6C9"/>
    <w:rsid w:val="39B3A0D3"/>
    <w:rsid w:val="39DF39AD"/>
    <w:rsid w:val="3A02FD73"/>
    <w:rsid w:val="3A1C13E4"/>
    <w:rsid w:val="3A21322E"/>
    <w:rsid w:val="3A2485D4"/>
    <w:rsid w:val="3A2C0856"/>
    <w:rsid w:val="3A375340"/>
    <w:rsid w:val="3A38C523"/>
    <w:rsid w:val="3A5C2BF5"/>
    <w:rsid w:val="3A780C75"/>
    <w:rsid w:val="3A9C2278"/>
    <w:rsid w:val="3A9D9DA0"/>
    <w:rsid w:val="3ACDB2E4"/>
    <w:rsid w:val="3AD18EB0"/>
    <w:rsid w:val="3AD6D9AE"/>
    <w:rsid w:val="3ADAE281"/>
    <w:rsid w:val="3ADC0F01"/>
    <w:rsid w:val="3AE6FA01"/>
    <w:rsid w:val="3AF5BBF8"/>
    <w:rsid w:val="3B0A2A61"/>
    <w:rsid w:val="3B12F311"/>
    <w:rsid w:val="3B306A5A"/>
    <w:rsid w:val="3B335374"/>
    <w:rsid w:val="3B36B787"/>
    <w:rsid w:val="3B5492FE"/>
    <w:rsid w:val="3B81827A"/>
    <w:rsid w:val="3B899692"/>
    <w:rsid w:val="3B9CA39C"/>
    <w:rsid w:val="3BCE54C5"/>
    <w:rsid w:val="3BCFEE81"/>
    <w:rsid w:val="3BE3A1DD"/>
    <w:rsid w:val="3BF3670C"/>
    <w:rsid w:val="3BF99386"/>
    <w:rsid w:val="3C07BFB8"/>
    <w:rsid w:val="3C0F5D05"/>
    <w:rsid w:val="3C140E8E"/>
    <w:rsid w:val="3C2D75D0"/>
    <w:rsid w:val="3C396E01"/>
    <w:rsid w:val="3C6D6833"/>
    <w:rsid w:val="3C708DBD"/>
    <w:rsid w:val="3C77E4BE"/>
    <w:rsid w:val="3C791111"/>
    <w:rsid w:val="3C80941C"/>
    <w:rsid w:val="3C850F71"/>
    <w:rsid w:val="3C8ACD3A"/>
    <w:rsid w:val="3C8CC22E"/>
    <w:rsid w:val="3C91F64F"/>
    <w:rsid w:val="3C96954B"/>
    <w:rsid w:val="3CA18CA4"/>
    <w:rsid w:val="3CA45594"/>
    <w:rsid w:val="3CB4E84B"/>
    <w:rsid w:val="3CBACD01"/>
    <w:rsid w:val="3CC22577"/>
    <w:rsid w:val="3CC690CC"/>
    <w:rsid w:val="3CDFBD1C"/>
    <w:rsid w:val="3CE63B4C"/>
    <w:rsid w:val="3CEF5ECF"/>
    <w:rsid w:val="3CFE8518"/>
    <w:rsid w:val="3D09C3F2"/>
    <w:rsid w:val="3D16BC69"/>
    <w:rsid w:val="3D35A642"/>
    <w:rsid w:val="3D385AD8"/>
    <w:rsid w:val="3D39E5F3"/>
    <w:rsid w:val="3D5C3446"/>
    <w:rsid w:val="3D6A41B9"/>
    <w:rsid w:val="3D72D289"/>
    <w:rsid w:val="3D824C53"/>
    <w:rsid w:val="3DAFC249"/>
    <w:rsid w:val="3DC0A098"/>
    <w:rsid w:val="3DC45983"/>
    <w:rsid w:val="3DC924B5"/>
    <w:rsid w:val="3DD7E443"/>
    <w:rsid w:val="3DF3D589"/>
    <w:rsid w:val="3DF7E363"/>
    <w:rsid w:val="3E03FBD1"/>
    <w:rsid w:val="3E18EDDD"/>
    <w:rsid w:val="3E194B27"/>
    <w:rsid w:val="3E5AEEC4"/>
    <w:rsid w:val="3E8055BE"/>
    <w:rsid w:val="3E81E2DA"/>
    <w:rsid w:val="3E85C11E"/>
    <w:rsid w:val="3E9BA54F"/>
    <w:rsid w:val="3E9E14C4"/>
    <w:rsid w:val="3EB9C378"/>
    <w:rsid w:val="3EC762E3"/>
    <w:rsid w:val="3EF679A9"/>
    <w:rsid w:val="3F066C43"/>
    <w:rsid w:val="3F171BC3"/>
    <w:rsid w:val="3F18E98B"/>
    <w:rsid w:val="3F298401"/>
    <w:rsid w:val="3F3628BC"/>
    <w:rsid w:val="3F625474"/>
    <w:rsid w:val="3F7DB70B"/>
    <w:rsid w:val="3FBC1679"/>
    <w:rsid w:val="3FC42661"/>
    <w:rsid w:val="3FCBC935"/>
    <w:rsid w:val="3FE46DF8"/>
    <w:rsid w:val="400119AD"/>
    <w:rsid w:val="4008A528"/>
    <w:rsid w:val="4013E35F"/>
    <w:rsid w:val="4016E309"/>
    <w:rsid w:val="40259168"/>
    <w:rsid w:val="4025FDE2"/>
    <w:rsid w:val="402777E7"/>
    <w:rsid w:val="402E9B82"/>
    <w:rsid w:val="40309A80"/>
    <w:rsid w:val="40384B13"/>
    <w:rsid w:val="403D128D"/>
    <w:rsid w:val="405B7055"/>
    <w:rsid w:val="4075ECAC"/>
    <w:rsid w:val="40913738"/>
    <w:rsid w:val="40916876"/>
    <w:rsid w:val="40A9CC0C"/>
    <w:rsid w:val="40B90CAB"/>
    <w:rsid w:val="40C5EFF7"/>
    <w:rsid w:val="41060BE5"/>
    <w:rsid w:val="4109A692"/>
    <w:rsid w:val="410BAAB4"/>
    <w:rsid w:val="412909A3"/>
    <w:rsid w:val="41404FE7"/>
    <w:rsid w:val="4145E8FD"/>
    <w:rsid w:val="414B52AB"/>
    <w:rsid w:val="41670261"/>
    <w:rsid w:val="417FCC42"/>
    <w:rsid w:val="418725C2"/>
    <w:rsid w:val="418D5778"/>
    <w:rsid w:val="41A6D568"/>
    <w:rsid w:val="41A841F9"/>
    <w:rsid w:val="41ACABDE"/>
    <w:rsid w:val="41ADFB13"/>
    <w:rsid w:val="41C9FDBB"/>
    <w:rsid w:val="41D11D6C"/>
    <w:rsid w:val="41E31E1C"/>
    <w:rsid w:val="41ECD44B"/>
    <w:rsid w:val="41ECFADE"/>
    <w:rsid w:val="421848D2"/>
    <w:rsid w:val="423288B3"/>
    <w:rsid w:val="423D0E88"/>
    <w:rsid w:val="42596350"/>
    <w:rsid w:val="425A2249"/>
    <w:rsid w:val="425B6549"/>
    <w:rsid w:val="4267356B"/>
    <w:rsid w:val="426A540B"/>
    <w:rsid w:val="426CB866"/>
    <w:rsid w:val="4286026E"/>
    <w:rsid w:val="428F25B3"/>
    <w:rsid w:val="42908227"/>
    <w:rsid w:val="42A47952"/>
    <w:rsid w:val="42D45E36"/>
    <w:rsid w:val="42D82E64"/>
    <w:rsid w:val="42E50195"/>
    <w:rsid w:val="42E51F78"/>
    <w:rsid w:val="43055165"/>
    <w:rsid w:val="430A6806"/>
    <w:rsid w:val="43687C77"/>
    <w:rsid w:val="43742F81"/>
    <w:rsid w:val="4387EB5C"/>
    <w:rsid w:val="438834AC"/>
    <w:rsid w:val="438D6EB5"/>
    <w:rsid w:val="43CFDB82"/>
    <w:rsid w:val="43EBC382"/>
    <w:rsid w:val="43F33FD3"/>
    <w:rsid w:val="43FD90B9"/>
    <w:rsid w:val="440A27A4"/>
    <w:rsid w:val="4411D99B"/>
    <w:rsid w:val="442083DA"/>
    <w:rsid w:val="442C33C7"/>
    <w:rsid w:val="445C1968"/>
    <w:rsid w:val="445FA9A0"/>
    <w:rsid w:val="44678BEC"/>
    <w:rsid w:val="447B2BC0"/>
    <w:rsid w:val="4482A982"/>
    <w:rsid w:val="4494E067"/>
    <w:rsid w:val="4498DE99"/>
    <w:rsid w:val="44AF6305"/>
    <w:rsid w:val="44CD71A2"/>
    <w:rsid w:val="44E4226A"/>
    <w:rsid w:val="44E8DEFD"/>
    <w:rsid w:val="44FA9DDB"/>
    <w:rsid w:val="452B5647"/>
    <w:rsid w:val="45687C1F"/>
    <w:rsid w:val="45710F54"/>
    <w:rsid w:val="4575DAA9"/>
    <w:rsid w:val="45838EC9"/>
    <w:rsid w:val="458FA1C1"/>
    <w:rsid w:val="459BEFB0"/>
    <w:rsid w:val="45C72EE6"/>
    <w:rsid w:val="45E328F9"/>
    <w:rsid w:val="45EFF87F"/>
    <w:rsid w:val="45F3C3B6"/>
    <w:rsid w:val="46022CBA"/>
    <w:rsid w:val="460F5667"/>
    <w:rsid w:val="461686C5"/>
    <w:rsid w:val="462757EB"/>
    <w:rsid w:val="46347F37"/>
    <w:rsid w:val="4662075E"/>
    <w:rsid w:val="4676B35C"/>
    <w:rsid w:val="467AB6EA"/>
    <w:rsid w:val="46886E04"/>
    <w:rsid w:val="468B6938"/>
    <w:rsid w:val="468F6B92"/>
    <w:rsid w:val="46939D80"/>
    <w:rsid w:val="4694EFE4"/>
    <w:rsid w:val="46BC0AFF"/>
    <w:rsid w:val="46CDCC7E"/>
    <w:rsid w:val="46D97E91"/>
    <w:rsid w:val="470A1906"/>
    <w:rsid w:val="470E0108"/>
    <w:rsid w:val="47122E53"/>
    <w:rsid w:val="4722FD0D"/>
    <w:rsid w:val="4728D48A"/>
    <w:rsid w:val="472DE45A"/>
    <w:rsid w:val="4743DA81"/>
    <w:rsid w:val="474E59D8"/>
    <w:rsid w:val="475BDD23"/>
    <w:rsid w:val="476240F2"/>
    <w:rsid w:val="47673FCD"/>
    <w:rsid w:val="477ED6A7"/>
    <w:rsid w:val="478DA937"/>
    <w:rsid w:val="479857AF"/>
    <w:rsid w:val="479A1ADC"/>
    <w:rsid w:val="479E9239"/>
    <w:rsid w:val="47BD10F0"/>
    <w:rsid w:val="47D450E4"/>
    <w:rsid w:val="47DB146F"/>
    <w:rsid w:val="47DE302D"/>
    <w:rsid w:val="47EE4080"/>
    <w:rsid w:val="48068975"/>
    <w:rsid w:val="4808C6B8"/>
    <w:rsid w:val="4818320E"/>
    <w:rsid w:val="4820E7A6"/>
    <w:rsid w:val="48224588"/>
    <w:rsid w:val="482895FF"/>
    <w:rsid w:val="4858EB65"/>
    <w:rsid w:val="487ED382"/>
    <w:rsid w:val="48A5E967"/>
    <w:rsid w:val="48BD5EE4"/>
    <w:rsid w:val="48C0B671"/>
    <w:rsid w:val="48C6AABE"/>
    <w:rsid w:val="48E0FF0E"/>
    <w:rsid w:val="48EC1214"/>
    <w:rsid w:val="48F22DF0"/>
    <w:rsid w:val="48F8263B"/>
    <w:rsid w:val="48F8F87B"/>
    <w:rsid w:val="49090CA6"/>
    <w:rsid w:val="4915ADCD"/>
    <w:rsid w:val="4928898D"/>
    <w:rsid w:val="492AE47B"/>
    <w:rsid w:val="495D6814"/>
    <w:rsid w:val="496A0A54"/>
    <w:rsid w:val="496B492F"/>
    <w:rsid w:val="49904439"/>
    <w:rsid w:val="49C41EA2"/>
    <w:rsid w:val="49C5A3C2"/>
    <w:rsid w:val="49ECAAD6"/>
    <w:rsid w:val="4A2B4785"/>
    <w:rsid w:val="4A55A640"/>
    <w:rsid w:val="4AAFF7E9"/>
    <w:rsid w:val="4AC0CA3F"/>
    <w:rsid w:val="4AC0E487"/>
    <w:rsid w:val="4AD50E11"/>
    <w:rsid w:val="4AE002DD"/>
    <w:rsid w:val="4AE2DC9B"/>
    <w:rsid w:val="4AF93196"/>
    <w:rsid w:val="4AF9F508"/>
    <w:rsid w:val="4B07A2C4"/>
    <w:rsid w:val="4B0EF86B"/>
    <w:rsid w:val="4B15F969"/>
    <w:rsid w:val="4B1DDB52"/>
    <w:rsid w:val="4B727519"/>
    <w:rsid w:val="4B7EE6D1"/>
    <w:rsid w:val="4BADCEDF"/>
    <w:rsid w:val="4BB56ADB"/>
    <w:rsid w:val="4BC92F85"/>
    <w:rsid w:val="4BCC9A10"/>
    <w:rsid w:val="4BDF09B3"/>
    <w:rsid w:val="4C22AB28"/>
    <w:rsid w:val="4C23BF1C"/>
    <w:rsid w:val="4C24392E"/>
    <w:rsid w:val="4C2D2ABC"/>
    <w:rsid w:val="4C446BA0"/>
    <w:rsid w:val="4C56551D"/>
    <w:rsid w:val="4C5C0BBF"/>
    <w:rsid w:val="4C788DED"/>
    <w:rsid w:val="4CAF0745"/>
    <w:rsid w:val="4CB02844"/>
    <w:rsid w:val="4CCA39C5"/>
    <w:rsid w:val="4CCE3DDB"/>
    <w:rsid w:val="4CE0D9D4"/>
    <w:rsid w:val="4CF4C782"/>
    <w:rsid w:val="4CFA0394"/>
    <w:rsid w:val="4CFCB508"/>
    <w:rsid w:val="4D111D6F"/>
    <w:rsid w:val="4D15FFEB"/>
    <w:rsid w:val="4D482FB1"/>
    <w:rsid w:val="4D52E711"/>
    <w:rsid w:val="4D64848D"/>
    <w:rsid w:val="4D674F17"/>
    <w:rsid w:val="4D84C895"/>
    <w:rsid w:val="4D86BC33"/>
    <w:rsid w:val="4DA0DA18"/>
    <w:rsid w:val="4DA6C744"/>
    <w:rsid w:val="4DF47E0F"/>
    <w:rsid w:val="4E0B2C79"/>
    <w:rsid w:val="4E0C555C"/>
    <w:rsid w:val="4E1E1BAA"/>
    <w:rsid w:val="4E28CCBE"/>
    <w:rsid w:val="4E2ED779"/>
    <w:rsid w:val="4E34378E"/>
    <w:rsid w:val="4E3E6553"/>
    <w:rsid w:val="4E5AFF27"/>
    <w:rsid w:val="4E5F2AC4"/>
    <w:rsid w:val="4E731646"/>
    <w:rsid w:val="4E8DE0EF"/>
    <w:rsid w:val="4E90B888"/>
    <w:rsid w:val="4E988569"/>
    <w:rsid w:val="4E9B5245"/>
    <w:rsid w:val="4EA0C7A6"/>
    <w:rsid w:val="4EAD3450"/>
    <w:rsid w:val="4EBA2E5B"/>
    <w:rsid w:val="4EF5496F"/>
    <w:rsid w:val="4F18642A"/>
    <w:rsid w:val="4F31DCCE"/>
    <w:rsid w:val="4F3902AC"/>
    <w:rsid w:val="4F3D7A5E"/>
    <w:rsid w:val="4F713030"/>
    <w:rsid w:val="4F907641"/>
    <w:rsid w:val="4F9CE445"/>
    <w:rsid w:val="4FB1E47C"/>
    <w:rsid w:val="4FE33FB2"/>
    <w:rsid w:val="50070256"/>
    <w:rsid w:val="500F9867"/>
    <w:rsid w:val="501B239E"/>
    <w:rsid w:val="501E7CBB"/>
    <w:rsid w:val="505C9D14"/>
    <w:rsid w:val="506CEF53"/>
    <w:rsid w:val="508AF1D0"/>
    <w:rsid w:val="5091A1D0"/>
    <w:rsid w:val="5093EF29"/>
    <w:rsid w:val="50957C88"/>
    <w:rsid w:val="509AF65F"/>
    <w:rsid w:val="50A0186C"/>
    <w:rsid w:val="50AF44F3"/>
    <w:rsid w:val="50E41E30"/>
    <w:rsid w:val="50EB543F"/>
    <w:rsid w:val="50EBED64"/>
    <w:rsid w:val="50F7B1FB"/>
    <w:rsid w:val="50F7D66C"/>
    <w:rsid w:val="5108FEFB"/>
    <w:rsid w:val="510A77C0"/>
    <w:rsid w:val="510E0F94"/>
    <w:rsid w:val="513EAEC7"/>
    <w:rsid w:val="513F2F81"/>
    <w:rsid w:val="514F3BDE"/>
    <w:rsid w:val="5150217B"/>
    <w:rsid w:val="517E17F5"/>
    <w:rsid w:val="51B65217"/>
    <w:rsid w:val="5202D416"/>
    <w:rsid w:val="523A2CB4"/>
    <w:rsid w:val="524A16D7"/>
    <w:rsid w:val="5251C857"/>
    <w:rsid w:val="5253F375"/>
    <w:rsid w:val="52668D31"/>
    <w:rsid w:val="52676698"/>
    <w:rsid w:val="526D1AE1"/>
    <w:rsid w:val="52825ACE"/>
    <w:rsid w:val="52988988"/>
    <w:rsid w:val="52B4E80B"/>
    <w:rsid w:val="52C7F4C7"/>
    <w:rsid w:val="52CCFD23"/>
    <w:rsid w:val="52D6879C"/>
    <w:rsid w:val="52DE9530"/>
    <w:rsid w:val="52ED73F6"/>
    <w:rsid w:val="53026E1B"/>
    <w:rsid w:val="5307F263"/>
    <w:rsid w:val="53090660"/>
    <w:rsid w:val="530ABDD1"/>
    <w:rsid w:val="530B4BBE"/>
    <w:rsid w:val="53185ADE"/>
    <w:rsid w:val="53499896"/>
    <w:rsid w:val="534BA79E"/>
    <w:rsid w:val="534E2B59"/>
    <w:rsid w:val="535EF193"/>
    <w:rsid w:val="5376482E"/>
    <w:rsid w:val="539759BC"/>
    <w:rsid w:val="53A22E43"/>
    <w:rsid w:val="53AAD00D"/>
    <w:rsid w:val="53B85EF1"/>
    <w:rsid w:val="53E237F6"/>
    <w:rsid w:val="5413B483"/>
    <w:rsid w:val="54330E96"/>
    <w:rsid w:val="54462581"/>
    <w:rsid w:val="544A8711"/>
    <w:rsid w:val="544E5884"/>
    <w:rsid w:val="54525F7E"/>
    <w:rsid w:val="5452E57A"/>
    <w:rsid w:val="546648D4"/>
    <w:rsid w:val="546A29FE"/>
    <w:rsid w:val="546D97E0"/>
    <w:rsid w:val="5477BDBC"/>
    <w:rsid w:val="5496ADD8"/>
    <w:rsid w:val="549B93F8"/>
    <w:rsid w:val="549E3E95"/>
    <w:rsid w:val="54A81D42"/>
    <w:rsid w:val="54B36AFC"/>
    <w:rsid w:val="54B6E131"/>
    <w:rsid w:val="54BC2049"/>
    <w:rsid w:val="54C5CEB0"/>
    <w:rsid w:val="54D07345"/>
    <w:rsid w:val="54D3FD64"/>
    <w:rsid w:val="54F7A763"/>
    <w:rsid w:val="54FB7236"/>
    <w:rsid w:val="54FF4D3F"/>
    <w:rsid w:val="550AA1CB"/>
    <w:rsid w:val="551CAC5A"/>
    <w:rsid w:val="5522AE9B"/>
    <w:rsid w:val="5541D066"/>
    <w:rsid w:val="554AD091"/>
    <w:rsid w:val="556144EE"/>
    <w:rsid w:val="55728D70"/>
    <w:rsid w:val="55732549"/>
    <w:rsid w:val="5579A4F0"/>
    <w:rsid w:val="557A6803"/>
    <w:rsid w:val="557B039B"/>
    <w:rsid w:val="559BDF7A"/>
    <w:rsid w:val="55A3AA76"/>
    <w:rsid w:val="55A49C86"/>
    <w:rsid w:val="55C22139"/>
    <w:rsid w:val="55D6DDD3"/>
    <w:rsid w:val="55DA73FD"/>
    <w:rsid w:val="55E40876"/>
    <w:rsid w:val="5604393E"/>
    <w:rsid w:val="560570A8"/>
    <w:rsid w:val="56133CE7"/>
    <w:rsid w:val="561B5830"/>
    <w:rsid w:val="5659983E"/>
    <w:rsid w:val="56657580"/>
    <w:rsid w:val="5674781C"/>
    <w:rsid w:val="56900714"/>
    <w:rsid w:val="56AB4657"/>
    <w:rsid w:val="56F40D18"/>
    <w:rsid w:val="57039E23"/>
    <w:rsid w:val="57596DAA"/>
    <w:rsid w:val="575D2377"/>
    <w:rsid w:val="579CD102"/>
    <w:rsid w:val="57A63CF0"/>
    <w:rsid w:val="57CE75D8"/>
    <w:rsid w:val="57DC6445"/>
    <w:rsid w:val="57DF5885"/>
    <w:rsid w:val="57FB94A3"/>
    <w:rsid w:val="5816D998"/>
    <w:rsid w:val="582DE17E"/>
    <w:rsid w:val="584AC326"/>
    <w:rsid w:val="5855667E"/>
    <w:rsid w:val="5885FB3A"/>
    <w:rsid w:val="58A7F766"/>
    <w:rsid w:val="58ADDA38"/>
    <w:rsid w:val="58CCBA83"/>
    <w:rsid w:val="58D12A2E"/>
    <w:rsid w:val="58ED73BF"/>
    <w:rsid w:val="58F34F2C"/>
    <w:rsid w:val="5906A2DA"/>
    <w:rsid w:val="59111EE6"/>
    <w:rsid w:val="591D5F52"/>
    <w:rsid w:val="5927C900"/>
    <w:rsid w:val="593AD9AB"/>
    <w:rsid w:val="593D15E6"/>
    <w:rsid w:val="5956626B"/>
    <w:rsid w:val="595D8F25"/>
    <w:rsid w:val="595F1E10"/>
    <w:rsid w:val="596D5EDC"/>
    <w:rsid w:val="597461F0"/>
    <w:rsid w:val="597A9862"/>
    <w:rsid w:val="5981FF21"/>
    <w:rsid w:val="59A0C4BF"/>
    <w:rsid w:val="59A980CA"/>
    <w:rsid w:val="59AEBFCE"/>
    <w:rsid w:val="59C224A5"/>
    <w:rsid w:val="59D69538"/>
    <w:rsid w:val="5A2EE1BC"/>
    <w:rsid w:val="5A3EA640"/>
    <w:rsid w:val="5A48927F"/>
    <w:rsid w:val="5A9C12C9"/>
    <w:rsid w:val="5AACA51D"/>
    <w:rsid w:val="5AB15A22"/>
    <w:rsid w:val="5AB9559F"/>
    <w:rsid w:val="5AE22512"/>
    <w:rsid w:val="5B0D655C"/>
    <w:rsid w:val="5B29134C"/>
    <w:rsid w:val="5B377E89"/>
    <w:rsid w:val="5B40E3C8"/>
    <w:rsid w:val="5B4345DE"/>
    <w:rsid w:val="5B5B5757"/>
    <w:rsid w:val="5B770871"/>
    <w:rsid w:val="5B900318"/>
    <w:rsid w:val="5BA1FF6C"/>
    <w:rsid w:val="5BB09C42"/>
    <w:rsid w:val="5BB53F93"/>
    <w:rsid w:val="5BB82A33"/>
    <w:rsid w:val="5BC498A6"/>
    <w:rsid w:val="5BD0D333"/>
    <w:rsid w:val="5BDE6CFE"/>
    <w:rsid w:val="5BE62D09"/>
    <w:rsid w:val="5BFD1B03"/>
    <w:rsid w:val="5C061CFF"/>
    <w:rsid w:val="5C1EBFED"/>
    <w:rsid w:val="5C266084"/>
    <w:rsid w:val="5C26B3EE"/>
    <w:rsid w:val="5C2757FD"/>
    <w:rsid w:val="5C293F2B"/>
    <w:rsid w:val="5C2E4DC7"/>
    <w:rsid w:val="5C3404B1"/>
    <w:rsid w:val="5C4BB437"/>
    <w:rsid w:val="5C784795"/>
    <w:rsid w:val="5C83F4C5"/>
    <w:rsid w:val="5C8DDEAC"/>
    <w:rsid w:val="5CAFE978"/>
    <w:rsid w:val="5CC5D39A"/>
    <w:rsid w:val="5CF694D7"/>
    <w:rsid w:val="5D0CD9D4"/>
    <w:rsid w:val="5D0D047C"/>
    <w:rsid w:val="5D13B630"/>
    <w:rsid w:val="5D1E310B"/>
    <w:rsid w:val="5D2404C2"/>
    <w:rsid w:val="5D392E5F"/>
    <w:rsid w:val="5D4307D7"/>
    <w:rsid w:val="5D4C10ED"/>
    <w:rsid w:val="5D52716A"/>
    <w:rsid w:val="5D662A27"/>
    <w:rsid w:val="5D747858"/>
    <w:rsid w:val="5D77E7D2"/>
    <w:rsid w:val="5D7C3D94"/>
    <w:rsid w:val="5D8234A1"/>
    <w:rsid w:val="5D8CD22C"/>
    <w:rsid w:val="5D9A2B4E"/>
    <w:rsid w:val="5D9EAB88"/>
    <w:rsid w:val="5DC1FECC"/>
    <w:rsid w:val="5DD7568D"/>
    <w:rsid w:val="5DDF6946"/>
    <w:rsid w:val="5DE4F5E0"/>
    <w:rsid w:val="5E156769"/>
    <w:rsid w:val="5E2A0BB2"/>
    <w:rsid w:val="5E3877D1"/>
    <w:rsid w:val="5E48DC1B"/>
    <w:rsid w:val="5E6BE121"/>
    <w:rsid w:val="5E80C963"/>
    <w:rsid w:val="5E80C9F2"/>
    <w:rsid w:val="5EAE59BC"/>
    <w:rsid w:val="5F13DDA9"/>
    <w:rsid w:val="5F1827FF"/>
    <w:rsid w:val="5F28F663"/>
    <w:rsid w:val="5F37AE22"/>
    <w:rsid w:val="5F57040E"/>
    <w:rsid w:val="5F58086D"/>
    <w:rsid w:val="5F5D8BD5"/>
    <w:rsid w:val="5F5E4E35"/>
    <w:rsid w:val="5F64703B"/>
    <w:rsid w:val="5F672ECF"/>
    <w:rsid w:val="5F6758C6"/>
    <w:rsid w:val="5F6BD642"/>
    <w:rsid w:val="5F73E9C2"/>
    <w:rsid w:val="5F949784"/>
    <w:rsid w:val="5FA999FB"/>
    <w:rsid w:val="5FBA4177"/>
    <w:rsid w:val="5FCFC342"/>
    <w:rsid w:val="5FD78E95"/>
    <w:rsid w:val="5FE21658"/>
    <w:rsid w:val="5FF4CFC0"/>
    <w:rsid w:val="6004D5A7"/>
    <w:rsid w:val="600D8A17"/>
    <w:rsid w:val="6023F001"/>
    <w:rsid w:val="60269017"/>
    <w:rsid w:val="60362434"/>
    <w:rsid w:val="6044783A"/>
    <w:rsid w:val="60675DDD"/>
    <w:rsid w:val="6076ED67"/>
    <w:rsid w:val="6084F16D"/>
    <w:rsid w:val="60C9ABB6"/>
    <w:rsid w:val="60CF0C9C"/>
    <w:rsid w:val="60D38B49"/>
    <w:rsid w:val="60EE5931"/>
    <w:rsid w:val="6107FB60"/>
    <w:rsid w:val="6120F6F9"/>
    <w:rsid w:val="61518801"/>
    <w:rsid w:val="615C0531"/>
    <w:rsid w:val="6161917B"/>
    <w:rsid w:val="617114D7"/>
    <w:rsid w:val="617A92AC"/>
    <w:rsid w:val="617C8D37"/>
    <w:rsid w:val="61A4CCCD"/>
    <w:rsid w:val="61A5948F"/>
    <w:rsid w:val="61E17D22"/>
    <w:rsid w:val="61EAC328"/>
    <w:rsid w:val="61ED08A5"/>
    <w:rsid w:val="61F00813"/>
    <w:rsid w:val="61F80E0C"/>
    <w:rsid w:val="61FF1D33"/>
    <w:rsid w:val="621EBE18"/>
    <w:rsid w:val="62390FAE"/>
    <w:rsid w:val="62427288"/>
    <w:rsid w:val="6247A9BC"/>
    <w:rsid w:val="6255B449"/>
    <w:rsid w:val="625C76A0"/>
    <w:rsid w:val="625F681E"/>
    <w:rsid w:val="62646AAF"/>
    <w:rsid w:val="626518D2"/>
    <w:rsid w:val="626C5C87"/>
    <w:rsid w:val="627B93C9"/>
    <w:rsid w:val="629FB213"/>
    <w:rsid w:val="62A378BD"/>
    <w:rsid w:val="62A90909"/>
    <w:rsid w:val="62C74654"/>
    <w:rsid w:val="62CFFEA8"/>
    <w:rsid w:val="631262A3"/>
    <w:rsid w:val="6315EDDC"/>
    <w:rsid w:val="631622DB"/>
    <w:rsid w:val="631BB8E3"/>
    <w:rsid w:val="63248F2E"/>
    <w:rsid w:val="632E0E10"/>
    <w:rsid w:val="632F1557"/>
    <w:rsid w:val="633098E7"/>
    <w:rsid w:val="63407408"/>
    <w:rsid w:val="634A6216"/>
    <w:rsid w:val="63510F9F"/>
    <w:rsid w:val="636EFADC"/>
    <w:rsid w:val="63771FB4"/>
    <w:rsid w:val="63826B5A"/>
    <w:rsid w:val="638AF419"/>
    <w:rsid w:val="638C6537"/>
    <w:rsid w:val="6392F6E8"/>
    <w:rsid w:val="63A9681E"/>
    <w:rsid w:val="63AA5E7A"/>
    <w:rsid w:val="63AC0D78"/>
    <w:rsid w:val="63B29B9D"/>
    <w:rsid w:val="63B5DF48"/>
    <w:rsid w:val="63C754CA"/>
    <w:rsid w:val="63CDDF91"/>
    <w:rsid w:val="63D1AE1A"/>
    <w:rsid w:val="63D1E4DB"/>
    <w:rsid w:val="63D49193"/>
    <w:rsid w:val="63D85160"/>
    <w:rsid w:val="63E23C69"/>
    <w:rsid w:val="63E95263"/>
    <w:rsid w:val="63EF46B0"/>
    <w:rsid w:val="63FC0F62"/>
    <w:rsid w:val="64022139"/>
    <w:rsid w:val="6407BD9E"/>
    <w:rsid w:val="6414897D"/>
    <w:rsid w:val="6416DF01"/>
    <w:rsid w:val="6420F713"/>
    <w:rsid w:val="642EF39C"/>
    <w:rsid w:val="645A2DB3"/>
    <w:rsid w:val="6469ACF3"/>
    <w:rsid w:val="64789AE2"/>
    <w:rsid w:val="647F72F4"/>
    <w:rsid w:val="648B9898"/>
    <w:rsid w:val="649CFC15"/>
    <w:rsid w:val="649DB565"/>
    <w:rsid w:val="64A53AFE"/>
    <w:rsid w:val="64BF5839"/>
    <w:rsid w:val="64C409A3"/>
    <w:rsid w:val="64DB746A"/>
    <w:rsid w:val="64DE2FDA"/>
    <w:rsid w:val="64EBFD10"/>
    <w:rsid w:val="64EF9E19"/>
    <w:rsid w:val="64FF62CB"/>
    <w:rsid w:val="65060B92"/>
    <w:rsid w:val="650F670D"/>
    <w:rsid w:val="65129FF7"/>
    <w:rsid w:val="65141606"/>
    <w:rsid w:val="65170AFF"/>
    <w:rsid w:val="6520E969"/>
    <w:rsid w:val="652A10A5"/>
    <w:rsid w:val="65370332"/>
    <w:rsid w:val="6538A96A"/>
    <w:rsid w:val="653AC58B"/>
    <w:rsid w:val="653F30D1"/>
    <w:rsid w:val="65412BB6"/>
    <w:rsid w:val="655CF06C"/>
    <w:rsid w:val="656129F3"/>
    <w:rsid w:val="65666578"/>
    <w:rsid w:val="6573E5B9"/>
    <w:rsid w:val="658B3B7D"/>
    <w:rsid w:val="65911ECC"/>
    <w:rsid w:val="6599F408"/>
    <w:rsid w:val="65A53D33"/>
    <w:rsid w:val="65AC4AA1"/>
    <w:rsid w:val="65B1E708"/>
    <w:rsid w:val="65B25B51"/>
    <w:rsid w:val="65B46DD7"/>
    <w:rsid w:val="65BAF478"/>
    <w:rsid w:val="65D8CD27"/>
    <w:rsid w:val="65DEF627"/>
    <w:rsid w:val="65F2723F"/>
    <w:rsid w:val="663CA4C3"/>
    <w:rsid w:val="66483066"/>
    <w:rsid w:val="668C65B3"/>
    <w:rsid w:val="668F7136"/>
    <w:rsid w:val="66DDE305"/>
    <w:rsid w:val="66EE438A"/>
    <w:rsid w:val="66EF621C"/>
    <w:rsid w:val="670661AF"/>
    <w:rsid w:val="67087BB6"/>
    <w:rsid w:val="672A05D4"/>
    <w:rsid w:val="672CC095"/>
    <w:rsid w:val="675EECDC"/>
    <w:rsid w:val="676F984B"/>
    <w:rsid w:val="67795C67"/>
    <w:rsid w:val="677C46B5"/>
    <w:rsid w:val="6797976F"/>
    <w:rsid w:val="67A5EABE"/>
    <w:rsid w:val="67C513B4"/>
    <w:rsid w:val="67E55181"/>
    <w:rsid w:val="67E8464D"/>
    <w:rsid w:val="682A1ED4"/>
    <w:rsid w:val="684BA9D2"/>
    <w:rsid w:val="68585AF5"/>
    <w:rsid w:val="685B8E7B"/>
    <w:rsid w:val="6879749B"/>
    <w:rsid w:val="6881B401"/>
    <w:rsid w:val="688C09BC"/>
    <w:rsid w:val="6890A160"/>
    <w:rsid w:val="6898C262"/>
    <w:rsid w:val="689E5965"/>
    <w:rsid w:val="68CB3F34"/>
    <w:rsid w:val="68CC42C9"/>
    <w:rsid w:val="68D01A15"/>
    <w:rsid w:val="68D652CF"/>
    <w:rsid w:val="68DF7521"/>
    <w:rsid w:val="68F45A96"/>
    <w:rsid w:val="690E8FA0"/>
    <w:rsid w:val="69126A75"/>
    <w:rsid w:val="691F9E18"/>
    <w:rsid w:val="69327886"/>
    <w:rsid w:val="69539706"/>
    <w:rsid w:val="695EAC77"/>
    <w:rsid w:val="6964801A"/>
    <w:rsid w:val="697223A2"/>
    <w:rsid w:val="6973C254"/>
    <w:rsid w:val="69BFC0C0"/>
    <w:rsid w:val="69DDA5B0"/>
    <w:rsid w:val="6A0439F5"/>
    <w:rsid w:val="6A0B8EDB"/>
    <w:rsid w:val="6A2CD668"/>
    <w:rsid w:val="6A3D6AF9"/>
    <w:rsid w:val="6A4A71E4"/>
    <w:rsid w:val="6A6F579F"/>
    <w:rsid w:val="6A6F8FA0"/>
    <w:rsid w:val="6A71F58A"/>
    <w:rsid w:val="6A7B4F51"/>
    <w:rsid w:val="6A7C9AE3"/>
    <w:rsid w:val="6AA4FB1D"/>
    <w:rsid w:val="6AA5ABD8"/>
    <w:rsid w:val="6AA97BC3"/>
    <w:rsid w:val="6ACA5F3B"/>
    <w:rsid w:val="6AD59EB2"/>
    <w:rsid w:val="6B1B288B"/>
    <w:rsid w:val="6B209F37"/>
    <w:rsid w:val="6B29E708"/>
    <w:rsid w:val="6B3A0081"/>
    <w:rsid w:val="6B47585B"/>
    <w:rsid w:val="6B5CA185"/>
    <w:rsid w:val="6B6DC5E5"/>
    <w:rsid w:val="6B74CF32"/>
    <w:rsid w:val="6B766757"/>
    <w:rsid w:val="6B77C663"/>
    <w:rsid w:val="6B7BA1ED"/>
    <w:rsid w:val="6B86F636"/>
    <w:rsid w:val="6B87F228"/>
    <w:rsid w:val="6B957DB0"/>
    <w:rsid w:val="6B9FA917"/>
    <w:rsid w:val="6BABFC32"/>
    <w:rsid w:val="6BB1C696"/>
    <w:rsid w:val="6BB7BACA"/>
    <w:rsid w:val="6BCC1D9D"/>
    <w:rsid w:val="6BE85434"/>
    <w:rsid w:val="6BF20B21"/>
    <w:rsid w:val="6BF77A07"/>
    <w:rsid w:val="6BFADF17"/>
    <w:rsid w:val="6C0EB159"/>
    <w:rsid w:val="6C0ECAC3"/>
    <w:rsid w:val="6C397FD8"/>
    <w:rsid w:val="6C67894F"/>
    <w:rsid w:val="6CA490AA"/>
    <w:rsid w:val="6CAAF33B"/>
    <w:rsid w:val="6CAFCA72"/>
    <w:rsid w:val="6CB7F508"/>
    <w:rsid w:val="6CCC4DC6"/>
    <w:rsid w:val="6CE85B56"/>
    <w:rsid w:val="6CFB25B6"/>
    <w:rsid w:val="6D2686D2"/>
    <w:rsid w:val="6D5B89C4"/>
    <w:rsid w:val="6D7A12E2"/>
    <w:rsid w:val="6D801E00"/>
    <w:rsid w:val="6DA4586B"/>
    <w:rsid w:val="6DB01850"/>
    <w:rsid w:val="6DBF7FBC"/>
    <w:rsid w:val="6DD98314"/>
    <w:rsid w:val="6DE2A8FC"/>
    <w:rsid w:val="6DF0D9FA"/>
    <w:rsid w:val="6DF1AA49"/>
    <w:rsid w:val="6DF9C631"/>
    <w:rsid w:val="6E22019B"/>
    <w:rsid w:val="6E23DFCF"/>
    <w:rsid w:val="6E2FF91F"/>
    <w:rsid w:val="6E3EEFC4"/>
    <w:rsid w:val="6E492CCC"/>
    <w:rsid w:val="6E4F6FA6"/>
    <w:rsid w:val="6E549305"/>
    <w:rsid w:val="6E5CC0A8"/>
    <w:rsid w:val="6EA19E19"/>
    <w:rsid w:val="6ED6BED8"/>
    <w:rsid w:val="6EDEFE48"/>
    <w:rsid w:val="6F06DA24"/>
    <w:rsid w:val="6F20395C"/>
    <w:rsid w:val="6F2331B7"/>
    <w:rsid w:val="6F34162C"/>
    <w:rsid w:val="6F38461E"/>
    <w:rsid w:val="6F3E0E5B"/>
    <w:rsid w:val="6F467D71"/>
    <w:rsid w:val="6F4DD14B"/>
    <w:rsid w:val="6F51DC90"/>
    <w:rsid w:val="6F53A2AC"/>
    <w:rsid w:val="6F55FF77"/>
    <w:rsid w:val="6F5E7E1F"/>
    <w:rsid w:val="6F6FA747"/>
    <w:rsid w:val="6F7F5FBB"/>
    <w:rsid w:val="6F87093C"/>
    <w:rsid w:val="6F9831AE"/>
    <w:rsid w:val="6F9D0678"/>
    <w:rsid w:val="6FA341A8"/>
    <w:rsid w:val="6FB2423C"/>
    <w:rsid w:val="6FB50C98"/>
    <w:rsid w:val="6FC25E93"/>
    <w:rsid w:val="6FE597F5"/>
    <w:rsid w:val="70066323"/>
    <w:rsid w:val="700B48F6"/>
    <w:rsid w:val="702B12CE"/>
    <w:rsid w:val="7035EAB3"/>
    <w:rsid w:val="70502703"/>
    <w:rsid w:val="705A672C"/>
    <w:rsid w:val="70638FFC"/>
    <w:rsid w:val="706C37C9"/>
    <w:rsid w:val="707FC3FC"/>
    <w:rsid w:val="708D1C83"/>
    <w:rsid w:val="7092DB0F"/>
    <w:rsid w:val="70932A86"/>
    <w:rsid w:val="70CA9799"/>
    <w:rsid w:val="70F4C5BF"/>
    <w:rsid w:val="70F9293C"/>
    <w:rsid w:val="70F99779"/>
    <w:rsid w:val="71167A91"/>
    <w:rsid w:val="713AE87D"/>
    <w:rsid w:val="715DD6A5"/>
    <w:rsid w:val="716C1095"/>
    <w:rsid w:val="716E87DE"/>
    <w:rsid w:val="717AE2C5"/>
    <w:rsid w:val="717F7EE2"/>
    <w:rsid w:val="7190E652"/>
    <w:rsid w:val="7195979F"/>
    <w:rsid w:val="719C9002"/>
    <w:rsid w:val="719F7351"/>
    <w:rsid w:val="71AFB16A"/>
    <w:rsid w:val="71BFCAFC"/>
    <w:rsid w:val="71EC0338"/>
    <w:rsid w:val="71F7D3BD"/>
    <w:rsid w:val="7218BFD5"/>
    <w:rsid w:val="72197946"/>
    <w:rsid w:val="721BE41A"/>
    <w:rsid w:val="722E3719"/>
    <w:rsid w:val="7232300C"/>
    <w:rsid w:val="723FE22A"/>
    <w:rsid w:val="724592D6"/>
    <w:rsid w:val="724C1932"/>
    <w:rsid w:val="726E68AB"/>
    <w:rsid w:val="72709A0C"/>
    <w:rsid w:val="72767ED2"/>
    <w:rsid w:val="7285814C"/>
    <w:rsid w:val="72A36724"/>
    <w:rsid w:val="72B1A6C7"/>
    <w:rsid w:val="72D953FA"/>
    <w:rsid w:val="72DBD470"/>
    <w:rsid w:val="72EAF6B8"/>
    <w:rsid w:val="730FEBCA"/>
    <w:rsid w:val="7326B8AB"/>
    <w:rsid w:val="733C79FA"/>
    <w:rsid w:val="733E98AF"/>
    <w:rsid w:val="735BA71D"/>
    <w:rsid w:val="736D8B75"/>
    <w:rsid w:val="73767841"/>
    <w:rsid w:val="737B9069"/>
    <w:rsid w:val="7384EB4F"/>
    <w:rsid w:val="7394371D"/>
    <w:rsid w:val="7395A7B3"/>
    <w:rsid w:val="73A1DCCA"/>
    <w:rsid w:val="73AC0723"/>
    <w:rsid w:val="73ED8950"/>
    <w:rsid w:val="7402A1EE"/>
    <w:rsid w:val="744FE3BA"/>
    <w:rsid w:val="7474DB49"/>
    <w:rsid w:val="7487DAE5"/>
    <w:rsid w:val="748ACAAD"/>
    <w:rsid w:val="74916EDC"/>
    <w:rsid w:val="749951D9"/>
    <w:rsid w:val="74E7D928"/>
    <w:rsid w:val="75086B4A"/>
    <w:rsid w:val="751FA77D"/>
    <w:rsid w:val="75356060"/>
    <w:rsid w:val="7549607E"/>
    <w:rsid w:val="75541B36"/>
    <w:rsid w:val="755CCF37"/>
    <w:rsid w:val="75904DE2"/>
    <w:rsid w:val="75B10D9A"/>
    <w:rsid w:val="75B89814"/>
    <w:rsid w:val="75D00ADD"/>
    <w:rsid w:val="75D0C357"/>
    <w:rsid w:val="75D171B9"/>
    <w:rsid w:val="75D7CF49"/>
    <w:rsid w:val="75DB9E4D"/>
    <w:rsid w:val="75E83D10"/>
    <w:rsid w:val="75F5301D"/>
    <w:rsid w:val="75FCA287"/>
    <w:rsid w:val="762E09A5"/>
    <w:rsid w:val="763170C4"/>
    <w:rsid w:val="76430B5C"/>
    <w:rsid w:val="76586DE3"/>
    <w:rsid w:val="765F99B3"/>
    <w:rsid w:val="766E6A72"/>
    <w:rsid w:val="7679A44B"/>
    <w:rsid w:val="767DC9EE"/>
    <w:rsid w:val="76813F24"/>
    <w:rsid w:val="7685BD37"/>
    <w:rsid w:val="7699A724"/>
    <w:rsid w:val="76A491B5"/>
    <w:rsid w:val="76B16B5F"/>
    <w:rsid w:val="76C37A7B"/>
    <w:rsid w:val="76CA0640"/>
    <w:rsid w:val="76D6F9B3"/>
    <w:rsid w:val="76D8BF98"/>
    <w:rsid w:val="76EE8283"/>
    <w:rsid w:val="772C6231"/>
    <w:rsid w:val="772DFB74"/>
    <w:rsid w:val="77335F8A"/>
    <w:rsid w:val="774CD825"/>
    <w:rsid w:val="7752F33E"/>
    <w:rsid w:val="77545700"/>
    <w:rsid w:val="775CF349"/>
    <w:rsid w:val="77765E62"/>
    <w:rsid w:val="77858951"/>
    <w:rsid w:val="7788C888"/>
    <w:rsid w:val="77961DEE"/>
    <w:rsid w:val="779A22D6"/>
    <w:rsid w:val="77A1B39A"/>
    <w:rsid w:val="77AB2B38"/>
    <w:rsid w:val="77C77C26"/>
    <w:rsid w:val="77CE179B"/>
    <w:rsid w:val="78034F04"/>
    <w:rsid w:val="7804D923"/>
    <w:rsid w:val="780A3D5B"/>
    <w:rsid w:val="78198D27"/>
    <w:rsid w:val="781C74E8"/>
    <w:rsid w:val="7831CF34"/>
    <w:rsid w:val="7855A11E"/>
    <w:rsid w:val="7886F5BF"/>
    <w:rsid w:val="78925B26"/>
    <w:rsid w:val="78948AE7"/>
    <w:rsid w:val="78986F86"/>
    <w:rsid w:val="78A8E10F"/>
    <w:rsid w:val="78B17559"/>
    <w:rsid w:val="78DD9C3E"/>
    <w:rsid w:val="78F5A6B0"/>
    <w:rsid w:val="78F6EED3"/>
    <w:rsid w:val="78FC282E"/>
    <w:rsid w:val="7944FC28"/>
    <w:rsid w:val="79457339"/>
    <w:rsid w:val="795D3829"/>
    <w:rsid w:val="7967046F"/>
    <w:rsid w:val="79699CE3"/>
    <w:rsid w:val="7969A0B9"/>
    <w:rsid w:val="796F3C38"/>
    <w:rsid w:val="79732F71"/>
    <w:rsid w:val="79759A8A"/>
    <w:rsid w:val="797A1906"/>
    <w:rsid w:val="798485AE"/>
    <w:rsid w:val="799691A7"/>
    <w:rsid w:val="79987DD1"/>
    <w:rsid w:val="79B36FE2"/>
    <w:rsid w:val="79B9FF87"/>
    <w:rsid w:val="79C8A4C6"/>
    <w:rsid w:val="79CA4FB7"/>
    <w:rsid w:val="79CECB45"/>
    <w:rsid w:val="79E2F711"/>
    <w:rsid w:val="79E8C9EA"/>
    <w:rsid w:val="7A03F67F"/>
    <w:rsid w:val="7A186605"/>
    <w:rsid w:val="7A1E8598"/>
    <w:rsid w:val="7A3A0CCC"/>
    <w:rsid w:val="7A5BBF1D"/>
    <w:rsid w:val="7A630226"/>
    <w:rsid w:val="7A74D1A7"/>
    <w:rsid w:val="7A7762F2"/>
    <w:rsid w:val="7A7DC08E"/>
    <w:rsid w:val="7A869A54"/>
    <w:rsid w:val="7AA44334"/>
    <w:rsid w:val="7AA542BD"/>
    <w:rsid w:val="7AC040D1"/>
    <w:rsid w:val="7ACAC7F5"/>
    <w:rsid w:val="7ADBE43A"/>
    <w:rsid w:val="7AE01284"/>
    <w:rsid w:val="7B387C17"/>
    <w:rsid w:val="7B3E7980"/>
    <w:rsid w:val="7B4AF9AB"/>
    <w:rsid w:val="7B5077C9"/>
    <w:rsid w:val="7B567B40"/>
    <w:rsid w:val="7B69C063"/>
    <w:rsid w:val="7B8381D7"/>
    <w:rsid w:val="7B8C10D2"/>
    <w:rsid w:val="7B8F94E2"/>
    <w:rsid w:val="7B93B9D8"/>
    <w:rsid w:val="7B9D73C9"/>
    <w:rsid w:val="7BB020AE"/>
    <w:rsid w:val="7BC03174"/>
    <w:rsid w:val="7BC9E8A4"/>
    <w:rsid w:val="7BD4124C"/>
    <w:rsid w:val="7BE77A0E"/>
    <w:rsid w:val="7C039633"/>
    <w:rsid w:val="7C1709A0"/>
    <w:rsid w:val="7C177D83"/>
    <w:rsid w:val="7C1A4B3B"/>
    <w:rsid w:val="7C2B02C5"/>
    <w:rsid w:val="7C2BB901"/>
    <w:rsid w:val="7C2EFB56"/>
    <w:rsid w:val="7C39ECB2"/>
    <w:rsid w:val="7C4A88F4"/>
    <w:rsid w:val="7C4DAB56"/>
    <w:rsid w:val="7C69A959"/>
    <w:rsid w:val="7C6BEB43"/>
    <w:rsid w:val="7C7DCAC5"/>
    <w:rsid w:val="7C852D06"/>
    <w:rsid w:val="7C8BC0C2"/>
    <w:rsid w:val="7C91D140"/>
    <w:rsid w:val="7C9A4088"/>
    <w:rsid w:val="7CA3714C"/>
    <w:rsid w:val="7CA3FE2C"/>
    <w:rsid w:val="7CA7FB2C"/>
    <w:rsid w:val="7CAB46AC"/>
    <w:rsid w:val="7CAEC0E1"/>
    <w:rsid w:val="7CB82C58"/>
    <w:rsid w:val="7CC0F3E4"/>
    <w:rsid w:val="7CCDEA82"/>
    <w:rsid w:val="7CD91B0A"/>
    <w:rsid w:val="7CEFBE77"/>
    <w:rsid w:val="7CFBE059"/>
    <w:rsid w:val="7D0DD084"/>
    <w:rsid w:val="7D1B10F2"/>
    <w:rsid w:val="7D280141"/>
    <w:rsid w:val="7D4DAE9E"/>
    <w:rsid w:val="7D539771"/>
    <w:rsid w:val="7D5CF7B7"/>
    <w:rsid w:val="7D6D1074"/>
    <w:rsid w:val="7D72A3C9"/>
    <w:rsid w:val="7D7CBACC"/>
    <w:rsid w:val="7D7FF87A"/>
    <w:rsid w:val="7D811765"/>
    <w:rsid w:val="7D898C81"/>
    <w:rsid w:val="7D939EC6"/>
    <w:rsid w:val="7DA74A6B"/>
    <w:rsid w:val="7DAD9A15"/>
    <w:rsid w:val="7DB69A14"/>
    <w:rsid w:val="7DBCD5F0"/>
    <w:rsid w:val="7DC019EE"/>
    <w:rsid w:val="7DC8116D"/>
    <w:rsid w:val="7DDABED5"/>
    <w:rsid w:val="7DED17B3"/>
    <w:rsid w:val="7DF953B7"/>
    <w:rsid w:val="7E3757C3"/>
    <w:rsid w:val="7E39505D"/>
    <w:rsid w:val="7E6DB7A1"/>
    <w:rsid w:val="7E708ED2"/>
    <w:rsid w:val="7E7D941E"/>
    <w:rsid w:val="7E88EC69"/>
    <w:rsid w:val="7E8BA0C0"/>
    <w:rsid w:val="7E960725"/>
    <w:rsid w:val="7E9FA8AE"/>
    <w:rsid w:val="7EA26EDD"/>
    <w:rsid w:val="7ECC2499"/>
    <w:rsid w:val="7ECF982F"/>
    <w:rsid w:val="7ED2681E"/>
    <w:rsid w:val="7EDEF68B"/>
    <w:rsid w:val="7EEB06B9"/>
    <w:rsid w:val="7F07EE8C"/>
    <w:rsid w:val="7F0A2B0A"/>
    <w:rsid w:val="7F2692B9"/>
    <w:rsid w:val="7F3772C1"/>
    <w:rsid w:val="7F505F79"/>
    <w:rsid w:val="7F5285F1"/>
    <w:rsid w:val="7F5491FC"/>
    <w:rsid w:val="7F60FBE3"/>
    <w:rsid w:val="7F697DA4"/>
    <w:rsid w:val="7F77B818"/>
    <w:rsid w:val="7F7D8EBB"/>
    <w:rsid w:val="7F86C64B"/>
    <w:rsid w:val="7F87CCA2"/>
    <w:rsid w:val="7F8B91E8"/>
    <w:rsid w:val="7F91AFB8"/>
    <w:rsid w:val="7F952418"/>
    <w:rsid w:val="7FAE09EA"/>
    <w:rsid w:val="7FB0EFC6"/>
    <w:rsid w:val="7FB713E5"/>
    <w:rsid w:val="7FBEFC6B"/>
    <w:rsid w:val="7FE60792"/>
    <w:rsid w:val="7FE985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E83A87"/>
  <w15:chartTrackingRefBased/>
  <w15:docId w15:val="{656125FB-5B52-4469-849D-5681DDDB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lv"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5D"/>
    <w:pPr>
      <w:spacing w:after="0" w:line="240" w:lineRule="auto"/>
    </w:pPr>
    <w:rPr>
      <w:rFonts w:ascii="Times New Roman" w:eastAsia="Times New Roman" w:hAnsi="Times New Roman" w:cs="Times New Roman"/>
      <w:sz w:val="24"/>
    </w:rPr>
  </w:style>
  <w:style w:type="paragraph" w:styleId="Heading1">
    <w:name w:val="heading 1"/>
    <w:basedOn w:val="Normal"/>
    <w:next w:val="Text1"/>
    <w:link w:val="Heading1Char"/>
    <w:uiPriority w:val="9"/>
    <w:qFormat/>
    <w:rsid w:val="00565D10"/>
    <w:pPr>
      <w:keepNext/>
      <w:numPr>
        <w:numId w:val="7"/>
      </w:numPr>
      <w:spacing w:before="360" w:after="120"/>
      <w:jc w:val="both"/>
      <w:outlineLvl w:val="0"/>
    </w:pPr>
    <w:rPr>
      <w:rFonts w:eastAsiaTheme="majorEastAsia"/>
      <w:b/>
      <w:smallCaps/>
    </w:rPr>
  </w:style>
  <w:style w:type="paragraph" w:styleId="Heading2">
    <w:name w:val="heading 2"/>
    <w:basedOn w:val="Normal"/>
    <w:next w:val="Text1"/>
    <w:link w:val="Heading2Char"/>
    <w:uiPriority w:val="9"/>
    <w:unhideWhenUsed/>
    <w:qFormat/>
    <w:rsid w:val="00565D10"/>
    <w:pPr>
      <w:keepNext/>
      <w:numPr>
        <w:ilvl w:val="1"/>
        <w:numId w:val="7"/>
      </w:numPr>
      <w:spacing w:before="120" w:after="120"/>
      <w:jc w:val="both"/>
      <w:outlineLvl w:val="1"/>
    </w:pPr>
    <w:rPr>
      <w:rFonts w:eastAsiaTheme="majorEastAsia"/>
      <w:b/>
    </w:rPr>
  </w:style>
  <w:style w:type="paragraph" w:styleId="Heading3">
    <w:name w:val="heading 3"/>
    <w:basedOn w:val="Normal"/>
    <w:next w:val="Text1"/>
    <w:link w:val="Heading3Char"/>
    <w:uiPriority w:val="9"/>
    <w:unhideWhenUsed/>
    <w:qFormat/>
    <w:rsid w:val="00565D10"/>
    <w:pPr>
      <w:keepNext/>
      <w:numPr>
        <w:ilvl w:val="2"/>
        <w:numId w:val="7"/>
      </w:numPr>
      <w:spacing w:before="120" w:after="120"/>
      <w:jc w:val="both"/>
      <w:outlineLvl w:val="2"/>
    </w:pPr>
    <w:rPr>
      <w:rFonts w:eastAsiaTheme="majorEastAsia"/>
      <w:i/>
    </w:rPr>
  </w:style>
  <w:style w:type="paragraph" w:styleId="Heading4">
    <w:name w:val="heading 4"/>
    <w:basedOn w:val="Normal"/>
    <w:next w:val="Text1"/>
    <w:link w:val="Heading4Char"/>
    <w:uiPriority w:val="9"/>
    <w:unhideWhenUsed/>
    <w:qFormat/>
    <w:rsid w:val="00565D10"/>
    <w:pPr>
      <w:keepNext/>
      <w:numPr>
        <w:ilvl w:val="3"/>
        <w:numId w:val="7"/>
      </w:numPr>
      <w:spacing w:before="120" w:after="120"/>
      <w:jc w:val="both"/>
      <w:outlineLvl w:val="3"/>
    </w:pPr>
    <w:rPr>
      <w:rFonts w:eastAsiaTheme="maj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D10"/>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565D10"/>
    <w:rPr>
      <w:rFonts w:ascii="Times New Roman" w:eastAsiaTheme="majorEastAsia" w:hAnsi="Times New Roman" w:cs="Times New Roman"/>
      <w:b/>
      <w:sz w:val="24"/>
    </w:rPr>
  </w:style>
  <w:style w:type="character" w:customStyle="1" w:styleId="Heading3Char">
    <w:name w:val="Heading 3 Char"/>
    <w:basedOn w:val="DefaultParagraphFont"/>
    <w:link w:val="Heading3"/>
    <w:uiPriority w:val="9"/>
    <w:rsid w:val="00565D10"/>
    <w:rPr>
      <w:rFonts w:ascii="Times New Roman" w:eastAsiaTheme="majorEastAsia" w:hAnsi="Times New Roman" w:cs="Times New Roman"/>
      <w:i/>
      <w:sz w:val="24"/>
    </w:rPr>
  </w:style>
  <w:style w:type="character" w:customStyle="1" w:styleId="Heading4Char">
    <w:name w:val="Heading 4 Char"/>
    <w:basedOn w:val="DefaultParagraphFont"/>
    <w:link w:val="Heading4"/>
    <w:uiPriority w:val="9"/>
    <w:rsid w:val="00565D10"/>
    <w:rPr>
      <w:rFonts w:ascii="Times New Roman" w:eastAsiaTheme="majorEastAsia" w:hAnsi="Times New Roman" w:cs="Times New Roman"/>
      <w:sz w:val="24"/>
    </w:rPr>
  </w:style>
  <w:style w:type="numbering" w:customStyle="1" w:styleId="NoList1">
    <w:name w:val="No List1"/>
    <w:next w:val="NoList"/>
    <w:uiPriority w:val="99"/>
    <w:semiHidden/>
    <w:unhideWhenUsed/>
    <w:rsid w:val="00565D10"/>
  </w:style>
  <w:style w:type="paragraph" w:customStyle="1" w:styleId="Text1">
    <w:name w:val="Text 1"/>
    <w:basedOn w:val="Normal"/>
    <w:rsid w:val="00565D10"/>
    <w:pPr>
      <w:spacing w:before="120" w:after="120"/>
      <w:ind w:left="850"/>
      <w:jc w:val="both"/>
    </w:pPr>
  </w:style>
  <w:style w:type="paragraph" w:styleId="Header">
    <w:name w:val="header"/>
    <w:basedOn w:val="Normal"/>
    <w:link w:val="HeaderChar"/>
    <w:uiPriority w:val="99"/>
    <w:unhideWhenUsed/>
    <w:rsid w:val="00565D10"/>
    <w:pPr>
      <w:tabs>
        <w:tab w:val="center" w:pos="4535"/>
        <w:tab w:val="right" w:pos="9071"/>
      </w:tabs>
      <w:spacing w:after="120"/>
      <w:jc w:val="both"/>
    </w:pPr>
  </w:style>
  <w:style w:type="character" w:customStyle="1" w:styleId="HeaderChar">
    <w:name w:val="Header Char"/>
    <w:basedOn w:val="DefaultParagraphFont"/>
    <w:link w:val="Header"/>
    <w:uiPriority w:val="99"/>
    <w:rsid w:val="00565D10"/>
    <w:rPr>
      <w:rFonts w:ascii="Times New Roman" w:eastAsia="Times New Roman" w:hAnsi="Times New Roman" w:cs="Times New Roman"/>
      <w:sz w:val="24"/>
    </w:rPr>
  </w:style>
  <w:style w:type="paragraph" w:styleId="Footer">
    <w:name w:val="footer"/>
    <w:basedOn w:val="Normal"/>
    <w:link w:val="FooterChar"/>
    <w:uiPriority w:val="99"/>
    <w:unhideWhenUsed/>
    <w:rsid w:val="00565D10"/>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565D10"/>
    <w:rPr>
      <w:rFonts w:ascii="Times New Roman" w:eastAsia="Times New Roman" w:hAnsi="Times New Roman" w:cs="Times New Roman"/>
      <w:sz w:val="24"/>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565D10"/>
    <w:pPr>
      <w:ind w:left="720" w:hanging="720"/>
      <w:jc w:val="both"/>
    </w:pPr>
    <w:rPr>
      <w:sz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565D10"/>
    <w:rPr>
      <w:rFonts w:ascii="Times New Roman" w:eastAsia="Times New Roman" w:hAnsi="Times New Roman" w:cs="Times New Roman"/>
      <w:sz w:val="20"/>
    </w:rPr>
  </w:style>
  <w:style w:type="paragraph" w:styleId="TOCHeading">
    <w:name w:val="TOC Heading"/>
    <w:basedOn w:val="Normal"/>
    <w:next w:val="Normal"/>
    <w:uiPriority w:val="39"/>
    <w:semiHidden/>
    <w:unhideWhenUsed/>
    <w:qFormat/>
    <w:rsid w:val="00565D10"/>
    <w:pPr>
      <w:spacing w:before="120" w:after="240"/>
      <w:jc w:val="center"/>
    </w:pPr>
    <w:rPr>
      <w:b/>
      <w:sz w:val="28"/>
    </w:rPr>
  </w:style>
  <w:style w:type="paragraph" w:styleId="TOC1">
    <w:name w:val="toc 1"/>
    <w:basedOn w:val="Normal"/>
    <w:next w:val="Normal"/>
    <w:uiPriority w:val="39"/>
    <w:semiHidden/>
    <w:unhideWhenUsed/>
    <w:rsid w:val="00565D10"/>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565D10"/>
    <w:pPr>
      <w:tabs>
        <w:tab w:val="right" w:leader="dot" w:pos="9071"/>
      </w:tabs>
      <w:spacing w:before="60" w:after="120"/>
      <w:ind w:left="850" w:hanging="850"/>
    </w:pPr>
  </w:style>
  <w:style w:type="paragraph" w:styleId="TOC3">
    <w:name w:val="toc 3"/>
    <w:basedOn w:val="Normal"/>
    <w:next w:val="Normal"/>
    <w:uiPriority w:val="39"/>
    <w:semiHidden/>
    <w:unhideWhenUsed/>
    <w:rsid w:val="00565D10"/>
    <w:pPr>
      <w:tabs>
        <w:tab w:val="right" w:leader="dot" w:pos="9071"/>
      </w:tabs>
      <w:spacing w:before="60" w:after="120"/>
      <w:ind w:left="850" w:hanging="850"/>
    </w:pPr>
  </w:style>
  <w:style w:type="paragraph" w:styleId="TOC4">
    <w:name w:val="toc 4"/>
    <w:basedOn w:val="Normal"/>
    <w:next w:val="Normal"/>
    <w:uiPriority w:val="39"/>
    <w:semiHidden/>
    <w:unhideWhenUsed/>
    <w:rsid w:val="00565D10"/>
    <w:pPr>
      <w:tabs>
        <w:tab w:val="right" w:leader="dot" w:pos="9071"/>
      </w:tabs>
      <w:spacing w:before="60" w:after="120"/>
      <w:ind w:left="850" w:hanging="850"/>
    </w:pPr>
  </w:style>
  <w:style w:type="paragraph" w:styleId="TOC5">
    <w:name w:val="toc 5"/>
    <w:basedOn w:val="Normal"/>
    <w:next w:val="Normal"/>
    <w:uiPriority w:val="39"/>
    <w:semiHidden/>
    <w:unhideWhenUsed/>
    <w:rsid w:val="00565D10"/>
    <w:pPr>
      <w:tabs>
        <w:tab w:val="right" w:leader="dot" w:pos="9071"/>
      </w:tabs>
      <w:spacing w:before="300" w:after="120"/>
    </w:pPr>
  </w:style>
  <w:style w:type="paragraph" w:styleId="TOC6">
    <w:name w:val="toc 6"/>
    <w:basedOn w:val="Normal"/>
    <w:next w:val="Normal"/>
    <w:uiPriority w:val="39"/>
    <w:semiHidden/>
    <w:unhideWhenUsed/>
    <w:rsid w:val="00565D10"/>
    <w:pPr>
      <w:tabs>
        <w:tab w:val="right" w:leader="dot" w:pos="9071"/>
      </w:tabs>
      <w:spacing w:before="240" w:after="120"/>
    </w:pPr>
  </w:style>
  <w:style w:type="paragraph" w:styleId="TOC7">
    <w:name w:val="toc 7"/>
    <w:basedOn w:val="Normal"/>
    <w:next w:val="Normal"/>
    <w:uiPriority w:val="39"/>
    <w:semiHidden/>
    <w:unhideWhenUsed/>
    <w:rsid w:val="00565D10"/>
    <w:pPr>
      <w:tabs>
        <w:tab w:val="right" w:leader="dot" w:pos="9071"/>
      </w:tabs>
      <w:spacing w:before="180" w:after="120"/>
    </w:pPr>
  </w:style>
  <w:style w:type="paragraph" w:styleId="TOC8">
    <w:name w:val="toc 8"/>
    <w:basedOn w:val="Normal"/>
    <w:next w:val="Normal"/>
    <w:uiPriority w:val="39"/>
    <w:semiHidden/>
    <w:unhideWhenUsed/>
    <w:rsid w:val="00565D10"/>
    <w:pPr>
      <w:tabs>
        <w:tab w:val="right" w:leader="dot" w:pos="9071"/>
      </w:tabs>
      <w:spacing w:before="120" w:after="120"/>
    </w:pPr>
  </w:style>
  <w:style w:type="paragraph" w:styleId="TOC9">
    <w:name w:val="toc 9"/>
    <w:basedOn w:val="Normal"/>
    <w:next w:val="Normal"/>
    <w:uiPriority w:val="39"/>
    <w:semiHidden/>
    <w:unhideWhenUsed/>
    <w:rsid w:val="00565D10"/>
    <w:pPr>
      <w:tabs>
        <w:tab w:val="right" w:leader="dot" w:pos="9071"/>
      </w:tabs>
      <w:spacing w:before="120" w:after="120"/>
      <w:jc w:val="both"/>
    </w:pPr>
  </w:style>
  <w:style w:type="paragraph" w:customStyle="1" w:styleId="HeaderLandscape">
    <w:name w:val="HeaderLandscape"/>
    <w:basedOn w:val="Normal"/>
    <w:rsid w:val="00565D10"/>
    <w:pPr>
      <w:tabs>
        <w:tab w:val="center" w:pos="7285"/>
        <w:tab w:val="right" w:pos="14003"/>
      </w:tabs>
      <w:spacing w:after="120"/>
      <w:jc w:val="both"/>
    </w:pPr>
  </w:style>
  <w:style w:type="paragraph" w:customStyle="1" w:styleId="FooterLandscape">
    <w:name w:val="FooterLandscape"/>
    <w:basedOn w:val="Normal"/>
    <w:rsid w:val="00565D10"/>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565D10"/>
    <w:rPr>
      <w:vertAlign w:val="superscript"/>
    </w:rPr>
  </w:style>
  <w:style w:type="paragraph" w:customStyle="1" w:styleId="1">
    <w:name w:val="1"/>
    <w:basedOn w:val="Normal"/>
    <w:link w:val="FootnoteReference"/>
    <w:uiPriority w:val="99"/>
    <w:rsid w:val="00565D10"/>
    <w:pPr>
      <w:spacing w:after="160" w:line="240" w:lineRule="exact"/>
      <w:jc w:val="both"/>
    </w:pPr>
    <w:rPr>
      <w:rFonts w:asciiTheme="minorHAnsi" w:eastAsiaTheme="minorHAnsi" w:hAnsiTheme="minorHAnsi" w:cstheme="minorBidi"/>
      <w:sz w:val="22"/>
      <w:vertAlign w:val="superscript"/>
    </w:rPr>
  </w:style>
  <w:style w:type="paragraph" w:customStyle="1" w:styleId="HeaderSensitivity">
    <w:name w:val="Header Sensitivity"/>
    <w:basedOn w:val="Normal"/>
    <w:rsid w:val="00565D10"/>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565D10"/>
    <w:pPr>
      <w:spacing w:after="120"/>
      <w:jc w:val="right"/>
    </w:pPr>
    <w:rPr>
      <w:sz w:val="28"/>
    </w:rPr>
  </w:style>
  <w:style w:type="paragraph" w:customStyle="1" w:styleId="FooterSensitivity">
    <w:name w:val="Footer Sensitivity"/>
    <w:basedOn w:val="Normal"/>
    <w:rsid w:val="00565D10"/>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565D10"/>
    <w:pPr>
      <w:spacing w:before="120" w:after="120"/>
      <w:ind w:left="1417"/>
      <w:jc w:val="both"/>
    </w:pPr>
  </w:style>
  <w:style w:type="paragraph" w:customStyle="1" w:styleId="Text3">
    <w:name w:val="Text 3"/>
    <w:basedOn w:val="Normal"/>
    <w:rsid w:val="00565D10"/>
    <w:pPr>
      <w:spacing w:before="120" w:after="120"/>
      <w:ind w:left="1984"/>
      <w:jc w:val="both"/>
    </w:pPr>
  </w:style>
  <w:style w:type="paragraph" w:customStyle="1" w:styleId="Text4">
    <w:name w:val="Text 4"/>
    <w:basedOn w:val="Normal"/>
    <w:rsid w:val="00565D10"/>
    <w:pPr>
      <w:spacing w:before="120" w:after="120"/>
      <w:ind w:left="2551"/>
      <w:jc w:val="both"/>
    </w:pPr>
  </w:style>
  <w:style w:type="paragraph" w:customStyle="1" w:styleId="NormalCentered">
    <w:name w:val="Normal Centered"/>
    <w:basedOn w:val="Normal"/>
    <w:rsid w:val="00565D10"/>
    <w:pPr>
      <w:spacing w:before="120" w:after="120"/>
      <w:jc w:val="center"/>
    </w:pPr>
  </w:style>
  <w:style w:type="paragraph" w:customStyle="1" w:styleId="NormalLeft">
    <w:name w:val="Normal Left"/>
    <w:basedOn w:val="Normal"/>
    <w:rsid w:val="00565D10"/>
    <w:pPr>
      <w:spacing w:before="120" w:after="120"/>
    </w:pPr>
  </w:style>
  <w:style w:type="paragraph" w:customStyle="1" w:styleId="NormalRight">
    <w:name w:val="Normal Right"/>
    <w:basedOn w:val="Normal"/>
    <w:rsid w:val="00565D10"/>
    <w:pPr>
      <w:spacing w:before="120" w:after="120"/>
      <w:jc w:val="right"/>
    </w:pPr>
  </w:style>
  <w:style w:type="paragraph" w:customStyle="1" w:styleId="QuotedText">
    <w:name w:val="Quoted Text"/>
    <w:basedOn w:val="Normal"/>
    <w:rsid w:val="00565D10"/>
    <w:pPr>
      <w:spacing w:before="120" w:after="120"/>
      <w:ind w:left="1417"/>
      <w:jc w:val="both"/>
    </w:pPr>
  </w:style>
  <w:style w:type="paragraph" w:customStyle="1" w:styleId="Point0">
    <w:name w:val="Point 0"/>
    <w:basedOn w:val="Normal"/>
    <w:rsid w:val="00565D10"/>
    <w:pPr>
      <w:spacing w:before="120" w:after="120"/>
      <w:ind w:left="850" w:hanging="850"/>
      <w:jc w:val="both"/>
    </w:pPr>
  </w:style>
  <w:style w:type="paragraph" w:customStyle="1" w:styleId="Point1">
    <w:name w:val="Point 1"/>
    <w:basedOn w:val="Normal"/>
    <w:rsid w:val="00565D10"/>
    <w:pPr>
      <w:spacing w:before="120" w:after="120"/>
      <w:ind w:left="1417" w:hanging="567"/>
      <w:jc w:val="both"/>
    </w:pPr>
  </w:style>
  <w:style w:type="paragraph" w:customStyle="1" w:styleId="Point2">
    <w:name w:val="Point 2"/>
    <w:basedOn w:val="Normal"/>
    <w:rsid w:val="00565D10"/>
    <w:pPr>
      <w:spacing w:before="120" w:after="120"/>
      <w:ind w:left="1984" w:hanging="567"/>
      <w:jc w:val="both"/>
    </w:pPr>
  </w:style>
  <w:style w:type="paragraph" w:customStyle="1" w:styleId="Point3">
    <w:name w:val="Point 3"/>
    <w:basedOn w:val="Normal"/>
    <w:rsid w:val="00565D10"/>
    <w:pPr>
      <w:spacing w:before="120" w:after="120"/>
      <w:ind w:left="2551" w:hanging="567"/>
      <w:jc w:val="both"/>
    </w:pPr>
  </w:style>
  <w:style w:type="paragraph" w:customStyle="1" w:styleId="Point4">
    <w:name w:val="Point 4"/>
    <w:basedOn w:val="Normal"/>
    <w:rsid w:val="00565D10"/>
    <w:pPr>
      <w:spacing w:before="120" w:after="120"/>
      <w:ind w:left="3118" w:hanging="567"/>
      <w:jc w:val="both"/>
    </w:pPr>
  </w:style>
  <w:style w:type="paragraph" w:customStyle="1" w:styleId="Tiret0">
    <w:name w:val="Tiret 0"/>
    <w:basedOn w:val="Point0"/>
    <w:rsid w:val="00565D10"/>
    <w:pPr>
      <w:numPr>
        <w:numId w:val="1"/>
      </w:numPr>
    </w:pPr>
  </w:style>
  <w:style w:type="paragraph" w:customStyle="1" w:styleId="Tiret1">
    <w:name w:val="Tiret 1"/>
    <w:basedOn w:val="Point1"/>
    <w:rsid w:val="00565D10"/>
    <w:pPr>
      <w:numPr>
        <w:numId w:val="2"/>
      </w:numPr>
      <w:tabs>
        <w:tab w:val="num" w:pos="3118"/>
      </w:tabs>
      <w:ind w:left="3118"/>
    </w:pPr>
  </w:style>
  <w:style w:type="paragraph" w:customStyle="1" w:styleId="Tiret2">
    <w:name w:val="Tiret 2"/>
    <w:basedOn w:val="Point2"/>
    <w:rsid w:val="00565D10"/>
    <w:pPr>
      <w:numPr>
        <w:numId w:val="3"/>
      </w:numPr>
      <w:tabs>
        <w:tab w:val="num" w:pos="360"/>
      </w:tabs>
      <w:ind w:left="360" w:hanging="360"/>
    </w:pPr>
  </w:style>
  <w:style w:type="paragraph" w:customStyle="1" w:styleId="Tiret3">
    <w:name w:val="Tiret 3"/>
    <w:basedOn w:val="Point3"/>
    <w:rsid w:val="00565D10"/>
    <w:pPr>
      <w:numPr>
        <w:numId w:val="4"/>
      </w:numPr>
      <w:tabs>
        <w:tab w:val="num" w:pos="360"/>
      </w:tabs>
      <w:ind w:left="360" w:hanging="360"/>
    </w:pPr>
  </w:style>
  <w:style w:type="paragraph" w:customStyle="1" w:styleId="Tiret4">
    <w:name w:val="Tiret 4"/>
    <w:basedOn w:val="Point4"/>
    <w:rsid w:val="00565D10"/>
    <w:pPr>
      <w:numPr>
        <w:numId w:val="5"/>
      </w:numPr>
      <w:ind w:left="1440" w:hanging="360"/>
    </w:pPr>
  </w:style>
  <w:style w:type="paragraph" w:customStyle="1" w:styleId="PointDouble0">
    <w:name w:val="PointDouble 0"/>
    <w:basedOn w:val="Normal"/>
    <w:rsid w:val="00565D10"/>
    <w:pPr>
      <w:tabs>
        <w:tab w:val="left" w:pos="850"/>
      </w:tabs>
      <w:spacing w:before="120" w:after="120"/>
      <w:ind w:left="1417" w:hanging="1417"/>
      <w:jc w:val="both"/>
    </w:pPr>
  </w:style>
  <w:style w:type="paragraph" w:customStyle="1" w:styleId="PointDouble1">
    <w:name w:val="PointDouble 1"/>
    <w:basedOn w:val="Normal"/>
    <w:rsid w:val="00565D10"/>
    <w:pPr>
      <w:tabs>
        <w:tab w:val="left" w:pos="1417"/>
      </w:tabs>
      <w:spacing w:before="120" w:after="120"/>
      <w:ind w:left="1984" w:hanging="1134"/>
      <w:jc w:val="both"/>
    </w:pPr>
  </w:style>
  <w:style w:type="paragraph" w:customStyle="1" w:styleId="PointDouble2">
    <w:name w:val="PointDouble 2"/>
    <w:basedOn w:val="Normal"/>
    <w:rsid w:val="00565D10"/>
    <w:pPr>
      <w:tabs>
        <w:tab w:val="left" w:pos="1984"/>
      </w:tabs>
      <w:spacing w:before="120" w:after="120"/>
      <w:ind w:left="2551" w:hanging="1134"/>
      <w:jc w:val="both"/>
    </w:pPr>
  </w:style>
  <w:style w:type="paragraph" w:customStyle="1" w:styleId="PointDouble3">
    <w:name w:val="PointDouble 3"/>
    <w:basedOn w:val="Normal"/>
    <w:rsid w:val="00565D10"/>
    <w:pPr>
      <w:tabs>
        <w:tab w:val="left" w:pos="2551"/>
      </w:tabs>
      <w:spacing w:before="120" w:after="120"/>
      <w:ind w:left="3118" w:hanging="1134"/>
      <w:jc w:val="both"/>
    </w:pPr>
  </w:style>
  <w:style w:type="paragraph" w:customStyle="1" w:styleId="PointDouble4">
    <w:name w:val="PointDouble 4"/>
    <w:basedOn w:val="Normal"/>
    <w:rsid w:val="00565D10"/>
    <w:pPr>
      <w:tabs>
        <w:tab w:val="left" w:pos="3118"/>
      </w:tabs>
      <w:spacing w:before="120" w:after="120"/>
      <w:ind w:left="3685" w:hanging="1134"/>
      <w:jc w:val="both"/>
    </w:pPr>
  </w:style>
  <w:style w:type="paragraph" w:customStyle="1" w:styleId="PointTriple0">
    <w:name w:val="PointTriple 0"/>
    <w:basedOn w:val="Normal"/>
    <w:rsid w:val="00565D10"/>
    <w:pPr>
      <w:tabs>
        <w:tab w:val="left" w:pos="850"/>
        <w:tab w:val="left" w:pos="1417"/>
      </w:tabs>
      <w:spacing w:before="120" w:after="120"/>
      <w:ind w:left="1984" w:hanging="1984"/>
      <w:jc w:val="both"/>
    </w:pPr>
  </w:style>
  <w:style w:type="paragraph" w:customStyle="1" w:styleId="PointTriple1">
    <w:name w:val="PointTriple 1"/>
    <w:basedOn w:val="Normal"/>
    <w:rsid w:val="00565D10"/>
    <w:pPr>
      <w:tabs>
        <w:tab w:val="left" w:pos="1417"/>
        <w:tab w:val="left" w:pos="1984"/>
      </w:tabs>
      <w:spacing w:before="120" w:after="120"/>
      <w:ind w:left="2551" w:hanging="1701"/>
      <w:jc w:val="both"/>
    </w:pPr>
  </w:style>
  <w:style w:type="paragraph" w:customStyle="1" w:styleId="PointTriple2">
    <w:name w:val="PointTriple 2"/>
    <w:basedOn w:val="Normal"/>
    <w:rsid w:val="00565D10"/>
    <w:pPr>
      <w:tabs>
        <w:tab w:val="left" w:pos="1984"/>
        <w:tab w:val="left" w:pos="2551"/>
      </w:tabs>
      <w:spacing w:before="120" w:after="120"/>
      <w:ind w:left="3118" w:hanging="1701"/>
      <w:jc w:val="both"/>
    </w:pPr>
  </w:style>
  <w:style w:type="paragraph" w:customStyle="1" w:styleId="PointTriple3">
    <w:name w:val="PointTriple 3"/>
    <w:basedOn w:val="Normal"/>
    <w:rsid w:val="00565D10"/>
    <w:pPr>
      <w:tabs>
        <w:tab w:val="left" w:pos="2551"/>
        <w:tab w:val="left" w:pos="3118"/>
      </w:tabs>
      <w:spacing w:before="120" w:after="120"/>
      <w:ind w:left="3685" w:hanging="1701"/>
      <w:jc w:val="both"/>
    </w:pPr>
  </w:style>
  <w:style w:type="paragraph" w:customStyle="1" w:styleId="PointTriple4">
    <w:name w:val="PointTriple 4"/>
    <w:basedOn w:val="Normal"/>
    <w:rsid w:val="00565D10"/>
    <w:pPr>
      <w:tabs>
        <w:tab w:val="left" w:pos="3118"/>
        <w:tab w:val="left" w:pos="3685"/>
      </w:tabs>
      <w:spacing w:before="120" w:after="120"/>
      <w:ind w:left="4252" w:hanging="1701"/>
      <w:jc w:val="both"/>
    </w:pPr>
  </w:style>
  <w:style w:type="paragraph" w:customStyle="1" w:styleId="NumPar1">
    <w:name w:val="NumPar 1"/>
    <w:basedOn w:val="Normal"/>
    <w:next w:val="Text1"/>
    <w:rsid w:val="00565D10"/>
    <w:pPr>
      <w:numPr>
        <w:ilvl w:val="1"/>
        <w:numId w:val="6"/>
      </w:numPr>
      <w:spacing w:before="120" w:after="120"/>
      <w:jc w:val="both"/>
    </w:pPr>
  </w:style>
  <w:style w:type="paragraph" w:customStyle="1" w:styleId="NumPar2">
    <w:name w:val="NumPar 2"/>
    <w:basedOn w:val="Normal"/>
    <w:next w:val="Text1"/>
    <w:rsid w:val="00565D10"/>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565D10"/>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565D10"/>
    <w:pPr>
      <w:tabs>
        <w:tab w:val="num" w:pos="850"/>
      </w:tabs>
      <w:spacing w:before="120" w:after="120"/>
      <w:ind w:left="850" w:hanging="850"/>
      <w:jc w:val="both"/>
    </w:pPr>
  </w:style>
  <w:style w:type="paragraph" w:customStyle="1" w:styleId="ManualNumPar1">
    <w:name w:val="Manual NumPar 1"/>
    <w:basedOn w:val="Normal"/>
    <w:next w:val="Text1"/>
    <w:rsid w:val="00565D10"/>
    <w:pPr>
      <w:spacing w:before="120" w:after="120"/>
      <w:ind w:left="850" w:hanging="850"/>
      <w:jc w:val="both"/>
    </w:pPr>
  </w:style>
  <w:style w:type="paragraph" w:customStyle="1" w:styleId="ManualNumPar2">
    <w:name w:val="Manual NumPar 2"/>
    <w:basedOn w:val="Normal"/>
    <w:next w:val="Text1"/>
    <w:rsid w:val="00565D10"/>
    <w:pPr>
      <w:spacing w:before="120" w:after="120"/>
      <w:ind w:left="850" w:hanging="850"/>
      <w:jc w:val="both"/>
    </w:pPr>
  </w:style>
  <w:style w:type="paragraph" w:customStyle="1" w:styleId="ManualNumPar3">
    <w:name w:val="Manual NumPar 3"/>
    <w:basedOn w:val="Normal"/>
    <w:next w:val="Text1"/>
    <w:rsid w:val="00565D10"/>
    <w:pPr>
      <w:spacing w:before="120" w:after="120"/>
      <w:ind w:left="850" w:hanging="850"/>
      <w:jc w:val="both"/>
    </w:pPr>
  </w:style>
  <w:style w:type="paragraph" w:customStyle="1" w:styleId="ManualNumPar4">
    <w:name w:val="Manual NumPar 4"/>
    <w:basedOn w:val="Normal"/>
    <w:next w:val="Text1"/>
    <w:rsid w:val="00565D10"/>
    <w:pPr>
      <w:spacing w:before="120" w:after="120"/>
      <w:ind w:left="850" w:hanging="850"/>
      <w:jc w:val="both"/>
    </w:pPr>
  </w:style>
  <w:style w:type="paragraph" w:customStyle="1" w:styleId="QuotedNumPar">
    <w:name w:val="Quoted NumPar"/>
    <w:basedOn w:val="Normal"/>
    <w:rsid w:val="00565D10"/>
    <w:pPr>
      <w:spacing w:before="120" w:after="120"/>
      <w:ind w:left="1417" w:hanging="567"/>
      <w:jc w:val="both"/>
    </w:pPr>
  </w:style>
  <w:style w:type="paragraph" w:customStyle="1" w:styleId="ManualHeading1">
    <w:name w:val="Manual Heading 1"/>
    <w:basedOn w:val="Normal"/>
    <w:next w:val="Text1"/>
    <w:rsid w:val="00565D10"/>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565D10"/>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565D10"/>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565D10"/>
    <w:pPr>
      <w:keepNext/>
      <w:tabs>
        <w:tab w:val="left" w:pos="850"/>
      </w:tabs>
      <w:spacing w:before="120" w:after="120"/>
      <w:ind w:left="850" w:hanging="850"/>
      <w:jc w:val="both"/>
      <w:outlineLvl w:val="3"/>
    </w:pPr>
  </w:style>
  <w:style w:type="paragraph" w:customStyle="1" w:styleId="ChapterTitle">
    <w:name w:val="ChapterTitle"/>
    <w:basedOn w:val="Normal"/>
    <w:next w:val="Normal"/>
    <w:rsid w:val="00565D10"/>
    <w:pPr>
      <w:keepNext/>
      <w:spacing w:before="120" w:after="360"/>
      <w:jc w:val="center"/>
    </w:pPr>
    <w:rPr>
      <w:b/>
      <w:sz w:val="32"/>
    </w:rPr>
  </w:style>
  <w:style w:type="paragraph" w:customStyle="1" w:styleId="PartTitle">
    <w:name w:val="PartTitle"/>
    <w:basedOn w:val="Normal"/>
    <w:next w:val="ChapterTitle"/>
    <w:rsid w:val="00565D10"/>
    <w:pPr>
      <w:keepNext/>
      <w:pageBreakBefore/>
      <w:spacing w:before="120" w:after="360"/>
      <w:jc w:val="center"/>
    </w:pPr>
    <w:rPr>
      <w:b/>
      <w:sz w:val="36"/>
    </w:rPr>
  </w:style>
  <w:style w:type="paragraph" w:customStyle="1" w:styleId="SectionTitle">
    <w:name w:val="SectionTitle"/>
    <w:basedOn w:val="Normal"/>
    <w:next w:val="Heading1"/>
    <w:rsid w:val="00565D10"/>
    <w:pPr>
      <w:keepNext/>
      <w:spacing w:before="120" w:after="360"/>
      <w:jc w:val="center"/>
    </w:pPr>
    <w:rPr>
      <w:b/>
      <w:smallCaps/>
      <w:sz w:val="28"/>
    </w:rPr>
  </w:style>
  <w:style w:type="paragraph" w:customStyle="1" w:styleId="TableTitle">
    <w:name w:val="Table Title"/>
    <w:basedOn w:val="Normal"/>
    <w:next w:val="Normal"/>
    <w:rsid w:val="00565D10"/>
    <w:pPr>
      <w:spacing w:before="120" w:after="120"/>
      <w:jc w:val="center"/>
    </w:pPr>
    <w:rPr>
      <w:b/>
    </w:rPr>
  </w:style>
  <w:style w:type="character" w:customStyle="1" w:styleId="Marker">
    <w:name w:val="Marker"/>
    <w:basedOn w:val="DefaultParagraphFont"/>
    <w:rsid w:val="00573718"/>
    <w:rPr>
      <w:color w:val="0000FF"/>
      <w:shd w:val="clear" w:color="auto" w:fill="auto"/>
    </w:rPr>
  </w:style>
  <w:style w:type="character" w:customStyle="1" w:styleId="Marker1">
    <w:name w:val="Marker1"/>
    <w:basedOn w:val="DefaultParagraphFont"/>
    <w:rsid w:val="00565D10"/>
    <w:rPr>
      <w:color w:val="008000"/>
      <w:shd w:val="clear" w:color="auto" w:fill="auto"/>
    </w:rPr>
  </w:style>
  <w:style w:type="character" w:customStyle="1" w:styleId="Marker2">
    <w:name w:val="Marker2"/>
    <w:basedOn w:val="DefaultParagraphFont"/>
    <w:rsid w:val="00565D10"/>
    <w:rPr>
      <w:color w:val="FF0000"/>
      <w:shd w:val="clear" w:color="auto" w:fill="auto"/>
    </w:rPr>
  </w:style>
  <w:style w:type="paragraph" w:customStyle="1" w:styleId="Point0number">
    <w:name w:val="Point 0 (number)"/>
    <w:basedOn w:val="Normal"/>
    <w:rsid w:val="00565D10"/>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565D10"/>
    <w:pPr>
      <w:numPr>
        <w:ilvl w:val="4"/>
        <w:numId w:val="8"/>
      </w:numPr>
      <w:tabs>
        <w:tab w:val="num" w:pos="360"/>
      </w:tabs>
      <w:spacing w:before="120" w:after="120"/>
      <w:ind w:left="360"/>
      <w:jc w:val="both"/>
    </w:pPr>
  </w:style>
  <w:style w:type="paragraph" w:customStyle="1" w:styleId="Point2number">
    <w:name w:val="Point 2 (number)"/>
    <w:basedOn w:val="Normal"/>
    <w:rsid w:val="00565D10"/>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565D10"/>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565D10"/>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565D10"/>
    <w:pPr>
      <w:numPr>
        <w:ilvl w:val="5"/>
        <w:numId w:val="8"/>
      </w:numPr>
      <w:tabs>
        <w:tab w:val="num" w:pos="360"/>
      </w:tabs>
      <w:spacing w:before="120" w:after="120"/>
      <w:ind w:left="360"/>
      <w:jc w:val="both"/>
    </w:pPr>
  </w:style>
  <w:style w:type="paragraph" w:customStyle="1" w:styleId="Point2letter">
    <w:name w:val="Point 2 (letter)"/>
    <w:basedOn w:val="Normal"/>
    <w:rsid w:val="00565D10"/>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565D10"/>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565D10"/>
    <w:pPr>
      <w:tabs>
        <w:tab w:val="num" w:pos="3118"/>
      </w:tabs>
      <w:spacing w:before="120" w:after="120"/>
      <w:ind w:left="3118" w:hanging="567"/>
      <w:jc w:val="both"/>
    </w:pPr>
  </w:style>
  <w:style w:type="paragraph" w:customStyle="1" w:styleId="Bullet0">
    <w:name w:val="Bullet 0"/>
    <w:basedOn w:val="Normal"/>
    <w:rsid w:val="00565D10"/>
    <w:pPr>
      <w:numPr>
        <w:numId w:val="9"/>
      </w:numPr>
      <w:tabs>
        <w:tab w:val="num" w:pos="643"/>
      </w:tabs>
      <w:spacing w:before="120" w:after="120"/>
      <w:ind w:left="643" w:hanging="360"/>
      <w:jc w:val="both"/>
    </w:pPr>
  </w:style>
  <w:style w:type="paragraph" w:customStyle="1" w:styleId="Bullet1">
    <w:name w:val="Bullet 1"/>
    <w:basedOn w:val="Normal"/>
    <w:rsid w:val="00565D10"/>
    <w:pPr>
      <w:numPr>
        <w:numId w:val="10"/>
      </w:numPr>
      <w:tabs>
        <w:tab w:val="num" w:pos="926"/>
      </w:tabs>
      <w:spacing w:before="120" w:after="120"/>
      <w:ind w:left="926" w:hanging="360"/>
      <w:jc w:val="both"/>
    </w:pPr>
  </w:style>
  <w:style w:type="paragraph" w:customStyle="1" w:styleId="Bullet2">
    <w:name w:val="Bullet 2"/>
    <w:basedOn w:val="Normal"/>
    <w:rsid w:val="00565D10"/>
    <w:pPr>
      <w:numPr>
        <w:numId w:val="11"/>
      </w:numPr>
      <w:spacing w:before="120" w:after="120"/>
      <w:jc w:val="both"/>
    </w:pPr>
  </w:style>
  <w:style w:type="paragraph" w:customStyle="1" w:styleId="Bullet3">
    <w:name w:val="Bullet 3"/>
    <w:basedOn w:val="Normal"/>
    <w:rsid w:val="00565D10"/>
    <w:pPr>
      <w:tabs>
        <w:tab w:val="num" w:pos="2551"/>
      </w:tabs>
      <w:spacing w:before="120" w:after="120"/>
      <w:ind w:left="2551" w:hanging="567"/>
      <w:jc w:val="both"/>
    </w:pPr>
  </w:style>
  <w:style w:type="paragraph" w:customStyle="1" w:styleId="Bullet4">
    <w:name w:val="Bullet 4"/>
    <w:basedOn w:val="Normal"/>
    <w:rsid w:val="00565D10"/>
    <w:pPr>
      <w:numPr>
        <w:numId w:val="12"/>
      </w:numPr>
      <w:spacing w:before="120" w:after="120"/>
      <w:jc w:val="both"/>
    </w:pPr>
  </w:style>
  <w:style w:type="paragraph" w:customStyle="1" w:styleId="Langue">
    <w:name w:val="Langue"/>
    <w:basedOn w:val="Normal"/>
    <w:next w:val="Rfrenceinterne"/>
    <w:rsid w:val="00565D10"/>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565D10"/>
    <w:pPr>
      <w:ind w:left="5103"/>
    </w:pPr>
  </w:style>
  <w:style w:type="paragraph" w:customStyle="1" w:styleId="Rfrenceinterinstitutionnelle">
    <w:name w:val="Référence interinstitutionnelle"/>
    <w:basedOn w:val="Normal"/>
    <w:next w:val="Statut"/>
    <w:rsid w:val="00565D10"/>
    <w:pPr>
      <w:ind w:left="5103"/>
    </w:pPr>
  </w:style>
  <w:style w:type="paragraph" w:customStyle="1" w:styleId="Statut">
    <w:name w:val="Statut"/>
    <w:basedOn w:val="Normal"/>
    <w:next w:val="Typedudocument"/>
    <w:rsid w:val="00565D10"/>
    <w:pPr>
      <w:spacing w:before="360"/>
      <w:jc w:val="center"/>
    </w:pPr>
  </w:style>
  <w:style w:type="paragraph" w:customStyle="1" w:styleId="Typedudocument">
    <w:name w:val="Type du document"/>
    <w:basedOn w:val="Normal"/>
    <w:next w:val="Titreobjet"/>
    <w:rsid w:val="00565D10"/>
    <w:pPr>
      <w:spacing w:before="360"/>
      <w:jc w:val="center"/>
    </w:pPr>
    <w:rPr>
      <w:b/>
    </w:rPr>
  </w:style>
  <w:style w:type="paragraph" w:customStyle="1" w:styleId="Titreobjet">
    <w:name w:val="Titre objet"/>
    <w:basedOn w:val="Normal"/>
    <w:next w:val="IntrtEEE"/>
    <w:rsid w:val="00565D10"/>
    <w:pPr>
      <w:spacing w:before="360" w:after="360"/>
      <w:jc w:val="center"/>
    </w:pPr>
    <w:rPr>
      <w:b/>
    </w:rPr>
  </w:style>
  <w:style w:type="paragraph" w:customStyle="1" w:styleId="IntrtEEE">
    <w:name w:val="Intérêt EEE"/>
    <w:basedOn w:val="Languesfaisantfoi"/>
    <w:next w:val="Normal"/>
    <w:rsid w:val="00565D10"/>
    <w:pPr>
      <w:spacing w:after="240"/>
    </w:pPr>
  </w:style>
  <w:style w:type="paragraph" w:customStyle="1" w:styleId="Languesfaisantfoi">
    <w:name w:val="Langues faisant foi"/>
    <w:basedOn w:val="Normal"/>
    <w:next w:val="Normal"/>
    <w:rsid w:val="00565D10"/>
    <w:pPr>
      <w:spacing w:before="360"/>
      <w:jc w:val="center"/>
    </w:pPr>
  </w:style>
  <w:style w:type="paragraph" w:customStyle="1" w:styleId="Nomdelinstitution">
    <w:name w:val="Nom de l'institution"/>
    <w:basedOn w:val="Normal"/>
    <w:next w:val="Emission"/>
    <w:rsid w:val="00565D10"/>
    <w:rPr>
      <w:rFonts w:ascii="Arial" w:hAnsi="Arial" w:cs="Arial"/>
    </w:rPr>
  </w:style>
  <w:style w:type="paragraph" w:customStyle="1" w:styleId="Emission">
    <w:name w:val="Emission"/>
    <w:basedOn w:val="Normal"/>
    <w:next w:val="Rfrenceinstitutionnelle"/>
    <w:rsid w:val="00565D10"/>
    <w:pPr>
      <w:ind w:left="5103"/>
    </w:pPr>
  </w:style>
  <w:style w:type="paragraph" w:customStyle="1" w:styleId="Rfrenceinstitutionnelle">
    <w:name w:val="Référence institutionnelle"/>
    <w:basedOn w:val="Normal"/>
    <w:next w:val="Confidentialit"/>
    <w:rsid w:val="00565D10"/>
    <w:pPr>
      <w:spacing w:after="240"/>
      <w:ind w:left="5103"/>
    </w:pPr>
  </w:style>
  <w:style w:type="paragraph" w:customStyle="1" w:styleId="Confidentialit">
    <w:name w:val="Confidentialité"/>
    <w:basedOn w:val="Normal"/>
    <w:next w:val="TypedudocumentPagedecouverture"/>
    <w:rsid w:val="00565D10"/>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565D10"/>
  </w:style>
  <w:style w:type="paragraph" w:customStyle="1" w:styleId="TitreobjetPagedecouverture">
    <w:name w:val="Titre objet (Page de couverture)"/>
    <w:basedOn w:val="Titreobjet"/>
    <w:next w:val="IntrtEEEPagedecouverture"/>
    <w:rsid w:val="00565D10"/>
  </w:style>
  <w:style w:type="paragraph" w:customStyle="1" w:styleId="IntrtEEEPagedecouverture">
    <w:name w:val="Intérêt EEE (Page de couverture)"/>
    <w:basedOn w:val="IntrtEEE"/>
    <w:next w:val="Rfrencecroise"/>
    <w:rsid w:val="00565D10"/>
  </w:style>
  <w:style w:type="paragraph" w:customStyle="1" w:styleId="Rfrencecroise">
    <w:name w:val="Référence croisée"/>
    <w:basedOn w:val="Normal"/>
    <w:rsid w:val="00565D10"/>
    <w:pPr>
      <w:jc w:val="center"/>
    </w:pPr>
  </w:style>
  <w:style w:type="paragraph" w:customStyle="1" w:styleId="Pagedecouverture">
    <w:name w:val="Page de couverture"/>
    <w:basedOn w:val="Normal"/>
    <w:next w:val="Normal"/>
    <w:rsid w:val="00565D10"/>
    <w:pPr>
      <w:jc w:val="both"/>
    </w:pPr>
  </w:style>
  <w:style w:type="paragraph" w:customStyle="1" w:styleId="Declassification">
    <w:name w:val="Declassification"/>
    <w:basedOn w:val="Normal"/>
    <w:next w:val="Normal"/>
    <w:rsid w:val="00565D10"/>
    <w:pPr>
      <w:jc w:val="both"/>
    </w:pPr>
  </w:style>
  <w:style w:type="paragraph" w:customStyle="1" w:styleId="Disclaimer">
    <w:name w:val="Disclaimer"/>
    <w:basedOn w:val="Normal"/>
    <w:rsid w:val="00565D1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565D10"/>
    <w:pPr>
      <w:ind w:left="5103"/>
    </w:pPr>
    <w:rPr>
      <w:sz w:val="28"/>
    </w:rPr>
  </w:style>
  <w:style w:type="paragraph" w:customStyle="1" w:styleId="DateMarking">
    <w:name w:val="DateMarking"/>
    <w:basedOn w:val="Normal"/>
    <w:rsid w:val="00565D10"/>
    <w:pPr>
      <w:ind w:left="5103"/>
    </w:pPr>
    <w:rPr>
      <w:i/>
      <w:sz w:val="28"/>
    </w:rPr>
  </w:style>
  <w:style w:type="paragraph" w:customStyle="1" w:styleId="ReleasableTo">
    <w:name w:val="ReleasableTo"/>
    <w:basedOn w:val="Normal"/>
    <w:rsid w:val="00565D10"/>
    <w:pPr>
      <w:ind w:left="5103"/>
    </w:pPr>
    <w:rPr>
      <w:i/>
      <w:sz w:val="28"/>
    </w:rPr>
  </w:style>
  <w:style w:type="paragraph" w:customStyle="1" w:styleId="Annexetitreexpos">
    <w:name w:val="Annexe titre (exposé)"/>
    <w:basedOn w:val="Normal"/>
    <w:next w:val="Normal"/>
    <w:rsid w:val="00565D10"/>
    <w:pPr>
      <w:spacing w:before="120" w:after="120"/>
      <w:jc w:val="center"/>
    </w:pPr>
    <w:rPr>
      <w:b/>
      <w:u w:val="single"/>
    </w:rPr>
  </w:style>
  <w:style w:type="paragraph" w:customStyle="1" w:styleId="Annexetitre">
    <w:name w:val="Annexe titre"/>
    <w:basedOn w:val="Normal"/>
    <w:next w:val="Normal"/>
    <w:rsid w:val="00565D10"/>
    <w:pPr>
      <w:spacing w:before="120" w:after="120"/>
      <w:jc w:val="center"/>
    </w:pPr>
    <w:rPr>
      <w:b/>
      <w:u w:val="single"/>
    </w:rPr>
  </w:style>
  <w:style w:type="paragraph" w:customStyle="1" w:styleId="Annexetitrefichefinancire">
    <w:name w:val="Annexe titre (fiche financière)"/>
    <w:basedOn w:val="Normal"/>
    <w:next w:val="Normal"/>
    <w:rsid w:val="00565D10"/>
    <w:pPr>
      <w:spacing w:before="120" w:after="120"/>
      <w:jc w:val="center"/>
    </w:pPr>
    <w:rPr>
      <w:b/>
      <w:u w:val="single"/>
    </w:rPr>
  </w:style>
  <w:style w:type="paragraph" w:customStyle="1" w:styleId="Applicationdirecte">
    <w:name w:val="Application directe"/>
    <w:basedOn w:val="Normal"/>
    <w:next w:val="Fait"/>
    <w:rsid w:val="00565D10"/>
    <w:pPr>
      <w:spacing w:before="480" w:after="120"/>
      <w:jc w:val="both"/>
    </w:pPr>
  </w:style>
  <w:style w:type="paragraph" w:customStyle="1" w:styleId="Fait">
    <w:name w:val="Fait à"/>
    <w:basedOn w:val="Normal"/>
    <w:next w:val="Institutionquisigne"/>
    <w:rsid w:val="00565D10"/>
    <w:pPr>
      <w:keepNext/>
      <w:spacing w:before="120"/>
      <w:jc w:val="both"/>
    </w:pPr>
  </w:style>
  <w:style w:type="paragraph" w:customStyle="1" w:styleId="Institutionquisigne">
    <w:name w:val="Institution qui signe"/>
    <w:basedOn w:val="Normal"/>
    <w:next w:val="Personnequisigne"/>
    <w:rsid w:val="00565D10"/>
    <w:pPr>
      <w:keepNext/>
      <w:tabs>
        <w:tab w:val="left" w:pos="4252"/>
      </w:tabs>
      <w:spacing w:before="720"/>
      <w:jc w:val="both"/>
    </w:pPr>
    <w:rPr>
      <w:i/>
    </w:rPr>
  </w:style>
  <w:style w:type="paragraph" w:customStyle="1" w:styleId="Personnequisigne">
    <w:name w:val="Personne qui signe"/>
    <w:basedOn w:val="Normal"/>
    <w:next w:val="Institutionquisigne"/>
    <w:rsid w:val="00565D10"/>
    <w:pPr>
      <w:tabs>
        <w:tab w:val="left" w:pos="4252"/>
      </w:tabs>
    </w:pPr>
    <w:rPr>
      <w:i/>
    </w:rPr>
  </w:style>
  <w:style w:type="paragraph" w:customStyle="1" w:styleId="Avertissementtitre">
    <w:name w:val="Avertissement titre"/>
    <w:basedOn w:val="Normal"/>
    <w:next w:val="Normal"/>
    <w:rsid w:val="00565D10"/>
    <w:pPr>
      <w:keepNext/>
      <w:spacing w:before="480" w:after="120"/>
      <w:jc w:val="both"/>
    </w:pPr>
    <w:rPr>
      <w:u w:val="single"/>
    </w:rPr>
  </w:style>
  <w:style w:type="paragraph" w:customStyle="1" w:styleId="Confidence">
    <w:name w:val="Confidence"/>
    <w:basedOn w:val="Normal"/>
    <w:next w:val="Normal"/>
    <w:rsid w:val="00565D10"/>
    <w:pPr>
      <w:spacing w:before="360" w:after="120"/>
      <w:jc w:val="center"/>
    </w:pPr>
  </w:style>
  <w:style w:type="paragraph" w:customStyle="1" w:styleId="Considrant">
    <w:name w:val="Considérant"/>
    <w:basedOn w:val="Normal"/>
    <w:rsid w:val="00565D10"/>
    <w:pPr>
      <w:tabs>
        <w:tab w:val="num" w:pos="709"/>
      </w:tabs>
      <w:spacing w:before="120" w:after="120"/>
      <w:ind w:left="709" w:hanging="709"/>
      <w:jc w:val="both"/>
    </w:pPr>
  </w:style>
  <w:style w:type="paragraph" w:customStyle="1" w:styleId="Corrigendum">
    <w:name w:val="Corrigendum"/>
    <w:basedOn w:val="Normal"/>
    <w:next w:val="Normal"/>
    <w:rsid w:val="00565D10"/>
    <w:pPr>
      <w:spacing w:after="240"/>
    </w:pPr>
  </w:style>
  <w:style w:type="paragraph" w:customStyle="1" w:styleId="Datedadoption">
    <w:name w:val="Date d'adoption"/>
    <w:basedOn w:val="Normal"/>
    <w:next w:val="Titreobjet"/>
    <w:rsid w:val="00565D10"/>
    <w:pPr>
      <w:spacing w:before="360"/>
      <w:jc w:val="center"/>
    </w:pPr>
    <w:rPr>
      <w:b/>
    </w:rPr>
  </w:style>
  <w:style w:type="paragraph" w:customStyle="1" w:styleId="Exposdesmotifstitre">
    <w:name w:val="Exposé des motifs titre"/>
    <w:basedOn w:val="Normal"/>
    <w:next w:val="Normal"/>
    <w:rsid w:val="00565D10"/>
    <w:pPr>
      <w:spacing w:before="120" w:after="120"/>
      <w:jc w:val="center"/>
    </w:pPr>
    <w:rPr>
      <w:b/>
      <w:u w:val="single"/>
    </w:rPr>
  </w:style>
  <w:style w:type="paragraph" w:customStyle="1" w:styleId="Formuledadoption">
    <w:name w:val="Formule d'adoption"/>
    <w:basedOn w:val="Normal"/>
    <w:next w:val="Titrearticle"/>
    <w:rsid w:val="00565D10"/>
    <w:pPr>
      <w:keepNext/>
      <w:spacing w:before="120" w:after="120"/>
      <w:jc w:val="both"/>
    </w:pPr>
  </w:style>
  <w:style w:type="paragraph" w:customStyle="1" w:styleId="Titrearticle">
    <w:name w:val="Titre article"/>
    <w:basedOn w:val="Normal"/>
    <w:next w:val="Normal"/>
    <w:rsid w:val="00565D10"/>
    <w:pPr>
      <w:keepNext/>
      <w:spacing w:before="360" w:after="120"/>
      <w:jc w:val="center"/>
    </w:pPr>
    <w:rPr>
      <w:i/>
    </w:rPr>
  </w:style>
  <w:style w:type="paragraph" w:customStyle="1" w:styleId="Institutionquiagit">
    <w:name w:val="Institution qui agit"/>
    <w:basedOn w:val="Normal"/>
    <w:next w:val="Normal"/>
    <w:rsid w:val="00565D10"/>
    <w:pPr>
      <w:keepNext/>
      <w:spacing w:before="600" w:after="120"/>
      <w:jc w:val="both"/>
    </w:pPr>
  </w:style>
  <w:style w:type="paragraph" w:customStyle="1" w:styleId="ManualConsidrant">
    <w:name w:val="Manual Considérant"/>
    <w:basedOn w:val="Normal"/>
    <w:rsid w:val="00565D10"/>
    <w:pPr>
      <w:spacing w:before="120" w:after="120"/>
      <w:ind w:left="709" w:hanging="709"/>
      <w:jc w:val="both"/>
    </w:pPr>
  </w:style>
  <w:style w:type="character" w:customStyle="1" w:styleId="Added">
    <w:name w:val="Added"/>
    <w:basedOn w:val="DefaultParagraphFont"/>
    <w:rsid w:val="00565D10"/>
    <w:rPr>
      <w:b/>
      <w:u w:val="single"/>
      <w:shd w:val="clear" w:color="auto" w:fill="auto"/>
    </w:rPr>
  </w:style>
  <w:style w:type="character" w:customStyle="1" w:styleId="Deleted">
    <w:name w:val="Deleted"/>
    <w:basedOn w:val="DefaultParagraphFont"/>
    <w:rsid w:val="00565D10"/>
    <w:rPr>
      <w:strike/>
      <w:dstrike w:val="0"/>
      <w:shd w:val="clear" w:color="auto" w:fill="auto"/>
    </w:rPr>
  </w:style>
  <w:style w:type="paragraph" w:customStyle="1" w:styleId="Address">
    <w:name w:val="Address"/>
    <w:basedOn w:val="Normal"/>
    <w:next w:val="Normal"/>
    <w:rsid w:val="00565D10"/>
    <w:pPr>
      <w:keepLines/>
      <w:spacing w:before="120" w:after="120" w:line="360" w:lineRule="auto"/>
      <w:ind w:left="3402"/>
    </w:pPr>
  </w:style>
  <w:style w:type="paragraph" w:customStyle="1" w:styleId="Objetexterne">
    <w:name w:val="Objet externe"/>
    <w:basedOn w:val="Normal"/>
    <w:next w:val="Normal"/>
    <w:rsid w:val="00565D10"/>
    <w:pPr>
      <w:spacing w:before="120" w:after="120"/>
      <w:jc w:val="both"/>
    </w:pPr>
    <w:rPr>
      <w:i/>
      <w:caps/>
    </w:rPr>
  </w:style>
  <w:style w:type="paragraph" w:customStyle="1" w:styleId="Supertitre">
    <w:name w:val="Supertitre"/>
    <w:basedOn w:val="Normal"/>
    <w:next w:val="Normal"/>
    <w:rsid w:val="00565D10"/>
    <w:pPr>
      <w:spacing w:after="600"/>
      <w:jc w:val="center"/>
    </w:pPr>
    <w:rPr>
      <w:b/>
    </w:rPr>
  </w:style>
  <w:style w:type="paragraph" w:customStyle="1" w:styleId="Fichefinanciretitre">
    <w:name w:val="Fiche financière titre"/>
    <w:basedOn w:val="Normal"/>
    <w:next w:val="Normal"/>
    <w:rsid w:val="00565D10"/>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565D10"/>
  </w:style>
  <w:style w:type="paragraph" w:customStyle="1" w:styleId="RfrenceinterinstitutionnellePagedecouverture">
    <w:name w:val="Référence interinstitutionnelle (Page de couverture)"/>
    <w:basedOn w:val="Rfrenceinterinstitutionnelle"/>
    <w:next w:val="Confidentialit"/>
    <w:rsid w:val="00565D10"/>
  </w:style>
  <w:style w:type="paragraph" w:customStyle="1" w:styleId="StatutPagedecouverture">
    <w:name w:val="Statut (Page de couverture)"/>
    <w:basedOn w:val="Statut"/>
    <w:next w:val="TypedudocumentPagedecouverture"/>
    <w:rsid w:val="00565D10"/>
  </w:style>
  <w:style w:type="paragraph" w:customStyle="1" w:styleId="Volume">
    <w:name w:val="Volume"/>
    <w:basedOn w:val="Normal"/>
    <w:next w:val="Confidentialit"/>
    <w:rsid w:val="00565D10"/>
    <w:pPr>
      <w:spacing w:after="240"/>
      <w:ind w:left="5103"/>
    </w:pPr>
  </w:style>
  <w:style w:type="paragraph" w:customStyle="1" w:styleId="Accompagnant">
    <w:name w:val="Accompagnant"/>
    <w:basedOn w:val="Normal"/>
    <w:next w:val="Typeacteprincipal"/>
    <w:rsid w:val="00565D10"/>
    <w:pPr>
      <w:spacing w:after="240"/>
      <w:jc w:val="center"/>
    </w:pPr>
    <w:rPr>
      <w:b/>
      <w:i/>
    </w:rPr>
  </w:style>
  <w:style w:type="paragraph" w:customStyle="1" w:styleId="Typeacteprincipal">
    <w:name w:val="Type acte principal"/>
    <w:basedOn w:val="Normal"/>
    <w:next w:val="Objetacteprincipal"/>
    <w:rsid w:val="00565D10"/>
    <w:pPr>
      <w:spacing w:after="240"/>
      <w:jc w:val="center"/>
    </w:pPr>
    <w:rPr>
      <w:b/>
    </w:rPr>
  </w:style>
  <w:style w:type="paragraph" w:customStyle="1" w:styleId="Objetacteprincipal">
    <w:name w:val="Objet acte principal"/>
    <w:basedOn w:val="Normal"/>
    <w:next w:val="Titrearticle"/>
    <w:rsid w:val="00565D10"/>
    <w:pPr>
      <w:spacing w:after="360"/>
      <w:jc w:val="center"/>
    </w:pPr>
    <w:rPr>
      <w:b/>
    </w:rPr>
  </w:style>
  <w:style w:type="paragraph" w:customStyle="1" w:styleId="AccompagnantPagedecouverture">
    <w:name w:val="Accompagnant (Page de couverture)"/>
    <w:basedOn w:val="Accompagnant"/>
    <w:next w:val="TypeacteprincipalPagedecouverture"/>
    <w:rsid w:val="00565D10"/>
  </w:style>
  <w:style w:type="paragraph" w:customStyle="1" w:styleId="TypeacteprincipalPagedecouverture">
    <w:name w:val="Type acte principal (Page de couverture)"/>
    <w:basedOn w:val="Typeacteprincipal"/>
    <w:next w:val="ObjetacteprincipalPagedecouverture"/>
    <w:rsid w:val="00565D10"/>
  </w:style>
  <w:style w:type="paragraph" w:customStyle="1" w:styleId="ObjetacteprincipalPagedecouverture">
    <w:name w:val="Objet acte principal (Page de couverture)"/>
    <w:basedOn w:val="Objetacteprincipal"/>
    <w:next w:val="Rfrencecroise"/>
    <w:rsid w:val="00565D10"/>
  </w:style>
  <w:style w:type="paragraph" w:customStyle="1" w:styleId="LanguesfaisantfoiPagedecouverture">
    <w:name w:val="Langues faisant foi (Page de couverture)"/>
    <w:basedOn w:val="Normal"/>
    <w:next w:val="Normal"/>
    <w:rsid w:val="00565D10"/>
    <w:pPr>
      <w:spacing w:before="360"/>
      <w:jc w:val="center"/>
    </w:pPr>
  </w:style>
  <w:style w:type="paragraph" w:styleId="ListBullet">
    <w:name w:val="List Bullet"/>
    <w:basedOn w:val="Normal"/>
    <w:uiPriority w:val="99"/>
    <w:semiHidden/>
    <w:unhideWhenUsed/>
    <w:rsid w:val="00565D10"/>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565D10"/>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565D10"/>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565D10"/>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565D10"/>
    <w:rPr>
      <w:sz w:val="16"/>
    </w:rPr>
  </w:style>
  <w:style w:type="paragraph" w:styleId="CommentText">
    <w:name w:val="annotation text"/>
    <w:basedOn w:val="Normal"/>
    <w:link w:val="CommentTextChar"/>
    <w:uiPriority w:val="99"/>
    <w:unhideWhenUsed/>
    <w:rsid w:val="00565D10"/>
    <w:pPr>
      <w:spacing w:before="120" w:after="120"/>
      <w:jc w:val="both"/>
    </w:pPr>
    <w:rPr>
      <w:sz w:val="20"/>
    </w:rPr>
  </w:style>
  <w:style w:type="character" w:customStyle="1" w:styleId="CommentTextChar">
    <w:name w:val="Comment Text Char"/>
    <w:basedOn w:val="DefaultParagraphFont"/>
    <w:link w:val="CommentText"/>
    <w:uiPriority w:val="99"/>
    <w:rsid w:val="00565D10"/>
    <w:rPr>
      <w:rFonts w:ascii="Times New Roman" w:eastAsia="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565D10"/>
    <w:rPr>
      <w:b/>
    </w:rPr>
  </w:style>
  <w:style w:type="character" w:customStyle="1" w:styleId="CommentSubjectChar">
    <w:name w:val="Comment Subject Char"/>
    <w:basedOn w:val="CommentTextChar"/>
    <w:link w:val="CommentSubject"/>
    <w:uiPriority w:val="99"/>
    <w:semiHidden/>
    <w:rsid w:val="00565D10"/>
    <w:rPr>
      <w:rFonts w:ascii="Times New Roman" w:eastAsia="Times New Roman" w:hAnsi="Times New Roman" w:cs="Times New Roman"/>
      <w:b/>
      <w:sz w:val="20"/>
    </w:rPr>
  </w:style>
  <w:style w:type="paragraph" w:styleId="BalloonText">
    <w:name w:val="Balloon Text"/>
    <w:basedOn w:val="Normal"/>
    <w:link w:val="BalloonTextChar"/>
    <w:uiPriority w:val="99"/>
    <w:semiHidden/>
    <w:unhideWhenUsed/>
    <w:rsid w:val="00565D10"/>
    <w:pPr>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565D10"/>
    <w:rPr>
      <w:rFonts w:ascii="Segoe UI" w:eastAsia="Times New Roman" w:hAnsi="Segoe UI" w:cs="Segoe UI"/>
      <w:sz w:val="18"/>
    </w:rPr>
  </w:style>
  <w:style w:type="paragraph" w:styleId="Revision">
    <w:name w:val="Revision"/>
    <w:hidden/>
    <w:uiPriority w:val="99"/>
    <w:semiHidden/>
    <w:rsid w:val="00565D10"/>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565D10"/>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sid w:val="00565D10"/>
    <w:rPr>
      <w:rFonts w:ascii="Times New Roman" w:eastAsia="Times New Roman" w:hAnsi="Times New Roman" w:cs="Times New Roman"/>
      <w:sz w:val="24"/>
    </w:rPr>
  </w:style>
  <w:style w:type="character" w:customStyle="1" w:styleId="normaltextrun">
    <w:name w:val="normaltextrun"/>
    <w:basedOn w:val="DefaultParagraphFont"/>
    <w:rsid w:val="00565D10"/>
  </w:style>
  <w:style w:type="character" w:customStyle="1" w:styleId="eop">
    <w:name w:val="eop"/>
    <w:basedOn w:val="DefaultParagraphFont"/>
    <w:rsid w:val="00565D10"/>
  </w:style>
  <w:style w:type="character" w:styleId="Hyperlink">
    <w:name w:val="Hyperlink"/>
    <w:basedOn w:val="DefaultParagraphFont"/>
    <w:uiPriority w:val="99"/>
    <w:unhideWhenUsed/>
    <w:rsid w:val="00565D10"/>
    <w:rPr>
      <w:color w:val="0000FF" w:themeColor="hyperlink"/>
      <w:u w:val="single"/>
    </w:rPr>
  </w:style>
  <w:style w:type="character" w:customStyle="1" w:styleId="y2iqfc">
    <w:name w:val="y2iqfc"/>
    <w:basedOn w:val="DefaultParagraphFont"/>
    <w:rsid w:val="00565D10"/>
  </w:style>
  <w:style w:type="character" w:styleId="IntenseEmphasis">
    <w:name w:val="Intense Emphasis"/>
    <w:basedOn w:val="DefaultParagraphFont"/>
    <w:uiPriority w:val="21"/>
    <w:qFormat/>
    <w:rsid w:val="00565D10"/>
    <w:rPr>
      <w:i/>
      <w:color w:val="4F81BD" w:themeColor="accent1"/>
    </w:rPr>
  </w:style>
  <w:style w:type="paragraph" w:customStyle="1" w:styleId="Times12">
    <w:name w:val="Times12"/>
    <w:basedOn w:val="Normal"/>
    <w:rsid w:val="00565D10"/>
    <w:pPr>
      <w:suppressAutoHyphens/>
      <w:spacing w:after="140"/>
      <w:jc w:val="both"/>
    </w:pPr>
    <w:rPr>
      <w:rFonts w:ascii="Times" w:eastAsia="SimSun" w:hAnsi="Times" w:cs="Times"/>
      <w:color w:val="00000A"/>
      <w:kern w:val="1"/>
    </w:rPr>
  </w:style>
  <w:style w:type="paragraph" w:customStyle="1" w:styleId="paragraph">
    <w:name w:val="paragraph"/>
    <w:basedOn w:val="Normal"/>
    <w:rsid w:val="00565D10"/>
    <w:pPr>
      <w:spacing w:before="100" w:beforeAutospacing="1" w:after="100" w:afterAutospacing="1"/>
    </w:pPr>
  </w:style>
  <w:style w:type="paragraph" w:customStyle="1" w:styleId="FooterCoverPage">
    <w:name w:val="Footer Cover Page"/>
    <w:basedOn w:val="Normal"/>
    <w:link w:val="FooterCoverPageChar"/>
    <w:rsid w:val="00565D10"/>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565D10"/>
    <w:rPr>
      <w:rFonts w:ascii="Times New Roman" w:eastAsia="Times New Roman" w:hAnsi="Times New Roman" w:cs="Times New Roman"/>
      <w:sz w:val="24"/>
    </w:rPr>
  </w:style>
  <w:style w:type="paragraph" w:customStyle="1" w:styleId="HeaderCoverPage">
    <w:name w:val="Header Cover Page"/>
    <w:basedOn w:val="Normal"/>
    <w:link w:val="HeaderCoverPageChar"/>
    <w:rsid w:val="00565D10"/>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565D10"/>
    <w:rPr>
      <w:rFonts w:ascii="Times New Roman" w:eastAsia="Times New Roman" w:hAnsi="Times New Roman" w:cs="Times New Roman"/>
      <w:sz w:val="24"/>
    </w:rPr>
  </w:style>
  <w:style w:type="table" w:styleId="TableGrid">
    <w:name w:val="Table Grid"/>
    <w:basedOn w:val="TableNormal"/>
    <w:uiPriority w:val="59"/>
    <w:rsid w:val="00565D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565D10"/>
    <w:pPr>
      <w:numPr>
        <w:numId w:val="13"/>
      </w:numPr>
    </w:pPr>
  </w:style>
  <w:style w:type="paragraph" w:styleId="IntenseQuote">
    <w:name w:val="Intense Quote"/>
    <w:basedOn w:val="Normal"/>
    <w:next w:val="Normal"/>
    <w:link w:val="IntenseQuoteChar"/>
    <w:uiPriority w:val="30"/>
    <w:qFormat/>
    <w:rsid w:val="00565D10"/>
    <w:pPr>
      <w:pBdr>
        <w:top w:val="single" w:sz="4" w:space="10" w:color="4F81BD" w:themeColor="accent1"/>
        <w:bottom w:val="single" w:sz="4" w:space="10" w:color="4F81BD" w:themeColor="accent1"/>
      </w:pBdr>
      <w:spacing w:before="360" w:after="360"/>
      <w:ind w:left="864" w:right="864"/>
      <w:jc w:val="center"/>
    </w:pPr>
    <w:rPr>
      <w:i/>
      <w:color w:val="4F81BD" w:themeColor="accent1"/>
    </w:rPr>
  </w:style>
  <w:style w:type="character" w:customStyle="1" w:styleId="IntenseQuoteChar">
    <w:name w:val="Intense Quote Char"/>
    <w:basedOn w:val="DefaultParagraphFont"/>
    <w:link w:val="IntenseQuote"/>
    <w:uiPriority w:val="30"/>
    <w:rsid w:val="00565D10"/>
    <w:rPr>
      <w:rFonts w:ascii="Times New Roman" w:eastAsia="Times New Roman" w:hAnsi="Times New Roman" w:cs="Times New Roman"/>
      <w:i/>
      <w:color w:val="4F81BD" w:themeColor="accent1"/>
      <w:sz w:val="24"/>
    </w:rPr>
  </w:style>
  <w:style w:type="character" w:customStyle="1" w:styleId="FootnoteCharacters">
    <w:name w:val="Footnote Characters"/>
    <w:rsid w:val="00565D10"/>
    <w:rPr>
      <w:vertAlign w:val="superscript"/>
    </w:rPr>
  </w:style>
  <w:style w:type="paragraph" w:customStyle="1" w:styleId="Paragrafoelenco1">
    <w:name w:val="Paragrafo elenco1"/>
    <w:basedOn w:val="Normal"/>
    <w:rsid w:val="00565D10"/>
    <w:pPr>
      <w:spacing w:after="160" w:line="254" w:lineRule="auto"/>
      <w:ind w:left="720"/>
      <w:contextualSpacing/>
    </w:pPr>
    <w:rPr>
      <w:color w:val="00000A"/>
      <w:kern w:val="1"/>
      <w:sz w:val="20"/>
    </w:rPr>
  </w:style>
  <w:style w:type="paragraph" w:styleId="NormalWeb">
    <w:name w:val="Normal (Web)"/>
    <w:basedOn w:val="Normal"/>
    <w:uiPriority w:val="99"/>
    <w:unhideWhenUsed/>
    <w:rsid w:val="00565D10"/>
    <w:pPr>
      <w:spacing w:before="100" w:beforeAutospacing="1" w:after="100" w:afterAutospacing="1"/>
    </w:pPr>
  </w:style>
  <w:style w:type="character" w:customStyle="1" w:styleId="normaltextrun1">
    <w:name w:val="normaltextrun1"/>
    <w:basedOn w:val="DefaultParagraphFont"/>
    <w:rsid w:val="00565D10"/>
  </w:style>
  <w:style w:type="numbering" w:customStyle="1" w:styleId="Stileimportato9">
    <w:name w:val="Stile importato 9"/>
    <w:rsid w:val="00565D10"/>
    <w:pPr>
      <w:numPr>
        <w:numId w:val="16"/>
      </w:numPr>
    </w:pPr>
  </w:style>
  <w:style w:type="character" w:customStyle="1" w:styleId="Hyperlink0">
    <w:name w:val="Hyperlink.0"/>
    <w:rsid w:val="00565D10"/>
  </w:style>
  <w:style w:type="paragraph" w:customStyle="1" w:styleId="Descriptiontext">
    <w:name w:val="Description text"/>
    <w:basedOn w:val="Normal"/>
    <w:link w:val="DescriptiontextChar"/>
    <w:qFormat/>
    <w:rsid w:val="00565D10"/>
    <w:pPr>
      <w:spacing w:before="120" w:after="120"/>
      <w:ind w:left="709"/>
      <w:jc w:val="both"/>
    </w:pPr>
  </w:style>
  <w:style w:type="paragraph" w:customStyle="1" w:styleId="Descriptiontitle">
    <w:name w:val="Description title"/>
    <w:basedOn w:val="Descriptiontext"/>
    <w:link w:val="DescriptiontitleChar"/>
    <w:rsid w:val="00565D10"/>
  </w:style>
  <w:style w:type="character" w:customStyle="1" w:styleId="DescriptiontextChar">
    <w:name w:val="Description text Char"/>
    <w:basedOn w:val="DefaultParagraphFont"/>
    <w:link w:val="Descriptiontext"/>
    <w:rsid w:val="00565D10"/>
    <w:rPr>
      <w:rFonts w:ascii="Times New Roman" w:eastAsia="Times New Roman" w:hAnsi="Times New Roman" w:cs="Times New Roman"/>
      <w:sz w:val="24"/>
    </w:rPr>
  </w:style>
  <w:style w:type="character" w:customStyle="1" w:styleId="DescriptiontitleChar">
    <w:name w:val="Description title Char"/>
    <w:basedOn w:val="DescriptiontextChar"/>
    <w:link w:val="Descriptiontitle"/>
    <w:rsid w:val="00565D10"/>
    <w:rPr>
      <w:rFonts w:ascii="Times New Roman" w:eastAsia="Times New Roman" w:hAnsi="Times New Roman" w:cs="Times New Roman"/>
      <w:sz w:val="24"/>
    </w:rPr>
  </w:style>
  <w:style w:type="paragraph" w:customStyle="1" w:styleId="Axistitle">
    <w:name w:val="Axis title"/>
    <w:basedOn w:val="Normal"/>
    <w:link w:val="AxistitleChar"/>
    <w:qFormat/>
    <w:rsid w:val="00565D10"/>
    <w:pPr>
      <w:spacing w:before="320" w:after="240"/>
      <w:ind w:left="709"/>
      <w:jc w:val="both"/>
    </w:pPr>
    <w:rPr>
      <w:i/>
    </w:rPr>
  </w:style>
  <w:style w:type="character" w:customStyle="1" w:styleId="AxistitleChar">
    <w:name w:val="Axis title Char"/>
    <w:basedOn w:val="DefaultParagraphFont"/>
    <w:link w:val="Axistitle"/>
    <w:rsid w:val="00565D10"/>
    <w:rPr>
      <w:rFonts w:ascii="Times New Roman" w:eastAsia="Times New Roman" w:hAnsi="Times New Roman" w:cs="Times New Roman"/>
      <w:i/>
      <w:sz w:val="24"/>
    </w:rPr>
  </w:style>
  <w:style w:type="character" w:customStyle="1" w:styleId="Mention1">
    <w:name w:val="Mention1"/>
    <w:basedOn w:val="DefaultParagraphFont"/>
    <w:uiPriority w:val="99"/>
    <w:unhideWhenUsed/>
    <w:rsid w:val="00565D10"/>
    <w:rPr>
      <w:color w:val="2B579A"/>
      <w:shd w:val="clear" w:color="auto" w:fill="E6E6E6"/>
    </w:rPr>
  </w:style>
  <w:style w:type="character" w:customStyle="1" w:styleId="superscript">
    <w:name w:val="superscript"/>
    <w:basedOn w:val="DefaultParagraphFont"/>
    <w:rsid w:val="00565D10"/>
  </w:style>
  <w:style w:type="paragraph" w:styleId="ListNumber4">
    <w:name w:val="List Number 4"/>
    <w:basedOn w:val="Normal"/>
    <w:uiPriority w:val="99"/>
    <w:semiHidden/>
    <w:unhideWhenUsed/>
    <w:rsid w:val="00565D10"/>
    <w:pPr>
      <w:numPr>
        <w:numId w:val="17"/>
      </w:numPr>
      <w:tabs>
        <w:tab w:val="num" w:pos="360"/>
      </w:tabs>
      <w:spacing w:before="120" w:after="120"/>
      <w:ind w:left="720"/>
      <w:contextualSpacing/>
      <w:jc w:val="both"/>
    </w:pPr>
    <w:rPr>
      <w:rFonts w:eastAsiaTheme="minorHAnsi"/>
    </w:rPr>
  </w:style>
  <w:style w:type="numbering" w:customStyle="1" w:styleId="NoList2">
    <w:name w:val="No List2"/>
    <w:next w:val="NoList"/>
    <w:uiPriority w:val="99"/>
    <w:semiHidden/>
    <w:unhideWhenUsed/>
    <w:rsid w:val="00565D10"/>
  </w:style>
  <w:style w:type="paragraph" w:styleId="Caption">
    <w:name w:val="caption"/>
    <w:basedOn w:val="Normal"/>
    <w:next w:val="Normal"/>
    <w:uiPriority w:val="35"/>
    <w:semiHidden/>
    <w:unhideWhenUsed/>
    <w:qFormat/>
    <w:rsid w:val="00565D10"/>
    <w:pPr>
      <w:spacing w:after="200"/>
      <w:jc w:val="both"/>
    </w:pPr>
    <w:rPr>
      <w:rFonts w:eastAsiaTheme="minorHAnsi"/>
      <w:i/>
      <w:color w:val="1F497D" w:themeColor="text2"/>
      <w:sz w:val="18"/>
    </w:rPr>
  </w:style>
  <w:style w:type="paragraph" w:styleId="TableofFigures">
    <w:name w:val="table of figures"/>
    <w:basedOn w:val="Normal"/>
    <w:next w:val="Normal"/>
    <w:uiPriority w:val="99"/>
    <w:semiHidden/>
    <w:unhideWhenUsed/>
    <w:rsid w:val="00565D10"/>
    <w:pPr>
      <w:spacing w:before="120"/>
      <w:jc w:val="both"/>
    </w:pPr>
    <w:rPr>
      <w:rFonts w:eastAsiaTheme="minorHAnsi"/>
    </w:rPr>
  </w:style>
  <w:style w:type="paragraph" w:styleId="ListNumber">
    <w:name w:val="List Number"/>
    <w:basedOn w:val="Normal"/>
    <w:uiPriority w:val="99"/>
    <w:semiHidden/>
    <w:unhideWhenUsed/>
    <w:rsid w:val="00565D10"/>
    <w:pPr>
      <w:numPr>
        <w:numId w:val="18"/>
      </w:numPr>
      <w:spacing w:before="120" w:after="120"/>
      <w:ind w:left="0" w:firstLine="0"/>
      <w:contextualSpacing/>
      <w:jc w:val="both"/>
    </w:pPr>
    <w:rPr>
      <w:rFonts w:eastAsiaTheme="minorHAnsi"/>
    </w:rPr>
  </w:style>
  <w:style w:type="paragraph" w:styleId="ListNumber2">
    <w:name w:val="List Number 2"/>
    <w:basedOn w:val="Normal"/>
    <w:uiPriority w:val="99"/>
    <w:semiHidden/>
    <w:unhideWhenUsed/>
    <w:rsid w:val="00565D10"/>
    <w:pPr>
      <w:numPr>
        <w:numId w:val="19"/>
      </w:numPr>
      <w:tabs>
        <w:tab w:val="num" w:pos="360"/>
      </w:tabs>
      <w:spacing w:before="120" w:after="120"/>
      <w:ind w:left="0" w:firstLine="0"/>
      <w:contextualSpacing/>
      <w:jc w:val="both"/>
    </w:pPr>
    <w:rPr>
      <w:rFonts w:eastAsiaTheme="minorHAnsi"/>
    </w:rPr>
  </w:style>
  <w:style w:type="paragraph" w:styleId="ListNumber3">
    <w:name w:val="List Number 3"/>
    <w:basedOn w:val="Normal"/>
    <w:uiPriority w:val="99"/>
    <w:semiHidden/>
    <w:unhideWhenUsed/>
    <w:rsid w:val="00565D10"/>
    <w:pPr>
      <w:numPr>
        <w:numId w:val="20"/>
      </w:numPr>
      <w:spacing w:before="120" w:after="120"/>
      <w:ind w:left="0" w:firstLine="0"/>
      <w:contextualSpacing/>
      <w:jc w:val="both"/>
    </w:pPr>
    <w:rPr>
      <w:rFonts w:eastAsiaTheme="minorHAnsi"/>
    </w:rPr>
  </w:style>
  <w:style w:type="character" w:customStyle="1" w:styleId="Mention2">
    <w:name w:val="Mention2"/>
    <w:basedOn w:val="DefaultParagraphFont"/>
    <w:uiPriority w:val="99"/>
    <w:unhideWhenUsed/>
    <w:rsid w:val="00565D10"/>
    <w:rPr>
      <w:color w:val="2B579A"/>
      <w:shd w:val="clear" w:color="auto" w:fill="E6E6E6"/>
    </w:rPr>
  </w:style>
  <w:style w:type="paragraph" w:customStyle="1" w:styleId="TechnicalBlock">
    <w:name w:val="Technical Block"/>
    <w:basedOn w:val="Normal"/>
    <w:link w:val="TechnicalBlockChar"/>
    <w:rsid w:val="00565D10"/>
    <w:pPr>
      <w:spacing w:after="240"/>
      <w:jc w:val="center"/>
      <w:textAlignment w:val="baseline"/>
    </w:pPr>
  </w:style>
  <w:style w:type="character" w:customStyle="1" w:styleId="TechnicalBlockChar">
    <w:name w:val="Technical Block Char"/>
    <w:basedOn w:val="DefaultParagraphFont"/>
    <w:link w:val="TechnicalBlock"/>
    <w:rsid w:val="00565D10"/>
    <w:rPr>
      <w:rFonts w:ascii="Times New Roman" w:eastAsia="Times New Roman" w:hAnsi="Times New Roman" w:cs="Times New Roman"/>
      <w:sz w:val="24"/>
    </w:rPr>
  </w:style>
  <w:style w:type="paragraph" w:customStyle="1" w:styleId="EntText">
    <w:name w:val="EntText"/>
    <w:basedOn w:val="Normal"/>
    <w:rsid w:val="00573718"/>
    <w:pPr>
      <w:spacing w:before="120" w:after="120" w:line="360" w:lineRule="auto"/>
    </w:pPr>
    <w:rPr>
      <w:rFonts w:eastAsiaTheme="minorHAnsi"/>
    </w:rPr>
  </w:style>
  <w:style w:type="paragraph" w:customStyle="1" w:styleId="Lignefinal">
    <w:name w:val="Ligne final"/>
    <w:basedOn w:val="Normal"/>
    <w:next w:val="Normal"/>
    <w:rsid w:val="00573718"/>
    <w:pPr>
      <w:pBdr>
        <w:bottom w:val="single" w:sz="4" w:space="0" w:color="000000"/>
      </w:pBdr>
      <w:spacing w:before="360" w:after="120" w:line="360" w:lineRule="auto"/>
      <w:ind w:left="3400" w:right="3400"/>
      <w:jc w:val="center"/>
    </w:pPr>
    <w:rPr>
      <w:rFonts w:eastAsiaTheme="minorHAnsi"/>
      <w:b/>
    </w:rPr>
  </w:style>
  <w:style w:type="paragraph" w:customStyle="1" w:styleId="pj">
    <w:name w:val="p.j."/>
    <w:basedOn w:val="Normal"/>
    <w:link w:val="pjChar"/>
    <w:rsid w:val="00565D10"/>
    <w:pPr>
      <w:spacing w:before="1200" w:after="120"/>
      <w:ind w:left="1440" w:hanging="1440"/>
    </w:pPr>
  </w:style>
  <w:style w:type="character" w:customStyle="1" w:styleId="pjChar">
    <w:name w:val="p.j. Char"/>
    <w:basedOn w:val="DefaultParagraphFont"/>
    <w:link w:val="pj"/>
    <w:rsid w:val="00565D10"/>
    <w:rPr>
      <w:rFonts w:ascii="Times New Roman" w:eastAsia="Times New Roman" w:hAnsi="Times New Roman" w:cs="Times New Roman"/>
      <w:sz w:val="24"/>
    </w:rPr>
  </w:style>
  <w:style w:type="paragraph" w:customStyle="1" w:styleId="nbbordered">
    <w:name w:val="nb bordered"/>
    <w:basedOn w:val="Normal"/>
    <w:link w:val="nbborderedChar"/>
    <w:rsid w:val="00565D10"/>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565D10"/>
    <w:rPr>
      <w:rFonts w:ascii="Times New Roman" w:eastAsia="Times New Roman" w:hAnsi="Times New Roman" w:cs="Times New Roman"/>
      <w:b/>
      <w:sz w:val="24"/>
    </w:rPr>
  </w:style>
  <w:style w:type="paragraph" w:customStyle="1" w:styleId="HeaderCouncil">
    <w:name w:val="Header Council"/>
    <w:basedOn w:val="Normal"/>
    <w:link w:val="HeaderCouncilChar"/>
    <w:rsid w:val="00565D10"/>
    <w:rPr>
      <w:sz w:val="2"/>
    </w:rPr>
  </w:style>
  <w:style w:type="character" w:customStyle="1" w:styleId="HeaderCouncilChar">
    <w:name w:val="Header Council Char"/>
    <w:basedOn w:val="DefaultParagraphFont"/>
    <w:link w:val="HeaderCouncil"/>
    <w:rsid w:val="00565D10"/>
    <w:rPr>
      <w:rFonts w:ascii="Times New Roman" w:eastAsia="Times New Roman" w:hAnsi="Times New Roman" w:cs="Times New Roman"/>
      <w:sz w:val="2"/>
    </w:rPr>
  </w:style>
  <w:style w:type="paragraph" w:customStyle="1" w:styleId="HeaderCouncilLarge">
    <w:name w:val="Header Council Large"/>
    <w:basedOn w:val="Normal"/>
    <w:link w:val="HeaderCouncilLargeChar"/>
    <w:rsid w:val="00565D10"/>
    <w:pPr>
      <w:spacing w:after="440"/>
    </w:pPr>
    <w:rPr>
      <w:sz w:val="2"/>
    </w:rPr>
  </w:style>
  <w:style w:type="character" w:customStyle="1" w:styleId="HeaderCouncilLargeChar">
    <w:name w:val="Header Council Large Char"/>
    <w:basedOn w:val="DefaultParagraphFont"/>
    <w:link w:val="HeaderCouncilLarge"/>
    <w:rsid w:val="00565D10"/>
    <w:rPr>
      <w:rFonts w:ascii="Times New Roman" w:eastAsia="Times New Roman" w:hAnsi="Times New Roman" w:cs="Times New Roman"/>
      <w:sz w:val="2"/>
    </w:rPr>
  </w:style>
  <w:style w:type="paragraph" w:customStyle="1" w:styleId="FooterCouncil">
    <w:name w:val="Footer Council"/>
    <w:basedOn w:val="Normal"/>
    <w:link w:val="FooterCouncilChar"/>
    <w:rsid w:val="00565D10"/>
    <w:rPr>
      <w:sz w:val="2"/>
    </w:rPr>
  </w:style>
  <w:style w:type="character" w:customStyle="1" w:styleId="FooterCouncilChar">
    <w:name w:val="Footer Council Char"/>
    <w:basedOn w:val="DefaultParagraphFont"/>
    <w:link w:val="FooterCouncil"/>
    <w:rsid w:val="00565D10"/>
    <w:rPr>
      <w:rFonts w:ascii="Times New Roman" w:eastAsia="Times New Roman" w:hAnsi="Times New Roman" w:cs="Times New Roman"/>
      <w:sz w:val="2"/>
    </w:rPr>
  </w:style>
  <w:style w:type="paragraph" w:customStyle="1" w:styleId="FooterText">
    <w:name w:val="Footer Text"/>
    <w:basedOn w:val="Normal"/>
    <w:rsid w:val="00565D10"/>
  </w:style>
  <w:style w:type="character" w:styleId="PlaceholderText">
    <w:name w:val="Placeholder Text"/>
    <w:basedOn w:val="DefaultParagraphFont"/>
    <w:uiPriority w:val="99"/>
    <w:semiHidden/>
    <w:rsid w:val="00565D10"/>
    <w:rPr>
      <w:color w:val="808080"/>
    </w:rPr>
  </w:style>
  <w:style w:type="character" w:customStyle="1" w:styleId="findhit">
    <w:name w:val="findhit"/>
    <w:basedOn w:val="DefaultParagraphFont"/>
    <w:rsid w:val="00A932FE"/>
  </w:style>
  <w:style w:type="character" w:customStyle="1" w:styleId="tabchar">
    <w:name w:val="tabchar"/>
    <w:basedOn w:val="DefaultParagraphFont"/>
    <w:rsid w:val="00C9514F"/>
  </w:style>
  <w:style w:type="paragraph" w:customStyle="1" w:styleId="pf0">
    <w:name w:val="pf0"/>
    <w:basedOn w:val="Normal"/>
    <w:rsid w:val="00896869"/>
    <w:pPr>
      <w:spacing w:before="100" w:beforeAutospacing="1" w:after="100" w:afterAutospacing="1"/>
    </w:pPr>
  </w:style>
  <w:style w:type="character" w:customStyle="1" w:styleId="cf01">
    <w:name w:val="cf01"/>
    <w:basedOn w:val="DefaultParagraphFont"/>
    <w:rsid w:val="00896869"/>
    <w:rPr>
      <w:rFonts w:ascii="Segoe UI" w:hAnsi="Segoe UI" w:cs="Segoe UI" w:hint="default"/>
      <w:b/>
      <w:sz w:val="18"/>
    </w:rPr>
  </w:style>
  <w:style w:type="character" w:customStyle="1" w:styleId="cf11">
    <w:name w:val="cf11"/>
    <w:basedOn w:val="DefaultParagraphFont"/>
    <w:rsid w:val="00896869"/>
    <w:rPr>
      <w:rFonts w:ascii="Segoe UI" w:hAnsi="Segoe UI" w:cs="Segoe UI" w:hint="default"/>
      <w:sz w:val="18"/>
    </w:rPr>
  </w:style>
  <w:style w:type="paragraph" w:customStyle="1" w:styleId="LegalNumPar">
    <w:name w:val="LegalNumPar"/>
    <w:basedOn w:val="Normal"/>
    <w:rsid w:val="007F43B9"/>
    <w:pPr>
      <w:numPr>
        <w:numId w:val="25"/>
      </w:numPr>
      <w:spacing w:after="160" w:line="259" w:lineRule="auto"/>
    </w:pPr>
    <w:rPr>
      <w:rFonts w:asciiTheme="minorHAnsi" w:eastAsiaTheme="minorHAnsi" w:hAnsiTheme="minorHAnsi" w:cstheme="minorBidi"/>
      <w:sz w:val="22"/>
    </w:rPr>
  </w:style>
  <w:style w:type="paragraph" w:customStyle="1" w:styleId="LegalNumPar2">
    <w:name w:val="LegalNumPar2"/>
    <w:basedOn w:val="Normal"/>
    <w:rsid w:val="007F43B9"/>
    <w:pPr>
      <w:numPr>
        <w:ilvl w:val="1"/>
        <w:numId w:val="25"/>
      </w:numPr>
      <w:spacing w:after="160" w:line="259" w:lineRule="auto"/>
    </w:pPr>
    <w:rPr>
      <w:rFonts w:asciiTheme="minorHAnsi" w:eastAsiaTheme="minorHAnsi" w:hAnsiTheme="minorHAnsi" w:cstheme="minorBidi"/>
      <w:sz w:val="22"/>
    </w:rPr>
  </w:style>
  <w:style w:type="paragraph" w:customStyle="1" w:styleId="LegalNumPar3">
    <w:name w:val="LegalNumPar3"/>
    <w:basedOn w:val="Normal"/>
    <w:rsid w:val="007F43B9"/>
    <w:pPr>
      <w:numPr>
        <w:ilvl w:val="2"/>
        <w:numId w:val="25"/>
      </w:numPr>
      <w:spacing w:after="160" w:line="259" w:lineRule="auto"/>
    </w:pPr>
    <w:rPr>
      <w:rFonts w:asciiTheme="minorHAnsi" w:eastAsiaTheme="minorHAnsi" w:hAnsiTheme="minorHAnsi" w:cstheme="minorBidi"/>
      <w:sz w:val="22"/>
    </w:rPr>
  </w:style>
  <w:style w:type="character" w:styleId="SubtleEmphasis">
    <w:name w:val="Subtle Emphasis"/>
    <w:basedOn w:val="DefaultParagraphFont"/>
    <w:uiPriority w:val="19"/>
    <w:qFormat/>
    <w:rsid w:val="009B6678"/>
    <w:rPr>
      <w:i/>
      <w:color w:val="404040" w:themeColor="text1" w:themeTint="BF"/>
    </w:rPr>
  </w:style>
  <w:style w:type="character" w:customStyle="1" w:styleId="Mention3">
    <w:name w:val="Mention3"/>
    <w:basedOn w:val="DefaultParagraphFont"/>
    <w:uiPriority w:val="99"/>
    <w:unhideWhenUsed/>
    <w:rsid w:val="00D7695A"/>
    <w:rPr>
      <w:color w:val="2B579A"/>
      <w:shd w:val="clear" w:color="auto" w:fill="E6E6E6"/>
    </w:rPr>
  </w:style>
  <w:style w:type="character" w:customStyle="1" w:styleId="Mention4">
    <w:name w:val="Mention4"/>
    <w:basedOn w:val="DefaultParagraphFont"/>
    <w:uiPriority w:val="99"/>
    <w:unhideWhenUsed/>
    <w:rsid w:val="0005095A"/>
    <w:rPr>
      <w:color w:val="2B579A"/>
      <w:shd w:val="clear" w:color="auto" w:fill="E6E6E6"/>
    </w:rPr>
  </w:style>
  <w:style w:type="character" w:customStyle="1" w:styleId="ui-provider">
    <w:name w:val="ui-provider"/>
    <w:basedOn w:val="DefaultParagraphFont"/>
    <w:uiPriority w:val="1"/>
    <w:rsid w:val="00D7146E"/>
  </w:style>
  <w:style w:type="character" w:customStyle="1" w:styleId="UnresolvedMention1">
    <w:name w:val="Unresolved Mention1"/>
    <w:basedOn w:val="DefaultParagraphFont"/>
    <w:uiPriority w:val="99"/>
    <w:semiHidden/>
    <w:unhideWhenUsed/>
    <w:rsid w:val="003C0FBE"/>
    <w:rPr>
      <w:color w:val="605E5C"/>
      <w:shd w:val="clear" w:color="auto" w:fill="E1DFDD"/>
    </w:rPr>
  </w:style>
  <w:style w:type="paragraph" w:customStyle="1" w:styleId="P68B1DB1-Normale1">
    <w:name w:val="P68B1DB1-Normale1"/>
    <w:basedOn w:val="Normal"/>
    <w:rsid w:val="003D6C0C"/>
    <w:pPr>
      <w:spacing w:after="160" w:line="259" w:lineRule="auto"/>
    </w:pPr>
    <w:rPr>
      <w:rFonts w:ascii="Calibri" w:eastAsia="Calibri" w:hAnsi="Calibri" w:cs="Calibri"/>
      <w:b/>
      <w:sz w:val="22"/>
    </w:rPr>
  </w:style>
  <w:style w:type="paragraph" w:customStyle="1" w:styleId="P68B1DB1-Normale6">
    <w:name w:val="P68B1DB1-Normale6"/>
    <w:basedOn w:val="Normal"/>
    <w:rsid w:val="000475CC"/>
    <w:pPr>
      <w:spacing w:after="160" w:line="259" w:lineRule="auto"/>
    </w:pPr>
    <w:rPr>
      <w:rFonts w:eastAsia="Calibri"/>
      <w:sz w:val="20"/>
    </w:rPr>
  </w:style>
  <w:style w:type="character" w:customStyle="1" w:styleId="s10">
    <w:name w:val="s10"/>
    <w:basedOn w:val="DefaultParagraphFont"/>
    <w:rsid w:val="000475CC"/>
  </w:style>
  <w:style w:type="character" w:customStyle="1" w:styleId="Mention5">
    <w:name w:val="Mention5"/>
    <w:basedOn w:val="DefaultParagraphFont"/>
    <w:uiPriority w:val="99"/>
    <w:unhideWhenUsed/>
    <w:rsid w:val="00591B2C"/>
    <w:rPr>
      <w:color w:val="2B579A"/>
      <w:shd w:val="clear" w:color="auto" w:fill="E1DFDD"/>
    </w:rPr>
  </w:style>
  <w:style w:type="character" w:customStyle="1" w:styleId="UnresolvedMention2">
    <w:name w:val="Unresolved Mention2"/>
    <w:basedOn w:val="DefaultParagraphFont"/>
    <w:uiPriority w:val="99"/>
    <w:semiHidden/>
    <w:unhideWhenUsed/>
    <w:rsid w:val="00937BBA"/>
    <w:rPr>
      <w:color w:val="605E5C"/>
      <w:shd w:val="clear" w:color="auto" w:fill="E1DFDD"/>
    </w:rPr>
  </w:style>
  <w:style w:type="character" w:customStyle="1" w:styleId="font71">
    <w:name w:val="font71"/>
    <w:basedOn w:val="DefaultParagraphFont"/>
    <w:rsid w:val="00A64DCC"/>
    <w:rPr>
      <w:rFonts w:ascii="Times New Roman" w:hAnsi="Times New Roman" w:cs="Times New Roman" w:hint="default"/>
      <w:b w:val="0"/>
      <w:i w:val="0"/>
      <w:strike w:val="0"/>
      <w:dstrike w:val="0"/>
      <w:color w:val="000000"/>
      <w:sz w:val="20"/>
      <w:u w:val="none"/>
      <w:effect w:val="none"/>
    </w:rPr>
  </w:style>
  <w:style w:type="character" w:customStyle="1" w:styleId="font81">
    <w:name w:val="font81"/>
    <w:basedOn w:val="DefaultParagraphFont"/>
    <w:rsid w:val="00A64DCC"/>
    <w:rPr>
      <w:rFonts w:ascii="Times New Roman" w:hAnsi="Times New Roman" w:cs="Times New Roman" w:hint="default"/>
      <w:b w:val="0"/>
      <w:i w:val="0"/>
      <w:strike w:val="0"/>
      <w:dstrike w:val="0"/>
      <w:color w:val="006100"/>
      <w:sz w:val="20"/>
      <w:u w:val="none"/>
      <w:effect w:val="none"/>
    </w:rPr>
  </w:style>
  <w:style w:type="character" w:customStyle="1" w:styleId="font111">
    <w:name w:val="font111"/>
    <w:basedOn w:val="DefaultParagraphFont"/>
    <w:rsid w:val="001D6206"/>
    <w:rPr>
      <w:rFonts w:ascii="Times New Roman" w:hAnsi="Times New Roman" w:cs="Times New Roman" w:hint="default"/>
      <w:b w:val="0"/>
      <w:i w:val="0"/>
      <w:strike w:val="0"/>
      <w:dstrike w:val="0"/>
      <w:color w:val="006100"/>
      <w:sz w:val="20"/>
      <w:u w:val="none"/>
      <w:effect w:val="none"/>
    </w:rPr>
  </w:style>
  <w:style w:type="paragraph" w:customStyle="1" w:styleId="Default">
    <w:name w:val="Default"/>
    <w:rsid w:val="00906B6D"/>
    <w:pPr>
      <w:autoSpaceDE w:val="0"/>
      <w:autoSpaceDN w:val="0"/>
      <w:adjustRightInd w:val="0"/>
      <w:spacing w:after="0" w:line="240" w:lineRule="auto"/>
    </w:pPr>
    <w:rPr>
      <w:rFonts w:ascii="Times New Roman" w:hAnsi="Times New Roman" w:cs="Times New Roman"/>
      <w:color w:val="000000"/>
      <w:sz w:val="24"/>
    </w:rPr>
  </w:style>
  <w:style w:type="paragraph" w:customStyle="1" w:styleId="P68B1DB1-Heading11">
    <w:name w:val="P68B1DB1-Heading11"/>
    <w:basedOn w:val="Heading1"/>
    <w:rPr>
      <w:u w:val="single"/>
    </w:rPr>
  </w:style>
  <w:style w:type="paragraph" w:customStyle="1" w:styleId="P68B1DB1-Normal2">
    <w:name w:val="P68B1DB1-Normal2"/>
    <w:basedOn w:val="Normal"/>
    <w:rPr>
      <w:b/>
    </w:rPr>
  </w:style>
  <w:style w:type="paragraph" w:customStyle="1" w:styleId="P68B1DB1-Normal3">
    <w:name w:val="P68B1DB1-Normal3"/>
    <w:basedOn w:val="Normal"/>
    <w:rPr>
      <w:rFonts w:ascii="Arial Narrow" w:hAnsi="Arial Narrow" w:cs="Arial"/>
      <w:b/>
      <w:sz w:val="20"/>
    </w:rPr>
  </w:style>
  <w:style w:type="paragraph" w:customStyle="1" w:styleId="P68B1DB1-Normal4">
    <w:name w:val="P68B1DB1-Normal4"/>
    <w:basedOn w:val="Normal"/>
    <w:rPr>
      <w:rFonts w:ascii="Arial Narrow" w:hAnsi="Arial Narrow" w:cs="Arial"/>
      <w:sz w:val="20"/>
    </w:rPr>
  </w:style>
  <w:style w:type="paragraph" w:customStyle="1" w:styleId="P68B1DB1-Normal5">
    <w:name w:val="P68B1DB1-Normal5"/>
    <w:basedOn w:val="Normal"/>
    <w:rPr>
      <w:rFonts w:ascii="Arial Narrow" w:hAnsi="Arial Narrow" w:cs="Arial"/>
      <w:color w:val="006100"/>
      <w:sz w:val="20"/>
    </w:rPr>
  </w:style>
  <w:style w:type="paragraph" w:customStyle="1" w:styleId="P68B1DB1-ListParagraph6">
    <w:name w:val="P68B1DB1-ListParagraph6"/>
    <w:basedOn w:val="ListParagraph"/>
    <w:rPr>
      <w:rFonts w:ascii="Arial Narrow" w:hAnsi="Arial Narrow" w:cs="Arial"/>
      <w:color w:val="006100"/>
      <w:sz w:val="20"/>
    </w:rPr>
  </w:style>
  <w:style w:type="paragraph" w:customStyle="1" w:styleId="P68B1DB1-Normal7">
    <w:name w:val="P68B1DB1-Normal7"/>
    <w:basedOn w:val="Normal"/>
    <w:rPr>
      <w:rFonts w:ascii="Arial Narrow" w:hAnsi="Arial Narrow" w:cs="Arial"/>
      <w:b/>
      <w:color w:val="006100"/>
      <w:sz w:val="20"/>
    </w:rPr>
  </w:style>
  <w:style w:type="paragraph" w:customStyle="1" w:styleId="P68B1DB1-Normal8">
    <w:name w:val="P68B1DB1-Normal8"/>
    <w:basedOn w:val="Normal"/>
    <w:rPr>
      <w:rFonts w:ascii="Arial Narrow" w:hAnsi="Arial Narrow" w:cs="Arial"/>
    </w:rPr>
  </w:style>
  <w:style w:type="paragraph" w:customStyle="1" w:styleId="P68B1DB1-Normal9">
    <w:name w:val="P68B1DB1-Normal9"/>
    <w:basedOn w:val="Normal"/>
    <w:rPr>
      <w:rFonts w:ascii="Arial Narrow" w:hAnsi="Arial Narrow"/>
      <w:b/>
      <w:sz w:val="20"/>
    </w:rPr>
  </w:style>
  <w:style w:type="paragraph" w:customStyle="1" w:styleId="P68B1DB1-Normal10">
    <w:name w:val="P68B1DB1-Normal10"/>
    <w:basedOn w:val="Normal"/>
    <w:rPr>
      <w:rFonts w:ascii="Arial Narrow" w:hAnsi="Arial Narrow"/>
    </w:rPr>
  </w:style>
  <w:style w:type="paragraph" w:customStyle="1" w:styleId="P68B1DB1-Normal11">
    <w:name w:val="P68B1DB1-Normal11"/>
    <w:basedOn w:val="Normal"/>
    <w:rPr>
      <w:rFonts w:ascii="Arial Narrow" w:hAnsi="Arial Narrow"/>
      <w:color w:val="006100"/>
      <w:sz w:val="20"/>
    </w:rPr>
  </w:style>
  <w:style w:type="paragraph" w:customStyle="1" w:styleId="P68B1DB1-Normal12">
    <w:name w:val="P68B1DB1-Normal12"/>
    <w:basedOn w:val="Normal"/>
    <w:rPr>
      <w:color w:val="006100"/>
      <w:sz w:val="20"/>
    </w:rPr>
  </w:style>
  <w:style w:type="paragraph" w:customStyle="1" w:styleId="P68B1DB1-ListParagraph13">
    <w:name w:val="P68B1DB1-ListParagraph13"/>
    <w:basedOn w:val="ListParagraph"/>
    <w:rPr>
      <w:rFonts w:ascii="Arial Narrow" w:hAnsi="Arial Narrow"/>
      <w:color w:val="006100"/>
      <w:sz w:val="20"/>
    </w:rPr>
  </w:style>
  <w:style w:type="paragraph" w:customStyle="1" w:styleId="P68B1DB1-Normal14">
    <w:name w:val="P68B1DB1-Normal14"/>
    <w:basedOn w:val="Normal"/>
    <w:rPr>
      <w:b/>
      <w:u w:val="single"/>
    </w:rPr>
  </w:style>
  <w:style w:type="paragraph" w:customStyle="1" w:styleId="P68B1DB1-Normal15">
    <w:name w:val="P68B1DB1-Normal15"/>
    <w:basedOn w:val="Normal"/>
    <w:rPr>
      <w:i/>
    </w:rPr>
  </w:style>
  <w:style w:type="paragraph" w:customStyle="1" w:styleId="P68B1DB1-Normal16">
    <w:name w:val="P68B1DB1-Normal16"/>
    <w:basedOn w:val="Normal"/>
    <w:rPr>
      <w:color w:val="000000" w:themeColor="text1"/>
    </w:rPr>
  </w:style>
  <w:style w:type="paragraph" w:customStyle="1" w:styleId="P68B1DB1-Normal17">
    <w:name w:val="P68B1DB1-Normal17"/>
    <w:basedOn w:val="Normal"/>
    <w:rPr>
      <w:i/>
      <w:u w:val="single"/>
    </w:rPr>
  </w:style>
  <w:style w:type="paragraph" w:customStyle="1" w:styleId="P68B1DB1-Normal18">
    <w:name w:val="P68B1DB1-Normal18"/>
    <w:basedOn w:val="Normal"/>
    <w:rPr>
      <w:sz w:val="12"/>
    </w:rPr>
  </w:style>
  <w:style w:type="paragraph" w:customStyle="1" w:styleId="P68B1DB1-Normal19">
    <w:name w:val="P68B1DB1-Normal19"/>
    <w:basedOn w:val="Normal"/>
    <w:rPr>
      <w:rFonts w:ascii="Arial Narrow" w:hAnsi="Arial Narrow"/>
      <w:sz w:val="20"/>
    </w:rPr>
  </w:style>
  <w:style w:type="paragraph" w:customStyle="1" w:styleId="P68B1DB1-Normal20">
    <w:name w:val="P68B1DB1-Normal20"/>
    <w:basedOn w:val="Normal"/>
    <w:rPr>
      <w:rFonts w:ascii="Arial Narrow" w:hAnsi="Arial Narrow"/>
      <w:b/>
      <w:color w:val="006100"/>
      <w:sz w:val="20"/>
    </w:rPr>
  </w:style>
  <w:style w:type="paragraph" w:customStyle="1" w:styleId="P68B1DB1-Normal21">
    <w:name w:val="P68B1DB1-Normal21"/>
    <w:basedOn w:val="Normal"/>
    <w:rPr>
      <w:rFonts w:eastAsiaTheme="minorEastAsia"/>
      <w:b/>
    </w:rPr>
  </w:style>
  <w:style w:type="paragraph" w:customStyle="1" w:styleId="P68B1DB1-ListParagraph22">
    <w:name w:val="P68B1DB1-ListParagraph22"/>
    <w:basedOn w:val="ListParagraph"/>
    <w:rPr>
      <w:color w:val="006100"/>
      <w:sz w:val="20"/>
    </w:rPr>
  </w:style>
  <w:style w:type="paragraph" w:customStyle="1" w:styleId="P68B1DB1-Normal23">
    <w:name w:val="P68B1DB1-Normal23"/>
    <w:basedOn w:val="Normal"/>
    <w:rPr>
      <w:color w:val="006100"/>
    </w:rPr>
  </w:style>
  <w:style w:type="paragraph" w:customStyle="1" w:styleId="P68B1DB1-Normal24">
    <w:name w:val="P68B1DB1-Normal24"/>
    <w:basedOn w:val="Normal"/>
    <w:rPr>
      <w:b/>
      <w:color w:val="000000" w:themeColor="text1"/>
    </w:rPr>
  </w:style>
  <w:style w:type="paragraph" w:customStyle="1" w:styleId="P68B1DB1-paragraph25">
    <w:name w:val="P68B1DB1-paragraph25"/>
    <w:basedOn w:val="paragraph"/>
    <w:rPr>
      <w:rFonts w:ascii="Arial Narrow" w:hAnsi="Arial Narrow"/>
      <w:color w:val="006100"/>
      <w:sz w:val="20"/>
    </w:rPr>
  </w:style>
  <w:style w:type="paragraph" w:customStyle="1" w:styleId="P68B1DB1-Normal26">
    <w:name w:val="P68B1DB1-Normal26"/>
    <w:basedOn w:val="Normal"/>
    <w:rPr>
      <w:sz w:val="20"/>
    </w:rPr>
  </w:style>
  <w:style w:type="paragraph" w:customStyle="1" w:styleId="P68B1DB1-LegalNumPar27">
    <w:name w:val="P68B1DB1-LegalNumPar27"/>
    <w:basedOn w:val="LegalNumPar"/>
    <w:rPr>
      <w:rFonts w:ascii="Times New Roman" w:hAnsi="Times New Roman"/>
      <w:sz w:val="24"/>
    </w:rPr>
  </w:style>
  <w:style w:type="paragraph" w:customStyle="1" w:styleId="P68B1DB1-LegalNumPar228">
    <w:name w:val="P68B1DB1-LegalNumPar228"/>
    <w:basedOn w:val="LegalNumPar2"/>
    <w:rPr>
      <w:rFonts w:ascii="Times New Roman" w:hAnsi="Times New Roman"/>
      <w:sz w:val="24"/>
    </w:rPr>
  </w:style>
  <w:style w:type="paragraph" w:customStyle="1" w:styleId="P68B1DB1-Normal29">
    <w:name w:val="P68B1DB1-Normal29"/>
    <w:basedOn w:val="Normal"/>
    <w:rPr>
      <w:b/>
      <w:color w:val="000000"/>
      <w:shd w:val="clear" w:color="auto" w:fill="FFFFFF"/>
    </w:rPr>
  </w:style>
  <w:style w:type="paragraph" w:customStyle="1" w:styleId="P68B1DB1-Paragrafoelenco130">
    <w:name w:val="P68B1DB1-Paragrafoelenco130"/>
    <w:basedOn w:val="Paragrafoelenco1"/>
    <w:rPr>
      <w:color w:val="auto"/>
      <w:sz w:val="24"/>
    </w:rPr>
  </w:style>
  <w:style w:type="paragraph" w:customStyle="1" w:styleId="P68B1DB1-ListParagraph31">
    <w:name w:val="P68B1DB1-ListParagraph31"/>
    <w:basedOn w:val="ListParagraph"/>
    <w:rPr>
      <w:rFonts w:ascii="Arial Narrow" w:hAnsi="Arial Narrow"/>
      <w:sz w:val="20"/>
    </w:rPr>
  </w:style>
  <w:style w:type="paragraph" w:customStyle="1" w:styleId="P68B1DB1-Normal32">
    <w:name w:val="P68B1DB1-Normal32"/>
    <w:basedOn w:val="Normal"/>
    <w:rPr>
      <w:rFonts w:ascii="Arial Narrow" w:hAnsi="Arial Narrow"/>
      <w:color w:val="006100"/>
    </w:rPr>
  </w:style>
  <w:style w:type="paragraph" w:customStyle="1" w:styleId="P68B1DB1-Normal33">
    <w:name w:val="P68B1DB1-Normal33"/>
    <w:basedOn w:val="Normal"/>
    <w:rPr>
      <w:rFonts w:ascii="Arial Narrow" w:hAnsi="Arial Narrow"/>
      <w:b/>
      <w:color w:val="000000"/>
      <w:sz w:val="20"/>
    </w:rPr>
  </w:style>
  <w:style w:type="paragraph" w:customStyle="1" w:styleId="P68B1DB1-Normal34">
    <w:name w:val="P68B1DB1-Normal34"/>
    <w:basedOn w:val="Normal"/>
    <w:rPr>
      <w:i/>
      <w:color w:val="4F81BD" w:themeColor="accent1"/>
    </w:rPr>
  </w:style>
  <w:style w:type="paragraph" w:customStyle="1" w:styleId="P68B1DB1-Normal35">
    <w:name w:val="P68B1DB1-Normal35"/>
    <w:basedOn w:val="Normal"/>
    <w:rPr>
      <w:rFonts w:ascii="Arial Narrow" w:hAnsi="Arial Narrow"/>
      <w:color w:val="000000"/>
      <w:sz w:val="20"/>
    </w:rPr>
  </w:style>
  <w:style w:type="paragraph" w:customStyle="1" w:styleId="P68B1DB1-Normal36">
    <w:name w:val="P68B1DB1-Normal36"/>
    <w:basedOn w:val="Normal"/>
    <w:rPr>
      <w:rFonts w:ascii="Arial Narrow" w:hAnsi="Arial Narrow"/>
      <w:color w:val="006600"/>
      <w:sz w:val="20"/>
    </w:rPr>
  </w:style>
  <w:style w:type="paragraph" w:customStyle="1" w:styleId="P68B1DB1-Heading437">
    <w:name w:val="P68B1DB1-Heading437"/>
    <w:basedOn w:val="Heading4"/>
    <w:rPr>
      <w:b/>
    </w:rPr>
  </w:style>
  <w:style w:type="paragraph" w:customStyle="1" w:styleId="P68B1DB1-Normal38">
    <w:name w:val="P68B1DB1-Normal38"/>
    <w:basedOn w:val="Normal"/>
    <w:rPr>
      <w:rFonts w:ascii="Arial Narrow" w:eastAsiaTheme="minorEastAsia" w:hAnsi="Arial Narrow" w:cstheme="minorBidi"/>
      <w:color w:val="006100"/>
      <w:sz w:val="20"/>
    </w:rPr>
  </w:style>
  <w:style w:type="paragraph" w:customStyle="1" w:styleId="P68B1DB1-Normal39">
    <w:name w:val="P68B1DB1-Normal39"/>
    <w:basedOn w:val="Normal"/>
    <w:rPr>
      <w:u w:val="single"/>
    </w:rPr>
  </w:style>
  <w:style w:type="paragraph" w:customStyle="1" w:styleId="P68B1DB1-ListParagraph40">
    <w:name w:val="P68B1DB1-ListParagraph40"/>
    <w:basedOn w:val="ListParagraph"/>
    <w:rPr>
      <w:u w:val="single"/>
    </w:rPr>
  </w:style>
  <w:style w:type="paragraph" w:customStyle="1" w:styleId="P68B1DB1-Normal41">
    <w:name w:val="P68B1DB1-Normal41"/>
    <w:basedOn w:val="Normal"/>
    <w:rPr>
      <w:sz w:val="23"/>
    </w:rPr>
  </w:style>
  <w:style w:type="paragraph" w:customStyle="1" w:styleId="P68B1DB1-Normal42">
    <w:name w:val="P68B1DB1-Normal42"/>
    <w:basedOn w:val="Normal"/>
    <w:rPr>
      <w:rFonts w:eastAsia="Calibri"/>
      <w:b/>
    </w:rPr>
  </w:style>
  <w:style w:type="paragraph" w:customStyle="1" w:styleId="P68B1DB1-NumPar143">
    <w:name w:val="P68B1DB1-NumPar143"/>
    <w:basedOn w:val="NumPar1"/>
    <w:rPr>
      <w:b/>
    </w:rPr>
  </w:style>
  <w:style w:type="paragraph" w:customStyle="1" w:styleId="P68B1DB1-Normal44">
    <w:name w:val="P68B1DB1-Normal44"/>
    <w:basedOn w:val="Normal"/>
    <w:rPr>
      <w:rFonts w:eastAsia="Calibri"/>
    </w:rPr>
  </w:style>
  <w:style w:type="paragraph" w:customStyle="1" w:styleId="P68B1DB1-Normal45">
    <w:name w:val="P68B1DB1-Normal45"/>
    <w:basedOn w:val="Normal"/>
    <w:rPr>
      <w:b/>
      <w:sz w:val="20"/>
    </w:rPr>
  </w:style>
  <w:style w:type="paragraph" w:customStyle="1" w:styleId="P68B1DB1-Normal46">
    <w:name w:val="P68B1DB1-Normal46"/>
    <w:basedOn w:val="Normal"/>
    <w:rPr>
      <w:rFonts w:hAnsi="Arial Narrow"/>
      <w:color w:val="006100"/>
      <w:sz w:val="20"/>
    </w:rPr>
  </w:style>
  <w:style w:type="paragraph" w:customStyle="1" w:styleId="P68B1DB1-Normal47">
    <w:name w:val="P68B1DB1-Normal47"/>
    <w:basedOn w:val="Normal"/>
    <w:rPr>
      <w:color w:val="375623"/>
      <w:sz w:val="20"/>
    </w:rPr>
  </w:style>
  <w:style w:type="paragraph" w:customStyle="1" w:styleId="P68B1DB1-Normal48">
    <w:name w:val="P68B1DB1-Normal48"/>
    <w:basedOn w:val="Normal"/>
    <w:rPr>
      <w:color w:val="006600"/>
      <w:sz w:val="20"/>
    </w:rPr>
  </w:style>
  <w:style w:type="paragraph" w:customStyle="1" w:styleId="P68B1DB1-NumPar149">
    <w:name w:val="P68B1DB1-NumPar149"/>
    <w:basedOn w:val="NumPar1"/>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333">
      <w:bodyDiv w:val="1"/>
      <w:marLeft w:val="0"/>
      <w:marRight w:val="0"/>
      <w:marTop w:val="0"/>
      <w:marBottom w:val="0"/>
      <w:divBdr>
        <w:top w:val="none" w:sz="0" w:space="0" w:color="auto"/>
        <w:left w:val="none" w:sz="0" w:space="0" w:color="auto"/>
        <w:bottom w:val="none" w:sz="0" w:space="0" w:color="auto"/>
        <w:right w:val="none" w:sz="0" w:space="0" w:color="auto"/>
      </w:divBdr>
    </w:div>
    <w:div w:id="37781201">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223833759">
      <w:bodyDiv w:val="1"/>
      <w:marLeft w:val="0"/>
      <w:marRight w:val="0"/>
      <w:marTop w:val="0"/>
      <w:marBottom w:val="0"/>
      <w:divBdr>
        <w:top w:val="none" w:sz="0" w:space="0" w:color="auto"/>
        <w:left w:val="none" w:sz="0" w:space="0" w:color="auto"/>
        <w:bottom w:val="none" w:sz="0" w:space="0" w:color="auto"/>
        <w:right w:val="none" w:sz="0" w:space="0" w:color="auto"/>
      </w:divBdr>
    </w:div>
    <w:div w:id="227495065">
      <w:bodyDiv w:val="1"/>
      <w:marLeft w:val="0"/>
      <w:marRight w:val="0"/>
      <w:marTop w:val="0"/>
      <w:marBottom w:val="0"/>
      <w:divBdr>
        <w:top w:val="none" w:sz="0" w:space="0" w:color="auto"/>
        <w:left w:val="none" w:sz="0" w:space="0" w:color="auto"/>
        <w:bottom w:val="none" w:sz="0" w:space="0" w:color="auto"/>
        <w:right w:val="none" w:sz="0" w:space="0" w:color="auto"/>
      </w:divBdr>
    </w:div>
    <w:div w:id="255555117">
      <w:bodyDiv w:val="1"/>
      <w:marLeft w:val="0"/>
      <w:marRight w:val="0"/>
      <w:marTop w:val="0"/>
      <w:marBottom w:val="0"/>
      <w:divBdr>
        <w:top w:val="none" w:sz="0" w:space="0" w:color="auto"/>
        <w:left w:val="none" w:sz="0" w:space="0" w:color="auto"/>
        <w:bottom w:val="none" w:sz="0" w:space="0" w:color="auto"/>
        <w:right w:val="none" w:sz="0" w:space="0" w:color="auto"/>
      </w:divBdr>
    </w:div>
    <w:div w:id="317390866">
      <w:bodyDiv w:val="1"/>
      <w:marLeft w:val="0"/>
      <w:marRight w:val="0"/>
      <w:marTop w:val="0"/>
      <w:marBottom w:val="0"/>
      <w:divBdr>
        <w:top w:val="none" w:sz="0" w:space="0" w:color="auto"/>
        <w:left w:val="none" w:sz="0" w:space="0" w:color="auto"/>
        <w:bottom w:val="none" w:sz="0" w:space="0" w:color="auto"/>
        <w:right w:val="none" w:sz="0" w:space="0" w:color="auto"/>
      </w:divBdr>
      <w:divsChild>
        <w:div w:id="299261737">
          <w:marLeft w:val="0"/>
          <w:marRight w:val="0"/>
          <w:marTop w:val="0"/>
          <w:marBottom w:val="0"/>
          <w:divBdr>
            <w:top w:val="none" w:sz="0" w:space="0" w:color="auto"/>
            <w:left w:val="none" w:sz="0" w:space="0" w:color="auto"/>
            <w:bottom w:val="none" w:sz="0" w:space="0" w:color="auto"/>
            <w:right w:val="none" w:sz="0" w:space="0" w:color="auto"/>
          </w:divBdr>
        </w:div>
        <w:div w:id="499084657">
          <w:marLeft w:val="0"/>
          <w:marRight w:val="0"/>
          <w:marTop w:val="0"/>
          <w:marBottom w:val="0"/>
          <w:divBdr>
            <w:top w:val="none" w:sz="0" w:space="0" w:color="auto"/>
            <w:left w:val="none" w:sz="0" w:space="0" w:color="auto"/>
            <w:bottom w:val="none" w:sz="0" w:space="0" w:color="auto"/>
            <w:right w:val="none" w:sz="0" w:space="0" w:color="auto"/>
          </w:divBdr>
        </w:div>
        <w:div w:id="566653147">
          <w:marLeft w:val="0"/>
          <w:marRight w:val="0"/>
          <w:marTop w:val="0"/>
          <w:marBottom w:val="0"/>
          <w:divBdr>
            <w:top w:val="none" w:sz="0" w:space="0" w:color="auto"/>
            <w:left w:val="none" w:sz="0" w:space="0" w:color="auto"/>
            <w:bottom w:val="none" w:sz="0" w:space="0" w:color="auto"/>
            <w:right w:val="none" w:sz="0" w:space="0" w:color="auto"/>
          </w:divBdr>
        </w:div>
        <w:div w:id="785736069">
          <w:marLeft w:val="0"/>
          <w:marRight w:val="0"/>
          <w:marTop w:val="0"/>
          <w:marBottom w:val="0"/>
          <w:divBdr>
            <w:top w:val="none" w:sz="0" w:space="0" w:color="auto"/>
            <w:left w:val="none" w:sz="0" w:space="0" w:color="auto"/>
            <w:bottom w:val="none" w:sz="0" w:space="0" w:color="auto"/>
            <w:right w:val="none" w:sz="0" w:space="0" w:color="auto"/>
          </w:divBdr>
        </w:div>
        <w:div w:id="889997291">
          <w:marLeft w:val="0"/>
          <w:marRight w:val="0"/>
          <w:marTop w:val="0"/>
          <w:marBottom w:val="0"/>
          <w:divBdr>
            <w:top w:val="none" w:sz="0" w:space="0" w:color="auto"/>
            <w:left w:val="none" w:sz="0" w:space="0" w:color="auto"/>
            <w:bottom w:val="none" w:sz="0" w:space="0" w:color="auto"/>
            <w:right w:val="none" w:sz="0" w:space="0" w:color="auto"/>
          </w:divBdr>
        </w:div>
        <w:div w:id="919216872">
          <w:marLeft w:val="0"/>
          <w:marRight w:val="0"/>
          <w:marTop w:val="0"/>
          <w:marBottom w:val="0"/>
          <w:divBdr>
            <w:top w:val="none" w:sz="0" w:space="0" w:color="auto"/>
            <w:left w:val="none" w:sz="0" w:space="0" w:color="auto"/>
            <w:bottom w:val="none" w:sz="0" w:space="0" w:color="auto"/>
            <w:right w:val="none" w:sz="0" w:space="0" w:color="auto"/>
          </w:divBdr>
        </w:div>
        <w:div w:id="983436811">
          <w:marLeft w:val="0"/>
          <w:marRight w:val="0"/>
          <w:marTop w:val="0"/>
          <w:marBottom w:val="0"/>
          <w:divBdr>
            <w:top w:val="none" w:sz="0" w:space="0" w:color="auto"/>
            <w:left w:val="none" w:sz="0" w:space="0" w:color="auto"/>
            <w:bottom w:val="none" w:sz="0" w:space="0" w:color="auto"/>
            <w:right w:val="none" w:sz="0" w:space="0" w:color="auto"/>
          </w:divBdr>
        </w:div>
        <w:div w:id="1317999304">
          <w:marLeft w:val="0"/>
          <w:marRight w:val="0"/>
          <w:marTop w:val="0"/>
          <w:marBottom w:val="0"/>
          <w:divBdr>
            <w:top w:val="none" w:sz="0" w:space="0" w:color="auto"/>
            <w:left w:val="none" w:sz="0" w:space="0" w:color="auto"/>
            <w:bottom w:val="none" w:sz="0" w:space="0" w:color="auto"/>
            <w:right w:val="none" w:sz="0" w:space="0" w:color="auto"/>
          </w:divBdr>
          <w:divsChild>
            <w:div w:id="460222383">
              <w:marLeft w:val="0"/>
              <w:marRight w:val="0"/>
              <w:marTop w:val="0"/>
              <w:marBottom w:val="0"/>
              <w:divBdr>
                <w:top w:val="none" w:sz="0" w:space="0" w:color="auto"/>
                <w:left w:val="none" w:sz="0" w:space="0" w:color="auto"/>
                <w:bottom w:val="none" w:sz="0" w:space="0" w:color="auto"/>
                <w:right w:val="none" w:sz="0" w:space="0" w:color="auto"/>
              </w:divBdr>
            </w:div>
            <w:div w:id="1833064576">
              <w:marLeft w:val="0"/>
              <w:marRight w:val="0"/>
              <w:marTop w:val="0"/>
              <w:marBottom w:val="0"/>
              <w:divBdr>
                <w:top w:val="none" w:sz="0" w:space="0" w:color="auto"/>
                <w:left w:val="none" w:sz="0" w:space="0" w:color="auto"/>
                <w:bottom w:val="none" w:sz="0" w:space="0" w:color="auto"/>
                <w:right w:val="none" w:sz="0" w:space="0" w:color="auto"/>
              </w:divBdr>
            </w:div>
            <w:div w:id="1895893046">
              <w:marLeft w:val="0"/>
              <w:marRight w:val="0"/>
              <w:marTop w:val="0"/>
              <w:marBottom w:val="0"/>
              <w:divBdr>
                <w:top w:val="none" w:sz="0" w:space="0" w:color="auto"/>
                <w:left w:val="none" w:sz="0" w:space="0" w:color="auto"/>
                <w:bottom w:val="none" w:sz="0" w:space="0" w:color="auto"/>
                <w:right w:val="none" w:sz="0" w:space="0" w:color="auto"/>
              </w:divBdr>
            </w:div>
          </w:divsChild>
        </w:div>
        <w:div w:id="1530953366">
          <w:marLeft w:val="0"/>
          <w:marRight w:val="0"/>
          <w:marTop w:val="0"/>
          <w:marBottom w:val="0"/>
          <w:divBdr>
            <w:top w:val="none" w:sz="0" w:space="0" w:color="auto"/>
            <w:left w:val="none" w:sz="0" w:space="0" w:color="auto"/>
            <w:bottom w:val="none" w:sz="0" w:space="0" w:color="auto"/>
            <w:right w:val="none" w:sz="0" w:space="0" w:color="auto"/>
          </w:divBdr>
        </w:div>
      </w:divsChild>
    </w:div>
    <w:div w:id="330841561">
      <w:bodyDiv w:val="1"/>
      <w:marLeft w:val="0"/>
      <w:marRight w:val="0"/>
      <w:marTop w:val="0"/>
      <w:marBottom w:val="0"/>
      <w:divBdr>
        <w:top w:val="none" w:sz="0" w:space="0" w:color="auto"/>
        <w:left w:val="none" w:sz="0" w:space="0" w:color="auto"/>
        <w:bottom w:val="none" w:sz="0" w:space="0" w:color="auto"/>
        <w:right w:val="none" w:sz="0" w:space="0" w:color="auto"/>
      </w:divBdr>
    </w:div>
    <w:div w:id="339085632">
      <w:bodyDiv w:val="1"/>
      <w:marLeft w:val="0"/>
      <w:marRight w:val="0"/>
      <w:marTop w:val="0"/>
      <w:marBottom w:val="0"/>
      <w:divBdr>
        <w:top w:val="none" w:sz="0" w:space="0" w:color="auto"/>
        <w:left w:val="none" w:sz="0" w:space="0" w:color="auto"/>
        <w:bottom w:val="none" w:sz="0" w:space="0" w:color="auto"/>
        <w:right w:val="none" w:sz="0" w:space="0" w:color="auto"/>
      </w:divBdr>
    </w:div>
    <w:div w:id="345210788">
      <w:bodyDiv w:val="1"/>
      <w:marLeft w:val="0"/>
      <w:marRight w:val="0"/>
      <w:marTop w:val="0"/>
      <w:marBottom w:val="0"/>
      <w:divBdr>
        <w:top w:val="none" w:sz="0" w:space="0" w:color="auto"/>
        <w:left w:val="none" w:sz="0" w:space="0" w:color="auto"/>
        <w:bottom w:val="none" w:sz="0" w:space="0" w:color="auto"/>
        <w:right w:val="none" w:sz="0" w:space="0" w:color="auto"/>
      </w:divBdr>
    </w:div>
    <w:div w:id="416361651">
      <w:bodyDiv w:val="1"/>
      <w:marLeft w:val="0"/>
      <w:marRight w:val="0"/>
      <w:marTop w:val="0"/>
      <w:marBottom w:val="0"/>
      <w:divBdr>
        <w:top w:val="none" w:sz="0" w:space="0" w:color="auto"/>
        <w:left w:val="none" w:sz="0" w:space="0" w:color="auto"/>
        <w:bottom w:val="none" w:sz="0" w:space="0" w:color="auto"/>
        <w:right w:val="none" w:sz="0" w:space="0" w:color="auto"/>
      </w:divBdr>
    </w:div>
    <w:div w:id="475418953">
      <w:bodyDiv w:val="1"/>
      <w:marLeft w:val="0"/>
      <w:marRight w:val="0"/>
      <w:marTop w:val="0"/>
      <w:marBottom w:val="0"/>
      <w:divBdr>
        <w:top w:val="none" w:sz="0" w:space="0" w:color="auto"/>
        <w:left w:val="none" w:sz="0" w:space="0" w:color="auto"/>
        <w:bottom w:val="none" w:sz="0" w:space="0" w:color="auto"/>
        <w:right w:val="none" w:sz="0" w:space="0" w:color="auto"/>
      </w:divBdr>
    </w:div>
    <w:div w:id="476923036">
      <w:bodyDiv w:val="1"/>
      <w:marLeft w:val="0"/>
      <w:marRight w:val="0"/>
      <w:marTop w:val="0"/>
      <w:marBottom w:val="0"/>
      <w:divBdr>
        <w:top w:val="none" w:sz="0" w:space="0" w:color="auto"/>
        <w:left w:val="none" w:sz="0" w:space="0" w:color="auto"/>
        <w:bottom w:val="none" w:sz="0" w:space="0" w:color="auto"/>
        <w:right w:val="none" w:sz="0" w:space="0" w:color="auto"/>
      </w:divBdr>
    </w:div>
    <w:div w:id="541748431">
      <w:bodyDiv w:val="1"/>
      <w:marLeft w:val="0"/>
      <w:marRight w:val="0"/>
      <w:marTop w:val="0"/>
      <w:marBottom w:val="0"/>
      <w:divBdr>
        <w:top w:val="none" w:sz="0" w:space="0" w:color="auto"/>
        <w:left w:val="none" w:sz="0" w:space="0" w:color="auto"/>
        <w:bottom w:val="none" w:sz="0" w:space="0" w:color="auto"/>
        <w:right w:val="none" w:sz="0" w:space="0" w:color="auto"/>
      </w:divBdr>
    </w:div>
    <w:div w:id="571542578">
      <w:bodyDiv w:val="1"/>
      <w:marLeft w:val="0"/>
      <w:marRight w:val="0"/>
      <w:marTop w:val="0"/>
      <w:marBottom w:val="0"/>
      <w:divBdr>
        <w:top w:val="none" w:sz="0" w:space="0" w:color="auto"/>
        <w:left w:val="none" w:sz="0" w:space="0" w:color="auto"/>
        <w:bottom w:val="none" w:sz="0" w:space="0" w:color="auto"/>
        <w:right w:val="none" w:sz="0" w:space="0" w:color="auto"/>
      </w:divBdr>
    </w:div>
    <w:div w:id="577594686">
      <w:bodyDiv w:val="1"/>
      <w:marLeft w:val="0"/>
      <w:marRight w:val="0"/>
      <w:marTop w:val="0"/>
      <w:marBottom w:val="0"/>
      <w:divBdr>
        <w:top w:val="none" w:sz="0" w:space="0" w:color="auto"/>
        <w:left w:val="none" w:sz="0" w:space="0" w:color="auto"/>
        <w:bottom w:val="none" w:sz="0" w:space="0" w:color="auto"/>
        <w:right w:val="none" w:sz="0" w:space="0" w:color="auto"/>
      </w:divBdr>
    </w:div>
    <w:div w:id="734085380">
      <w:bodyDiv w:val="1"/>
      <w:marLeft w:val="0"/>
      <w:marRight w:val="0"/>
      <w:marTop w:val="0"/>
      <w:marBottom w:val="0"/>
      <w:divBdr>
        <w:top w:val="none" w:sz="0" w:space="0" w:color="auto"/>
        <w:left w:val="none" w:sz="0" w:space="0" w:color="auto"/>
        <w:bottom w:val="none" w:sz="0" w:space="0" w:color="auto"/>
        <w:right w:val="none" w:sz="0" w:space="0" w:color="auto"/>
      </w:divBdr>
    </w:div>
    <w:div w:id="767234985">
      <w:bodyDiv w:val="1"/>
      <w:marLeft w:val="0"/>
      <w:marRight w:val="0"/>
      <w:marTop w:val="0"/>
      <w:marBottom w:val="0"/>
      <w:divBdr>
        <w:top w:val="none" w:sz="0" w:space="0" w:color="auto"/>
        <w:left w:val="none" w:sz="0" w:space="0" w:color="auto"/>
        <w:bottom w:val="none" w:sz="0" w:space="0" w:color="auto"/>
        <w:right w:val="none" w:sz="0" w:space="0" w:color="auto"/>
      </w:divBdr>
    </w:div>
    <w:div w:id="787046306">
      <w:bodyDiv w:val="1"/>
      <w:marLeft w:val="0"/>
      <w:marRight w:val="0"/>
      <w:marTop w:val="0"/>
      <w:marBottom w:val="0"/>
      <w:divBdr>
        <w:top w:val="none" w:sz="0" w:space="0" w:color="auto"/>
        <w:left w:val="none" w:sz="0" w:space="0" w:color="auto"/>
        <w:bottom w:val="none" w:sz="0" w:space="0" w:color="auto"/>
        <w:right w:val="none" w:sz="0" w:space="0" w:color="auto"/>
      </w:divBdr>
    </w:div>
    <w:div w:id="836724405">
      <w:bodyDiv w:val="1"/>
      <w:marLeft w:val="0"/>
      <w:marRight w:val="0"/>
      <w:marTop w:val="0"/>
      <w:marBottom w:val="0"/>
      <w:divBdr>
        <w:top w:val="none" w:sz="0" w:space="0" w:color="auto"/>
        <w:left w:val="none" w:sz="0" w:space="0" w:color="auto"/>
        <w:bottom w:val="none" w:sz="0" w:space="0" w:color="auto"/>
        <w:right w:val="none" w:sz="0" w:space="0" w:color="auto"/>
      </w:divBdr>
    </w:div>
    <w:div w:id="989289900">
      <w:bodyDiv w:val="1"/>
      <w:marLeft w:val="0"/>
      <w:marRight w:val="0"/>
      <w:marTop w:val="0"/>
      <w:marBottom w:val="0"/>
      <w:divBdr>
        <w:top w:val="none" w:sz="0" w:space="0" w:color="auto"/>
        <w:left w:val="none" w:sz="0" w:space="0" w:color="auto"/>
        <w:bottom w:val="none" w:sz="0" w:space="0" w:color="auto"/>
        <w:right w:val="none" w:sz="0" w:space="0" w:color="auto"/>
      </w:divBdr>
    </w:div>
    <w:div w:id="1010716665">
      <w:bodyDiv w:val="1"/>
      <w:marLeft w:val="0"/>
      <w:marRight w:val="0"/>
      <w:marTop w:val="0"/>
      <w:marBottom w:val="0"/>
      <w:divBdr>
        <w:top w:val="none" w:sz="0" w:space="0" w:color="auto"/>
        <w:left w:val="none" w:sz="0" w:space="0" w:color="auto"/>
        <w:bottom w:val="none" w:sz="0" w:space="0" w:color="auto"/>
        <w:right w:val="none" w:sz="0" w:space="0" w:color="auto"/>
      </w:divBdr>
    </w:div>
    <w:div w:id="1037510323">
      <w:bodyDiv w:val="1"/>
      <w:marLeft w:val="0"/>
      <w:marRight w:val="0"/>
      <w:marTop w:val="0"/>
      <w:marBottom w:val="0"/>
      <w:divBdr>
        <w:top w:val="none" w:sz="0" w:space="0" w:color="auto"/>
        <w:left w:val="none" w:sz="0" w:space="0" w:color="auto"/>
        <w:bottom w:val="none" w:sz="0" w:space="0" w:color="auto"/>
        <w:right w:val="none" w:sz="0" w:space="0" w:color="auto"/>
      </w:divBdr>
      <w:divsChild>
        <w:div w:id="862941630">
          <w:marLeft w:val="0"/>
          <w:marRight w:val="0"/>
          <w:marTop w:val="0"/>
          <w:marBottom w:val="0"/>
          <w:divBdr>
            <w:top w:val="none" w:sz="0" w:space="0" w:color="auto"/>
            <w:left w:val="none" w:sz="0" w:space="0" w:color="auto"/>
            <w:bottom w:val="none" w:sz="0" w:space="0" w:color="auto"/>
            <w:right w:val="none" w:sz="0" w:space="0" w:color="auto"/>
          </w:divBdr>
        </w:div>
        <w:div w:id="1426344102">
          <w:marLeft w:val="0"/>
          <w:marRight w:val="0"/>
          <w:marTop w:val="0"/>
          <w:marBottom w:val="0"/>
          <w:divBdr>
            <w:top w:val="none" w:sz="0" w:space="0" w:color="auto"/>
            <w:left w:val="none" w:sz="0" w:space="0" w:color="auto"/>
            <w:bottom w:val="none" w:sz="0" w:space="0" w:color="auto"/>
            <w:right w:val="none" w:sz="0" w:space="0" w:color="auto"/>
          </w:divBdr>
        </w:div>
        <w:div w:id="1491168727">
          <w:marLeft w:val="0"/>
          <w:marRight w:val="0"/>
          <w:marTop w:val="0"/>
          <w:marBottom w:val="0"/>
          <w:divBdr>
            <w:top w:val="none" w:sz="0" w:space="0" w:color="auto"/>
            <w:left w:val="none" w:sz="0" w:space="0" w:color="auto"/>
            <w:bottom w:val="none" w:sz="0" w:space="0" w:color="auto"/>
            <w:right w:val="none" w:sz="0" w:space="0" w:color="auto"/>
          </w:divBdr>
        </w:div>
        <w:div w:id="1503622204">
          <w:marLeft w:val="0"/>
          <w:marRight w:val="0"/>
          <w:marTop w:val="0"/>
          <w:marBottom w:val="0"/>
          <w:divBdr>
            <w:top w:val="none" w:sz="0" w:space="0" w:color="auto"/>
            <w:left w:val="none" w:sz="0" w:space="0" w:color="auto"/>
            <w:bottom w:val="none" w:sz="0" w:space="0" w:color="auto"/>
            <w:right w:val="none" w:sz="0" w:space="0" w:color="auto"/>
          </w:divBdr>
        </w:div>
        <w:div w:id="1762481450">
          <w:marLeft w:val="0"/>
          <w:marRight w:val="0"/>
          <w:marTop w:val="0"/>
          <w:marBottom w:val="0"/>
          <w:divBdr>
            <w:top w:val="none" w:sz="0" w:space="0" w:color="auto"/>
            <w:left w:val="none" w:sz="0" w:space="0" w:color="auto"/>
            <w:bottom w:val="none" w:sz="0" w:space="0" w:color="auto"/>
            <w:right w:val="none" w:sz="0" w:space="0" w:color="auto"/>
          </w:divBdr>
        </w:div>
      </w:divsChild>
    </w:div>
    <w:div w:id="1042900107">
      <w:bodyDiv w:val="1"/>
      <w:marLeft w:val="0"/>
      <w:marRight w:val="0"/>
      <w:marTop w:val="0"/>
      <w:marBottom w:val="0"/>
      <w:divBdr>
        <w:top w:val="none" w:sz="0" w:space="0" w:color="auto"/>
        <w:left w:val="none" w:sz="0" w:space="0" w:color="auto"/>
        <w:bottom w:val="none" w:sz="0" w:space="0" w:color="auto"/>
        <w:right w:val="none" w:sz="0" w:space="0" w:color="auto"/>
      </w:divBdr>
    </w:div>
    <w:div w:id="1110008609">
      <w:bodyDiv w:val="1"/>
      <w:marLeft w:val="0"/>
      <w:marRight w:val="0"/>
      <w:marTop w:val="0"/>
      <w:marBottom w:val="0"/>
      <w:divBdr>
        <w:top w:val="none" w:sz="0" w:space="0" w:color="auto"/>
        <w:left w:val="none" w:sz="0" w:space="0" w:color="auto"/>
        <w:bottom w:val="none" w:sz="0" w:space="0" w:color="auto"/>
        <w:right w:val="none" w:sz="0" w:space="0" w:color="auto"/>
      </w:divBdr>
    </w:div>
    <w:div w:id="1130513918">
      <w:bodyDiv w:val="1"/>
      <w:marLeft w:val="0"/>
      <w:marRight w:val="0"/>
      <w:marTop w:val="0"/>
      <w:marBottom w:val="0"/>
      <w:divBdr>
        <w:top w:val="none" w:sz="0" w:space="0" w:color="auto"/>
        <w:left w:val="none" w:sz="0" w:space="0" w:color="auto"/>
        <w:bottom w:val="none" w:sz="0" w:space="0" w:color="auto"/>
        <w:right w:val="none" w:sz="0" w:space="0" w:color="auto"/>
      </w:divBdr>
    </w:div>
    <w:div w:id="1150750236">
      <w:bodyDiv w:val="1"/>
      <w:marLeft w:val="0"/>
      <w:marRight w:val="0"/>
      <w:marTop w:val="0"/>
      <w:marBottom w:val="0"/>
      <w:divBdr>
        <w:top w:val="none" w:sz="0" w:space="0" w:color="auto"/>
        <w:left w:val="none" w:sz="0" w:space="0" w:color="auto"/>
        <w:bottom w:val="none" w:sz="0" w:space="0" w:color="auto"/>
        <w:right w:val="none" w:sz="0" w:space="0" w:color="auto"/>
      </w:divBdr>
    </w:div>
    <w:div w:id="1154833425">
      <w:bodyDiv w:val="1"/>
      <w:marLeft w:val="0"/>
      <w:marRight w:val="0"/>
      <w:marTop w:val="0"/>
      <w:marBottom w:val="0"/>
      <w:divBdr>
        <w:top w:val="none" w:sz="0" w:space="0" w:color="auto"/>
        <w:left w:val="none" w:sz="0" w:space="0" w:color="auto"/>
        <w:bottom w:val="none" w:sz="0" w:space="0" w:color="auto"/>
        <w:right w:val="none" w:sz="0" w:space="0" w:color="auto"/>
      </w:divBdr>
    </w:div>
    <w:div w:id="1173686841">
      <w:bodyDiv w:val="1"/>
      <w:marLeft w:val="0"/>
      <w:marRight w:val="0"/>
      <w:marTop w:val="0"/>
      <w:marBottom w:val="0"/>
      <w:divBdr>
        <w:top w:val="none" w:sz="0" w:space="0" w:color="auto"/>
        <w:left w:val="none" w:sz="0" w:space="0" w:color="auto"/>
        <w:bottom w:val="none" w:sz="0" w:space="0" w:color="auto"/>
        <w:right w:val="none" w:sz="0" w:space="0" w:color="auto"/>
      </w:divBdr>
    </w:div>
    <w:div w:id="1280721267">
      <w:bodyDiv w:val="1"/>
      <w:marLeft w:val="0"/>
      <w:marRight w:val="0"/>
      <w:marTop w:val="0"/>
      <w:marBottom w:val="0"/>
      <w:divBdr>
        <w:top w:val="none" w:sz="0" w:space="0" w:color="auto"/>
        <w:left w:val="none" w:sz="0" w:space="0" w:color="auto"/>
        <w:bottom w:val="none" w:sz="0" w:space="0" w:color="auto"/>
        <w:right w:val="none" w:sz="0" w:space="0" w:color="auto"/>
      </w:divBdr>
      <w:divsChild>
        <w:div w:id="1273588634">
          <w:marLeft w:val="0"/>
          <w:marRight w:val="0"/>
          <w:marTop w:val="0"/>
          <w:marBottom w:val="0"/>
          <w:divBdr>
            <w:top w:val="none" w:sz="0" w:space="0" w:color="auto"/>
            <w:left w:val="none" w:sz="0" w:space="0" w:color="auto"/>
            <w:bottom w:val="none" w:sz="0" w:space="0" w:color="auto"/>
            <w:right w:val="none" w:sz="0" w:space="0" w:color="auto"/>
          </w:divBdr>
          <w:divsChild>
            <w:div w:id="21375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599">
      <w:bodyDiv w:val="1"/>
      <w:marLeft w:val="0"/>
      <w:marRight w:val="0"/>
      <w:marTop w:val="0"/>
      <w:marBottom w:val="0"/>
      <w:divBdr>
        <w:top w:val="none" w:sz="0" w:space="0" w:color="auto"/>
        <w:left w:val="none" w:sz="0" w:space="0" w:color="auto"/>
        <w:bottom w:val="none" w:sz="0" w:space="0" w:color="auto"/>
        <w:right w:val="none" w:sz="0" w:space="0" w:color="auto"/>
      </w:divBdr>
    </w:div>
    <w:div w:id="1407149630">
      <w:bodyDiv w:val="1"/>
      <w:marLeft w:val="0"/>
      <w:marRight w:val="0"/>
      <w:marTop w:val="0"/>
      <w:marBottom w:val="0"/>
      <w:divBdr>
        <w:top w:val="none" w:sz="0" w:space="0" w:color="auto"/>
        <w:left w:val="none" w:sz="0" w:space="0" w:color="auto"/>
        <w:bottom w:val="none" w:sz="0" w:space="0" w:color="auto"/>
        <w:right w:val="none" w:sz="0" w:space="0" w:color="auto"/>
      </w:divBdr>
      <w:divsChild>
        <w:div w:id="1083065705">
          <w:marLeft w:val="0"/>
          <w:marRight w:val="0"/>
          <w:marTop w:val="0"/>
          <w:marBottom w:val="0"/>
          <w:divBdr>
            <w:top w:val="none" w:sz="0" w:space="0" w:color="auto"/>
            <w:left w:val="none" w:sz="0" w:space="0" w:color="auto"/>
            <w:bottom w:val="none" w:sz="0" w:space="0" w:color="auto"/>
            <w:right w:val="none" w:sz="0" w:space="0" w:color="auto"/>
          </w:divBdr>
        </w:div>
        <w:div w:id="1483043990">
          <w:marLeft w:val="0"/>
          <w:marRight w:val="0"/>
          <w:marTop w:val="0"/>
          <w:marBottom w:val="0"/>
          <w:divBdr>
            <w:top w:val="none" w:sz="0" w:space="0" w:color="auto"/>
            <w:left w:val="none" w:sz="0" w:space="0" w:color="auto"/>
            <w:bottom w:val="none" w:sz="0" w:space="0" w:color="auto"/>
            <w:right w:val="none" w:sz="0" w:space="0" w:color="auto"/>
          </w:divBdr>
        </w:div>
      </w:divsChild>
    </w:div>
    <w:div w:id="1437361595">
      <w:bodyDiv w:val="1"/>
      <w:marLeft w:val="0"/>
      <w:marRight w:val="0"/>
      <w:marTop w:val="0"/>
      <w:marBottom w:val="0"/>
      <w:divBdr>
        <w:top w:val="none" w:sz="0" w:space="0" w:color="auto"/>
        <w:left w:val="none" w:sz="0" w:space="0" w:color="auto"/>
        <w:bottom w:val="none" w:sz="0" w:space="0" w:color="auto"/>
        <w:right w:val="none" w:sz="0" w:space="0" w:color="auto"/>
      </w:divBdr>
    </w:div>
    <w:div w:id="1499464549">
      <w:bodyDiv w:val="1"/>
      <w:marLeft w:val="0"/>
      <w:marRight w:val="0"/>
      <w:marTop w:val="0"/>
      <w:marBottom w:val="0"/>
      <w:divBdr>
        <w:top w:val="none" w:sz="0" w:space="0" w:color="auto"/>
        <w:left w:val="none" w:sz="0" w:space="0" w:color="auto"/>
        <w:bottom w:val="none" w:sz="0" w:space="0" w:color="auto"/>
        <w:right w:val="none" w:sz="0" w:space="0" w:color="auto"/>
      </w:divBdr>
    </w:div>
    <w:div w:id="1707756145">
      <w:bodyDiv w:val="1"/>
      <w:marLeft w:val="0"/>
      <w:marRight w:val="0"/>
      <w:marTop w:val="0"/>
      <w:marBottom w:val="0"/>
      <w:divBdr>
        <w:top w:val="none" w:sz="0" w:space="0" w:color="auto"/>
        <w:left w:val="none" w:sz="0" w:space="0" w:color="auto"/>
        <w:bottom w:val="none" w:sz="0" w:space="0" w:color="auto"/>
        <w:right w:val="none" w:sz="0" w:space="0" w:color="auto"/>
      </w:divBdr>
    </w:div>
    <w:div w:id="1717044299">
      <w:bodyDiv w:val="1"/>
      <w:marLeft w:val="0"/>
      <w:marRight w:val="0"/>
      <w:marTop w:val="0"/>
      <w:marBottom w:val="0"/>
      <w:divBdr>
        <w:top w:val="none" w:sz="0" w:space="0" w:color="auto"/>
        <w:left w:val="none" w:sz="0" w:space="0" w:color="auto"/>
        <w:bottom w:val="none" w:sz="0" w:space="0" w:color="auto"/>
        <w:right w:val="none" w:sz="0" w:space="0" w:color="auto"/>
      </w:divBdr>
    </w:div>
    <w:div w:id="1777484368">
      <w:bodyDiv w:val="1"/>
      <w:marLeft w:val="0"/>
      <w:marRight w:val="0"/>
      <w:marTop w:val="0"/>
      <w:marBottom w:val="0"/>
      <w:divBdr>
        <w:top w:val="none" w:sz="0" w:space="0" w:color="auto"/>
        <w:left w:val="none" w:sz="0" w:space="0" w:color="auto"/>
        <w:bottom w:val="none" w:sz="0" w:space="0" w:color="auto"/>
        <w:right w:val="none" w:sz="0" w:space="0" w:color="auto"/>
      </w:divBdr>
      <w:divsChild>
        <w:div w:id="844781166">
          <w:marLeft w:val="0"/>
          <w:marRight w:val="0"/>
          <w:marTop w:val="0"/>
          <w:marBottom w:val="0"/>
          <w:divBdr>
            <w:top w:val="none" w:sz="0" w:space="0" w:color="auto"/>
            <w:left w:val="none" w:sz="0" w:space="0" w:color="auto"/>
            <w:bottom w:val="none" w:sz="0" w:space="0" w:color="auto"/>
            <w:right w:val="none" w:sz="0" w:space="0" w:color="auto"/>
          </w:divBdr>
        </w:div>
        <w:div w:id="1321809496">
          <w:marLeft w:val="0"/>
          <w:marRight w:val="0"/>
          <w:marTop w:val="0"/>
          <w:marBottom w:val="0"/>
          <w:divBdr>
            <w:top w:val="none" w:sz="0" w:space="0" w:color="auto"/>
            <w:left w:val="none" w:sz="0" w:space="0" w:color="auto"/>
            <w:bottom w:val="none" w:sz="0" w:space="0" w:color="auto"/>
            <w:right w:val="none" w:sz="0" w:space="0" w:color="auto"/>
          </w:divBdr>
        </w:div>
        <w:div w:id="1763451993">
          <w:marLeft w:val="0"/>
          <w:marRight w:val="0"/>
          <w:marTop w:val="0"/>
          <w:marBottom w:val="0"/>
          <w:divBdr>
            <w:top w:val="none" w:sz="0" w:space="0" w:color="auto"/>
            <w:left w:val="none" w:sz="0" w:space="0" w:color="auto"/>
            <w:bottom w:val="none" w:sz="0" w:space="0" w:color="auto"/>
            <w:right w:val="none" w:sz="0" w:space="0" w:color="auto"/>
          </w:divBdr>
        </w:div>
      </w:divsChild>
    </w:div>
    <w:div w:id="19378666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footer" Target="footer194.xml"/><Relationship Id="rId258" Type="http://schemas.openxmlformats.org/officeDocument/2006/relationships/header" Target="header123.xml"/><Relationship Id="rId279" Type="http://schemas.openxmlformats.org/officeDocument/2006/relationships/header" Target="header134.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25" Type="http://schemas.openxmlformats.org/officeDocument/2006/relationships/footer" Target="footer156.xml"/><Relationship Id="rId346" Type="http://schemas.openxmlformats.org/officeDocument/2006/relationships/footer" Target="footer166.xml"/><Relationship Id="rId367" Type="http://schemas.openxmlformats.org/officeDocument/2006/relationships/footer" Target="footer177.xml"/><Relationship Id="rId388" Type="http://schemas.openxmlformats.org/officeDocument/2006/relationships/header" Target="header188.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7.xml"/><Relationship Id="rId413" Type="http://schemas.openxmlformats.org/officeDocument/2006/relationships/footer" Target="footer199.xml"/><Relationship Id="rId248" Type="http://schemas.openxmlformats.org/officeDocument/2006/relationships/header" Target="header118.xml"/><Relationship Id="rId269" Type="http://schemas.openxmlformats.org/officeDocument/2006/relationships/footer" Target="footer12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3.xml"/><Relationship Id="rId403" Type="http://schemas.openxmlformats.org/officeDocument/2006/relationships/header" Target="head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7.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414" Type="http://schemas.openxmlformats.org/officeDocument/2006/relationships/footer" Target="footer200.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footer" Target="footer188.xml"/><Relationship Id="rId404" Type="http://schemas.openxmlformats.org/officeDocument/2006/relationships/footer" Target="footer195.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eader" Target="header184.xml"/><Relationship Id="rId415" Type="http://schemas.openxmlformats.org/officeDocument/2006/relationships/header" Target="header201.xm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header" Target="header189.xml"/><Relationship Id="rId405" Type="http://schemas.openxmlformats.org/officeDocument/2006/relationships/header" Target="header19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footer" Target="footer201.xml"/><Relationship Id="rId220" Type="http://schemas.openxmlformats.org/officeDocument/2006/relationships/footer" Target="footer103.xml"/><Relationship Id="rId241" Type="http://schemas.openxmlformats.org/officeDocument/2006/relationships/footer" Target="footer114.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header" Target="header197.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footer" Target="footer189.xm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fontTable" Target="fontTable.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0.xml"/><Relationship Id="rId407" Type="http://schemas.openxmlformats.org/officeDocument/2006/relationships/footer" Target="footer196.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theme" Target="theme/theme1.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header" Target="header191.xml"/><Relationship Id="rId408"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microsoft.com/office/2019/05/relationships/documenttasks" Target="documenttasks/documenttasks1.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0.xml"/><Relationship Id="rId409" Type="http://schemas.openxmlformats.org/officeDocument/2006/relationships/header" Target="head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footer" Target="footer19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1.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header" Target="header194.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yperlink" Target="http://www.syllabus.gov.it" TargetMode="Externa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9.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header" Target="head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3.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7.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footer" Target="footer192.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2.xml"/></Relationships>
</file>

<file path=word/documenttasks/documenttasks1.xml><?xml version="1.0" encoding="utf-8"?>
<t:Tasks xmlns:t="http://schemas.microsoft.com/office/tasks/2019/documenttasks" xmlns:oel="http://schemas.microsoft.com/office/2019/extlst">
  <t:Task id="{2ECA1206-1593-4FBD-AB96-B51C9398B019}">
    <t:Anchor>
      <t:Comment id="1075478021"/>
    </t:Anchor>
    <t:History>
      <t:Event id="{8FFD69E6-71B0-4F82-B289-96B1E4CA5F20}" time="2023-11-21T12:37:39.562Z">
        <t:Attribution userId="S::giuseppe.malgeri1@ec.europa.eu::9b1d0a44-c620-46e7-a051-2861850aa41f" userProvider="AD" userName="MALGERI Giuseppe (ECFIN)"/>
        <t:Anchor>
          <t:Comment id="1075478021"/>
        </t:Anchor>
        <t:Create/>
      </t:Event>
      <t:Event id="{655F7FEA-8593-463D-B9F7-A5DD893B8EFE}" time="2023-11-21T12:37:39.562Z">
        <t:Attribution userId="S::giuseppe.malgeri1@ec.europa.eu::9b1d0a44-c620-46e7-a051-2861850aa41f" userProvider="AD" userName="MALGERI Giuseppe (ECFIN)"/>
        <t:Anchor>
          <t:Comment id="1075478021"/>
        </t:Anchor>
        <t:Assign userId="S::Marco.MAPELLI@ec.europa.eu::9435c14f-c002-4e3e-a3fe-8ddeba22ee8c" userProvider="AD" userName="MAPELLI Marco (ECFIN)"/>
      </t:Event>
      <t:Event id="{9FA36C33-4FB1-4611-9986-51BE5498BB2A}" time="2023-11-21T12:37:39.562Z">
        <t:Attribution userId="S::giuseppe.malgeri1@ec.europa.eu::9b1d0a44-c620-46e7-a051-2861850aa41f" userProvider="AD" userName="MALGERI Giuseppe (ECFIN)"/>
        <t:Anchor>
          <t:Comment id="1075478021"/>
        </t:Anchor>
        <t:SetTitle title="@MAPELLI Marco (ECFIN) Just one clarification. Was this condition deleted in the last round of negotiations?  ''The satisfactorily fulfillment of the target also depends on the creation of a competence center to support acceleration programs and start …"/>
      </t:Event>
    </t:History>
  </t:Task>
  <t:Task id="{A35833FF-482C-432E-87EF-3F377425BE6A}">
    <t:Anchor>
      <t:Comment id="788014733"/>
    </t:Anchor>
    <t:History>
      <t:Event id="{8B931369-33B0-4227-88AC-F80734AC0299}" time="2023-11-22T09:21:17.85Z">
        <t:Attribution userId="S::giuseppe.malgeri1@ec.europa.eu::9b1d0a44-c620-46e7-a051-2861850aa41f" userProvider="AD" userName="MALGERI Giuseppe (ECFIN)"/>
        <t:Anchor>
          <t:Comment id="788014733"/>
        </t:Anchor>
        <t:Create/>
      </t:Event>
      <t:Event id="{2C2A4F6B-FDF3-46DA-A7B4-E956152FC34F}" time="2023-11-22T09:21:17.85Z">
        <t:Attribution userId="S::giuseppe.malgeri1@ec.europa.eu::9b1d0a44-c620-46e7-a051-2861850aa41f" userProvider="AD" userName="MALGERI Giuseppe (ECFIN)"/>
        <t:Anchor>
          <t:Comment id="788014733"/>
        </t:Anchor>
        <t:Assign userId="S::Andrea.COLOMBO@ec.europa.eu::3e3c8f93-9002-4526-aa0f-f25afd2c58b0" userProvider="AD" userName="COLOMBO Andrea (SG-RECOVER)"/>
      </t:Event>
      <t:Event id="{B940999D-AE62-489C-B6AE-1690C1AA84E3}" time="2023-11-22T09:21:17.85Z">
        <t:Attribution userId="S::giuseppe.malgeri1@ec.europa.eu::9b1d0a44-c620-46e7-a051-2861850aa41f" userProvider="AD" userName="MALGERI Giuseppe (ECFIN)"/>
        <t:Anchor>
          <t:Comment id="788014733"/>
        </t:Anchor>
        <t:SetTitle title="@COLOMBO Andrea (SG-RECOVER) perhaps we could refer the 100% to the resources allocated for the specific lines of interven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Stage xmlns="1700ab43-7395-48ff-866c-657c86ba7f4e" xsi:nil="true"/>
    <Scope xmlns="1700ab43-7395-48ff-866c-657c86ba7f4e" xsi:nil="true"/>
    <_ip_UnifiedCompliancePolicyUIAction xmlns="http://schemas.microsoft.com/sharepoint/v3" xsi:nil="true"/>
    <Answersent xmlns="1700ab43-7395-48ff-866c-657c86ba7f4e">false</Answersent>
    <_ip_UnifiedCompliancePolicyProperties xmlns="http://schemas.microsoft.com/sharepoint/v3" xsi:nil="true"/>
    <Level xmlns="1700ab43-7395-48ff-866c-657c86ba7f4e" xsi:nil="true"/>
    <Whoneedstoanswer xmlns="1700ab43-7395-48ff-866c-657c86ba7f4e" xsi:nil="true"/>
    <Deadlin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tatus xmlns="1700ab43-7395-48ff-866c-657c86ba7f4e" xsi:nil="true"/>
    <TaxCatchAll xmlns="e6c3bc29-9e11-4027-900b-c73633d7928a" xsi:nil="true"/>
    <ISCreferencenumber xmlns="1700ab43-7395-48ff-866c-657c86ba7f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8" ma:contentTypeDescription="Crée un document." ma:contentTypeScope="" ma:versionID="3316df849fd74940b30582680cf22ed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6ba2b77c8643b03490941671a532d273"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riétés de la stratégie de conformité unifiée" ma:hidden="true" ma:internalName="_ip_UnifiedCompliancePolicyProperties" ma:readOnly="false">
      <xsd:simpleType>
        <xsd:restriction base="dms:Note"/>
      </xsd:simpleType>
    </xsd:element>
    <xsd:element name="_ip_UnifiedCompliancePolicyUIAction" ma:index="24" nillable="true" ma:displayName="Action d’interface utilisateur de la stratégie de conformité unifiée"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C42E-AB47-4C1D-8F21-16F8AE3AC341}">
  <ds:schemaRefs>
    <ds:schemaRef ds:uri="http://schemas.microsoft.com/office/2006/metadata/properties"/>
    <ds:schemaRef ds:uri="http://schemas.microsoft.com/office/infopath/2007/PartnerControls"/>
    <ds:schemaRef ds:uri="1700ab43-7395-48ff-866c-657c86ba7f4e"/>
    <ds:schemaRef ds:uri="http://schemas.microsoft.com/sharepoint/v3"/>
    <ds:schemaRef ds:uri="e6c3bc29-9e11-4027-900b-c73633d7928a"/>
  </ds:schemaRefs>
</ds:datastoreItem>
</file>

<file path=customXml/itemProps2.xml><?xml version="1.0" encoding="utf-8"?>
<ds:datastoreItem xmlns:ds="http://schemas.openxmlformats.org/officeDocument/2006/customXml" ds:itemID="{CA4F7552-381B-4877-9EAB-2D75398B6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33CF5-D472-47D7-8E29-D38CEB9F5DCC}">
  <ds:schemaRefs>
    <ds:schemaRef ds:uri="http://schemas.microsoft.com/sharepoint/v3/contenttype/forms"/>
  </ds:schemaRefs>
</ds:datastoreItem>
</file>

<file path=customXml/itemProps4.xml><?xml version="1.0" encoding="utf-8"?>
<ds:datastoreItem xmlns:ds="http://schemas.openxmlformats.org/officeDocument/2006/customXml" ds:itemID="{B3E95A84-3863-46D7-95FF-3D18A4B0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13</Pages>
  <Words>127743</Words>
  <Characters>728138</Characters>
  <Application>Microsoft Office Word</Application>
  <DocSecurity>0</DocSecurity>
  <Lines>6067</Lines>
  <Paragraphs>1708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854173</CharactersWithSpaces>
  <SharedDoc>false</SharedDoc>
  <HLinks>
    <vt:vector size="1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Andrea.COLOMBO@ec.europa.eu</dc:creator>
  <cp:keywords/>
  <dc:description/>
  <cp:lastModifiedBy>EC CoDe</cp:lastModifiedBy>
  <cp:revision>290</cp:revision>
  <dcterms:created xsi:type="dcterms:W3CDTF">2023-11-25T14:43:00Z</dcterms:created>
  <dcterms:modified xsi:type="dcterms:W3CDTF">2023-12-01T14:53:00Z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2023-11-09T21:37:49Z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c9c18650-dba0-40ec-ab81-bede39719331</vt:lpwstr>
  </property>
  <property fmtid="{D5CDD505-2E9C-101B-9397-08002B2CF9AE}" pid="8" name="MSIP_Label_6bd9ddd1-4d20-43f6-abfa-fc3c07406f94_ContentBits">
    <vt:lpwstr>0</vt:lpwstr>
  </property>
  <property fmtid="{D5CDD505-2E9C-101B-9397-08002B2CF9AE}" pid="9" name="MSIP_Label_f4cdc456-5864-460f-beda-883d23b78bbb_Enabled">
    <vt:lpwstr>true</vt:lpwstr>
  </property>
  <property fmtid="{D5CDD505-2E9C-101B-9397-08002B2CF9AE}" pid="10" name="MSIP_Label_f4cdc456-5864-460f-beda-883d23b78bbb_SetDate">
    <vt:lpwstr>2023-11-09T21:37:49Z</vt:lpwstr>
  </property>
  <property fmtid="{D5CDD505-2E9C-101B-9397-08002B2CF9AE}" pid="11" name="MSIP_Label_f4cdc456-5864-460f-beda-883d23b78bbb_Method">
    <vt:lpwstr>Privileged</vt:lpwstr>
  </property>
  <property fmtid="{D5CDD505-2E9C-101B-9397-08002B2CF9AE}" pid="12" name="MSIP_Label_f4cdc456-5864-460f-beda-883d23b78bbb_Name">
    <vt:lpwstr>Publicly Available</vt:lpwstr>
  </property>
  <property fmtid="{D5CDD505-2E9C-101B-9397-08002B2CF9AE}" pid="13" name="MSIP_Label_f4cdc456-5864-460f-beda-883d23b78bbb_SiteId">
    <vt:lpwstr>b24c8b06-522c-46fe-9080-70926f8dddb1</vt:lpwstr>
  </property>
  <property fmtid="{D5CDD505-2E9C-101B-9397-08002B2CF9AE}" pid="14" name="MSIP_Label_f4cdc456-5864-460f-beda-883d23b78bbb_ActionId">
    <vt:lpwstr>660ba387-1b8b-4d7c-8d0d-f0e4217620f0</vt:lpwstr>
  </property>
  <property fmtid="{D5CDD505-2E9C-101B-9397-08002B2CF9AE}" pid="15" name="MSIP_Label_f4cdc456-5864-460f-beda-883d23b78bbb_ContentBits">
    <vt:lpwstr>0</vt:lpwstr>
  </property>
  <property fmtid="{D5CDD505-2E9C-101B-9397-08002B2CF9AE}" pid="16" name="Last edited using">
    <vt:lpwstr>LW 9.0, Build 20230317</vt:lpwstr>
  </property>
  <property fmtid="{D5CDD505-2E9C-101B-9397-08002B2CF9AE}" pid="17" name="MediaServiceImageTags">
    <vt:lpwstr/>
  </property>
  <property fmtid="{D5CDD505-2E9C-101B-9397-08002B2CF9AE}" pid="18" name="ContentTypeId">
    <vt:lpwstr>0x01010062094E9F29D6C04F85860C631ABC812A</vt:lpwstr>
  </property>
  <property fmtid="{D5CDD505-2E9C-101B-9397-08002B2CF9AE}" pid="19" name="Created using">
    <vt:lpwstr>LW 9.0, Build 20230317</vt:lpwstr>
  </property>
  <property fmtid="{D5CDD505-2E9C-101B-9397-08002B2CF9AE}" pid="20" name="Level of sensitivity">
    <vt:lpwstr>Standard treatment</vt:lpwstr>
  </property>
  <property fmtid="{D5CDD505-2E9C-101B-9397-08002B2CF9AE}" pid="21" name="First annex">
    <vt:lpwstr>1</vt:lpwstr>
  </property>
  <property fmtid="{D5CDD505-2E9C-101B-9397-08002B2CF9AE}" pid="22" name="Last annex">
    <vt:lpwstr>1</vt:lpwstr>
  </property>
  <property fmtid="{D5CDD505-2E9C-101B-9397-08002B2CF9AE}" pid="23" name="Unique annex">
    <vt:lpwstr>1</vt:lpwstr>
  </property>
  <property fmtid="{D5CDD505-2E9C-101B-9397-08002B2CF9AE}" pid="24" name="Part">
    <vt:lpwstr>1</vt:lpwstr>
  </property>
  <property fmtid="{D5CDD505-2E9C-101B-9397-08002B2CF9AE}" pid="25" name="Total parts">
    <vt:lpwstr>1</vt:lpwstr>
  </property>
  <property fmtid="{D5CDD505-2E9C-101B-9397-08002B2CF9AE}" pid="26" name="CPTemplateID">
    <vt:lpwstr>CP-036</vt:lpwstr>
  </property>
  <property fmtid="{D5CDD505-2E9C-101B-9397-08002B2CF9AE}" pid="27" name="DocStatus">
    <vt:lpwstr>Green</vt:lpwstr>
  </property>
</Properties>
</file>